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9C73C">
      <w:pPr>
        <w:spacing w:line="266" w:lineRule="auto"/>
        <w:rPr>
          <w:rFonts w:ascii="Arial"/>
          <w:color w:val="auto"/>
          <w:sz w:val="21"/>
          <w:highlight w:val="none"/>
        </w:rPr>
      </w:pPr>
    </w:p>
    <w:p w14:paraId="6D58AF18">
      <w:pPr>
        <w:spacing w:line="266" w:lineRule="auto"/>
        <w:rPr>
          <w:rFonts w:ascii="Arial"/>
          <w:color w:val="auto"/>
          <w:sz w:val="21"/>
          <w:highlight w:val="none"/>
        </w:rPr>
      </w:pPr>
    </w:p>
    <w:p w14:paraId="38C0914A">
      <w:pPr>
        <w:spacing w:line="266" w:lineRule="auto"/>
        <w:rPr>
          <w:rFonts w:ascii="Arial"/>
          <w:color w:val="auto"/>
          <w:sz w:val="21"/>
          <w:highlight w:val="none"/>
        </w:rPr>
      </w:pPr>
    </w:p>
    <w:p w14:paraId="1E94E5A0">
      <w:pPr>
        <w:spacing w:line="318" w:lineRule="auto"/>
        <w:jc w:val="center"/>
        <w:rPr>
          <w:rFonts w:hint="eastAsia" w:ascii="微软雅黑" w:hAnsi="微软雅黑" w:eastAsia="微软雅黑" w:cs="微软雅黑"/>
          <w:b/>
          <w:bCs/>
          <w:snapToGrid w:val="0"/>
          <w:color w:val="auto"/>
          <w:spacing w:val="-20"/>
          <w:w w:val="97"/>
          <w:kern w:val="0"/>
          <w:sz w:val="44"/>
          <w:szCs w:val="44"/>
          <w:highlight w:val="none"/>
          <w:lang w:val="en-US" w:eastAsia="zh-CN" w:bidi="ar-SA"/>
        </w:rPr>
      </w:pPr>
      <w:r>
        <w:rPr>
          <w:rFonts w:hint="eastAsia" w:ascii="微软雅黑" w:hAnsi="微软雅黑" w:eastAsia="微软雅黑" w:cs="微软雅黑"/>
          <w:b/>
          <w:bCs/>
          <w:snapToGrid w:val="0"/>
          <w:color w:val="auto"/>
          <w:spacing w:val="-20"/>
          <w:w w:val="97"/>
          <w:kern w:val="0"/>
          <w:sz w:val="44"/>
          <w:szCs w:val="44"/>
          <w:highlight w:val="none"/>
          <w:lang w:val="en-US" w:eastAsia="en-US" w:bidi="ar-SA"/>
        </w:rPr>
        <w:t>伊犁哈萨克自治州纤维检验所2025年棉花公证检验及纺织品检验仪器设备购置项目</w:t>
      </w:r>
      <w:r>
        <w:rPr>
          <w:rFonts w:hint="eastAsia" w:ascii="微软雅黑" w:hAnsi="微软雅黑" w:eastAsia="微软雅黑" w:cs="微软雅黑"/>
          <w:b/>
          <w:bCs/>
          <w:snapToGrid w:val="0"/>
          <w:color w:val="auto"/>
          <w:spacing w:val="-20"/>
          <w:w w:val="97"/>
          <w:kern w:val="0"/>
          <w:sz w:val="44"/>
          <w:szCs w:val="44"/>
          <w:highlight w:val="none"/>
          <w:lang w:val="en-US" w:eastAsia="zh-CN" w:bidi="ar-SA"/>
        </w:rPr>
        <w:t>（二次）</w:t>
      </w:r>
    </w:p>
    <w:p w14:paraId="4C5E5387">
      <w:pPr>
        <w:spacing w:line="319" w:lineRule="auto"/>
        <w:rPr>
          <w:rFonts w:ascii="Arial"/>
          <w:color w:val="auto"/>
          <w:sz w:val="21"/>
          <w:highlight w:val="none"/>
        </w:rPr>
      </w:pPr>
    </w:p>
    <w:p w14:paraId="62A7D11A">
      <w:pPr>
        <w:pStyle w:val="4"/>
        <w:spacing w:before="103" w:line="188" w:lineRule="auto"/>
        <w:jc w:val="center"/>
        <w:rPr>
          <w:rFonts w:hint="default" w:eastAsia="微软雅黑"/>
          <w:color w:val="auto"/>
          <w:sz w:val="24"/>
          <w:szCs w:val="24"/>
          <w:highlight w:val="none"/>
          <w:lang w:val="en-US" w:eastAsia="zh-CN"/>
        </w:rPr>
      </w:pPr>
      <w:r>
        <w:rPr>
          <w:b/>
          <w:bCs/>
          <w:color w:val="auto"/>
          <w:spacing w:val="-29"/>
          <w:sz w:val="24"/>
          <w:szCs w:val="24"/>
          <w:highlight w:val="none"/>
        </w:rPr>
        <w:t>项目编码：</w:t>
      </w:r>
      <w:r>
        <w:rPr>
          <w:rFonts w:hint="eastAsia"/>
          <w:b/>
          <w:bCs/>
          <w:color w:val="auto"/>
          <w:spacing w:val="-29"/>
          <w:sz w:val="24"/>
          <w:szCs w:val="24"/>
          <w:highlight w:val="none"/>
          <w:lang w:val="en-US" w:eastAsia="zh-CN"/>
        </w:rPr>
        <w:t>XJHHZDYL2025-066</w:t>
      </w:r>
    </w:p>
    <w:p w14:paraId="0CF7CE4D">
      <w:pPr>
        <w:rPr>
          <w:rFonts w:ascii="Arial"/>
          <w:color w:val="auto"/>
          <w:sz w:val="21"/>
          <w:highlight w:val="none"/>
        </w:rPr>
      </w:pPr>
    </w:p>
    <w:p w14:paraId="19353848">
      <w:pPr>
        <w:rPr>
          <w:rFonts w:ascii="Arial"/>
          <w:color w:val="auto"/>
          <w:sz w:val="21"/>
          <w:highlight w:val="none"/>
        </w:rPr>
      </w:pPr>
    </w:p>
    <w:p w14:paraId="0B229035">
      <w:pPr>
        <w:rPr>
          <w:rFonts w:ascii="Arial"/>
          <w:color w:val="auto"/>
          <w:sz w:val="21"/>
          <w:highlight w:val="none"/>
        </w:rPr>
      </w:pPr>
    </w:p>
    <w:p w14:paraId="33976E65">
      <w:pPr>
        <w:rPr>
          <w:rFonts w:ascii="Arial"/>
          <w:color w:val="auto"/>
          <w:sz w:val="21"/>
          <w:highlight w:val="none"/>
        </w:rPr>
      </w:pPr>
    </w:p>
    <w:p w14:paraId="3F72CC36">
      <w:pPr>
        <w:rPr>
          <w:rFonts w:ascii="Arial"/>
          <w:color w:val="auto"/>
          <w:sz w:val="21"/>
          <w:highlight w:val="none"/>
        </w:rPr>
      </w:pPr>
    </w:p>
    <w:p w14:paraId="527263D3">
      <w:pPr>
        <w:rPr>
          <w:rFonts w:ascii="Arial"/>
          <w:color w:val="auto"/>
          <w:sz w:val="21"/>
          <w:highlight w:val="none"/>
        </w:rPr>
      </w:pPr>
    </w:p>
    <w:p w14:paraId="7DEA82D9">
      <w:pPr>
        <w:rPr>
          <w:rFonts w:ascii="Arial"/>
          <w:color w:val="auto"/>
          <w:sz w:val="21"/>
          <w:highlight w:val="none"/>
        </w:rPr>
      </w:pPr>
    </w:p>
    <w:p w14:paraId="0A20905C">
      <w:pPr>
        <w:pStyle w:val="4"/>
        <w:spacing w:before="361" w:line="189" w:lineRule="auto"/>
        <w:ind w:left="2770"/>
        <w:outlineLvl w:val="0"/>
        <w:rPr>
          <w:color w:val="auto"/>
          <w:sz w:val="84"/>
          <w:szCs w:val="84"/>
          <w:highlight w:val="none"/>
        </w:rPr>
      </w:pPr>
      <w:bookmarkStart w:id="0" w:name="_Toc4684"/>
      <w:bookmarkStart w:id="1" w:name="_Toc5678"/>
      <w:r>
        <w:rPr>
          <w:b/>
          <w:bCs/>
          <w:color w:val="auto"/>
          <w:spacing w:val="-20"/>
          <w:w w:val="97"/>
          <w:sz w:val="84"/>
          <w:szCs w:val="84"/>
          <w:highlight w:val="none"/>
        </w:rPr>
        <w:t>招</w:t>
      </w:r>
      <w:r>
        <w:rPr>
          <w:b/>
          <w:bCs/>
          <w:color w:val="auto"/>
          <w:spacing w:val="241"/>
          <w:sz w:val="84"/>
          <w:szCs w:val="84"/>
          <w:highlight w:val="none"/>
        </w:rPr>
        <w:t xml:space="preserve"> </w:t>
      </w:r>
      <w:r>
        <w:rPr>
          <w:b/>
          <w:bCs/>
          <w:color w:val="auto"/>
          <w:spacing w:val="-20"/>
          <w:w w:val="97"/>
          <w:sz w:val="84"/>
          <w:szCs w:val="84"/>
          <w:highlight w:val="none"/>
        </w:rPr>
        <w:t>标</w:t>
      </w:r>
      <w:r>
        <w:rPr>
          <w:b/>
          <w:bCs/>
          <w:color w:val="auto"/>
          <w:spacing w:val="225"/>
          <w:sz w:val="84"/>
          <w:szCs w:val="84"/>
          <w:highlight w:val="none"/>
        </w:rPr>
        <w:t xml:space="preserve"> </w:t>
      </w:r>
      <w:r>
        <w:rPr>
          <w:b/>
          <w:bCs/>
          <w:color w:val="auto"/>
          <w:spacing w:val="-20"/>
          <w:w w:val="97"/>
          <w:sz w:val="84"/>
          <w:szCs w:val="84"/>
          <w:highlight w:val="none"/>
        </w:rPr>
        <w:t>文</w:t>
      </w:r>
      <w:r>
        <w:rPr>
          <w:b/>
          <w:bCs/>
          <w:color w:val="auto"/>
          <w:spacing w:val="225"/>
          <w:sz w:val="84"/>
          <w:szCs w:val="84"/>
          <w:highlight w:val="none"/>
        </w:rPr>
        <w:t xml:space="preserve"> </w:t>
      </w:r>
      <w:r>
        <w:rPr>
          <w:b/>
          <w:bCs/>
          <w:color w:val="auto"/>
          <w:spacing w:val="-20"/>
          <w:w w:val="97"/>
          <w:sz w:val="84"/>
          <w:szCs w:val="84"/>
          <w:highlight w:val="none"/>
        </w:rPr>
        <w:t>件</w:t>
      </w:r>
      <w:bookmarkEnd w:id="0"/>
      <w:bookmarkEnd w:id="1"/>
    </w:p>
    <w:p w14:paraId="42711FDA">
      <w:pPr>
        <w:spacing w:line="246" w:lineRule="auto"/>
        <w:rPr>
          <w:rFonts w:ascii="Arial"/>
          <w:color w:val="auto"/>
          <w:sz w:val="21"/>
          <w:highlight w:val="none"/>
        </w:rPr>
      </w:pPr>
    </w:p>
    <w:p w14:paraId="61B943F8">
      <w:pPr>
        <w:spacing w:line="246" w:lineRule="auto"/>
        <w:rPr>
          <w:rFonts w:ascii="Arial"/>
          <w:color w:val="auto"/>
          <w:sz w:val="21"/>
          <w:highlight w:val="none"/>
        </w:rPr>
      </w:pPr>
    </w:p>
    <w:p w14:paraId="13CB9DC8">
      <w:pPr>
        <w:spacing w:line="246" w:lineRule="auto"/>
        <w:rPr>
          <w:rFonts w:ascii="Arial"/>
          <w:color w:val="auto"/>
          <w:sz w:val="21"/>
          <w:highlight w:val="none"/>
        </w:rPr>
      </w:pPr>
    </w:p>
    <w:p w14:paraId="3F11EF74">
      <w:pPr>
        <w:spacing w:line="246" w:lineRule="auto"/>
        <w:rPr>
          <w:rFonts w:ascii="Arial"/>
          <w:color w:val="auto"/>
          <w:sz w:val="21"/>
          <w:highlight w:val="none"/>
        </w:rPr>
      </w:pPr>
    </w:p>
    <w:p w14:paraId="5C259719">
      <w:pPr>
        <w:spacing w:line="246" w:lineRule="auto"/>
        <w:rPr>
          <w:rFonts w:ascii="Arial"/>
          <w:color w:val="auto"/>
          <w:sz w:val="21"/>
          <w:highlight w:val="none"/>
        </w:rPr>
      </w:pPr>
    </w:p>
    <w:p w14:paraId="17CBF20B">
      <w:pPr>
        <w:spacing w:line="246" w:lineRule="auto"/>
        <w:rPr>
          <w:rFonts w:ascii="Arial"/>
          <w:color w:val="auto"/>
          <w:sz w:val="21"/>
          <w:highlight w:val="none"/>
        </w:rPr>
      </w:pPr>
    </w:p>
    <w:p w14:paraId="48C80D8E">
      <w:pPr>
        <w:spacing w:line="247" w:lineRule="auto"/>
        <w:rPr>
          <w:rFonts w:ascii="Arial"/>
          <w:color w:val="auto"/>
          <w:sz w:val="21"/>
          <w:highlight w:val="none"/>
        </w:rPr>
      </w:pPr>
    </w:p>
    <w:p w14:paraId="01569609">
      <w:pPr>
        <w:pStyle w:val="4"/>
        <w:spacing w:before="137" w:line="184" w:lineRule="auto"/>
        <w:ind w:left="285"/>
        <w:rPr>
          <w:color w:val="auto"/>
          <w:highlight w:val="none"/>
        </w:rPr>
      </w:pPr>
      <w:r>
        <w:rPr>
          <w:b/>
          <w:bCs/>
          <w:color w:val="auto"/>
          <w:spacing w:val="-2"/>
          <w:highlight w:val="none"/>
        </w:rPr>
        <w:t>招标人：</w:t>
      </w:r>
      <w:r>
        <w:rPr>
          <w:rFonts w:hint="eastAsia"/>
          <w:b/>
          <w:bCs/>
          <w:color w:val="auto"/>
          <w:spacing w:val="-2"/>
          <w:highlight w:val="none"/>
          <w:u w:val="single" w:color="auto"/>
          <w:lang w:eastAsia="zh-CN"/>
        </w:rPr>
        <w:t>伊犁哈萨克自治州纤维检验所</w:t>
      </w:r>
      <w:r>
        <w:rPr>
          <w:b/>
          <w:bCs/>
          <w:color w:val="auto"/>
          <w:spacing w:val="-2"/>
          <w:highlight w:val="none"/>
        </w:rPr>
        <w:t>（盖章）</w:t>
      </w:r>
    </w:p>
    <w:p w14:paraId="292EBC3D">
      <w:pPr>
        <w:pStyle w:val="4"/>
        <w:spacing w:before="202" w:line="188" w:lineRule="auto"/>
        <w:ind w:left="287"/>
        <w:rPr>
          <w:color w:val="auto"/>
          <w:highlight w:val="none"/>
        </w:rPr>
      </w:pPr>
      <w:r>
        <w:rPr>
          <w:b/>
          <w:bCs/>
          <w:color w:val="auto"/>
          <w:spacing w:val="-11"/>
          <w:highlight w:val="none"/>
        </w:rPr>
        <w:t>项目联系人:</w:t>
      </w:r>
      <w:r>
        <w:rPr>
          <w:b/>
          <w:bCs/>
          <w:color w:val="auto"/>
          <w:spacing w:val="-39"/>
          <w:highlight w:val="none"/>
          <w:u w:val="single" w:color="auto"/>
        </w:rPr>
        <w:t xml:space="preserve"> </w:t>
      </w:r>
      <w:r>
        <w:rPr>
          <w:b/>
          <w:bCs/>
          <w:color w:val="auto"/>
          <w:spacing w:val="-11"/>
          <w:highlight w:val="none"/>
          <w:u w:val="single" w:color="auto"/>
        </w:rPr>
        <w:t>曲志勇</w:t>
      </w:r>
      <w:r>
        <w:rPr>
          <w:b/>
          <w:bCs/>
          <w:color w:val="auto"/>
          <w:spacing w:val="65"/>
          <w:highlight w:val="none"/>
          <w:u w:val="single" w:color="auto"/>
        </w:rPr>
        <w:t xml:space="preserve"> </w:t>
      </w:r>
      <w:r>
        <w:rPr>
          <w:b/>
          <w:bCs/>
          <w:color w:val="auto"/>
          <w:spacing w:val="-11"/>
          <w:highlight w:val="none"/>
        </w:rPr>
        <w:t xml:space="preserve">                </w:t>
      </w:r>
      <w:r>
        <w:rPr>
          <w:b/>
          <w:bCs/>
          <w:color w:val="auto"/>
          <w:spacing w:val="-12"/>
          <w:highlight w:val="none"/>
        </w:rPr>
        <w:t>联系电话：</w:t>
      </w:r>
      <w:r>
        <w:rPr>
          <w:b/>
          <w:bCs/>
          <w:color w:val="auto"/>
          <w:spacing w:val="-12"/>
          <w:highlight w:val="none"/>
          <w:u w:val="single" w:color="auto"/>
        </w:rPr>
        <w:t>18009991686</w:t>
      </w:r>
    </w:p>
    <w:p w14:paraId="70926A7E">
      <w:pPr>
        <w:pStyle w:val="4"/>
        <w:spacing w:before="192" w:line="184" w:lineRule="auto"/>
        <w:ind w:left="285"/>
        <w:rPr>
          <w:color w:val="auto"/>
          <w:highlight w:val="none"/>
        </w:rPr>
      </w:pPr>
      <w:r>
        <w:rPr>
          <w:b/>
          <w:bCs/>
          <w:color w:val="auto"/>
          <w:spacing w:val="-2"/>
          <w:highlight w:val="none"/>
        </w:rPr>
        <w:t>招标代理机构：</w:t>
      </w:r>
      <w:r>
        <w:rPr>
          <w:rFonts w:hint="eastAsia"/>
          <w:b/>
          <w:bCs/>
          <w:color w:val="auto"/>
          <w:spacing w:val="-2"/>
          <w:highlight w:val="none"/>
          <w:u w:val="single" w:color="auto"/>
          <w:lang w:eastAsia="zh-CN"/>
        </w:rPr>
        <w:t>新疆惠合正德工程管理有限公司</w:t>
      </w:r>
      <w:r>
        <w:rPr>
          <w:b/>
          <w:bCs/>
          <w:color w:val="auto"/>
          <w:spacing w:val="-2"/>
          <w:highlight w:val="none"/>
        </w:rPr>
        <w:t>（盖章）</w:t>
      </w:r>
    </w:p>
    <w:p w14:paraId="623E87E6">
      <w:pPr>
        <w:pStyle w:val="4"/>
        <w:spacing w:before="202" w:line="188" w:lineRule="auto"/>
        <w:ind w:left="287"/>
        <w:rPr>
          <w:rFonts w:hint="eastAsia" w:eastAsia="微软雅黑"/>
          <w:color w:val="auto"/>
          <w:highlight w:val="none"/>
          <w:lang w:eastAsia="zh-CN"/>
        </w:rPr>
      </w:pPr>
      <w:r>
        <w:rPr>
          <w:b/>
          <w:bCs/>
          <w:color w:val="auto"/>
          <w:spacing w:val="-12"/>
          <w:highlight w:val="none"/>
        </w:rPr>
        <w:t>项目联系人：</w:t>
      </w:r>
      <w:r>
        <w:rPr>
          <w:rFonts w:hint="eastAsia"/>
          <w:b/>
          <w:bCs/>
          <w:color w:val="auto"/>
          <w:spacing w:val="-12"/>
          <w:highlight w:val="none"/>
          <w:u w:val="single" w:color="auto"/>
          <w:lang w:eastAsia="zh-CN"/>
        </w:rPr>
        <w:t>王雪梅</w:t>
      </w:r>
      <w:r>
        <w:rPr>
          <w:b/>
          <w:bCs/>
          <w:color w:val="auto"/>
          <w:spacing w:val="-12"/>
          <w:highlight w:val="none"/>
        </w:rPr>
        <w:t xml:space="preserve">                联系电话：</w:t>
      </w:r>
      <w:r>
        <w:rPr>
          <w:rFonts w:hint="eastAsia"/>
          <w:b/>
          <w:bCs/>
          <w:color w:val="auto"/>
          <w:spacing w:val="-12"/>
          <w:highlight w:val="none"/>
          <w:u w:val="single" w:color="auto"/>
          <w:lang w:eastAsia="zh-CN"/>
        </w:rPr>
        <w:t>15292770229</w:t>
      </w:r>
    </w:p>
    <w:p w14:paraId="488263A5">
      <w:pPr>
        <w:spacing w:line="337" w:lineRule="auto"/>
        <w:rPr>
          <w:rFonts w:ascii="Arial"/>
          <w:color w:val="auto"/>
          <w:sz w:val="21"/>
          <w:highlight w:val="none"/>
        </w:rPr>
      </w:pPr>
    </w:p>
    <w:p w14:paraId="29F0803F">
      <w:pPr>
        <w:spacing w:line="337" w:lineRule="auto"/>
        <w:rPr>
          <w:rFonts w:ascii="Arial"/>
          <w:color w:val="auto"/>
          <w:sz w:val="21"/>
          <w:highlight w:val="none"/>
        </w:rPr>
      </w:pPr>
    </w:p>
    <w:p w14:paraId="57A49075">
      <w:pPr>
        <w:pStyle w:val="4"/>
        <w:spacing w:before="138" w:line="188" w:lineRule="auto"/>
        <w:ind w:left="4032"/>
        <w:rPr>
          <w:color w:val="auto"/>
          <w:highlight w:val="none"/>
        </w:rPr>
      </w:pPr>
      <w:r>
        <w:rPr>
          <w:rFonts w:hint="eastAsia"/>
          <w:b/>
          <w:bCs/>
          <w:color w:val="auto"/>
          <w:spacing w:val="-25"/>
          <w:highlight w:val="none"/>
          <w:lang w:eastAsia="zh-CN"/>
        </w:rPr>
        <w:t>2025年</w:t>
      </w:r>
      <w:r>
        <w:rPr>
          <w:rFonts w:hint="eastAsia"/>
          <w:b/>
          <w:bCs/>
          <w:color w:val="auto"/>
          <w:spacing w:val="-25"/>
          <w:highlight w:val="none"/>
          <w:lang w:val="en-US" w:eastAsia="zh-CN"/>
        </w:rPr>
        <w:t>6</w:t>
      </w:r>
      <w:r>
        <w:rPr>
          <w:b/>
          <w:bCs/>
          <w:color w:val="auto"/>
          <w:spacing w:val="-25"/>
          <w:highlight w:val="none"/>
        </w:rPr>
        <w:t>月</w:t>
      </w:r>
    </w:p>
    <w:p w14:paraId="53AF4DAD">
      <w:pPr>
        <w:spacing w:line="188" w:lineRule="auto"/>
        <w:rPr>
          <w:color w:val="auto"/>
          <w:highlight w:val="none"/>
        </w:rPr>
        <w:sectPr>
          <w:headerReference r:id="rId5" w:type="default"/>
          <w:pgSz w:w="11906" w:h="16839"/>
          <w:pgMar w:top="1440" w:right="1800" w:bottom="1440" w:left="1800" w:header="0" w:footer="0" w:gutter="0"/>
          <w:pgNumType w:fmt="decimal"/>
          <w:cols w:space="720" w:num="1"/>
        </w:sectPr>
      </w:pPr>
    </w:p>
    <w:p w14:paraId="213DF329">
      <w:pPr>
        <w:spacing w:line="252" w:lineRule="auto"/>
        <w:rPr>
          <w:rFonts w:ascii="Arial"/>
          <w:color w:val="auto"/>
          <w:sz w:val="21"/>
          <w:highlight w:val="none"/>
        </w:rPr>
      </w:pPr>
    </w:p>
    <w:p w14:paraId="67D2F3BE">
      <w:pPr>
        <w:spacing w:line="252" w:lineRule="auto"/>
        <w:rPr>
          <w:rFonts w:ascii="Arial"/>
          <w:color w:val="auto"/>
          <w:sz w:val="21"/>
          <w:highlight w:val="none"/>
        </w:rPr>
      </w:pPr>
    </w:p>
    <w:p w14:paraId="58402A90">
      <w:pPr>
        <w:spacing w:line="252" w:lineRule="auto"/>
        <w:rPr>
          <w:rFonts w:ascii="Arial"/>
          <w:color w:val="auto"/>
          <w:sz w:val="21"/>
          <w:highlight w:val="none"/>
        </w:rPr>
      </w:pPr>
    </w:p>
    <w:p w14:paraId="036601DB">
      <w:pPr>
        <w:spacing w:line="252" w:lineRule="auto"/>
        <w:rPr>
          <w:rFonts w:ascii="Arial"/>
          <w:color w:val="auto"/>
          <w:sz w:val="21"/>
          <w:highlight w:val="none"/>
        </w:rPr>
      </w:pPr>
    </w:p>
    <w:p w14:paraId="4D1BD69B">
      <w:pPr>
        <w:spacing w:line="252" w:lineRule="auto"/>
        <w:rPr>
          <w:rFonts w:ascii="Arial"/>
          <w:color w:val="auto"/>
          <w:sz w:val="21"/>
          <w:highlight w:val="none"/>
        </w:rPr>
      </w:pPr>
    </w:p>
    <w:p w14:paraId="2273C06F">
      <w:pPr>
        <w:spacing w:line="253" w:lineRule="auto"/>
        <w:rPr>
          <w:rFonts w:ascii="Arial"/>
          <w:color w:val="auto"/>
          <w:sz w:val="21"/>
          <w:highlight w:val="none"/>
        </w:rPr>
      </w:pPr>
    </w:p>
    <w:p w14:paraId="2EF14150">
      <w:pPr>
        <w:spacing w:line="253" w:lineRule="auto"/>
        <w:rPr>
          <w:rFonts w:ascii="Arial"/>
          <w:color w:val="auto"/>
          <w:sz w:val="21"/>
          <w:highlight w:val="none"/>
        </w:rPr>
      </w:pPr>
    </w:p>
    <w:sdt>
      <w:sdtPr>
        <w:rPr>
          <w:rFonts w:hint="eastAsia" w:ascii="宋体" w:hAnsi="宋体" w:eastAsia="宋体" w:cs="宋体"/>
          <w:snapToGrid w:val="0"/>
          <w:color w:val="auto"/>
          <w:kern w:val="0"/>
          <w:sz w:val="24"/>
          <w:szCs w:val="24"/>
          <w:lang w:val="en-US" w:eastAsia="en-US" w:bidi="ar-SA"/>
        </w:rPr>
        <w:id w:val="147468725"/>
        <w15:color w:val="DBDBDB"/>
        <w:docPartObj>
          <w:docPartGallery w:val="Table of Contents"/>
          <w:docPartUnique/>
        </w:docPartObj>
      </w:sdtPr>
      <w:sdtEndPr>
        <w:rPr>
          <w:rFonts w:hint="eastAsia" w:ascii="宋体" w:hAnsi="宋体" w:eastAsia="宋体" w:cs="宋体"/>
          <w:snapToGrid w:val="0"/>
          <w:color w:val="auto"/>
          <w:kern w:val="0"/>
          <w:sz w:val="24"/>
          <w:szCs w:val="24"/>
          <w:highlight w:val="none"/>
          <w:lang w:val="en-US" w:eastAsia="en-US" w:bidi="ar-SA"/>
        </w:rPr>
      </w:sdtEndPr>
      <w:sdtContent>
        <w:p w14:paraId="2869E5A7">
          <w:pPr>
            <w:keepNext w:val="0"/>
            <w:keepLines w:val="0"/>
            <w:pageBreakBefore w:val="0"/>
            <w:widowControl/>
            <w:kinsoku w:val="0"/>
            <w:wordWrap/>
            <w:overflowPunct/>
            <w:topLinePunct w:val="0"/>
            <w:autoSpaceDE w:val="0"/>
            <w:autoSpaceDN w:val="0"/>
            <w:bidi w:val="0"/>
            <w:adjustRightInd w:val="0"/>
            <w:snapToGrid w:val="0"/>
            <w:spacing w:before="0" w:after="0" w:line="480" w:lineRule="auto"/>
            <w:ind w:left="0" w:leftChars="0" w:right="0" w:rightChars="0" w:firstLine="0" w:firstLineChars="0"/>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目录</w:t>
          </w:r>
        </w:p>
        <w:p w14:paraId="3F1A14C5">
          <w:pPr>
            <w:pStyle w:val="10"/>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480" w:lineRule="auto"/>
            <w:ind w:left="0" w:leftChars="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"1-3"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_Toc10414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7"/>
              <w:sz w:val="28"/>
              <w:szCs w:val="28"/>
              <w:highlight w:val="none"/>
            </w:rPr>
            <w:t>第一章</w:t>
          </w:r>
          <w:r>
            <w:rPr>
              <w:rFonts w:hint="eastAsia" w:ascii="宋体" w:hAnsi="宋体" w:eastAsia="宋体" w:cs="宋体"/>
              <w:bCs/>
              <w:color w:val="auto"/>
              <w:spacing w:val="80"/>
              <w:sz w:val="28"/>
              <w:szCs w:val="28"/>
              <w:highlight w:val="none"/>
            </w:rPr>
            <w:t xml:space="preserve"> </w:t>
          </w:r>
          <w:r>
            <w:rPr>
              <w:rFonts w:hint="eastAsia" w:ascii="宋体" w:hAnsi="宋体" w:eastAsia="宋体" w:cs="宋体"/>
              <w:bCs/>
              <w:color w:val="auto"/>
              <w:spacing w:val="-7"/>
              <w:sz w:val="28"/>
              <w:szCs w:val="28"/>
              <w:highlight w:val="none"/>
            </w:rPr>
            <w:t>招标公告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_Toc10414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2D28F378">
          <w:pPr>
            <w:pStyle w:val="10"/>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480" w:lineRule="auto"/>
            <w:ind w:left="0" w:leftChars="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_Toc12597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6"/>
              <w:sz w:val="28"/>
              <w:szCs w:val="28"/>
              <w:highlight w:val="none"/>
            </w:rPr>
            <w:t>第二章</w:t>
          </w:r>
          <w:r>
            <w:rPr>
              <w:rFonts w:hint="eastAsia" w:ascii="宋体" w:hAnsi="宋体" w:eastAsia="宋体" w:cs="宋体"/>
              <w:bCs/>
              <w:color w:val="auto"/>
              <w:spacing w:val="16"/>
              <w:sz w:val="28"/>
              <w:szCs w:val="28"/>
              <w:highlight w:val="none"/>
            </w:rPr>
            <w:t xml:space="preserve">   </w:t>
          </w:r>
          <w:r>
            <w:rPr>
              <w:rFonts w:hint="eastAsia" w:ascii="宋体" w:hAnsi="宋体" w:eastAsia="宋体" w:cs="宋体"/>
              <w:bCs/>
              <w:color w:val="auto"/>
              <w:spacing w:val="-6"/>
              <w:sz w:val="28"/>
              <w:szCs w:val="28"/>
              <w:highlight w:val="none"/>
            </w:rPr>
            <w:t>投标人须知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_Toc12597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172B67EF">
          <w:pPr>
            <w:pStyle w:val="10"/>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480" w:lineRule="auto"/>
            <w:ind w:left="0" w:leftChars="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_Toc29616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7"/>
              <w:sz w:val="28"/>
              <w:szCs w:val="28"/>
              <w:highlight w:val="none"/>
            </w:rPr>
            <w:t>第三章</w:t>
          </w:r>
          <w:r>
            <w:rPr>
              <w:rFonts w:hint="eastAsia" w:ascii="宋体" w:hAnsi="宋体" w:eastAsia="宋体" w:cs="宋体"/>
              <w:bCs/>
              <w:color w:val="auto"/>
              <w:spacing w:val="17"/>
              <w:sz w:val="28"/>
              <w:szCs w:val="28"/>
              <w:highlight w:val="none"/>
            </w:rPr>
            <w:t xml:space="preserve">   </w:t>
          </w:r>
          <w:r>
            <w:rPr>
              <w:rFonts w:hint="eastAsia" w:ascii="宋体" w:hAnsi="宋体" w:eastAsia="宋体" w:cs="宋体"/>
              <w:bCs/>
              <w:color w:val="auto"/>
              <w:spacing w:val="-7"/>
              <w:sz w:val="28"/>
              <w:szCs w:val="28"/>
              <w:highlight w:val="none"/>
            </w:rPr>
            <w:t>评标办法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_Toc29616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54AB4182">
          <w:pPr>
            <w:pStyle w:val="10"/>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480" w:lineRule="auto"/>
            <w:ind w:left="0" w:leftChars="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_Toc4883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5"/>
              <w:sz w:val="28"/>
              <w:szCs w:val="28"/>
              <w:highlight w:val="none"/>
            </w:rPr>
            <w:t>第四章</w:t>
          </w:r>
          <w:r>
            <w:rPr>
              <w:rFonts w:hint="eastAsia" w:ascii="宋体" w:hAnsi="宋体" w:eastAsia="宋体" w:cs="宋体"/>
              <w:bCs/>
              <w:color w:val="auto"/>
              <w:spacing w:val="20"/>
              <w:sz w:val="28"/>
              <w:szCs w:val="28"/>
              <w:highlight w:val="none"/>
            </w:rPr>
            <w:t xml:space="preserve">   </w:t>
          </w:r>
          <w:r>
            <w:rPr>
              <w:rFonts w:hint="eastAsia" w:ascii="宋体" w:hAnsi="宋体" w:eastAsia="宋体" w:cs="宋体"/>
              <w:bCs/>
              <w:color w:val="auto"/>
              <w:spacing w:val="-5"/>
              <w:sz w:val="28"/>
              <w:szCs w:val="28"/>
              <w:highlight w:val="none"/>
            </w:rPr>
            <w:t>采购清单及技术参数</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_Toc4883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338BD099">
          <w:pPr>
            <w:pStyle w:val="10"/>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480" w:lineRule="auto"/>
            <w:ind w:left="0" w:leftChars="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_Toc4241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8"/>
              <w:sz w:val="28"/>
              <w:szCs w:val="28"/>
              <w:highlight w:val="none"/>
            </w:rPr>
            <w:t>第五章</w:t>
          </w:r>
          <w:r>
            <w:rPr>
              <w:rFonts w:hint="eastAsia" w:ascii="宋体" w:hAnsi="宋体" w:eastAsia="宋体" w:cs="宋体"/>
              <w:bCs/>
              <w:color w:val="auto"/>
              <w:spacing w:val="20"/>
              <w:sz w:val="28"/>
              <w:szCs w:val="28"/>
              <w:highlight w:val="none"/>
            </w:rPr>
            <w:t xml:space="preserve">   </w:t>
          </w:r>
          <w:r>
            <w:rPr>
              <w:rFonts w:hint="eastAsia" w:ascii="宋体" w:hAnsi="宋体" w:eastAsia="宋体" w:cs="宋体"/>
              <w:bCs/>
              <w:color w:val="auto"/>
              <w:spacing w:val="-8"/>
              <w:sz w:val="28"/>
              <w:szCs w:val="28"/>
              <w:highlight w:val="none"/>
            </w:rPr>
            <w:t>合同格式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_Toc4241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72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6954C7FF">
          <w:pPr>
            <w:pStyle w:val="10"/>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480" w:lineRule="auto"/>
            <w:ind w:left="0" w:leftChars="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_Toc12478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6"/>
              <w:sz w:val="28"/>
              <w:szCs w:val="28"/>
              <w:highlight w:val="none"/>
            </w:rPr>
            <w:t>第六章</w:t>
          </w:r>
          <w:r>
            <w:rPr>
              <w:rFonts w:hint="eastAsia" w:ascii="宋体" w:hAnsi="宋体" w:eastAsia="宋体" w:cs="宋体"/>
              <w:bCs/>
              <w:color w:val="auto"/>
              <w:spacing w:val="18"/>
              <w:sz w:val="28"/>
              <w:szCs w:val="28"/>
              <w:highlight w:val="none"/>
            </w:rPr>
            <w:t xml:space="preserve">   </w:t>
          </w:r>
          <w:r>
            <w:rPr>
              <w:rFonts w:hint="eastAsia" w:ascii="宋体" w:hAnsi="宋体" w:eastAsia="宋体" w:cs="宋体"/>
              <w:bCs/>
              <w:color w:val="auto"/>
              <w:spacing w:val="-6"/>
              <w:sz w:val="28"/>
              <w:szCs w:val="28"/>
              <w:highlight w:val="none"/>
            </w:rPr>
            <w:t>投标文件格式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_Toc12478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84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501D03A2">
          <w:pPr>
            <w:keepNext w:val="0"/>
            <w:keepLines w:val="0"/>
            <w:pageBreakBefore w:val="0"/>
            <w:widowControl/>
            <w:kinsoku w:val="0"/>
            <w:wordWrap/>
            <w:overflowPunct/>
            <w:topLinePunct w:val="0"/>
            <w:autoSpaceDE w:val="0"/>
            <w:autoSpaceDN w:val="0"/>
            <w:bidi w:val="0"/>
            <w:adjustRightInd w:val="0"/>
            <w:snapToGrid w:val="0"/>
            <w:spacing w:line="480" w:lineRule="auto"/>
            <w:ind w:left="0" w:leftChars="0"/>
            <w:textAlignment w:val="baseline"/>
            <w:rPr>
              <w:rFonts w:ascii="新宋体" w:hAnsi="新宋体" w:eastAsia="新宋体" w:cs="新宋体"/>
              <w:snapToGrid w:val="0"/>
              <w:color w:val="auto"/>
              <w:kern w:val="0"/>
              <w:sz w:val="21"/>
              <w:szCs w:val="24"/>
              <w:highlight w:val="none"/>
              <w:lang w:val="en-US" w:eastAsia="en-US" w:bidi="ar-SA"/>
            </w:rPr>
          </w:pPr>
          <w:r>
            <w:rPr>
              <w:rFonts w:hint="eastAsia" w:ascii="宋体" w:hAnsi="宋体" w:eastAsia="宋体" w:cs="宋体"/>
              <w:color w:val="auto"/>
              <w:sz w:val="28"/>
              <w:szCs w:val="28"/>
              <w:highlight w:val="none"/>
            </w:rPr>
            <w:fldChar w:fldCharType="end"/>
          </w:r>
        </w:p>
      </w:sdtContent>
    </w:sdt>
    <w:p w14:paraId="02272CCB">
      <w:pPr>
        <w:spacing w:line="223" w:lineRule="auto"/>
        <w:rPr>
          <w:rFonts w:ascii="新宋体" w:hAnsi="新宋体" w:eastAsia="新宋体" w:cs="新宋体"/>
          <w:snapToGrid w:val="0"/>
          <w:color w:val="auto"/>
          <w:kern w:val="0"/>
          <w:sz w:val="21"/>
          <w:szCs w:val="24"/>
          <w:highlight w:val="none"/>
          <w:lang w:val="en-US" w:eastAsia="en-US" w:bidi="ar-SA"/>
        </w:rPr>
        <w:sectPr>
          <w:headerReference r:id="rId6" w:type="default"/>
          <w:pgSz w:w="11906" w:h="16839"/>
          <w:pgMar w:top="1440" w:right="1800" w:bottom="1440" w:left="1800" w:header="0" w:footer="0" w:gutter="0"/>
          <w:pgNumType w:fmt="decimal"/>
          <w:cols w:space="720" w:num="1"/>
        </w:sectPr>
      </w:pPr>
    </w:p>
    <w:p w14:paraId="33C312BE">
      <w:pPr>
        <w:spacing w:line="318" w:lineRule="auto"/>
        <w:rPr>
          <w:rFonts w:ascii="Arial"/>
          <w:color w:val="auto"/>
          <w:sz w:val="21"/>
          <w:highlight w:val="none"/>
        </w:rPr>
      </w:pPr>
    </w:p>
    <w:p w14:paraId="5908A4A9">
      <w:pPr>
        <w:pStyle w:val="4"/>
        <w:spacing w:line="240" w:lineRule="auto"/>
        <w:ind w:left="0"/>
        <w:jc w:val="center"/>
        <w:outlineLvl w:val="0"/>
        <w:rPr>
          <w:color w:val="auto"/>
          <w:sz w:val="30"/>
          <w:szCs w:val="30"/>
          <w:highlight w:val="none"/>
        </w:rPr>
      </w:pPr>
      <w:bookmarkStart w:id="2" w:name="bookmark2"/>
      <w:bookmarkEnd w:id="2"/>
      <w:bookmarkStart w:id="3" w:name="_Toc10414"/>
      <w:r>
        <w:rPr>
          <w:b/>
          <w:bCs/>
          <w:color w:val="auto"/>
          <w:spacing w:val="-7"/>
          <w:sz w:val="30"/>
          <w:szCs w:val="30"/>
          <w:highlight w:val="none"/>
        </w:rPr>
        <w:t>第一章</w:t>
      </w:r>
      <w:r>
        <w:rPr>
          <w:b/>
          <w:bCs/>
          <w:color w:val="auto"/>
          <w:spacing w:val="80"/>
          <w:sz w:val="30"/>
          <w:szCs w:val="30"/>
          <w:highlight w:val="none"/>
        </w:rPr>
        <w:t xml:space="preserve"> </w:t>
      </w:r>
      <w:r>
        <w:rPr>
          <w:b/>
          <w:bCs/>
          <w:color w:val="auto"/>
          <w:spacing w:val="-7"/>
          <w:sz w:val="30"/>
          <w:szCs w:val="30"/>
          <w:highlight w:val="none"/>
        </w:rPr>
        <w:t>招标公告</w:t>
      </w:r>
      <w:bookmarkEnd w:id="3"/>
    </w:p>
    <w:p w14:paraId="70D93950">
      <w:pPr>
        <w:pStyle w:val="4"/>
        <w:spacing w:line="240" w:lineRule="auto"/>
        <w:ind w:left="0"/>
        <w:jc w:val="center"/>
        <w:rPr>
          <w:color w:val="auto"/>
          <w:sz w:val="30"/>
          <w:szCs w:val="30"/>
          <w:highlight w:val="none"/>
        </w:rPr>
      </w:pPr>
      <w:r>
        <w:rPr>
          <w:rFonts w:hint="eastAsia"/>
          <w:b/>
          <w:bCs/>
          <w:color w:val="auto"/>
          <w:spacing w:val="-1"/>
          <w:sz w:val="30"/>
          <w:szCs w:val="30"/>
          <w:highlight w:val="none"/>
          <w:lang w:eastAsia="zh-CN"/>
        </w:rPr>
        <w:t>伊犁哈萨克自治州纤维检验所2025年棉花公证检验及纺织品检验仪器设备购置项目（</w:t>
      </w:r>
      <w:r>
        <w:rPr>
          <w:rFonts w:hint="eastAsia"/>
          <w:b/>
          <w:bCs/>
          <w:color w:val="auto"/>
          <w:spacing w:val="-1"/>
          <w:sz w:val="30"/>
          <w:szCs w:val="30"/>
          <w:highlight w:val="none"/>
          <w:lang w:val="en-US" w:eastAsia="zh-CN"/>
        </w:rPr>
        <w:t>二次</w:t>
      </w:r>
      <w:r>
        <w:rPr>
          <w:rFonts w:hint="eastAsia"/>
          <w:b/>
          <w:bCs/>
          <w:color w:val="auto"/>
          <w:spacing w:val="-1"/>
          <w:sz w:val="30"/>
          <w:szCs w:val="30"/>
          <w:highlight w:val="none"/>
          <w:lang w:eastAsia="zh-CN"/>
        </w:rPr>
        <w:t>）</w:t>
      </w:r>
      <w:r>
        <w:rPr>
          <w:b/>
          <w:bCs/>
          <w:color w:val="auto"/>
          <w:spacing w:val="-1"/>
          <w:sz w:val="30"/>
          <w:szCs w:val="30"/>
          <w:highlight w:val="none"/>
        </w:rPr>
        <w:t>招标公告</w:t>
      </w:r>
    </w:p>
    <w:p w14:paraId="29FC3B70">
      <w:pPr>
        <w:spacing w:line="135" w:lineRule="exact"/>
        <w:rPr>
          <w:color w:val="auto"/>
          <w:highlight w:val="none"/>
        </w:rPr>
      </w:pPr>
    </w:p>
    <w:tbl>
      <w:tblPr>
        <w:tblStyle w:val="16"/>
        <w:tblW w:w="9184"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184"/>
      </w:tblGrid>
      <w:tr w14:paraId="4B6A008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40" w:hRule="atLeast"/>
          <w:jc w:val="center"/>
        </w:trPr>
        <w:tc>
          <w:tcPr>
            <w:tcW w:w="9184" w:type="dxa"/>
            <w:vAlign w:val="top"/>
          </w:tcPr>
          <w:p w14:paraId="43DC4479">
            <w:pPr>
              <w:pStyle w:val="17"/>
              <w:spacing w:before="57" w:line="224" w:lineRule="auto"/>
              <w:ind w:left="605"/>
              <w:rPr>
                <w:color w:val="auto"/>
                <w:highlight w:val="none"/>
                <w:u w:val="none" w:color="auto"/>
              </w:rPr>
            </w:pPr>
            <w:r>
              <w:rPr>
                <w:color w:val="auto"/>
                <w:spacing w:val="-4"/>
                <w:highlight w:val="none"/>
                <w:u w:val="none" w:color="auto"/>
              </w:rPr>
              <w:t>项目概况</w:t>
            </w:r>
          </w:p>
          <w:p w14:paraId="646E28B4">
            <w:pPr>
              <w:pStyle w:val="17"/>
              <w:spacing w:before="175" w:line="345" w:lineRule="auto"/>
              <w:ind w:left="147" w:right="108" w:firstLine="460"/>
              <w:rPr>
                <w:color w:val="auto"/>
                <w:highlight w:val="none"/>
              </w:rPr>
            </w:pPr>
            <w:r>
              <w:rPr>
                <w:rFonts w:hint="eastAsia"/>
                <w:color w:val="auto"/>
                <w:spacing w:val="3"/>
                <w:highlight w:val="none"/>
                <w:u w:val="none" w:color="auto"/>
                <w:lang w:eastAsia="zh-CN"/>
              </w:rPr>
              <w:t>伊犁哈萨克自治州纤维检验所2025年棉花公证检验及纺织品检验仪器设备购置项目（</w:t>
            </w:r>
            <w:r>
              <w:rPr>
                <w:rFonts w:hint="eastAsia"/>
                <w:color w:val="auto"/>
                <w:spacing w:val="3"/>
                <w:highlight w:val="none"/>
                <w:u w:val="none" w:color="auto"/>
                <w:lang w:val="en-US" w:eastAsia="zh-CN"/>
              </w:rPr>
              <w:t>二次</w:t>
            </w:r>
            <w:r>
              <w:rPr>
                <w:rFonts w:hint="eastAsia"/>
                <w:color w:val="auto"/>
                <w:spacing w:val="3"/>
                <w:highlight w:val="none"/>
                <w:u w:val="none" w:color="auto"/>
                <w:lang w:eastAsia="zh-CN"/>
              </w:rPr>
              <w:t>）</w:t>
            </w:r>
            <w:r>
              <w:rPr>
                <w:color w:val="auto"/>
                <w:spacing w:val="3"/>
                <w:highlight w:val="none"/>
                <w:u w:val="none" w:color="auto"/>
              </w:rPr>
              <w:t>的潜在供应商应在政采云平</w:t>
            </w:r>
            <w:r>
              <w:rPr>
                <w:color w:val="auto"/>
                <w:spacing w:val="-7"/>
                <w:highlight w:val="none"/>
                <w:u w:val="none" w:color="auto"/>
              </w:rPr>
              <w:t>台线上获取采购文件，并于</w:t>
            </w:r>
            <w:r>
              <w:rPr>
                <w:color w:val="auto"/>
                <w:spacing w:val="-49"/>
                <w:highlight w:val="none"/>
                <w:u w:val="none" w:color="auto"/>
              </w:rPr>
              <w:t xml:space="preserve"> </w:t>
            </w:r>
            <w:r>
              <w:rPr>
                <w:color w:val="auto"/>
                <w:spacing w:val="-7"/>
                <w:highlight w:val="none"/>
                <w:u w:val="none" w:color="auto"/>
              </w:rPr>
              <w:t>202</w:t>
            </w:r>
            <w:r>
              <w:rPr>
                <w:rFonts w:hint="eastAsia"/>
                <w:color w:val="auto"/>
                <w:spacing w:val="-7"/>
                <w:highlight w:val="none"/>
                <w:u w:val="none" w:color="auto"/>
                <w:lang w:val="en-US" w:eastAsia="zh-CN"/>
              </w:rPr>
              <w:t>5</w:t>
            </w:r>
            <w:r>
              <w:rPr>
                <w:color w:val="auto"/>
                <w:spacing w:val="-7"/>
                <w:highlight w:val="none"/>
                <w:u w:val="none" w:color="auto"/>
              </w:rPr>
              <w:t>年</w:t>
            </w:r>
            <w:r>
              <w:rPr>
                <w:rFonts w:hint="eastAsia"/>
                <w:color w:val="auto"/>
                <w:spacing w:val="-34"/>
                <w:highlight w:val="none"/>
                <w:u w:val="none" w:color="auto"/>
                <w:lang w:val="en-US" w:eastAsia="zh-CN"/>
              </w:rPr>
              <w:t xml:space="preserve">7 </w:t>
            </w:r>
            <w:r>
              <w:rPr>
                <w:color w:val="auto"/>
                <w:spacing w:val="-7"/>
                <w:highlight w:val="none"/>
                <w:u w:val="none" w:color="auto"/>
              </w:rPr>
              <w:t>月</w:t>
            </w:r>
            <w:r>
              <w:rPr>
                <w:rFonts w:hint="eastAsia"/>
                <w:color w:val="auto"/>
                <w:spacing w:val="-34"/>
                <w:highlight w:val="none"/>
                <w:u w:val="none" w:color="auto"/>
                <w:lang w:val="en-US" w:eastAsia="zh-CN"/>
              </w:rPr>
              <w:t xml:space="preserve">16 </w:t>
            </w:r>
            <w:r>
              <w:rPr>
                <w:color w:val="auto"/>
                <w:spacing w:val="-7"/>
                <w:highlight w:val="none"/>
                <w:u w:val="none" w:color="auto"/>
              </w:rPr>
              <w:t>日</w:t>
            </w:r>
            <w:r>
              <w:rPr>
                <w:rFonts w:hint="eastAsia"/>
                <w:color w:val="auto"/>
                <w:spacing w:val="-7"/>
                <w:highlight w:val="none"/>
                <w:u w:val="none" w:color="auto"/>
                <w:lang w:val="en-US" w:eastAsia="zh-CN"/>
              </w:rPr>
              <w:t>10</w:t>
            </w:r>
            <w:r>
              <w:rPr>
                <w:color w:val="auto"/>
                <w:spacing w:val="-7"/>
                <w:highlight w:val="none"/>
                <w:u w:val="none" w:color="auto"/>
              </w:rPr>
              <w:t>点</w:t>
            </w:r>
            <w:r>
              <w:rPr>
                <w:rFonts w:hint="eastAsia"/>
                <w:color w:val="auto"/>
                <w:spacing w:val="-49"/>
                <w:highlight w:val="none"/>
                <w:u w:val="none" w:color="auto"/>
                <w:lang w:val="en-US" w:eastAsia="zh-CN"/>
              </w:rPr>
              <w:t xml:space="preserve">30 </w:t>
            </w:r>
            <w:r>
              <w:rPr>
                <w:color w:val="auto"/>
                <w:spacing w:val="-8"/>
                <w:highlight w:val="none"/>
                <w:u w:val="none" w:color="auto"/>
              </w:rPr>
              <w:t>分（北京时间）前提交投标文件。</w:t>
            </w:r>
          </w:p>
        </w:tc>
      </w:tr>
    </w:tbl>
    <w:p w14:paraId="5F88D79D">
      <w:pPr>
        <w:spacing w:line="399" w:lineRule="auto"/>
        <w:rPr>
          <w:rFonts w:ascii="Arial"/>
          <w:color w:val="auto"/>
          <w:sz w:val="21"/>
          <w:highlight w:val="none"/>
        </w:rPr>
      </w:pPr>
    </w:p>
    <w:p w14:paraId="6DAA3A2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z w:val="24"/>
          <w:szCs w:val="24"/>
          <w:highlight w:val="none"/>
        </w:rPr>
      </w:pPr>
      <w:r>
        <w:rPr>
          <w:b/>
          <w:bCs/>
          <w:color w:val="auto"/>
          <w:spacing w:val="-5"/>
          <w:sz w:val="24"/>
          <w:szCs w:val="24"/>
          <w:highlight w:val="none"/>
        </w:rPr>
        <w:t>一、项目基本情况</w:t>
      </w:r>
    </w:p>
    <w:p w14:paraId="4186BC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default" w:ascii="新宋体" w:hAnsi="新宋体" w:eastAsia="新宋体" w:cs="新宋体"/>
          <w:color w:val="auto"/>
          <w:sz w:val="24"/>
          <w:szCs w:val="24"/>
          <w:highlight w:val="none"/>
          <w:lang w:val="en-US"/>
        </w:rPr>
      </w:pPr>
      <w:r>
        <w:rPr>
          <w:rFonts w:ascii="新宋体" w:hAnsi="新宋体" w:eastAsia="新宋体" w:cs="新宋体"/>
          <w:color w:val="auto"/>
          <w:spacing w:val="-1"/>
          <w:sz w:val="24"/>
          <w:szCs w:val="24"/>
          <w:highlight w:val="none"/>
        </w:rPr>
        <w:t>项目编号：</w:t>
      </w:r>
      <w:r>
        <w:rPr>
          <w:rFonts w:hint="eastAsia" w:ascii="新宋体" w:hAnsi="新宋体" w:eastAsia="新宋体" w:cs="新宋体"/>
          <w:snapToGrid w:val="0"/>
          <w:color w:val="auto"/>
          <w:spacing w:val="-8"/>
          <w:kern w:val="0"/>
          <w:sz w:val="24"/>
          <w:szCs w:val="24"/>
          <w:highlight w:val="none"/>
          <w:lang w:val="en-US" w:eastAsia="zh-CN" w:bidi="ar-SA"/>
        </w:rPr>
        <w:t>XJHHZDYL2025-066</w:t>
      </w:r>
    </w:p>
    <w:p w14:paraId="4520BD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新宋体" w:hAnsi="新宋体" w:eastAsia="新宋体" w:cs="新宋体"/>
          <w:color w:val="auto"/>
          <w:spacing w:val="13"/>
          <w:sz w:val="24"/>
          <w:szCs w:val="24"/>
          <w:highlight w:val="none"/>
        </w:rPr>
      </w:pPr>
      <w:r>
        <w:rPr>
          <w:rFonts w:ascii="新宋体" w:hAnsi="新宋体" w:eastAsia="新宋体" w:cs="新宋体"/>
          <w:color w:val="auto"/>
          <w:spacing w:val="-1"/>
          <w:sz w:val="24"/>
          <w:szCs w:val="24"/>
          <w:highlight w:val="none"/>
        </w:rPr>
        <w:t>项目名称：</w:t>
      </w:r>
      <w:r>
        <w:rPr>
          <w:rFonts w:hint="eastAsia" w:ascii="新宋体" w:hAnsi="新宋体" w:eastAsia="新宋体" w:cs="新宋体"/>
          <w:color w:val="auto"/>
          <w:spacing w:val="-1"/>
          <w:sz w:val="24"/>
          <w:szCs w:val="24"/>
          <w:highlight w:val="none"/>
          <w:lang w:eastAsia="zh-CN"/>
        </w:rPr>
        <w:t>伊犁哈萨克自治州纤维检验所2025年棉花公证检验及纺织品检验仪器设备购置项目（</w:t>
      </w:r>
      <w:r>
        <w:rPr>
          <w:rFonts w:hint="eastAsia" w:ascii="新宋体" w:hAnsi="新宋体" w:eastAsia="新宋体" w:cs="新宋体"/>
          <w:color w:val="auto"/>
          <w:spacing w:val="-1"/>
          <w:sz w:val="24"/>
          <w:szCs w:val="24"/>
          <w:highlight w:val="none"/>
          <w:lang w:val="en-US" w:eastAsia="zh-CN"/>
        </w:rPr>
        <w:t>二次</w:t>
      </w:r>
      <w:r>
        <w:rPr>
          <w:rFonts w:hint="eastAsia" w:ascii="新宋体" w:hAnsi="新宋体" w:eastAsia="新宋体" w:cs="新宋体"/>
          <w:color w:val="auto"/>
          <w:spacing w:val="-1"/>
          <w:sz w:val="24"/>
          <w:szCs w:val="24"/>
          <w:highlight w:val="none"/>
          <w:lang w:eastAsia="zh-CN"/>
        </w:rPr>
        <w:t>）</w:t>
      </w:r>
      <w:r>
        <w:rPr>
          <w:rFonts w:ascii="新宋体" w:hAnsi="新宋体" w:eastAsia="新宋体" w:cs="新宋体"/>
          <w:color w:val="auto"/>
          <w:spacing w:val="13"/>
          <w:sz w:val="24"/>
          <w:szCs w:val="24"/>
          <w:highlight w:val="none"/>
        </w:rPr>
        <w:t xml:space="preserve"> </w:t>
      </w:r>
    </w:p>
    <w:p w14:paraId="4FF596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预算金额：</w:t>
      </w:r>
      <w:r>
        <w:rPr>
          <w:rFonts w:hint="eastAsia" w:ascii="新宋体" w:hAnsi="新宋体" w:eastAsia="新宋体" w:cs="新宋体"/>
          <w:color w:val="auto"/>
          <w:spacing w:val="-2"/>
          <w:sz w:val="24"/>
          <w:szCs w:val="24"/>
          <w:highlight w:val="none"/>
          <w:lang w:val="en-US" w:eastAsia="zh-CN"/>
        </w:rPr>
        <w:t>9590000.00</w:t>
      </w:r>
      <w:r>
        <w:rPr>
          <w:rFonts w:ascii="新宋体" w:hAnsi="新宋体" w:eastAsia="新宋体" w:cs="新宋体"/>
          <w:color w:val="auto"/>
          <w:spacing w:val="-30"/>
          <w:sz w:val="24"/>
          <w:szCs w:val="24"/>
          <w:highlight w:val="none"/>
        </w:rPr>
        <w:t xml:space="preserve"> </w:t>
      </w:r>
      <w:r>
        <w:rPr>
          <w:rFonts w:ascii="新宋体" w:hAnsi="新宋体" w:eastAsia="新宋体" w:cs="新宋体"/>
          <w:color w:val="auto"/>
          <w:spacing w:val="-2"/>
          <w:sz w:val="24"/>
          <w:szCs w:val="24"/>
          <w:highlight w:val="none"/>
        </w:rPr>
        <w:t>元</w:t>
      </w:r>
    </w:p>
    <w:p w14:paraId="0A6A2E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最高限价：</w:t>
      </w:r>
      <w:r>
        <w:rPr>
          <w:rFonts w:hint="eastAsia" w:ascii="新宋体" w:hAnsi="新宋体" w:eastAsia="新宋体" w:cs="新宋体"/>
          <w:color w:val="auto"/>
          <w:spacing w:val="-2"/>
          <w:sz w:val="24"/>
          <w:szCs w:val="24"/>
          <w:highlight w:val="none"/>
          <w:lang w:val="en-US" w:eastAsia="zh-CN"/>
        </w:rPr>
        <w:t>9590000.00</w:t>
      </w:r>
      <w:r>
        <w:rPr>
          <w:rFonts w:ascii="新宋体" w:hAnsi="新宋体" w:eastAsia="新宋体" w:cs="新宋体"/>
          <w:color w:val="auto"/>
          <w:spacing w:val="-30"/>
          <w:sz w:val="24"/>
          <w:szCs w:val="24"/>
          <w:highlight w:val="none"/>
        </w:rPr>
        <w:t xml:space="preserve"> </w:t>
      </w:r>
      <w:r>
        <w:rPr>
          <w:rFonts w:ascii="新宋体" w:hAnsi="新宋体" w:eastAsia="新宋体" w:cs="新宋体"/>
          <w:color w:val="auto"/>
          <w:spacing w:val="-2"/>
          <w:sz w:val="24"/>
          <w:szCs w:val="24"/>
          <w:highlight w:val="none"/>
        </w:rPr>
        <w:t>元</w:t>
      </w:r>
    </w:p>
    <w:p w14:paraId="60A9F7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采购需求：</w:t>
      </w:r>
      <w:r>
        <w:rPr>
          <w:rFonts w:hint="eastAsia" w:ascii="新宋体" w:hAnsi="新宋体" w:eastAsia="新宋体" w:cs="新宋体"/>
          <w:color w:val="auto"/>
          <w:spacing w:val="-2"/>
          <w:sz w:val="24"/>
          <w:szCs w:val="24"/>
          <w:highlight w:val="none"/>
        </w:rPr>
        <w:t>棉花和纺织品仪器设备38（台）套。</w:t>
      </w:r>
      <w:r>
        <w:rPr>
          <w:rFonts w:ascii="新宋体" w:hAnsi="新宋体" w:eastAsia="新宋体" w:cs="新宋体"/>
          <w:color w:val="auto"/>
          <w:spacing w:val="-2"/>
          <w:sz w:val="24"/>
          <w:szCs w:val="24"/>
          <w:highlight w:val="none"/>
        </w:rPr>
        <w:t>（详见招标文件</w:t>
      </w:r>
      <w:r>
        <w:rPr>
          <w:rFonts w:hint="eastAsia" w:ascii="新宋体" w:hAnsi="新宋体" w:eastAsia="新宋体" w:cs="新宋体"/>
          <w:color w:val="auto"/>
          <w:spacing w:val="-2"/>
          <w:sz w:val="24"/>
          <w:szCs w:val="24"/>
          <w:highlight w:val="none"/>
          <w:lang w:val="en-US" w:eastAsia="zh-CN"/>
        </w:rPr>
        <w:t>清单参数中内容</w:t>
      </w:r>
      <w:r>
        <w:rPr>
          <w:rFonts w:ascii="新宋体" w:hAnsi="新宋体" w:eastAsia="新宋体" w:cs="新宋体"/>
          <w:color w:val="auto"/>
          <w:spacing w:val="-2"/>
          <w:sz w:val="24"/>
          <w:szCs w:val="24"/>
          <w:highlight w:val="none"/>
        </w:rPr>
        <w:t>）。</w:t>
      </w:r>
    </w:p>
    <w:p w14:paraId="1587A9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合同履行期限：</w:t>
      </w:r>
      <w:r>
        <w:rPr>
          <w:rFonts w:hint="eastAsia" w:ascii="新宋体" w:hAnsi="新宋体" w:eastAsia="新宋体" w:cs="新宋体"/>
          <w:color w:val="auto"/>
          <w:spacing w:val="-3"/>
          <w:sz w:val="24"/>
          <w:szCs w:val="24"/>
          <w:highlight w:val="none"/>
        </w:rPr>
        <w:t>自合同签订之日起 60 日历天内完成供货、安装调试及人员培训可达到能够独立操作的水平，如遇不可抗拒因素导致延期另行约定</w:t>
      </w:r>
      <w:r>
        <w:rPr>
          <w:rFonts w:ascii="新宋体" w:hAnsi="新宋体" w:eastAsia="新宋体" w:cs="新宋体"/>
          <w:color w:val="auto"/>
          <w:spacing w:val="-57"/>
          <w:sz w:val="24"/>
          <w:szCs w:val="24"/>
          <w:highlight w:val="none"/>
        </w:rPr>
        <w:t xml:space="preserve"> </w:t>
      </w:r>
      <w:r>
        <w:rPr>
          <w:rFonts w:ascii="新宋体" w:hAnsi="新宋体" w:eastAsia="新宋体" w:cs="新宋体"/>
          <w:color w:val="auto"/>
          <w:spacing w:val="-5"/>
          <w:sz w:val="24"/>
          <w:szCs w:val="24"/>
          <w:highlight w:val="none"/>
        </w:rPr>
        <w:t>。</w:t>
      </w:r>
    </w:p>
    <w:p w14:paraId="5536A8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本项目不接受联合体投标。</w:t>
      </w:r>
    </w:p>
    <w:p w14:paraId="49A3043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z w:val="24"/>
          <w:szCs w:val="24"/>
          <w:highlight w:val="none"/>
        </w:rPr>
      </w:pPr>
      <w:r>
        <w:rPr>
          <w:b/>
          <w:bCs/>
          <w:color w:val="auto"/>
          <w:spacing w:val="-7"/>
          <w:sz w:val="24"/>
          <w:szCs w:val="24"/>
          <w:highlight w:val="none"/>
        </w:rPr>
        <w:t>二、申请人的资格要求：</w:t>
      </w:r>
    </w:p>
    <w:p w14:paraId="69A42B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1.满足《中华人民共和国政府采购法》第二十二条规定；</w:t>
      </w:r>
    </w:p>
    <w:p w14:paraId="05F38A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2.落实政府采购政策需满足的资格要求：标项1：本项目</w:t>
      </w:r>
      <w:r>
        <w:rPr>
          <w:rFonts w:hint="eastAsia" w:ascii="新宋体" w:hAnsi="新宋体" w:eastAsia="新宋体" w:cs="新宋体"/>
          <w:color w:val="auto"/>
          <w:spacing w:val="-3"/>
          <w:sz w:val="24"/>
          <w:szCs w:val="24"/>
          <w:highlight w:val="none"/>
          <w:lang w:val="en-US" w:eastAsia="zh-CN"/>
        </w:rPr>
        <w:t>不</w:t>
      </w:r>
      <w:r>
        <w:rPr>
          <w:rFonts w:ascii="新宋体" w:hAnsi="新宋体" w:eastAsia="新宋体" w:cs="新宋体"/>
          <w:color w:val="auto"/>
          <w:spacing w:val="-3"/>
          <w:sz w:val="24"/>
          <w:szCs w:val="24"/>
          <w:highlight w:val="none"/>
        </w:rPr>
        <w:t>专门面向中小企业</w:t>
      </w:r>
      <w:r>
        <w:rPr>
          <w:rFonts w:hint="eastAsia" w:ascii="新宋体" w:hAnsi="新宋体" w:eastAsia="新宋体" w:cs="新宋体"/>
          <w:color w:val="auto"/>
          <w:spacing w:val="-3"/>
          <w:sz w:val="24"/>
          <w:szCs w:val="24"/>
          <w:highlight w:val="none"/>
        </w:rPr>
        <w:t> </w:t>
      </w:r>
      <w:r>
        <w:rPr>
          <w:rFonts w:ascii="新宋体" w:hAnsi="新宋体" w:eastAsia="新宋体" w:cs="新宋体"/>
          <w:color w:val="auto"/>
          <w:spacing w:val="-3"/>
          <w:sz w:val="24"/>
          <w:szCs w:val="24"/>
          <w:highlight w:val="none"/>
        </w:rPr>
        <w:t>；</w:t>
      </w:r>
    </w:p>
    <w:p w14:paraId="0B6304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3.本项目的特定资格要求：无</w:t>
      </w:r>
    </w:p>
    <w:p w14:paraId="6A8A686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z w:val="24"/>
          <w:szCs w:val="24"/>
          <w:highlight w:val="none"/>
        </w:rPr>
      </w:pPr>
      <w:r>
        <w:rPr>
          <w:b/>
          <w:bCs/>
          <w:color w:val="auto"/>
          <w:spacing w:val="-3"/>
          <w:sz w:val="24"/>
          <w:szCs w:val="24"/>
          <w:highlight w:val="none"/>
        </w:rPr>
        <w:t>三、获取招标文件</w:t>
      </w:r>
    </w:p>
    <w:p w14:paraId="7075AB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新宋体" w:hAnsi="新宋体" w:eastAsia="新宋体" w:cs="新宋体"/>
          <w:color w:val="auto"/>
          <w:sz w:val="24"/>
          <w:szCs w:val="24"/>
          <w:highlight w:val="none"/>
          <w:u w:val="none" w:color="auto"/>
        </w:rPr>
      </w:pPr>
      <w:r>
        <w:rPr>
          <w:rFonts w:ascii="新宋体" w:hAnsi="新宋体" w:eastAsia="新宋体" w:cs="新宋体"/>
          <w:color w:val="auto"/>
          <w:spacing w:val="-8"/>
          <w:sz w:val="24"/>
          <w:szCs w:val="24"/>
          <w:highlight w:val="none"/>
          <w:u w:val="none" w:color="auto"/>
        </w:rPr>
        <w:t>时间：</w:t>
      </w:r>
      <w:r>
        <w:rPr>
          <w:color w:val="auto"/>
          <w:spacing w:val="-49"/>
          <w:sz w:val="24"/>
          <w:szCs w:val="24"/>
          <w:highlight w:val="none"/>
          <w:u w:val="none" w:color="auto"/>
        </w:rPr>
        <w:t xml:space="preserve"> </w:t>
      </w:r>
      <w:r>
        <w:rPr>
          <w:rFonts w:ascii="新宋体" w:hAnsi="新宋体" w:eastAsia="新宋体" w:cs="新宋体"/>
          <w:color w:val="auto"/>
          <w:spacing w:val="-8"/>
          <w:sz w:val="24"/>
          <w:szCs w:val="24"/>
          <w:highlight w:val="none"/>
          <w:u w:val="none" w:color="auto"/>
        </w:rPr>
        <w:t>202</w:t>
      </w:r>
      <w:r>
        <w:rPr>
          <w:rFonts w:hint="eastAsia" w:ascii="新宋体" w:hAnsi="新宋体" w:eastAsia="新宋体" w:cs="新宋体"/>
          <w:color w:val="auto"/>
          <w:spacing w:val="-8"/>
          <w:sz w:val="24"/>
          <w:szCs w:val="24"/>
          <w:highlight w:val="none"/>
          <w:u w:val="none" w:color="auto"/>
          <w:lang w:val="en-US" w:eastAsia="zh-CN"/>
        </w:rPr>
        <w:t>5</w:t>
      </w:r>
      <w:r>
        <w:rPr>
          <w:rFonts w:ascii="新宋体" w:hAnsi="新宋体" w:eastAsia="新宋体" w:cs="新宋体"/>
          <w:color w:val="auto"/>
          <w:spacing w:val="-8"/>
          <w:sz w:val="24"/>
          <w:szCs w:val="24"/>
          <w:highlight w:val="none"/>
          <w:u w:val="none" w:color="auto"/>
        </w:rPr>
        <w:t>年</w:t>
      </w:r>
      <w:r>
        <w:rPr>
          <w:rFonts w:hint="eastAsia" w:ascii="新宋体" w:hAnsi="新宋体" w:eastAsia="新宋体" w:cs="新宋体"/>
          <w:color w:val="auto"/>
          <w:spacing w:val="-8"/>
          <w:sz w:val="24"/>
          <w:szCs w:val="24"/>
          <w:highlight w:val="none"/>
          <w:u w:val="none" w:color="auto"/>
          <w:lang w:val="en-US" w:eastAsia="zh-CN"/>
        </w:rPr>
        <w:t>6</w:t>
      </w:r>
      <w:r>
        <w:rPr>
          <w:rFonts w:ascii="新宋体" w:hAnsi="新宋体" w:eastAsia="新宋体" w:cs="新宋体"/>
          <w:color w:val="auto"/>
          <w:spacing w:val="-8"/>
          <w:sz w:val="24"/>
          <w:szCs w:val="24"/>
          <w:highlight w:val="none"/>
          <w:u w:val="none" w:color="auto"/>
        </w:rPr>
        <w:t>月</w:t>
      </w:r>
      <w:r>
        <w:rPr>
          <w:rFonts w:hint="eastAsia" w:ascii="新宋体" w:hAnsi="新宋体" w:eastAsia="新宋体" w:cs="新宋体"/>
          <w:color w:val="auto"/>
          <w:spacing w:val="-8"/>
          <w:sz w:val="24"/>
          <w:szCs w:val="24"/>
          <w:highlight w:val="none"/>
          <w:u w:val="none" w:color="auto"/>
          <w:lang w:val="en-US" w:eastAsia="zh-CN"/>
        </w:rPr>
        <w:t>26</w:t>
      </w:r>
      <w:r>
        <w:rPr>
          <w:rFonts w:ascii="新宋体" w:hAnsi="新宋体" w:eastAsia="新宋体" w:cs="新宋体"/>
          <w:color w:val="auto"/>
          <w:spacing w:val="-8"/>
          <w:sz w:val="24"/>
          <w:szCs w:val="24"/>
          <w:highlight w:val="none"/>
          <w:u w:val="none" w:color="auto"/>
        </w:rPr>
        <w:t>日至202</w:t>
      </w:r>
      <w:r>
        <w:rPr>
          <w:rFonts w:hint="eastAsia" w:ascii="新宋体" w:hAnsi="新宋体" w:eastAsia="新宋体" w:cs="新宋体"/>
          <w:color w:val="auto"/>
          <w:spacing w:val="-8"/>
          <w:sz w:val="24"/>
          <w:szCs w:val="24"/>
          <w:highlight w:val="none"/>
          <w:u w:val="none" w:color="auto"/>
          <w:lang w:val="en-US" w:eastAsia="zh-CN"/>
        </w:rPr>
        <w:t>5</w:t>
      </w:r>
      <w:r>
        <w:rPr>
          <w:rFonts w:ascii="新宋体" w:hAnsi="新宋体" w:eastAsia="新宋体" w:cs="新宋体"/>
          <w:color w:val="auto"/>
          <w:spacing w:val="-8"/>
          <w:sz w:val="24"/>
          <w:szCs w:val="24"/>
          <w:highlight w:val="none"/>
          <w:u w:val="none" w:color="auto"/>
        </w:rPr>
        <w:t>年</w:t>
      </w:r>
      <w:r>
        <w:rPr>
          <w:rFonts w:hint="eastAsia" w:ascii="新宋体" w:hAnsi="新宋体" w:eastAsia="新宋体" w:cs="新宋体"/>
          <w:color w:val="auto"/>
          <w:spacing w:val="-8"/>
          <w:sz w:val="24"/>
          <w:szCs w:val="24"/>
          <w:highlight w:val="none"/>
          <w:u w:val="none" w:color="auto"/>
          <w:lang w:val="en-US" w:eastAsia="zh-CN"/>
        </w:rPr>
        <w:t>7</w:t>
      </w:r>
      <w:r>
        <w:rPr>
          <w:rFonts w:ascii="新宋体" w:hAnsi="新宋体" w:eastAsia="新宋体" w:cs="新宋体"/>
          <w:color w:val="auto"/>
          <w:spacing w:val="-8"/>
          <w:sz w:val="24"/>
          <w:szCs w:val="24"/>
          <w:highlight w:val="none"/>
          <w:u w:val="none" w:color="auto"/>
        </w:rPr>
        <w:t>月</w:t>
      </w:r>
      <w:r>
        <w:rPr>
          <w:rFonts w:hint="eastAsia" w:ascii="新宋体" w:hAnsi="新宋体" w:eastAsia="新宋体" w:cs="新宋体"/>
          <w:color w:val="auto"/>
          <w:spacing w:val="-8"/>
          <w:sz w:val="24"/>
          <w:szCs w:val="24"/>
          <w:highlight w:val="none"/>
          <w:u w:val="none" w:color="auto"/>
          <w:lang w:val="en-US" w:eastAsia="zh-CN"/>
        </w:rPr>
        <w:t>3</w:t>
      </w:r>
      <w:r>
        <w:rPr>
          <w:rFonts w:ascii="新宋体" w:hAnsi="新宋体" w:eastAsia="新宋体" w:cs="新宋体"/>
          <w:color w:val="auto"/>
          <w:spacing w:val="-8"/>
          <w:sz w:val="24"/>
          <w:szCs w:val="24"/>
          <w:highlight w:val="none"/>
          <w:u w:val="none" w:color="auto"/>
        </w:rPr>
        <w:t>日，每天</w:t>
      </w:r>
      <w:r>
        <w:rPr>
          <w:rFonts w:ascii="新宋体" w:hAnsi="新宋体" w:eastAsia="新宋体" w:cs="新宋体"/>
          <w:color w:val="auto"/>
          <w:spacing w:val="-9"/>
          <w:sz w:val="24"/>
          <w:szCs w:val="24"/>
          <w:highlight w:val="none"/>
          <w:u w:val="none" w:color="auto"/>
        </w:rPr>
        <w:t>上午</w:t>
      </w:r>
      <w:r>
        <w:rPr>
          <w:rFonts w:ascii="新宋体" w:hAnsi="新宋体" w:eastAsia="新宋体" w:cs="新宋体"/>
          <w:color w:val="auto"/>
          <w:spacing w:val="-34"/>
          <w:sz w:val="24"/>
          <w:szCs w:val="24"/>
          <w:highlight w:val="none"/>
          <w:u w:val="none" w:color="auto"/>
        </w:rPr>
        <w:t xml:space="preserve"> </w:t>
      </w:r>
      <w:r>
        <w:rPr>
          <w:rFonts w:hint="eastAsia" w:ascii="新宋体" w:hAnsi="新宋体" w:eastAsia="新宋体" w:cs="新宋体"/>
          <w:color w:val="auto"/>
          <w:spacing w:val="-9"/>
          <w:sz w:val="24"/>
          <w:szCs w:val="24"/>
          <w:highlight w:val="none"/>
          <w:u w:val="none" w:color="auto"/>
          <w:lang w:val="en-US" w:eastAsia="zh-CN"/>
        </w:rPr>
        <w:t>0</w:t>
      </w:r>
      <w:r>
        <w:rPr>
          <w:rFonts w:ascii="新宋体" w:hAnsi="新宋体" w:eastAsia="新宋体" w:cs="新宋体"/>
          <w:color w:val="auto"/>
          <w:spacing w:val="-9"/>
          <w:sz w:val="24"/>
          <w:szCs w:val="24"/>
          <w:highlight w:val="none"/>
          <w:u w:val="none" w:color="auto"/>
        </w:rPr>
        <w:t>0：00</w:t>
      </w:r>
      <w:r>
        <w:rPr>
          <w:rFonts w:ascii="新宋体" w:hAnsi="新宋体" w:eastAsia="新宋体" w:cs="新宋体"/>
          <w:color w:val="auto"/>
          <w:spacing w:val="-37"/>
          <w:sz w:val="24"/>
          <w:szCs w:val="24"/>
          <w:highlight w:val="none"/>
          <w:u w:val="none" w:color="auto"/>
        </w:rPr>
        <w:t xml:space="preserve"> </w:t>
      </w:r>
      <w:r>
        <w:rPr>
          <w:rFonts w:ascii="新宋体" w:hAnsi="新宋体" w:eastAsia="新宋体" w:cs="新宋体"/>
          <w:color w:val="auto"/>
          <w:spacing w:val="-9"/>
          <w:sz w:val="24"/>
          <w:szCs w:val="24"/>
          <w:highlight w:val="none"/>
          <w:u w:val="none" w:color="auto"/>
        </w:rPr>
        <w:t>至</w:t>
      </w:r>
      <w:r>
        <w:rPr>
          <w:rFonts w:ascii="新宋体" w:hAnsi="新宋体" w:eastAsia="新宋体" w:cs="新宋体"/>
          <w:color w:val="auto"/>
          <w:spacing w:val="-34"/>
          <w:sz w:val="24"/>
          <w:szCs w:val="24"/>
          <w:highlight w:val="none"/>
          <w:u w:val="none" w:color="auto"/>
        </w:rPr>
        <w:t xml:space="preserve"> </w:t>
      </w:r>
      <w:r>
        <w:rPr>
          <w:rFonts w:ascii="新宋体" w:hAnsi="新宋体" w:eastAsia="新宋体" w:cs="新宋体"/>
          <w:color w:val="auto"/>
          <w:spacing w:val="-9"/>
          <w:sz w:val="24"/>
          <w:szCs w:val="24"/>
          <w:highlight w:val="none"/>
          <w:u w:val="none" w:color="auto"/>
        </w:rPr>
        <w:t>14：00，下午</w:t>
      </w:r>
      <w:r>
        <w:rPr>
          <w:rFonts w:ascii="新宋体" w:hAnsi="新宋体" w:eastAsia="新宋体" w:cs="新宋体"/>
          <w:color w:val="auto"/>
          <w:spacing w:val="-33"/>
          <w:sz w:val="24"/>
          <w:szCs w:val="24"/>
          <w:highlight w:val="none"/>
          <w:u w:val="none" w:color="auto"/>
        </w:rPr>
        <w:t xml:space="preserve"> </w:t>
      </w:r>
      <w:r>
        <w:rPr>
          <w:rFonts w:hint="eastAsia" w:ascii="新宋体" w:hAnsi="新宋体" w:eastAsia="新宋体" w:cs="新宋体"/>
          <w:color w:val="auto"/>
          <w:spacing w:val="-9"/>
          <w:sz w:val="24"/>
          <w:szCs w:val="24"/>
          <w:highlight w:val="none"/>
          <w:u w:val="none" w:color="auto"/>
          <w:lang w:val="en-US" w:eastAsia="zh-CN"/>
        </w:rPr>
        <w:t>14</w:t>
      </w:r>
      <w:r>
        <w:rPr>
          <w:rFonts w:ascii="新宋体" w:hAnsi="新宋体" w:eastAsia="新宋体" w:cs="新宋体"/>
          <w:color w:val="auto"/>
          <w:spacing w:val="-9"/>
          <w:sz w:val="24"/>
          <w:szCs w:val="24"/>
          <w:highlight w:val="none"/>
          <w:u w:val="none" w:color="auto"/>
        </w:rPr>
        <w:t>：</w:t>
      </w:r>
      <w:r>
        <w:rPr>
          <w:rFonts w:hint="eastAsia" w:ascii="新宋体" w:hAnsi="新宋体" w:eastAsia="新宋体" w:cs="新宋体"/>
          <w:color w:val="auto"/>
          <w:sz w:val="24"/>
          <w:szCs w:val="24"/>
          <w:highlight w:val="none"/>
          <w:u w:val="none" w:color="auto"/>
          <w:lang w:val="en-US" w:eastAsia="zh-CN"/>
        </w:rPr>
        <w:t>0</w:t>
      </w:r>
      <w:r>
        <w:rPr>
          <w:rFonts w:ascii="新宋体" w:hAnsi="新宋体" w:eastAsia="新宋体" w:cs="新宋体"/>
          <w:color w:val="auto"/>
          <w:spacing w:val="-3"/>
          <w:sz w:val="24"/>
          <w:szCs w:val="24"/>
          <w:highlight w:val="none"/>
          <w:u w:val="none" w:color="auto"/>
        </w:rPr>
        <w:t>0</w:t>
      </w:r>
      <w:r>
        <w:rPr>
          <w:rFonts w:ascii="新宋体" w:hAnsi="新宋体" w:eastAsia="新宋体" w:cs="新宋体"/>
          <w:color w:val="auto"/>
          <w:spacing w:val="-32"/>
          <w:sz w:val="24"/>
          <w:szCs w:val="24"/>
          <w:highlight w:val="none"/>
          <w:u w:val="none" w:color="auto"/>
        </w:rPr>
        <w:t xml:space="preserve"> </w:t>
      </w:r>
      <w:r>
        <w:rPr>
          <w:rFonts w:ascii="新宋体" w:hAnsi="新宋体" w:eastAsia="新宋体" w:cs="新宋体"/>
          <w:color w:val="auto"/>
          <w:spacing w:val="-3"/>
          <w:sz w:val="24"/>
          <w:szCs w:val="24"/>
          <w:highlight w:val="none"/>
          <w:u w:val="none" w:color="auto"/>
        </w:rPr>
        <w:t>至</w:t>
      </w:r>
      <w:r>
        <w:rPr>
          <w:rFonts w:ascii="新宋体" w:hAnsi="新宋体" w:eastAsia="新宋体" w:cs="新宋体"/>
          <w:color w:val="auto"/>
          <w:spacing w:val="-34"/>
          <w:sz w:val="24"/>
          <w:szCs w:val="24"/>
          <w:highlight w:val="none"/>
          <w:u w:val="none" w:color="auto"/>
        </w:rPr>
        <w:t xml:space="preserve"> </w:t>
      </w:r>
      <w:r>
        <w:rPr>
          <w:rFonts w:hint="eastAsia" w:ascii="新宋体" w:hAnsi="新宋体" w:eastAsia="新宋体" w:cs="新宋体"/>
          <w:color w:val="auto"/>
          <w:spacing w:val="-3"/>
          <w:sz w:val="24"/>
          <w:szCs w:val="24"/>
          <w:highlight w:val="none"/>
          <w:u w:val="none" w:color="auto"/>
          <w:lang w:val="en-US" w:eastAsia="zh-CN"/>
        </w:rPr>
        <w:t>23</w:t>
      </w:r>
      <w:r>
        <w:rPr>
          <w:rFonts w:ascii="新宋体" w:hAnsi="新宋体" w:eastAsia="新宋体" w:cs="新宋体"/>
          <w:color w:val="auto"/>
          <w:spacing w:val="-3"/>
          <w:sz w:val="24"/>
          <w:szCs w:val="24"/>
          <w:highlight w:val="none"/>
          <w:u w:val="none" w:color="auto"/>
        </w:rPr>
        <w:t>：</w:t>
      </w:r>
      <w:r>
        <w:rPr>
          <w:rFonts w:hint="eastAsia" w:ascii="新宋体" w:hAnsi="新宋体" w:eastAsia="新宋体" w:cs="新宋体"/>
          <w:color w:val="auto"/>
          <w:spacing w:val="-3"/>
          <w:sz w:val="24"/>
          <w:szCs w:val="24"/>
          <w:highlight w:val="none"/>
          <w:u w:val="none" w:color="auto"/>
          <w:lang w:val="en-US" w:eastAsia="zh-CN"/>
        </w:rPr>
        <w:t>59</w:t>
      </w:r>
      <w:r>
        <w:rPr>
          <w:rFonts w:ascii="新宋体" w:hAnsi="新宋体" w:eastAsia="新宋体" w:cs="新宋体"/>
          <w:color w:val="auto"/>
          <w:spacing w:val="-3"/>
          <w:sz w:val="24"/>
          <w:szCs w:val="24"/>
          <w:highlight w:val="none"/>
          <w:u w:val="none" w:color="auto"/>
        </w:rPr>
        <w:t>（北京时间，法定节假日除外）。</w:t>
      </w:r>
    </w:p>
    <w:p w14:paraId="52F11B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地点：新疆政采云平台线上获取。</w:t>
      </w:r>
    </w:p>
    <w:p w14:paraId="729915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ascii="新宋体" w:hAnsi="新宋体" w:eastAsia="新宋体" w:cs="新宋体"/>
          <w:color w:val="auto"/>
          <w:spacing w:val="-6"/>
          <w:sz w:val="24"/>
          <w:szCs w:val="24"/>
          <w:highlight w:val="none"/>
        </w:rPr>
      </w:pPr>
      <w:r>
        <w:rPr>
          <w:rFonts w:ascii="新宋体" w:hAnsi="新宋体" w:eastAsia="新宋体" w:cs="新宋体"/>
          <w:color w:val="auto"/>
          <w:spacing w:val="-5"/>
          <w:sz w:val="24"/>
          <w:szCs w:val="24"/>
          <w:highlight w:val="none"/>
        </w:rPr>
        <w:t>方式：供应商登录政采云平台</w:t>
      </w:r>
      <w:r>
        <w:rPr>
          <w:rFonts w:ascii="新宋体" w:hAnsi="新宋体" w:eastAsia="新宋体" w:cs="新宋体"/>
          <w:color w:val="auto"/>
          <w:spacing w:val="-54"/>
          <w:sz w:val="24"/>
          <w:szCs w:val="24"/>
          <w:highlight w:val="none"/>
        </w:rPr>
        <w:t xml:space="preserve"> </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ascii="新宋体" w:hAnsi="新宋体" w:eastAsia="新宋体" w:cs="新宋体"/>
          <w:color w:val="auto"/>
          <w:spacing w:val="-5"/>
          <w:sz w:val="24"/>
          <w:szCs w:val="24"/>
          <w:highlight w:val="none"/>
        </w:rPr>
        <w:t>https://www.zcygov.cn/</w:t>
      </w:r>
      <w:r>
        <w:rPr>
          <w:rFonts w:ascii="新宋体" w:hAnsi="新宋体" w:eastAsia="新宋体" w:cs="新宋体"/>
          <w:color w:val="auto"/>
          <w:spacing w:val="-5"/>
          <w:sz w:val="24"/>
          <w:szCs w:val="24"/>
          <w:highlight w:val="none"/>
        </w:rPr>
        <w:fldChar w:fldCharType="end"/>
      </w:r>
      <w:r>
        <w:rPr>
          <w:rFonts w:ascii="新宋体" w:hAnsi="新宋体" w:eastAsia="新宋体" w:cs="新宋体"/>
          <w:color w:val="auto"/>
          <w:spacing w:val="-5"/>
          <w:sz w:val="24"/>
          <w:szCs w:val="24"/>
          <w:highlight w:val="none"/>
        </w:rPr>
        <w:t>在线申请获取采购文件（进入“项</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目采购”应用，在获取采购文件菜单中选择项目，</w:t>
      </w:r>
      <w:r>
        <w:rPr>
          <w:rFonts w:ascii="新宋体" w:hAnsi="新宋体" w:eastAsia="新宋体" w:cs="新宋体"/>
          <w:color w:val="auto"/>
          <w:spacing w:val="-4"/>
          <w:sz w:val="24"/>
          <w:szCs w:val="24"/>
          <w:highlight w:val="none"/>
        </w:rPr>
        <w:t>申请获取采购文件），或者点击采购公告底</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部潜在供应商“获取采购文件”，页面跳转后登陆，直接获取采购文件。</w:t>
      </w:r>
    </w:p>
    <w:p w14:paraId="523F2F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售价：0</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6"/>
          <w:sz w:val="24"/>
          <w:szCs w:val="24"/>
          <w:highlight w:val="none"/>
        </w:rPr>
        <w:t>元</w:t>
      </w:r>
    </w:p>
    <w:p w14:paraId="32465491">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0" w:firstLineChars="0"/>
        <w:jc w:val="both"/>
        <w:textAlignment w:val="baseline"/>
        <w:rPr>
          <w:b/>
          <w:bCs/>
          <w:color w:val="auto"/>
          <w:spacing w:val="-3"/>
          <w:sz w:val="24"/>
          <w:szCs w:val="24"/>
          <w:highlight w:val="none"/>
        </w:rPr>
      </w:pPr>
      <w:r>
        <w:rPr>
          <w:b/>
          <w:bCs/>
          <w:color w:val="auto"/>
          <w:spacing w:val="-3"/>
          <w:sz w:val="24"/>
          <w:szCs w:val="24"/>
          <w:highlight w:val="none"/>
        </w:rPr>
        <w:t>提交投标文件截止时间、开标时间和地点</w:t>
      </w:r>
    </w:p>
    <w:p w14:paraId="211586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新宋体" w:hAnsi="新宋体" w:eastAsia="新宋体" w:cs="新宋体"/>
          <w:color w:val="auto"/>
          <w:sz w:val="24"/>
          <w:szCs w:val="24"/>
          <w:highlight w:val="none"/>
          <w:u w:val="none"/>
        </w:rPr>
      </w:pPr>
      <w:r>
        <w:rPr>
          <w:rFonts w:ascii="新宋体" w:hAnsi="新宋体" w:eastAsia="新宋体" w:cs="新宋体"/>
          <w:color w:val="auto"/>
          <w:spacing w:val="-10"/>
          <w:sz w:val="24"/>
          <w:szCs w:val="24"/>
          <w:highlight w:val="none"/>
          <w:u w:val="none"/>
        </w:rPr>
        <w:t>截止时间： 202</w:t>
      </w:r>
      <w:r>
        <w:rPr>
          <w:rFonts w:hint="eastAsia" w:ascii="新宋体" w:hAnsi="新宋体" w:eastAsia="新宋体" w:cs="新宋体"/>
          <w:color w:val="auto"/>
          <w:spacing w:val="-10"/>
          <w:sz w:val="24"/>
          <w:szCs w:val="24"/>
          <w:highlight w:val="none"/>
          <w:u w:val="none"/>
          <w:lang w:val="en-US" w:eastAsia="zh-CN"/>
        </w:rPr>
        <w:t>5</w:t>
      </w:r>
      <w:r>
        <w:rPr>
          <w:rFonts w:ascii="新宋体" w:hAnsi="新宋体" w:eastAsia="新宋体" w:cs="新宋体"/>
          <w:color w:val="auto"/>
          <w:spacing w:val="-10"/>
          <w:sz w:val="24"/>
          <w:szCs w:val="24"/>
          <w:highlight w:val="none"/>
          <w:u w:val="none"/>
        </w:rPr>
        <w:t>年</w:t>
      </w:r>
      <w:r>
        <w:rPr>
          <w:rFonts w:hint="eastAsia" w:ascii="新宋体" w:hAnsi="新宋体" w:eastAsia="新宋体" w:cs="新宋体"/>
          <w:color w:val="auto"/>
          <w:spacing w:val="-10"/>
          <w:sz w:val="24"/>
          <w:szCs w:val="24"/>
          <w:highlight w:val="none"/>
          <w:u w:val="none"/>
          <w:lang w:val="en-US" w:eastAsia="zh-CN"/>
        </w:rPr>
        <w:t>7</w:t>
      </w:r>
      <w:r>
        <w:rPr>
          <w:rFonts w:ascii="新宋体" w:hAnsi="新宋体" w:eastAsia="新宋体" w:cs="新宋体"/>
          <w:color w:val="auto"/>
          <w:spacing w:val="-10"/>
          <w:sz w:val="24"/>
          <w:szCs w:val="24"/>
          <w:highlight w:val="none"/>
          <w:u w:val="none"/>
        </w:rPr>
        <w:t>月</w:t>
      </w:r>
      <w:r>
        <w:rPr>
          <w:rFonts w:hint="eastAsia" w:ascii="新宋体" w:hAnsi="新宋体" w:eastAsia="新宋体" w:cs="新宋体"/>
          <w:color w:val="auto"/>
          <w:spacing w:val="-10"/>
          <w:sz w:val="24"/>
          <w:szCs w:val="24"/>
          <w:highlight w:val="none"/>
          <w:u w:val="none"/>
          <w:lang w:val="en-US" w:eastAsia="zh-CN"/>
        </w:rPr>
        <w:t>16</w:t>
      </w:r>
      <w:r>
        <w:rPr>
          <w:rFonts w:ascii="新宋体" w:hAnsi="新宋体" w:eastAsia="新宋体" w:cs="新宋体"/>
          <w:color w:val="auto"/>
          <w:spacing w:val="-10"/>
          <w:sz w:val="24"/>
          <w:szCs w:val="24"/>
          <w:highlight w:val="none"/>
          <w:u w:val="none"/>
        </w:rPr>
        <w:t>日</w:t>
      </w:r>
      <w:r>
        <w:rPr>
          <w:rFonts w:hint="eastAsia" w:ascii="新宋体" w:hAnsi="新宋体" w:eastAsia="新宋体" w:cs="新宋体"/>
          <w:color w:val="auto"/>
          <w:spacing w:val="-10"/>
          <w:sz w:val="24"/>
          <w:szCs w:val="24"/>
          <w:highlight w:val="none"/>
          <w:u w:val="none"/>
          <w:lang w:val="en-US" w:eastAsia="zh-CN"/>
        </w:rPr>
        <w:t>10</w:t>
      </w:r>
      <w:r>
        <w:rPr>
          <w:rFonts w:hint="eastAsia" w:ascii="新宋体" w:hAnsi="新宋体" w:eastAsia="新宋体" w:cs="新宋体"/>
          <w:color w:val="auto"/>
          <w:spacing w:val="-10"/>
          <w:sz w:val="24"/>
          <w:szCs w:val="24"/>
          <w:highlight w:val="none"/>
          <w:u w:val="none"/>
          <w:lang w:eastAsia="zh-CN"/>
        </w:rPr>
        <w:t>时</w:t>
      </w:r>
      <w:r>
        <w:rPr>
          <w:rFonts w:hint="eastAsia" w:ascii="新宋体" w:hAnsi="新宋体" w:eastAsia="新宋体" w:cs="新宋体"/>
          <w:color w:val="auto"/>
          <w:spacing w:val="-10"/>
          <w:sz w:val="24"/>
          <w:szCs w:val="24"/>
          <w:highlight w:val="none"/>
          <w:u w:val="none"/>
          <w:lang w:val="en-US" w:eastAsia="zh-CN"/>
        </w:rPr>
        <w:t>30</w:t>
      </w:r>
      <w:r>
        <w:rPr>
          <w:rFonts w:ascii="新宋体" w:hAnsi="新宋体" w:eastAsia="新宋体" w:cs="新宋体"/>
          <w:color w:val="auto"/>
          <w:spacing w:val="-10"/>
          <w:sz w:val="24"/>
          <w:szCs w:val="24"/>
          <w:highlight w:val="none"/>
          <w:u w:val="none"/>
        </w:rPr>
        <w:t>分（北京时间）</w:t>
      </w:r>
    </w:p>
    <w:p w14:paraId="5840DF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新宋体" w:hAnsi="新宋体" w:eastAsia="新宋体" w:cs="新宋体"/>
          <w:color w:val="auto"/>
          <w:sz w:val="24"/>
          <w:szCs w:val="24"/>
          <w:highlight w:val="none"/>
          <w:u w:val="none"/>
        </w:rPr>
      </w:pPr>
      <w:r>
        <w:rPr>
          <w:rFonts w:ascii="新宋体" w:hAnsi="新宋体" w:eastAsia="新宋体" w:cs="新宋体"/>
          <w:color w:val="auto"/>
          <w:spacing w:val="-1"/>
          <w:sz w:val="24"/>
          <w:szCs w:val="24"/>
          <w:highlight w:val="none"/>
          <w:u w:val="none"/>
        </w:rPr>
        <w:t>投标地点</w:t>
      </w:r>
      <w:r>
        <w:rPr>
          <w:rFonts w:ascii="新宋体" w:hAnsi="新宋体" w:eastAsia="新宋体" w:cs="新宋体"/>
          <w:color w:val="auto"/>
          <w:spacing w:val="-37"/>
          <w:sz w:val="24"/>
          <w:szCs w:val="24"/>
          <w:highlight w:val="none"/>
          <w:u w:val="none"/>
        </w:rPr>
        <w:t>：</w:t>
      </w:r>
      <w:r>
        <w:rPr>
          <w:rFonts w:ascii="新宋体" w:hAnsi="新宋体" w:eastAsia="新宋体" w:cs="新宋体"/>
          <w:color w:val="auto"/>
          <w:spacing w:val="-1"/>
          <w:sz w:val="24"/>
          <w:szCs w:val="24"/>
          <w:highlight w:val="none"/>
          <w:u w:val="none"/>
        </w:rPr>
        <w:t>请登录政采云投标客户端，在截止时间前将加密的</w:t>
      </w:r>
      <w:r>
        <w:rPr>
          <w:rFonts w:ascii="新宋体" w:hAnsi="新宋体" w:eastAsia="新宋体" w:cs="新宋体"/>
          <w:color w:val="auto"/>
          <w:spacing w:val="-2"/>
          <w:sz w:val="24"/>
          <w:szCs w:val="24"/>
          <w:highlight w:val="none"/>
          <w:u w:val="none"/>
        </w:rPr>
        <w:t>电子响应文件上传</w:t>
      </w:r>
      <w:r>
        <w:rPr>
          <w:rFonts w:ascii="新宋体" w:hAnsi="新宋体" w:eastAsia="新宋体" w:cs="新宋体"/>
          <w:color w:val="auto"/>
          <w:spacing w:val="9"/>
          <w:sz w:val="24"/>
          <w:szCs w:val="24"/>
          <w:highlight w:val="none"/>
          <w:u w:val="none"/>
        </w:rPr>
        <w:t>到新疆政府采购网对应的位置（逾期上传或者未上传指定地点的响应文件，采购人不予受</w:t>
      </w:r>
      <w:r>
        <w:rPr>
          <w:rFonts w:ascii="新宋体" w:hAnsi="新宋体" w:eastAsia="新宋体" w:cs="新宋体"/>
          <w:color w:val="auto"/>
          <w:spacing w:val="-12"/>
          <w:sz w:val="24"/>
          <w:szCs w:val="24"/>
          <w:highlight w:val="none"/>
          <w:u w:val="none"/>
        </w:rPr>
        <w:t>理</w:t>
      </w:r>
      <w:r>
        <w:rPr>
          <w:rFonts w:hint="eastAsia" w:ascii="新宋体" w:hAnsi="新宋体" w:eastAsia="新宋体" w:cs="新宋体"/>
          <w:color w:val="auto"/>
          <w:spacing w:val="-12"/>
          <w:sz w:val="24"/>
          <w:szCs w:val="24"/>
          <w:highlight w:val="none"/>
          <w:u w:val="none"/>
          <w:lang w:eastAsia="zh-CN"/>
        </w:rPr>
        <w:t>）</w:t>
      </w:r>
      <w:r>
        <w:rPr>
          <w:rFonts w:ascii="新宋体" w:hAnsi="新宋体" w:eastAsia="新宋体" w:cs="新宋体"/>
          <w:color w:val="auto"/>
          <w:spacing w:val="-12"/>
          <w:sz w:val="24"/>
          <w:szCs w:val="24"/>
          <w:highlight w:val="none"/>
          <w:u w:val="none"/>
        </w:rPr>
        <w:t>。</w:t>
      </w:r>
    </w:p>
    <w:p w14:paraId="1140DC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新宋体" w:hAnsi="新宋体" w:eastAsia="新宋体" w:cs="新宋体"/>
          <w:color w:val="auto"/>
          <w:sz w:val="24"/>
          <w:szCs w:val="24"/>
          <w:highlight w:val="none"/>
          <w:u w:val="none"/>
        </w:rPr>
      </w:pPr>
      <w:r>
        <w:rPr>
          <w:rFonts w:ascii="新宋体" w:hAnsi="新宋体" w:eastAsia="新宋体" w:cs="新宋体"/>
          <w:color w:val="auto"/>
          <w:spacing w:val="-4"/>
          <w:sz w:val="24"/>
          <w:szCs w:val="24"/>
          <w:highlight w:val="none"/>
          <w:u w:val="none"/>
        </w:rPr>
        <w:t>开标方式：不见面开标。</w:t>
      </w:r>
    </w:p>
    <w:p w14:paraId="16F703A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z w:val="24"/>
          <w:szCs w:val="24"/>
          <w:highlight w:val="none"/>
        </w:rPr>
      </w:pPr>
      <w:r>
        <w:rPr>
          <w:b/>
          <w:bCs/>
          <w:color w:val="auto"/>
          <w:spacing w:val="-3"/>
          <w:sz w:val="24"/>
          <w:szCs w:val="24"/>
          <w:highlight w:val="none"/>
        </w:rPr>
        <w:t>五、公告期限</w:t>
      </w:r>
    </w:p>
    <w:p w14:paraId="383EBC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自本公告发布之日起</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8"/>
          <w:sz w:val="24"/>
          <w:szCs w:val="24"/>
          <w:highlight w:val="none"/>
        </w:rPr>
        <w:t>5</w:t>
      </w:r>
      <w:r>
        <w:rPr>
          <w:rFonts w:ascii="新宋体" w:hAnsi="新宋体" w:eastAsia="新宋体" w:cs="新宋体"/>
          <w:color w:val="auto"/>
          <w:spacing w:val="-44"/>
          <w:sz w:val="24"/>
          <w:szCs w:val="24"/>
          <w:highlight w:val="none"/>
        </w:rPr>
        <w:t xml:space="preserve"> </w:t>
      </w:r>
      <w:r>
        <w:rPr>
          <w:rFonts w:ascii="新宋体" w:hAnsi="新宋体" w:eastAsia="新宋体" w:cs="新宋体"/>
          <w:color w:val="auto"/>
          <w:spacing w:val="-8"/>
          <w:sz w:val="24"/>
          <w:szCs w:val="24"/>
          <w:highlight w:val="none"/>
        </w:rPr>
        <w:t>个工作日。</w:t>
      </w:r>
    </w:p>
    <w:p w14:paraId="1FE7488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sz w:val="24"/>
          <w:szCs w:val="24"/>
          <w:highlight w:val="none"/>
        </w:rPr>
      </w:pPr>
      <w:r>
        <w:rPr>
          <w:b/>
          <w:bCs/>
          <w:color w:val="auto"/>
          <w:spacing w:val="-2"/>
          <w:sz w:val="24"/>
          <w:szCs w:val="24"/>
          <w:highlight w:val="none"/>
        </w:rPr>
        <w:t>六、其他补充事宜</w:t>
      </w:r>
    </w:p>
    <w:p w14:paraId="24ABEC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1、本项目采购采用电子交易方式，投标人无需到达评标地点，电子交易平台为“政府采</w:t>
      </w:r>
      <w:r>
        <w:rPr>
          <w:rFonts w:ascii="新宋体" w:hAnsi="新宋体" w:eastAsia="新宋体" w:cs="新宋体"/>
          <w:color w:val="auto"/>
          <w:spacing w:val="-2"/>
          <w:sz w:val="24"/>
          <w:szCs w:val="24"/>
          <w:highlight w:val="none"/>
        </w:rPr>
        <w:t>购云平台（</w:t>
      </w:r>
      <w:r>
        <w:rPr>
          <w:color w:val="auto"/>
          <w:highlight w:val="none"/>
        </w:rPr>
        <w:fldChar w:fldCharType="begin"/>
      </w:r>
      <w:r>
        <w:rPr>
          <w:color w:val="auto"/>
          <w:highlight w:val="none"/>
        </w:rPr>
        <w:instrText xml:space="preserve"> HYPERLINK "https://login.zcygov.cn/" </w:instrText>
      </w:r>
      <w:r>
        <w:rPr>
          <w:color w:val="auto"/>
          <w:highlight w:val="none"/>
        </w:rPr>
        <w:fldChar w:fldCharType="separate"/>
      </w:r>
      <w:r>
        <w:rPr>
          <w:rFonts w:ascii="新宋体" w:hAnsi="新宋体" w:eastAsia="新宋体" w:cs="新宋体"/>
          <w:color w:val="auto"/>
          <w:spacing w:val="-2"/>
          <w:sz w:val="24"/>
          <w:szCs w:val="24"/>
          <w:highlight w:val="none"/>
        </w:rPr>
        <w:t>https://login.zcy</w:t>
      </w:r>
      <w:r>
        <w:rPr>
          <w:rFonts w:ascii="新宋体" w:hAnsi="新宋体" w:eastAsia="新宋体" w:cs="新宋体"/>
          <w:color w:val="auto"/>
          <w:spacing w:val="-3"/>
          <w:sz w:val="24"/>
          <w:szCs w:val="24"/>
          <w:highlight w:val="none"/>
        </w:rPr>
        <w:t>gov.cn/</w:t>
      </w:r>
      <w:r>
        <w:rPr>
          <w:rFonts w:ascii="新宋体" w:hAnsi="新宋体" w:eastAsia="新宋体" w:cs="新宋体"/>
          <w:color w:val="auto"/>
          <w:spacing w:val="-3"/>
          <w:sz w:val="24"/>
          <w:szCs w:val="24"/>
          <w:highlight w:val="none"/>
        </w:rPr>
        <w:fldChar w:fldCharType="end"/>
      </w:r>
      <w:r>
        <w:rPr>
          <w:rFonts w:ascii="新宋体" w:hAnsi="新宋体" w:eastAsia="新宋体" w:cs="新宋体"/>
          <w:color w:val="auto"/>
          <w:spacing w:val="-3"/>
          <w:sz w:val="24"/>
          <w:szCs w:val="24"/>
          <w:highlight w:val="none"/>
        </w:rPr>
        <w:t>）”。供应商参与本项目电子交易活动前，应注册成为</w:t>
      </w:r>
      <w:r>
        <w:rPr>
          <w:rFonts w:ascii="新宋体" w:hAnsi="新宋体" w:eastAsia="新宋体" w:cs="新宋体"/>
          <w:color w:val="auto"/>
          <w:spacing w:val="-1"/>
          <w:sz w:val="24"/>
          <w:szCs w:val="24"/>
          <w:highlight w:val="none"/>
        </w:rPr>
        <w:t>政府采购云平台正式供应商。编制电子投标文件前还需申领</w:t>
      </w:r>
      <w:r>
        <w:rPr>
          <w:rFonts w:ascii="新宋体" w:hAnsi="新宋体" w:eastAsia="新宋体" w:cs="新宋体"/>
          <w:color w:val="auto"/>
          <w:spacing w:val="-51"/>
          <w:sz w:val="24"/>
          <w:szCs w:val="24"/>
          <w:highlight w:val="none"/>
        </w:rPr>
        <w:t xml:space="preserve"> </w:t>
      </w:r>
      <w:r>
        <w:rPr>
          <w:rFonts w:ascii="新宋体" w:hAnsi="新宋体" w:eastAsia="新宋体" w:cs="新宋体"/>
          <w:color w:val="auto"/>
          <w:spacing w:val="-1"/>
          <w:sz w:val="24"/>
          <w:szCs w:val="24"/>
          <w:highlight w:val="none"/>
        </w:rPr>
        <w:t>CA</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证书并绑定帐号，因未注册入库、未办理</w:t>
      </w:r>
      <w:r>
        <w:rPr>
          <w:rFonts w:ascii="新宋体" w:hAnsi="新宋体" w:eastAsia="新宋体" w:cs="新宋体"/>
          <w:color w:val="auto"/>
          <w:spacing w:val="-51"/>
          <w:sz w:val="24"/>
          <w:szCs w:val="24"/>
          <w:highlight w:val="none"/>
        </w:rPr>
        <w:t xml:space="preserve"> </w:t>
      </w:r>
      <w:r>
        <w:rPr>
          <w:rFonts w:ascii="新宋体" w:hAnsi="新宋体" w:eastAsia="新宋体" w:cs="新宋体"/>
          <w:color w:val="auto"/>
          <w:spacing w:val="-1"/>
          <w:sz w:val="24"/>
          <w:szCs w:val="24"/>
          <w:highlight w:val="none"/>
        </w:rPr>
        <w:t>CA</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数字证书等原因造成无法递交电子版响应文件或递交电子响应文件失败等后果由供应商自行承担。如有操作性问题可与政采云在线客服进行咨询，咨询电话</w:t>
      </w:r>
      <w:r>
        <w:rPr>
          <w:rFonts w:ascii="新宋体" w:hAnsi="新宋体" w:eastAsia="新宋体" w:cs="新宋体"/>
          <w:color w:val="auto"/>
          <w:spacing w:val="-2"/>
          <w:sz w:val="24"/>
          <w:szCs w:val="24"/>
          <w:highlight w:val="none"/>
        </w:rPr>
        <w:t>：95763。</w:t>
      </w:r>
    </w:p>
    <w:p w14:paraId="3837F2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2、供应商应使用最新版本的</w:t>
      </w:r>
      <w:r>
        <w:rPr>
          <w:rFonts w:ascii="新宋体" w:hAnsi="新宋体" w:eastAsia="新宋体" w:cs="新宋体"/>
          <w:color w:val="auto"/>
          <w:spacing w:val="-54"/>
          <w:sz w:val="24"/>
          <w:szCs w:val="24"/>
          <w:highlight w:val="none"/>
        </w:rPr>
        <w:t xml:space="preserve"> </w:t>
      </w:r>
      <w:r>
        <w:rPr>
          <w:rFonts w:ascii="新宋体" w:hAnsi="新宋体" w:eastAsia="新宋体" w:cs="新宋体"/>
          <w:color w:val="auto"/>
          <w:spacing w:val="-6"/>
          <w:sz w:val="24"/>
          <w:szCs w:val="24"/>
          <w:highlight w:val="none"/>
        </w:rPr>
        <w:t>CA</w:t>
      </w:r>
      <w:r>
        <w:rPr>
          <w:rFonts w:ascii="新宋体" w:hAnsi="新宋体" w:eastAsia="新宋体" w:cs="新宋体"/>
          <w:color w:val="auto"/>
          <w:spacing w:val="-44"/>
          <w:sz w:val="24"/>
          <w:szCs w:val="24"/>
          <w:highlight w:val="none"/>
        </w:rPr>
        <w:t xml:space="preserve"> </w:t>
      </w:r>
      <w:r>
        <w:rPr>
          <w:rFonts w:ascii="新宋体" w:hAnsi="新宋体" w:eastAsia="新宋体" w:cs="新宋体"/>
          <w:color w:val="auto"/>
          <w:spacing w:val="-6"/>
          <w:sz w:val="24"/>
          <w:szCs w:val="24"/>
          <w:highlight w:val="none"/>
        </w:rPr>
        <w:t>驱动和政采云投标客户端，客户端下</w:t>
      </w:r>
      <w:r>
        <w:rPr>
          <w:rFonts w:ascii="新宋体" w:hAnsi="新宋体" w:eastAsia="新宋体" w:cs="新宋体"/>
          <w:color w:val="auto"/>
          <w:spacing w:val="-7"/>
          <w:sz w:val="24"/>
          <w:szCs w:val="24"/>
          <w:highlight w:val="none"/>
        </w:rPr>
        <w:t>载、安装完成后，可</w:t>
      </w:r>
      <w:r>
        <w:rPr>
          <w:rFonts w:ascii="新宋体" w:hAnsi="新宋体" w:eastAsia="新宋体" w:cs="新宋体"/>
          <w:color w:val="auto"/>
          <w:spacing w:val="-1"/>
          <w:sz w:val="24"/>
          <w:szCs w:val="24"/>
          <w:highlight w:val="none"/>
        </w:rPr>
        <w:t>通过账号密码或</w:t>
      </w:r>
      <w:r>
        <w:rPr>
          <w:rFonts w:ascii="新宋体" w:hAnsi="新宋体" w:eastAsia="新宋体" w:cs="新宋体"/>
          <w:color w:val="auto"/>
          <w:spacing w:val="-54"/>
          <w:sz w:val="24"/>
          <w:szCs w:val="24"/>
          <w:highlight w:val="none"/>
        </w:rPr>
        <w:t xml:space="preserve"> </w:t>
      </w:r>
      <w:r>
        <w:rPr>
          <w:rFonts w:ascii="新宋体" w:hAnsi="新宋体" w:eastAsia="新宋体" w:cs="新宋体"/>
          <w:color w:val="auto"/>
          <w:spacing w:val="-1"/>
          <w:sz w:val="24"/>
          <w:szCs w:val="24"/>
          <w:highlight w:val="none"/>
        </w:rPr>
        <w:t>CA</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1"/>
          <w:sz w:val="24"/>
          <w:szCs w:val="24"/>
          <w:highlight w:val="none"/>
        </w:rPr>
        <w:t>登录客户端并按照本采购文件和电子招投标供应商客户</w:t>
      </w:r>
      <w:r>
        <w:rPr>
          <w:rFonts w:ascii="新宋体" w:hAnsi="新宋体" w:eastAsia="新宋体" w:cs="新宋体"/>
          <w:color w:val="auto"/>
          <w:spacing w:val="-2"/>
          <w:sz w:val="24"/>
          <w:szCs w:val="24"/>
          <w:highlight w:val="none"/>
        </w:rPr>
        <w:t>端的要求编制并加密投标文件，未按规定加密的投标文件，将被电子招投标供应商客户端拒收。</w:t>
      </w:r>
    </w:p>
    <w:p w14:paraId="751A40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3、供应商应当在投标截止时间前，将生成的“电子加</w:t>
      </w:r>
      <w:r>
        <w:rPr>
          <w:rFonts w:ascii="新宋体" w:hAnsi="新宋体" w:eastAsia="新宋体" w:cs="新宋体"/>
          <w:color w:val="auto"/>
          <w:spacing w:val="-1"/>
          <w:sz w:val="24"/>
          <w:szCs w:val="24"/>
          <w:highlight w:val="none"/>
        </w:rPr>
        <w:t>密响应文件”上传递交至“政府采</w:t>
      </w:r>
      <w:r>
        <w:rPr>
          <w:rFonts w:ascii="新宋体" w:hAnsi="新宋体" w:eastAsia="新宋体" w:cs="新宋体"/>
          <w:color w:val="auto"/>
          <w:spacing w:val="-3"/>
          <w:sz w:val="24"/>
          <w:szCs w:val="24"/>
          <w:highlight w:val="none"/>
        </w:rPr>
        <w:t>购云平台”，递交电子响应文件截止时间以后上传递交的响应文件将被“政府采购云平台”拒</w:t>
      </w:r>
      <w:r>
        <w:rPr>
          <w:rFonts w:ascii="新宋体" w:hAnsi="新宋体" w:eastAsia="新宋体" w:cs="新宋体"/>
          <w:color w:val="auto"/>
          <w:spacing w:val="-12"/>
          <w:sz w:val="24"/>
          <w:szCs w:val="24"/>
          <w:highlight w:val="none"/>
        </w:rPr>
        <w:t>收。</w:t>
      </w:r>
    </w:p>
    <w:p w14:paraId="780F9F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新宋体" w:hAnsi="新宋体" w:eastAsia="新宋体" w:cs="新宋体"/>
          <w:color w:val="auto"/>
          <w:spacing w:val="-5"/>
          <w:sz w:val="24"/>
          <w:szCs w:val="24"/>
          <w:highlight w:val="none"/>
        </w:rPr>
      </w:pPr>
      <w:r>
        <w:rPr>
          <w:rFonts w:ascii="新宋体" w:hAnsi="新宋体" w:eastAsia="新宋体" w:cs="新宋体"/>
          <w:color w:val="auto"/>
          <w:spacing w:val="-2"/>
          <w:sz w:val="24"/>
          <w:szCs w:val="24"/>
          <w:highlight w:val="none"/>
        </w:rPr>
        <w:t>4、在使用政采云投标客户端时，建议使用谷歌浏览器或</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2"/>
          <w:sz w:val="24"/>
          <w:szCs w:val="24"/>
          <w:highlight w:val="none"/>
        </w:rPr>
        <w:t>360</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极速浏览器，电脑配置满足</w:t>
      </w:r>
      <w:r>
        <w:rPr>
          <w:rFonts w:ascii="新宋体" w:hAnsi="新宋体" w:eastAsia="新宋体" w:cs="新宋体"/>
          <w:color w:val="auto"/>
          <w:sz w:val="24"/>
          <w:szCs w:val="24"/>
          <w:highlight w:val="none"/>
        </w:rPr>
        <w:t xml:space="preserve"> win7+64</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z w:val="24"/>
          <w:szCs w:val="24"/>
          <w:highlight w:val="none"/>
        </w:rPr>
        <w:t>位以上操作系统（不能用ma</w:t>
      </w:r>
      <w:r>
        <w:rPr>
          <w:rFonts w:ascii="新宋体" w:hAnsi="新宋体" w:eastAsia="新宋体" w:cs="新宋体"/>
          <w:color w:val="auto"/>
          <w:spacing w:val="-1"/>
          <w:sz w:val="24"/>
          <w:szCs w:val="24"/>
          <w:highlight w:val="none"/>
        </w:rPr>
        <w:t>c</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1"/>
          <w:sz w:val="24"/>
          <w:szCs w:val="24"/>
          <w:highlight w:val="none"/>
        </w:rPr>
        <w:t>或者</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linux</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1"/>
          <w:sz w:val="24"/>
          <w:szCs w:val="24"/>
          <w:highlight w:val="none"/>
        </w:rPr>
        <w:t>系统）。客户端请至新疆政府采购网</w:t>
      </w:r>
      <w:r>
        <w:rPr>
          <w:rFonts w:ascii="新宋体" w:hAnsi="新宋体" w:eastAsia="新宋体" w:cs="新宋体"/>
          <w:color w:val="auto"/>
          <w:spacing w:val="-2"/>
          <w:sz w:val="24"/>
          <w:szCs w:val="24"/>
          <w:highlight w:val="none"/>
        </w:rPr>
        <w:t>（</w:t>
      </w:r>
      <w:r>
        <w:rPr>
          <w:color w:val="auto"/>
          <w:highlight w:val="none"/>
        </w:rPr>
        <w:fldChar w:fldCharType="begin"/>
      </w:r>
      <w:r>
        <w:rPr>
          <w:color w:val="auto"/>
          <w:highlight w:val="none"/>
        </w:rPr>
        <w:instrText xml:space="preserve"> HYPERLINK "http://www.ccgp-xinjiang.gov.cn/" </w:instrText>
      </w:r>
      <w:r>
        <w:rPr>
          <w:color w:val="auto"/>
          <w:highlight w:val="none"/>
        </w:rPr>
        <w:fldChar w:fldCharType="separate"/>
      </w:r>
      <w:r>
        <w:rPr>
          <w:rFonts w:ascii="新宋体" w:hAnsi="新宋体" w:eastAsia="新宋体" w:cs="新宋体"/>
          <w:color w:val="auto"/>
          <w:spacing w:val="-2"/>
          <w:sz w:val="24"/>
          <w:szCs w:val="24"/>
          <w:highlight w:val="none"/>
        </w:rPr>
        <w:t>http://www.ccgp-xinjiang.g</w:t>
      </w:r>
      <w:r>
        <w:rPr>
          <w:rFonts w:ascii="新宋体" w:hAnsi="新宋体" w:eastAsia="新宋体" w:cs="新宋体"/>
          <w:color w:val="auto"/>
          <w:spacing w:val="-3"/>
          <w:sz w:val="24"/>
          <w:szCs w:val="24"/>
          <w:highlight w:val="none"/>
        </w:rPr>
        <w:t>ov.cn/</w:t>
      </w:r>
      <w:r>
        <w:rPr>
          <w:rFonts w:ascii="新宋体" w:hAnsi="新宋体" w:eastAsia="新宋体" w:cs="新宋体"/>
          <w:color w:val="auto"/>
          <w:spacing w:val="-3"/>
          <w:sz w:val="24"/>
          <w:szCs w:val="24"/>
          <w:highlight w:val="none"/>
        </w:rPr>
        <w:fldChar w:fldCharType="end"/>
      </w:r>
      <w:r>
        <w:rPr>
          <w:rFonts w:ascii="新宋体" w:hAnsi="新宋体" w:eastAsia="新宋体" w:cs="新宋体"/>
          <w:color w:val="auto"/>
          <w:spacing w:val="-3"/>
          <w:sz w:val="24"/>
          <w:szCs w:val="24"/>
          <w:highlight w:val="none"/>
        </w:rPr>
        <w:t>）下载专区查看，如有问题可拨打政采云客户服务热线</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5"/>
          <w:sz w:val="24"/>
          <w:szCs w:val="24"/>
          <w:highlight w:val="none"/>
        </w:rPr>
        <w:t>95763</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5"/>
          <w:sz w:val="24"/>
          <w:szCs w:val="24"/>
          <w:highlight w:val="none"/>
        </w:rPr>
        <w:t>进行咨询。</w:t>
      </w:r>
    </w:p>
    <w:p w14:paraId="7F9AF3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5、供应商登录政采云平台，在投标截止时间后</w:t>
      </w:r>
      <w:r>
        <w:rPr>
          <w:rFonts w:ascii="新宋体" w:hAnsi="新宋体" w:eastAsia="新宋体" w:cs="新宋体"/>
          <w:color w:val="auto"/>
          <w:spacing w:val="-46"/>
          <w:sz w:val="24"/>
          <w:szCs w:val="24"/>
          <w:highlight w:val="none"/>
        </w:rPr>
        <w:t xml:space="preserve"> </w:t>
      </w:r>
      <w:r>
        <w:rPr>
          <w:rFonts w:ascii="新宋体" w:hAnsi="新宋体" w:eastAsia="新宋体" w:cs="新宋体"/>
          <w:color w:val="auto"/>
          <w:spacing w:val="-1"/>
          <w:sz w:val="24"/>
          <w:szCs w:val="24"/>
          <w:highlight w:val="none"/>
        </w:rPr>
        <w:t>30</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1"/>
          <w:sz w:val="24"/>
          <w:szCs w:val="24"/>
          <w:highlight w:val="none"/>
        </w:rPr>
        <w:t>分钟内用“项目采购-</w:t>
      </w:r>
      <w:r>
        <w:rPr>
          <w:rFonts w:ascii="新宋体" w:hAnsi="新宋体" w:eastAsia="新宋体" w:cs="新宋体"/>
          <w:color w:val="auto"/>
          <w:spacing w:val="-2"/>
          <w:sz w:val="24"/>
          <w:szCs w:val="24"/>
          <w:highlight w:val="none"/>
        </w:rPr>
        <w:t>开标评标”功</w:t>
      </w:r>
      <w:r>
        <w:rPr>
          <w:rFonts w:ascii="新宋体" w:hAnsi="新宋体" w:eastAsia="新宋体" w:cs="新宋体"/>
          <w:color w:val="auto"/>
          <w:spacing w:val="-6"/>
          <w:sz w:val="24"/>
          <w:szCs w:val="24"/>
          <w:highlight w:val="none"/>
        </w:rPr>
        <w:t>进行解密响应文件。若供应商在规定时间内未按时解密的， 视为无效投标。解密与加密响应文</w:t>
      </w:r>
      <w:r>
        <w:rPr>
          <w:rFonts w:ascii="新宋体" w:hAnsi="新宋体" w:eastAsia="新宋体" w:cs="新宋体"/>
          <w:color w:val="auto"/>
          <w:spacing w:val="-4"/>
          <w:sz w:val="24"/>
          <w:szCs w:val="24"/>
          <w:highlight w:val="none"/>
        </w:rPr>
        <w:t>件须使用同一个</w:t>
      </w:r>
      <w:r>
        <w:rPr>
          <w:rFonts w:ascii="新宋体" w:hAnsi="新宋体" w:eastAsia="新宋体" w:cs="新宋体"/>
          <w:color w:val="auto"/>
          <w:spacing w:val="-50"/>
          <w:sz w:val="24"/>
          <w:szCs w:val="24"/>
          <w:highlight w:val="none"/>
        </w:rPr>
        <w:t xml:space="preserve"> </w:t>
      </w:r>
      <w:r>
        <w:rPr>
          <w:rFonts w:ascii="新宋体" w:hAnsi="新宋体" w:eastAsia="新宋体" w:cs="新宋体"/>
          <w:color w:val="auto"/>
          <w:spacing w:val="-4"/>
          <w:sz w:val="24"/>
          <w:szCs w:val="24"/>
          <w:highlight w:val="none"/>
        </w:rPr>
        <w:t>CA。</w:t>
      </w:r>
    </w:p>
    <w:p w14:paraId="487349C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color w:val="auto"/>
          <w:sz w:val="24"/>
          <w:szCs w:val="24"/>
          <w:highlight w:val="none"/>
        </w:rPr>
      </w:pPr>
      <w:r>
        <w:rPr>
          <w:b/>
          <w:bCs/>
          <w:color w:val="auto"/>
          <w:spacing w:val="-11"/>
          <w:sz w:val="24"/>
          <w:szCs w:val="24"/>
          <w:highlight w:val="none"/>
        </w:rPr>
        <w:t>特别提示：</w:t>
      </w:r>
    </w:p>
    <w:p w14:paraId="31736E3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color w:val="auto"/>
          <w:sz w:val="24"/>
          <w:szCs w:val="24"/>
          <w:highlight w:val="none"/>
        </w:rPr>
      </w:pPr>
      <w:r>
        <w:rPr>
          <w:b/>
          <w:bCs/>
          <w:color w:val="auto"/>
          <w:spacing w:val="-10"/>
          <w:sz w:val="24"/>
          <w:szCs w:val="24"/>
          <w:highlight w:val="none"/>
        </w:rPr>
        <w:t>1、采购限额标准以上，</w:t>
      </w:r>
      <w:r>
        <w:rPr>
          <w:b/>
          <w:bCs/>
          <w:color w:val="auto"/>
          <w:spacing w:val="31"/>
          <w:sz w:val="24"/>
          <w:szCs w:val="24"/>
          <w:highlight w:val="none"/>
        </w:rPr>
        <w:t xml:space="preserve"> </w:t>
      </w:r>
      <w:r>
        <w:rPr>
          <w:b/>
          <w:bCs/>
          <w:color w:val="auto"/>
          <w:spacing w:val="-10"/>
          <w:sz w:val="24"/>
          <w:szCs w:val="24"/>
          <w:highlight w:val="none"/>
        </w:rPr>
        <w:t xml:space="preserve">200 万元以下的货物和服务采购项目、400 </w:t>
      </w:r>
      <w:r>
        <w:rPr>
          <w:b/>
          <w:bCs/>
          <w:color w:val="auto"/>
          <w:spacing w:val="-11"/>
          <w:sz w:val="24"/>
          <w:szCs w:val="24"/>
          <w:highlight w:val="none"/>
        </w:rPr>
        <w:t>万元以下的工程采购项</w:t>
      </w:r>
      <w:r>
        <w:rPr>
          <w:b/>
          <w:bCs/>
          <w:color w:val="auto"/>
          <w:spacing w:val="-3"/>
          <w:sz w:val="24"/>
          <w:szCs w:val="24"/>
          <w:highlight w:val="none"/>
        </w:rPr>
        <w:t>目，适宜由中小企业提供的，采购人应当专门面向中小企业采购。</w:t>
      </w:r>
    </w:p>
    <w:p w14:paraId="1B483D0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b/>
          <w:bCs/>
          <w:color w:val="auto"/>
          <w:spacing w:val="-4"/>
          <w:sz w:val="24"/>
          <w:szCs w:val="24"/>
          <w:highlight w:val="none"/>
        </w:rPr>
      </w:pPr>
      <w:r>
        <w:rPr>
          <w:b/>
          <w:bCs/>
          <w:color w:val="auto"/>
          <w:spacing w:val="-7"/>
          <w:sz w:val="24"/>
          <w:szCs w:val="24"/>
          <w:highlight w:val="none"/>
        </w:rPr>
        <w:t>2、超过 200 万元的货物和服务采购项目，预留该部分采购项目预算</w:t>
      </w:r>
      <w:r>
        <w:rPr>
          <w:b/>
          <w:bCs/>
          <w:color w:val="auto"/>
          <w:spacing w:val="-8"/>
          <w:sz w:val="24"/>
          <w:szCs w:val="24"/>
          <w:highlight w:val="none"/>
        </w:rPr>
        <w:t>总额的 30%以上专门</w:t>
      </w:r>
      <w:r>
        <w:rPr>
          <w:b/>
          <w:bCs/>
          <w:color w:val="auto"/>
          <w:sz w:val="24"/>
          <w:szCs w:val="24"/>
          <w:highlight w:val="none"/>
        </w:rPr>
        <w:t xml:space="preserve"> </w:t>
      </w:r>
      <w:r>
        <w:rPr>
          <w:b/>
          <w:bCs/>
          <w:color w:val="auto"/>
          <w:spacing w:val="-6"/>
          <w:sz w:val="24"/>
          <w:szCs w:val="24"/>
          <w:highlight w:val="none"/>
        </w:rPr>
        <w:t>面向中小企业采购，其中预留给小微企业的比例不低于 60%。</w:t>
      </w:r>
    </w:p>
    <w:p w14:paraId="017837B0">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both"/>
        <w:textAlignment w:val="baseline"/>
        <w:rPr>
          <w:b/>
          <w:bCs/>
          <w:color w:val="auto"/>
          <w:spacing w:val="-9"/>
          <w:sz w:val="24"/>
          <w:szCs w:val="24"/>
          <w:highlight w:val="none"/>
        </w:rPr>
      </w:pPr>
      <w:r>
        <w:rPr>
          <w:b/>
          <w:bCs/>
          <w:color w:val="auto"/>
          <w:spacing w:val="-4"/>
          <w:sz w:val="24"/>
          <w:szCs w:val="24"/>
          <w:highlight w:val="none"/>
        </w:rPr>
        <w:t>3、超过 400 万元的工程采购项目中适宜由中小企业提供的，预留该部分采购项目预算总</w:t>
      </w:r>
      <w:r>
        <w:rPr>
          <w:b/>
          <w:bCs/>
          <w:color w:val="auto"/>
          <w:spacing w:val="18"/>
          <w:w w:val="101"/>
          <w:sz w:val="24"/>
          <w:szCs w:val="24"/>
          <w:highlight w:val="none"/>
        </w:rPr>
        <w:t xml:space="preserve"> </w:t>
      </w:r>
      <w:r>
        <w:rPr>
          <w:b/>
          <w:bCs/>
          <w:color w:val="auto"/>
          <w:spacing w:val="-8"/>
          <w:sz w:val="24"/>
          <w:szCs w:val="24"/>
          <w:highlight w:val="none"/>
        </w:rPr>
        <w:t>额的 40%以上专门面向中小企业采购，其中预留给</w:t>
      </w:r>
      <w:r>
        <w:rPr>
          <w:b/>
          <w:bCs/>
          <w:color w:val="auto"/>
          <w:spacing w:val="-9"/>
          <w:sz w:val="24"/>
          <w:szCs w:val="24"/>
          <w:highlight w:val="none"/>
        </w:rPr>
        <w:t>小微企业的比例不低于 60%。</w:t>
      </w:r>
    </w:p>
    <w:p w14:paraId="58468B89">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rPr>
          <w:color w:val="auto"/>
          <w:sz w:val="24"/>
          <w:szCs w:val="24"/>
          <w:highlight w:val="none"/>
        </w:rPr>
      </w:pPr>
      <w:r>
        <w:rPr>
          <w:b/>
          <w:bCs/>
          <w:color w:val="auto"/>
          <w:spacing w:val="-1"/>
          <w:sz w:val="24"/>
          <w:szCs w:val="24"/>
          <w:highlight w:val="none"/>
        </w:rPr>
        <w:t>4、对于未预留份额专门面向中小企业的采购项目，以及预留份额项目中的非预留部分采</w:t>
      </w:r>
      <w:r>
        <w:rPr>
          <w:b/>
          <w:bCs/>
          <w:color w:val="auto"/>
          <w:sz w:val="24"/>
          <w:szCs w:val="24"/>
          <w:highlight w:val="none"/>
        </w:rPr>
        <w:t xml:space="preserve">    </w:t>
      </w:r>
      <w:r>
        <w:rPr>
          <w:b/>
          <w:bCs/>
          <w:color w:val="auto"/>
          <w:spacing w:val="-15"/>
          <w:w w:val="97"/>
          <w:sz w:val="24"/>
          <w:szCs w:val="24"/>
          <w:highlight w:val="none"/>
        </w:rPr>
        <w:t>购包，采购人、采购代理机构应当对符合规定的小微企业报价给予</w:t>
      </w:r>
      <w:r>
        <w:rPr>
          <w:b/>
          <w:bCs/>
          <w:color w:val="auto"/>
          <w:spacing w:val="57"/>
          <w:w w:val="101"/>
          <w:sz w:val="24"/>
          <w:szCs w:val="24"/>
          <w:highlight w:val="none"/>
        </w:rPr>
        <w:t xml:space="preserve"> </w:t>
      </w:r>
      <w:r>
        <w:rPr>
          <w:b/>
          <w:bCs/>
          <w:color w:val="auto"/>
          <w:spacing w:val="-15"/>
          <w:w w:val="97"/>
          <w:sz w:val="24"/>
          <w:szCs w:val="24"/>
          <w:highlight w:val="none"/>
        </w:rPr>
        <w:t>10%~20%（工程项目为 3%~5%）</w:t>
      </w:r>
      <w:r>
        <w:rPr>
          <w:b/>
          <w:bCs/>
          <w:color w:val="auto"/>
          <w:sz w:val="24"/>
          <w:szCs w:val="24"/>
          <w:highlight w:val="none"/>
        </w:rPr>
        <w:t xml:space="preserve"> </w:t>
      </w:r>
      <w:r>
        <w:rPr>
          <w:b/>
          <w:bCs/>
          <w:color w:val="auto"/>
          <w:spacing w:val="-3"/>
          <w:sz w:val="24"/>
          <w:szCs w:val="24"/>
          <w:highlight w:val="none"/>
        </w:rPr>
        <w:t>的扣除，用扣除后的价格参加评审。适用招标投标法的政府采购工程建设项目，采用综合评估</w:t>
      </w:r>
      <w:r>
        <w:rPr>
          <w:b/>
          <w:bCs/>
          <w:color w:val="auto"/>
          <w:spacing w:val="1"/>
          <w:sz w:val="24"/>
          <w:szCs w:val="24"/>
          <w:highlight w:val="none"/>
        </w:rPr>
        <w:t xml:space="preserve">    </w:t>
      </w:r>
      <w:r>
        <w:rPr>
          <w:b/>
          <w:bCs/>
          <w:color w:val="auto"/>
          <w:spacing w:val="-3"/>
          <w:sz w:val="24"/>
          <w:szCs w:val="24"/>
          <w:highlight w:val="none"/>
        </w:rPr>
        <w:t>法但未采用低价优先法计算价格分的，评标时应当在采用原报价进行评分的基础上增加其价格</w:t>
      </w:r>
      <w:r>
        <w:rPr>
          <w:b/>
          <w:bCs/>
          <w:color w:val="auto"/>
          <w:spacing w:val="1"/>
          <w:sz w:val="24"/>
          <w:szCs w:val="24"/>
          <w:highlight w:val="none"/>
        </w:rPr>
        <w:t xml:space="preserve">    </w:t>
      </w:r>
      <w:r>
        <w:rPr>
          <w:b/>
          <w:bCs/>
          <w:color w:val="auto"/>
          <w:spacing w:val="-18"/>
          <w:w w:val="98"/>
          <w:sz w:val="24"/>
          <w:szCs w:val="24"/>
          <w:highlight w:val="none"/>
        </w:rPr>
        <w:t>得分的 3%~5%作为其价格分。</w:t>
      </w:r>
    </w:p>
    <w:p w14:paraId="74797B40">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rPr>
          <w:b/>
          <w:bCs/>
          <w:color w:val="auto"/>
          <w:spacing w:val="-1"/>
          <w:sz w:val="24"/>
          <w:szCs w:val="24"/>
          <w:highlight w:val="none"/>
        </w:rPr>
      </w:pPr>
      <w:r>
        <w:rPr>
          <w:b/>
          <w:bCs/>
          <w:color w:val="auto"/>
          <w:spacing w:val="-1"/>
          <w:sz w:val="24"/>
          <w:szCs w:val="24"/>
          <w:highlight w:val="none"/>
        </w:rPr>
        <w:t>5、接受大中型企业与小微企业组成联合体或者允许大中型企业向一家或者多家小微企业 分包的采购项目，对于联合协议或者分包意向协议约定小微企业的合同份额占到合同总金额   30%以上的，采购人、采购代理机构应当对联合体或者大中型企业的报价给予 4%~6%（工程项  目为 1%~2%）的扣除，用扣除后的价格参加评审。适用招标投标法的政府采购工程建设项目， 采用综合评估法但未采用低价优先法计算价格分的，评标时应当在采用原报价进行评分的基础 上增加其价格得分的 1%~2%作为其价格分。</w:t>
      </w:r>
    </w:p>
    <w:p w14:paraId="4AF88C4F">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rPr>
          <w:b/>
          <w:bCs/>
          <w:color w:val="auto"/>
          <w:spacing w:val="-1"/>
          <w:sz w:val="24"/>
          <w:szCs w:val="24"/>
          <w:highlight w:val="none"/>
        </w:rPr>
      </w:pPr>
      <w:r>
        <w:rPr>
          <w:b/>
          <w:bCs/>
          <w:color w:val="auto"/>
          <w:spacing w:val="-1"/>
          <w:sz w:val="24"/>
          <w:szCs w:val="24"/>
          <w:highlight w:val="none"/>
        </w:rPr>
        <w:t>七、对本次招标提出询问，请按以下方式联系。</w:t>
      </w:r>
    </w:p>
    <w:p w14:paraId="224C32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1.采购人信息</w:t>
      </w:r>
    </w:p>
    <w:p w14:paraId="65EFF1D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名称：</w:t>
      </w:r>
      <w:r>
        <w:rPr>
          <w:rFonts w:hint="eastAsia" w:ascii="新宋体" w:hAnsi="新宋体" w:eastAsia="新宋体" w:cs="新宋体"/>
          <w:color w:val="auto"/>
          <w:sz w:val="24"/>
          <w:szCs w:val="24"/>
          <w:highlight w:val="none"/>
          <w:lang w:eastAsia="zh-CN"/>
        </w:rPr>
        <w:t>伊犁哈萨克自治州纤维检验所</w:t>
      </w:r>
      <w:r>
        <w:rPr>
          <w:rFonts w:hint="eastAsia" w:ascii="新宋体" w:hAnsi="新宋体" w:eastAsia="新宋体" w:cs="新宋体"/>
          <w:color w:val="auto"/>
          <w:sz w:val="24"/>
          <w:szCs w:val="24"/>
          <w:highlight w:val="none"/>
        </w:rPr>
        <w:t xml:space="preserve"> </w:t>
      </w:r>
    </w:p>
    <w:p w14:paraId="29D947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地址：伊宁市</w:t>
      </w:r>
    </w:p>
    <w:p w14:paraId="1CCAF8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联系方式：18009991686 </w:t>
      </w:r>
    </w:p>
    <w:p w14:paraId="7C7D2B5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2.采购代理机构信息</w:t>
      </w:r>
    </w:p>
    <w:p w14:paraId="2903BC2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名称：</w:t>
      </w:r>
      <w:r>
        <w:rPr>
          <w:rFonts w:hint="eastAsia" w:ascii="新宋体" w:hAnsi="新宋体" w:eastAsia="新宋体" w:cs="新宋体"/>
          <w:color w:val="auto"/>
          <w:sz w:val="24"/>
          <w:szCs w:val="24"/>
          <w:highlight w:val="none"/>
          <w:lang w:eastAsia="zh-CN"/>
        </w:rPr>
        <w:t>新疆惠合正德工程管理有限公司</w:t>
      </w:r>
    </w:p>
    <w:p w14:paraId="4B16615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地址：伊宁市西环路306号开元新城3号楼1</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层（写字楼）</w:t>
      </w:r>
    </w:p>
    <w:p w14:paraId="142FEB4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联系方式：</w:t>
      </w:r>
      <w:r>
        <w:rPr>
          <w:rFonts w:hint="eastAsia" w:ascii="新宋体" w:hAnsi="新宋体" w:eastAsia="新宋体" w:cs="新宋体"/>
          <w:color w:val="auto"/>
          <w:sz w:val="24"/>
          <w:szCs w:val="24"/>
          <w:highlight w:val="none"/>
          <w:lang w:eastAsia="zh-CN"/>
        </w:rPr>
        <w:t>15292770229</w:t>
      </w:r>
    </w:p>
    <w:p w14:paraId="372B3D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3.项目联系方式</w:t>
      </w:r>
    </w:p>
    <w:p w14:paraId="7BA51B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项目联系人：</w:t>
      </w:r>
      <w:r>
        <w:rPr>
          <w:rFonts w:hint="eastAsia" w:ascii="新宋体" w:hAnsi="新宋体" w:eastAsia="新宋体" w:cs="新宋体"/>
          <w:color w:val="auto"/>
          <w:sz w:val="24"/>
          <w:szCs w:val="24"/>
          <w:highlight w:val="none"/>
          <w:lang w:eastAsia="zh-CN"/>
        </w:rPr>
        <w:t>王雪梅</w:t>
      </w:r>
      <w:r>
        <w:rPr>
          <w:rFonts w:hint="eastAsia" w:ascii="新宋体" w:hAnsi="新宋体" w:eastAsia="新宋体" w:cs="新宋体"/>
          <w:color w:val="auto"/>
          <w:sz w:val="24"/>
          <w:szCs w:val="24"/>
          <w:highlight w:val="none"/>
        </w:rPr>
        <w:t xml:space="preserve">  </w:t>
      </w:r>
    </w:p>
    <w:p w14:paraId="2537F2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电话：</w:t>
      </w:r>
      <w:r>
        <w:rPr>
          <w:rFonts w:hint="eastAsia" w:ascii="新宋体" w:hAnsi="新宋体" w:eastAsia="新宋体" w:cs="新宋体"/>
          <w:color w:val="auto"/>
          <w:sz w:val="24"/>
          <w:szCs w:val="24"/>
          <w:highlight w:val="none"/>
          <w:lang w:eastAsia="zh-CN"/>
        </w:rPr>
        <w:t>15292770229</w:t>
      </w:r>
    </w:p>
    <w:p w14:paraId="62294B5F">
      <w:pPr>
        <w:pStyle w:val="5"/>
        <w:rPr>
          <w:rFonts w:ascii="新宋体" w:hAnsi="新宋体" w:eastAsia="新宋体" w:cs="新宋体"/>
          <w:color w:val="auto"/>
          <w:spacing w:val="-5"/>
          <w:sz w:val="24"/>
          <w:szCs w:val="24"/>
          <w:highlight w:val="none"/>
        </w:rPr>
      </w:pPr>
    </w:p>
    <w:p w14:paraId="658949F2">
      <w:pPr>
        <w:spacing w:line="249" w:lineRule="auto"/>
        <w:rPr>
          <w:rFonts w:ascii="Arial"/>
          <w:color w:val="auto"/>
          <w:sz w:val="21"/>
          <w:highlight w:val="none"/>
        </w:rPr>
      </w:pPr>
    </w:p>
    <w:p w14:paraId="0AD1DE22">
      <w:pPr>
        <w:pStyle w:val="5"/>
        <w:rPr>
          <w:rFonts w:ascii="Arial"/>
          <w:color w:val="auto"/>
          <w:sz w:val="21"/>
          <w:highlight w:val="none"/>
        </w:rPr>
      </w:pPr>
    </w:p>
    <w:p w14:paraId="4CDC8617">
      <w:pPr>
        <w:pStyle w:val="9"/>
        <w:rPr>
          <w:rFonts w:ascii="Arial"/>
          <w:color w:val="auto"/>
          <w:sz w:val="21"/>
          <w:highlight w:val="none"/>
        </w:rPr>
      </w:pPr>
    </w:p>
    <w:p w14:paraId="13A629FA">
      <w:pPr>
        <w:pStyle w:val="9"/>
        <w:rPr>
          <w:rFonts w:ascii="Arial"/>
          <w:color w:val="auto"/>
          <w:sz w:val="21"/>
          <w:highlight w:val="none"/>
        </w:rPr>
      </w:pPr>
    </w:p>
    <w:p w14:paraId="1A7266F9">
      <w:pPr>
        <w:pStyle w:val="9"/>
        <w:rPr>
          <w:rFonts w:ascii="Arial"/>
          <w:color w:val="auto"/>
          <w:sz w:val="21"/>
          <w:highlight w:val="none"/>
        </w:rPr>
      </w:pPr>
    </w:p>
    <w:p w14:paraId="52CA9B79">
      <w:pPr>
        <w:pStyle w:val="9"/>
        <w:rPr>
          <w:rFonts w:ascii="Arial"/>
          <w:color w:val="auto"/>
          <w:sz w:val="21"/>
          <w:highlight w:val="none"/>
        </w:rPr>
      </w:pPr>
    </w:p>
    <w:p w14:paraId="37E012AC">
      <w:pPr>
        <w:pStyle w:val="9"/>
        <w:rPr>
          <w:rFonts w:ascii="Arial"/>
          <w:color w:val="auto"/>
          <w:sz w:val="21"/>
          <w:highlight w:val="none"/>
        </w:rPr>
      </w:pPr>
    </w:p>
    <w:p w14:paraId="39F9E96B">
      <w:pPr>
        <w:pStyle w:val="9"/>
        <w:rPr>
          <w:rFonts w:ascii="Arial"/>
          <w:color w:val="auto"/>
          <w:sz w:val="21"/>
          <w:highlight w:val="none"/>
        </w:rPr>
      </w:pPr>
    </w:p>
    <w:p w14:paraId="4C07797D">
      <w:pPr>
        <w:pStyle w:val="4"/>
        <w:spacing w:before="129" w:line="182" w:lineRule="auto"/>
        <w:outlineLvl w:val="0"/>
        <w:rPr>
          <w:b/>
          <w:bCs/>
          <w:color w:val="auto"/>
          <w:spacing w:val="-6"/>
          <w:sz w:val="30"/>
          <w:szCs w:val="30"/>
          <w:highlight w:val="none"/>
        </w:rPr>
      </w:pPr>
      <w:bookmarkStart w:id="4" w:name="bookmark3"/>
      <w:bookmarkEnd w:id="4"/>
    </w:p>
    <w:p w14:paraId="708DF6FE">
      <w:pPr>
        <w:pStyle w:val="4"/>
        <w:spacing w:before="129" w:line="182" w:lineRule="auto"/>
        <w:outlineLvl w:val="0"/>
        <w:rPr>
          <w:b/>
          <w:bCs/>
          <w:color w:val="auto"/>
          <w:spacing w:val="-6"/>
          <w:sz w:val="30"/>
          <w:szCs w:val="30"/>
          <w:highlight w:val="none"/>
        </w:rPr>
      </w:pPr>
    </w:p>
    <w:p w14:paraId="79FB1622">
      <w:pPr>
        <w:pStyle w:val="4"/>
        <w:spacing w:before="129" w:line="182" w:lineRule="auto"/>
        <w:outlineLvl w:val="0"/>
        <w:rPr>
          <w:b/>
          <w:bCs/>
          <w:color w:val="auto"/>
          <w:spacing w:val="-6"/>
          <w:sz w:val="30"/>
          <w:szCs w:val="30"/>
          <w:highlight w:val="none"/>
        </w:rPr>
      </w:pPr>
    </w:p>
    <w:p w14:paraId="6D5A3941">
      <w:pPr>
        <w:pStyle w:val="4"/>
        <w:spacing w:before="129" w:line="182" w:lineRule="auto"/>
        <w:outlineLvl w:val="0"/>
        <w:rPr>
          <w:b/>
          <w:bCs/>
          <w:color w:val="auto"/>
          <w:spacing w:val="-6"/>
          <w:sz w:val="30"/>
          <w:szCs w:val="30"/>
          <w:highlight w:val="none"/>
        </w:rPr>
      </w:pPr>
    </w:p>
    <w:p w14:paraId="1E203E17">
      <w:pPr>
        <w:pStyle w:val="4"/>
        <w:spacing w:before="129" w:line="182" w:lineRule="auto"/>
        <w:outlineLvl w:val="0"/>
        <w:rPr>
          <w:b/>
          <w:bCs/>
          <w:color w:val="auto"/>
          <w:spacing w:val="-6"/>
          <w:sz w:val="30"/>
          <w:szCs w:val="30"/>
          <w:highlight w:val="none"/>
        </w:rPr>
      </w:pPr>
    </w:p>
    <w:p w14:paraId="3B8C13E3">
      <w:pPr>
        <w:pStyle w:val="4"/>
        <w:spacing w:before="129" w:line="182" w:lineRule="auto"/>
        <w:outlineLvl w:val="0"/>
        <w:rPr>
          <w:b/>
          <w:bCs/>
          <w:color w:val="auto"/>
          <w:spacing w:val="-6"/>
          <w:sz w:val="30"/>
          <w:szCs w:val="30"/>
          <w:highlight w:val="none"/>
        </w:rPr>
      </w:pPr>
    </w:p>
    <w:p w14:paraId="52FF9947">
      <w:pPr>
        <w:pStyle w:val="4"/>
        <w:spacing w:before="129" w:line="182" w:lineRule="auto"/>
        <w:outlineLvl w:val="0"/>
        <w:rPr>
          <w:b/>
          <w:bCs/>
          <w:color w:val="auto"/>
          <w:spacing w:val="-6"/>
          <w:sz w:val="30"/>
          <w:szCs w:val="30"/>
          <w:highlight w:val="none"/>
        </w:rPr>
      </w:pPr>
    </w:p>
    <w:p w14:paraId="29C5C888">
      <w:pPr>
        <w:pStyle w:val="4"/>
        <w:spacing w:before="129" w:line="182" w:lineRule="auto"/>
        <w:jc w:val="center"/>
        <w:outlineLvl w:val="0"/>
        <w:rPr>
          <w:color w:val="auto"/>
          <w:sz w:val="30"/>
          <w:szCs w:val="30"/>
          <w:highlight w:val="none"/>
        </w:rPr>
      </w:pPr>
      <w:bookmarkStart w:id="5" w:name="_Toc12597"/>
      <w:r>
        <w:rPr>
          <w:b/>
          <w:bCs/>
          <w:color w:val="auto"/>
          <w:spacing w:val="-6"/>
          <w:sz w:val="30"/>
          <w:szCs w:val="30"/>
          <w:highlight w:val="none"/>
        </w:rPr>
        <w:t>第二章</w:t>
      </w:r>
      <w:r>
        <w:rPr>
          <w:b/>
          <w:bCs/>
          <w:color w:val="auto"/>
          <w:spacing w:val="16"/>
          <w:sz w:val="30"/>
          <w:szCs w:val="30"/>
          <w:highlight w:val="none"/>
        </w:rPr>
        <w:t xml:space="preserve">   </w:t>
      </w:r>
      <w:r>
        <w:rPr>
          <w:b/>
          <w:bCs/>
          <w:color w:val="auto"/>
          <w:spacing w:val="-6"/>
          <w:sz w:val="30"/>
          <w:szCs w:val="30"/>
          <w:highlight w:val="none"/>
        </w:rPr>
        <w:t>投标人须知</w:t>
      </w:r>
      <w:bookmarkEnd w:id="5"/>
    </w:p>
    <w:p w14:paraId="2BA2C4A0">
      <w:pPr>
        <w:pStyle w:val="4"/>
        <w:spacing w:line="240" w:lineRule="auto"/>
        <w:ind w:left="0" w:right="0" w:firstLine="0"/>
        <w:jc w:val="both"/>
        <w:rPr>
          <w:b/>
          <w:bCs/>
          <w:color w:val="auto"/>
          <w:spacing w:val="3"/>
          <w:sz w:val="24"/>
          <w:szCs w:val="24"/>
          <w:highlight w:val="none"/>
        </w:rPr>
      </w:pPr>
      <w:r>
        <w:rPr>
          <w:b/>
          <w:bCs/>
          <w:color w:val="auto"/>
          <w:spacing w:val="-5"/>
          <w:sz w:val="24"/>
          <w:szCs w:val="24"/>
          <w:highlight w:val="none"/>
        </w:rPr>
        <w:t>一、投标人须知前附表</w:t>
      </w:r>
    </w:p>
    <w:p w14:paraId="132F92ED">
      <w:pPr>
        <w:pStyle w:val="4"/>
        <w:spacing w:line="240" w:lineRule="auto"/>
        <w:ind w:left="0" w:right="0" w:firstLine="0"/>
        <w:rPr>
          <w:color w:val="auto"/>
          <w:sz w:val="21"/>
          <w:szCs w:val="21"/>
          <w:highlight w:val="none"/>
        </w:rPr>
      </w:pPr>
      <w:r>
        <w:rPr>
          <w:b/>
          <w:bCs/>
          <w:color w:val="auto"/>
          <w:spacing w:val="-2"/>
          <w:sz w:val="21"/>
          <w:szCs w:val="21"/>
          <w:highlight w:val="none"/>
        </w:rPr>
        <w:t>正文部分与前附表如有矛盾，以本须知前附表为准。</w:t>
      </w:r>
    </w:p>
    <w:tbl>
      <w:tblPr>
        <w:tblStyle w:val="16"/>
        <w:tblW w:w="94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
        <w:gridCol w:w="728"/>
        <w:gridCol w:w="1860"/>
        <w:gridCol w:w="6855"/>
      </w:tblGrid>
      <w:tr w14:paraId="33BA5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733" w:type="dxa"/>
            <w:gridSpan w:val="2"/>
            <w:vAlign w:val="top"/>
          </w:tcPr>
          <w:p w14:paraId="49CC1FC9">
            <w:pPr>
              <w:pStyle w:val="17"/>
              <w:spacing w:before="133" w:line="225" w:lineRule="auto"/>
              <w:ind w:left="279"/>
              <w:rPr>
                <w:color w:val="auto"/>
                <w:sz w:val="21"/>
                <w:szCs w:val="21"/>
                <w:highlight w:val="none"/>
              </w:rPr>
            </w:pPr>
            <w:r>
              <w:rPr>
                <w:color w:val="auto"/>
                <w:spacing w:val="-4"/>
                <w:sz w:val="21"/>
                <w:szCs w:val="21"/>
                <w:highlight w:val="none"/>
              </w:rPr>
              <w:t>序号</w:t>
            </w:r>
          </w:p>
        </w:tc>
        <w:tc>
          <w:tcPr>
            <w:tcW w:w="1860" w:type="dxa"/>
            <w:vAlign w:val="top"/>
          </w:tcPr>
          <w:p w14:paraId="577AD589">
            <w:pPr>
              <w:pStyle w:val="17"/>
              <w:spacing w:before="133" w:line="224" w:lineRule="auto"/>
              <w:ind w:left="692"/>
              <w:rPr>
                <w:color w:val="auto"/>
                <w:sz w:val="21"/>
                <w:szCs w:val="21"/>
                <w:highlight w:val="none"/>
              </w:rPr>
            </w:pPr>
            <w:r>
              <w:rPr>
                <w:color w:val="auto"/>
                <w:spacing w:val="-10"/>
                <w:sz w:val="21"/>
                <w:szCs w:val="21"/>
                <w:highlight w:val="none"/>
              </w:rPr>
              <w:t>内容</w:t>
            </w:r>
          </w:p>
        </w:tc>
        <w:tc>
          <w:tcPr>
            <w:tcW w:w="6855" w:type="dxa"/>
            <w:vAlign w:val="top"/>
          </w:tcPr>
          <w:p w14:paraId="31548985">
            <w:pPr>
              <w:pStyle w:val="17"/>
              <w:spacing w:before="133" w:line="224" w:lineRule="auto"/>
              <w:ind w:left="3215"/>
              <w:rPr>
                <w:color w:val="auto"/>
                <w:sz w:val="21"/>
                <w:szCs w:val="21"/>
                <w:highlight w:val="none"/>
              </w:rPr>
            </w:pPr>
            <w:r>
              <w:rPr>
                <w:color w:val="auto"/>
                <w:spacing w:val="-3"/>
                <w:sz w:val="21"/>
                <w:szCs w:val="21"/>
                <w:highlight w:val="none"/>
              </w:rPr>
              <w:t>说明与要求</w:t>
            </w:r>
          </w:p>
        </w:tc>
      </w:tr>
      <w:tr w14:paraId="14E02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733" w:type="dxa"/>
            <w:gridSpan w:val="2"/>
            <w:vAlign w:val="top"/>
          </w:tcPr>
          <w:p w14:paraId="3127FF0C">
            <w:pPr>
              <w:pStyle w:val="17"/>
              <w:spacing w:before="169" w:line="182" w:lineRule="auto"/>
              <w:ind w:left="445"/>
              <w:rPr>
                <w:color w:val="auto"/>
                <w:sz w:val="21"/>
                <w:szCs w:val="21"/>
                <w:highlight w:val="none"/>
              </w:rPr>
            </w:pPr>
            <w:r>
              <w:rPr>
                <w:color w:val="auto"/>
                <w:sz w:val="21"/>
                <w:szCs w:val="21"/>
                <w:highlight w:val="none"/>
              </w:rPr>
              <w:t>1</w:t>
            </w:r>
          </w:p>
        </w:tc>
        <w:tc>
          <w:tcPr>
            <w:tcW w:w="1860" w:type="dxa"/>
            <w:vAlign w:val="top"/>
          </w:tcPr>
          <w:p w14:paraId="63258199">
            <w:pPr>
              <w:pStyle w:val="17"/>
              <w:spacing w:before="132" w:line="224" w:lineRule="auto"/>
              <w:ind w:left="457"/>
              <w:rPr>
                <w:color w:val="auto"/>
                <w:sz w:val="21"/>
                <w:szCs w:val="21"/>
                <w:highlight w:val="none"/>
              </w:rPr>
            </w:pPr>
            <w:r>
              <w:rPr>
                <w:color w:val="auto"/>
                <w:spacing w:val="-3"/>
                <w:sz w:val="21"/>
                <w:szCs w:val="21"/>
                <w:highlight w:val="none"/>
              </w:rPr>
              <w:t>项目名称</w:t>
            </w:r>
          </w:p>
        </w:tc>
        <w:tc>
          <w:tcPr>
            <w:tcW w:w="6855" w:type="dxa"/>
            <w:vAlign w:val="top"/>
          </w:tcPr>
          <w:p w14:paraId="42D77016">
            <w:pPr>
              <w:pStyle w:val="17"/>
              <w:spacing w:before="132" w:line="223" w:lineRule="auto"/>
              <w:ind w:left="117"/>
              <w:rPr>
                <w:rFonts w:hint="eastAsia" w:eastAsia="新宋体"/>
                <w:color w:val="auto"/>
                <w:sz w:val="21"/>
                <w:szCs w:val="21"/>
                <w:highlight w:val="none"/>
                <w:lang w:eastAsia="zh-CN"/>
              </w:rPr>
            </w:pPr>
            <w:r>
              <w:rPr>
                <w:rFonts w:hint="eastAsia"/>
                <w:color w:val="auto"/>
                <w:spacing w:val="-1"/>
                <w:sz w:val="21"/>
                <w:szCs w:val="21"/>
                <w:highlight w:val="none"/>
                <w:lang w:eastAsia="zh-CN"/>
              </w:rPr>
              <w:t>伊犁哈萨克自治州纤维检验所2025年棉花公证检验及纺织品检验仪器设备购置项目（</w:t>
            </w:r>
            <w:r>
              <w:rPr>
                <w:rFonts w:hint="eastAsia"/>
                <w:color w:val="auto"/>
                <w:spacing w:val="-1"/>
                <w:sz w:val="21"/>
                <w:szCs w:val="21"/>
                <w:highlight w:val="none"/>
                <w:lang w:val="en-US" w:eastAsia="zh-CN"/>
              </w:rPr>
              <w:t>二次</w:t>
            </w:r>
            <w:r>
              <w:rPr>
                <w:rFonts w:hint="eastAsia"/>
                <w:color w:val="auto"/>
                <w:spacing w:val="-1"/>
                <w:sz w:val="21"/>
                <w:szCs w:val="21"/>
                <w:highlight w:val="none"/>
                <w:lang w:eastAsia="zh-CN"/>
              </w:rPr>
              <w:t>）</w:t>
            </w:r>
          </w:p>
        </w:tc>
      </w:tr>
      <w:tr w14:paraId="62FA9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733" w:type="dxa"/>
            <w:gridSpan w:val="2"/>
            <w:vAlign w:val="top"/>
          </w:tcPr>
          <w:p w14:paraId="47E676D8">
            <w:pPr>
              <w:pStyle w:val="17"/>
              <w:spacing w:before="166" w:line="181" w:lineRule="auto"/>
              <w:ind w:left="432"/>
              <w:rPr>
                <w:color w:val="auto"/>
                <w:sz w:val="21"/>
                <w:szCs w:val="21"/>
                <w:highlight w:val="none"/>
              </w:rPr>
            </w:pPr>
            <w:r>
              <w:rPr>
                <w:color w:val="auto"/>
                <w:sz w:val="21"/>
                <w:szCs w:val="21"/>
                <w:highlight w:val="none"/>
              </w:rPr>
              <w:t>2</w:t>
            </w:r>
          </w:p>
        </w:tc>
        <w:tc>
          <w:tcPr>
            <w:tcW w:w="1860" w:type="dxa"/>
            <w:vAlign w:val="top"/>
          </w:tcPr>
          <w:p w14:paraId="6C06EC32">
            <w:pPr>
              <w:pStyle w:val="17"/>
              <w:spacing w:before="127" w:line="224" w:lineRule="auto"/>
              <w:ind w:left="457"/>
              <w:rPr>
                <w:color w:val="auto"/>
                <w:sz w:val="21"/>
                <w:szCs w:val="21"/>
                <w:highlight w:val="none"/>
              </w:rPr>
            </w:pPr>
            <w:r>
              <w:rPr>
                <w:color w:val="auto"/>
                <w:spacing w:val="-3"/>
                <w:sz w:val="21"/>
                <w:szCs w:val="21"/>
                <w:highlight w:val="none"/>
              </w:rPr>
              <w:t>项目编号</w:t>
            </w:r>
          </w:p>
        </w:tc>
        <w:tc>
          <w:tcPr>
            <w:tcW w:w="6855" w:type="dxa"/>
            <w:vAlign w:val="top"/>
          </w:tcPr>
          <w:p w14:paraId="219E6E8A">
            <w:pPr>
              <w:pStyle w:val="17"/>
              <w:spacing w:before="164" w:line="183" w:lineRule="auto"/>
              <w:ind w:left="109"/>
              <w:rPr>
                <w:rFonts w:hint="default"/>
                <w:color w:val="auto"/>
                <w:sz w:val="21"/>
                <w:szCs w:val="21"/>
                <w:highlight w:val="none"/>
                <w:lang w:val="en-US"/>
              </w:rPr>
            </w:pPr>
            <w:r>
              <w:rPr>
                <w:rFonts w:hint="eastAsia"/>
                <w:color w:val="auto"/>
                <w:spacing w:val="-3"/>
                <w:sz w:val="21"/>
                <w:szCs w:val="21"/>
                <w:highlight w:val="none"/>
                <w:lang w:val="en-US" w:eastAsia="zh-CN"/>
              </w:rPr>
              <w:t>XJHHZDYL2025-066</w:t>
            </w:r>
          </w:p>
        </w:tc>
      </w:tr>
      <w:tr w14:paraId="67F45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733" w:type="dxa"/>
            <w:gridSpan w:val="2"/>
            <w:vAlign w:val="top"/>
          </w:tcPr>
          <w:p w14:paraId="35614112">
            <w:pPr>
              <w:spacing w:line="251" w:lineRule="auto"/>
              <w:rPr>
                <w:rFonts w:ascii="Arial"/>
                <w:color w:val="auto"/>
                <w:sz w:val="21"/>
                <w:highlight w:val="none"/>
              </w:rPr>
            </w:pPr>
          </w:p>
          <w:p w14:paraId="3C1AA5EC">
            <w:pPr>
              <w:pStyle w:val="17"/>
              <w:spacing w:before="68" w:line="181" w:lineRule="auto"/>
              <w:ind w:left="434"/>
              <w:rPr>
                <w:color w:val="auto"/>
                <w:sz w:val="21"/>
                <w:szCs w:val="21"/>
                <w:highlight w:val="none"/>
              </w:rPr>
            </w:pPr>
            <w:r>
              <w:rPr>
                <w:color w:val="auto"/>
                <w:sz w:val="21"/>
                <w:szCs w:val="21"/>
                <w:highlight w:val="none"/>
              </w:rPr>
              <w:t>3</w:t>
            </w:r>
          </w:p>
        </w:tc>
        <w:tc>
          <w:tcPr>
            <w:tcW w:w="1860" w:type="dxa"/>
            <w:vAlign w:val="top"/>
          </w:tcPr>
          <w:p w14:paraId="36EA7FB1">
            <w:pPr>
              <w:pStyle w:val="17"/>
              <w:spacing w:before="283" w:line="224" w:lineRule="auto"/>
              <w:ind w:left="252"/>
              <w:rPr>
                <w:color w:val="auto"/>
                <w:sz w:val="21"/>
                <w:szCs w:val="21"/>
                <w:highlight w:val="none"/>
              </w:rPr>
            </w:pPr>
            <w:r>
              <w:rPr>
                <w:color w:val="auto"/>
                <w:spacing w:val="-3"/>
                <w:sz w:val="21"/>
                <w:szCs w:val="21"/>
                <w:highlight w:val="none"/>
              </w:rPr>
              <w:t>合同履行期限</w:t>
            </w:r>
          </w:p>
        </w:tc>
        <w:tc>
          <w:tcPr>
            <w:tcW w:w="6855" w:type="dxa"/>
            <w:vAlign w:val="top"/>
          </w:tcPr>
          <w:p w14:paraId="66E9A819">
            <w:pPr>
              <w:pStyle w:val="17"/>
              <w:spacing w:before="101" w:line="267" w:lineRule="auto"/>
              <w:ind w:left="114" w:right="105" w:firstLine="39"/>
              <w:rPr>
                <w:color w:val="auto"/>
                <w:sz w:val="21"/>
                <w:szCs w:val="21"/>
                <w:highlight w:val="none"/>
              </w:rPr>
            </w:pPr>
            <w:r>
              <w:rPr>
                <w:rFonts w:hint="eastAsia"/>
                <w:color w:val="auto"/>
                <w:spacing w:val="-3"/>
                <w:sz w:val="21"/>
                <w:szCs w:val="21"/>
                <w:highlight w:val="none"/>
              </w:rPr>
              <w:t>自合同签订之日起 60 日历天内完成供货、安装调试及人员培训可达到能够独立操作的水平，如遇不可抗拒因素导致延期另行约定。</w:t>
            </w:r>
          </w:p>
        </w:tc>
      </w:tr>
      <w:tr w14:paraId="1A872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733" w:type="dxa"/>
            <w:gridSpan w:val="2"/>
            <w:vAlign w:val="top"/>
          </w:tcPr>
          <w:p w14:paraId="1FDDC19C">
            <w:pPr>
              <w:pStyle w:val="17"/>
              <w:spacing w:before="150" w:line="181" w:lineRule="auto"/>
              <w:ind w:left="429"/>
              <w:rPr>
                <w:color w:val="auto"/>
                <w:sz w:val="21"/>
                <w:szCs w:val="21"/>
                <w:highlight w:val="none"/>
              </w:rPr>
            </w:pPr>
            <w:r>
              <w:rPr>
                <w:color w:val="auto"/>
                <w:sz w:val="21"/>
                <w:szCs w:val="21"/>
                <w:highlight w:val="none"/>
              </w:rPr>
              <w:t>4</w:t>
            </w:r>
          </w:p>
        </w:tc>
        <w:tc>
          <w:tcPr>
            <w:tcW w:w="1860" w:type="dxa"/>
            <w:vAlign w:val="top"/>
          </w:tcPr>
          <w:p w14:paraId="56EBEC25">
            <w:pPr>
              <w:pStyle w:val="17"/>
              <w:spacing w:before="112" w:line="224" w:lineRule="auto"/>
              <w:ind w:left="457"/>
              <w:rPr>
                <w:color w:val="auto"/>
                <w:sz w:val="21"/>
                <w:szCs w:val="21"/>
                <w:highlight w:val="none"/>
              </w:rPr>
            </w:pPr>
            <w:r>
              <w:rPr>
                <w:color w:val="auto"/>
                <w:spacing w:val="-3"/>
                <w:sz w:val="21"/>
                <w:szCs w:val="21"/>
                <w:highlight w:val="none"/>
              </w:rPr>
              <w:t>项目地点</w:t>
            </w:r>
          </w:p>
        </w:tc>
        <w:tc>
          <w:tcPr>
            <w:tcW w:w="6855" w:type="dxa"/>
            <w:vAlign w:val="top"/>
          </w:tcPr>
          <w:p w14:paraId="046A5400">
            <w:pPr>
              <w:pStyle w:val="17"/>
              <w:spacing w:before="111" w:line="224" w:lineRule="auto"/>
              <w:ind w:left="117"/>
              <w:rPr>
                <w:color w:val="auto"/>
                <w:sz w:val="21"/>
                <w:szCs w:val="21"/>
                <w:highlight w:val="none"/>
              </w:rPr>
            </w:pPr>
            <w:r>
              <w:rPr>
                <w:rFonts w:hint="eastAsia"/>
                <w:color w:val="auto"/>
                <w:spacing w:val="-5"/>
                <w:sz w:val="21"/>
                <w:szCs w:val="21"/>
                <w:highlight w:val="none"/>
              </w:rPr>
              <w:t>奎屯市和伊宁市两地</w:t>
            </w:r>
          </w:p>
        </w:tc>
      </w:tr>
      <w:tr w14:paraId="01F6E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733" w:type="dxa"/>
            <w:gridSpan w:val="2"/>
            <w:vAlign w:val="top"/>
          </w:tcPr>
          <w:p w14:paraId="5C628554">
            <w:pPr>
              <w:spacing w:line="253" w:lineRule="auto"/>
              <w:rPr>
                <w:rFonts w:ascii="Arial"/>
                <w:color w:val="auto"/>
                <w:sz w:val="21"/>
                <w:highlight w:val="none"/>
              </w:rPr>
            </w:pPr>
          </w:p>
          <w:p w14:paraId="56272FFC">
            <w:pPr>
              <w:pStyle w:val="17"/>
              <w:spacing w:before="68" w:line="180" w:lineRule="auto"/>
              <w:ind w:left="434"/>
              <w:rPr>
                <w:color w:val="auto"/>
                <w:sz w:val="21"/>
                <w:szCs w:val="21"/>
                <w:highlight w:val="none"/>
              </w:rPr>
            </w:pPr>
            <w:r>
              <w:rPr>
                <w:color w:val="auto"/>
                <w:sz w:val="21"/>
                <w:szCs w:val="21"/>
                <w:highlight w:val="none"/>
              </w:rPr>
              <w:t>5</w:t>
            </w:r>
          </w:p>
        </w:tc>
        <w:tc>
          <w:tcPr>
            <w:tcW w:w="1860" w:type="dxa"/>
            <w:vAlign w:val="top"/>
          </w:tcPr>
          <w:p w14:paraId="50715732">
            <w:pPr>
              <w:pStyle w:val="17"/>
              <w:spacing w:before="284" w:line="224" w:lineRule="auto"/>
              <w:ind w:left="141"/>
              <w:rPr>
                <w:color w:val="auto"/>
                <w:sz w:val="21"/>
                <w:szCs w:val="21"/>
                <w:highlight w:val="none"/>
              </w:rPr>
            </w:pPr>
            <w:r>
              <w:rPr>
                <w:color w:val="auto"/>
                <w:spacing w:val="-2"/>
                <w:sz w:val="21"/>
                <w:szCs w:val="21"/>
                <w:highlight w:val="none"/>
              </w:rPr>
              <w:t>招标人及联系人</w:t>
            </w:r>
          </w:p>
        </w:tc>
        <w:tc>
          <w:tcPr>
            <w:tcW w:w="6855" w:type="dxa"/>
            <w:vAlign w:val="top"/>
          </w:tcPr>
          <w:p w14:paraId="66D19A5E">
            <w:pPr>
              <w:pStyle w:val="17"/>
              <w:spacing w:before="103" w:line="223" w:lineRule="auto"/>
              <w:ind w:left="119"/>
              <w:rPr>
                <w:rFonts w:hint="eastAsia" w:eastAsia="新宋体"/>
                <w:color w:val="auto"/>
                <w:sz w:val="21"/>
                <w:szCs w:val="21"/>
                <w:highlight w:val="none"/>
                <w:lang w:eastAsia="zh-CN"/>
              </w:rPr>
            </w:pPr>
            <w:r>
              <w:rPr>
                <w:color w:val="auto"/>
                <w:spacing w:val="-1"/>
                <w:sz w:val="21"/>
                <w:szCs w:val="21"/>
                <w:highlight w:val="none"/>
              </w:rPr>
              <w:t>单位名称：</w:t>
            </w:r>
            <w:r>
              <w:rPr>
                <w:rFonts w:hint="eastAsia"/>
                <w:color w:val="auto"/>
                <w:spacing w:val="-1"/>
                <w:sz w:val="21"/>
                <w:szCs w:val="21"/>
                <w:highlight w:val="none"/>
                <w:lang w:eastAsia="zh-CN"/>
              </w:rPr>
              <w:t>伊犁哈萨克自治州纤维检验所</w:t>
            </w:r>
          </w:p>
          <w:p w14:paraId="1E63C3D2">
            <w:pPr>
              <w:pStyle w:val="17"/>
              <w:spacing w:before="105" w:line="216" w:lineRule="auto"/>
              <w:ind w:left="112"/>
              <w:rPr>
                <w:color w:val="auto"/>
                <w:sz w:val="21"/>
                <w:szCs w:val="21"/>
                <w:highlight w:val="none"/>
              </w:rPr>
            </w:pPr>
            <w:r>
              <w:rPr>
                <w:color w:val="auto"/>
                <w:sz w:val="21"/>
                <w:szCs w:val="21"/>
                <w:highlight w:val="none"/>
              </w:rPr>
              <w:t>联系人：曲志勇         联系电</w:t>
            </w:r>
            <w:r>
              <w:rPr>
                <w:color w:val="auto"/>
                <w:spacing w:val="-1"/>
                <w:sz w:val="21"/>
                <w:szCs w:val="21"/>
                <w:highlight w:val="none"/>
              </w:rPr>
              <w:t>话：18009991686</w:t>
            </w:r>
          </w:p>
        </w:tc>
      </w:tr>
      <w:tr w14:paraId="69495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733" w:type="dxa"/>
            <w:gridSpan w:val="2"/>
            <w:vAlign w:val="center"/>
          </w:tcPr>
          <w:p w14:paraId="2FB4AA77">
            <w:pPr>
              <w:pStyle w:val="17"/>
              <w:spacing w:before="68" w:line="181" w:lineRule="auto"/>
              <w:jc w:val="center"/>
              <w:rPr>
                <w:color w:val="auto"/>
                <w:sz w:val="21"/>
                <w:szCs w:val="21"/>
                <w:highlight w:val="none"/>
              </w:rPr>
            </w:pPr>
            <w:r>
              <w:rPr>
                <w:color w:val="auto"/>
                <w:sz w:val="21"/>
                <w:szCs w:val="21"/>
                <w:highlight w:val="none"/>
              </w:rPr>
              <w:t>6</w:t>
            </w:r>
          </w:p>
        </w:tc>
        <w:tc>
          <w:tcPr>
            <w:tcW w:w="1860" w:type="dxa"/>
            <w:vAlign w:val="center"/>
          </w:tcPr>
          <w:p w14:paraId="4DB0A159">
            <w:pPr>
              <w:pStyle w:val="17"/>
              <w:spacing w:before="112" w:line="224" w:lineRule="auto"/>
              <w:jc w:val="center"/>
              <w:rPr>
                <w:color w:val="auto"/>
                <w:sz w:val="21"/>
                <w:szCs w:val="21"/>
                <w:highlight w:val="none"/>
              </w:rPr>
            </w:pPr>
            <w:r>
              <w:rPr>
                <w:color w:val="auto"/>
                <w:spacing w:val="-3"/>
                <w:sz w:val="21"/>
                <w:szCs w:val="21"/>
                <w:highlight w:val="none"/>
              </w:rPr>
              <w:t>代理机构及联系人</w:t>
            </w:r>
          </w:p>
        </w:tc>
        <w:tc>
          <w:tcPr>
            <w:tcW w:w="6855" w:type="dxa"/>
            <w:vAlign w:val="top"/>
          </w:tcPr>
          <w:p w14:paraId="2311F30D">
            <w:pPr>
              <w:pStyle w:val="17"/>
              <w:spacing w:before="104" w:line="223" w:lineRule="auto"/>
              <w:ind w:left="114"/>
              <w:rPr>
                <w:rFonts w:hint="eastAsia" w:eastAsia="新宋体"/>
                <w:color w:val="auto"/>
                <w:sz w:val="21"/>
                <w:szCs w:val="21"/>
                <w:highlight w:val="none"/>
                <w:lang w:eastAsia="zh-CN"/>
              </w:rPr>
            </w:pPr>
            <w:r>
              <w:rPr>
                <w:color w:val="auto"/>
                <w:spacing w:val="-1"/>
                <w:sz w:val="21"/>
                <w:szCs w:val="21"/>
                <w:highlight w:val="none"/>
              </w:rPr>
              <w:t>招标代理机构：</w:t>
            </w:r>
            <w:r>
              <w:rPr>
                <w:rFonts w:hint="eastAsia"/>
                <w:color w:val="auto"/>
                <w:spacing w:val="-1"/>
                <w:sz w:val="21"/>
                <w:szCs w:val="21"/>
                <w:highlight w:val="none"/>
                <w:lang w:eastAsia="zh-CN"/>
              </w:rPr>
              <w:t>新疆惠合正德工程管理有限公司</w:t>
            </w:r>
          </w:p>
          <w:p w14:paraId="32EDA91D">
            <w:pPr>
              <w:pStyle w:val="17"/>
              <w:spacing w:before="106" w:line="215" w:lineRule="auto"/>
              <w:ind w:left="112"/>
              <w:rPr>
                <w:rFonts w:hint="eastAsia" w:eastAsia="新宋体"/>
                <w:color w:val="auto"/>
                <w:sz w:val="21"/>
                <w:szCs w:val="21"/>
                <w:highlight w:val="none"/>
                <w:lang w:eastAsia="zh-CN"/>
              </w:rPr>
            </w:pPr>
            <w:r>
              <w:rPr>
                <w:color w:val="auto"/>
                <w:sz w:val="21"/>
                <w:szCs w:val="21"/>
                <w:highlight w:val="none"/>
              </w:rPr>
              <w:t>联系人：</w:t>
            </w:r>
            <w:r>
              <w:rPr>
                <w:rFonts w:hint="eastAsia"/>
                <w:color w:val="auto"/>
                <w:sz w:val="21"/>
                <w:szCs w:val="21"/>
                <w:highlight w:val="none"/>
                <w:lang w:eastAsia="zh-CN"/>
              </w:rPr>
              <w:t>王雪梅</w:t>
            </w:r>
            <w:r>
              <w:rPr>
                <w:color w:val="auto"/>
                <w:sz w:val="21"/>
                <w:szCs w:val="21"/>
                <w:highlight w:val="none"/>
              </w:rPr>
              <w:t xml:space="preserve">         联系电</w:t>
            </w:r>
            <w:r>
              <w:rPr>
                <w:color w:val="auto"/>
                <w:spacing w:val="-1"/>
                <w:sz w:val="21"/>
                <w:szCs w:val="21"/>
                <w:highlight w:val="none"/>
              </w:rPr>
              <w:t>话：</w:t>
            </w:r>
            <w:r>
              <w:rPr>
                <w:rFonts w:hint="eastAsia"/>
                <w:color w:val="auto"/>
                <w:spacing w:val="-1"/>
                <w:sz w:val="21"/>
                <w:szCs w:val="21"/>
                <w:highlight w:val="none"/>
                <w:lang w:eastAsia="zh-CN"/>
              </w:rPr>
              <w:t>15292770229</w:t>
            </w:r>
          </w:p>
        </w:tc>
      </w:tr>
      <w:tr w14:paraId="79430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733" w:type="dxa"/>
            <w:gridSpan w:val="2"/>
            <w:vAlign w:val="top"/>
          </w:tcPr>
          <w:p w14:paraId="2E98B747">
            <w:pPr>
              <w:pStyle w:val="17"/>
              <w:spacing w:before="203" w:line="180" w:lineRule="auto"/>
              <w:ind w:left="435"/>
              <w:rPr>
                <w:color w:val="auto"/>
                <w:sz w:val="21"/>
                <w:szCs w:val="21"/>
                <w:highlight w:val="none"/>
              </w:rPr>
            </w:pPr>
            <w:r>
              <w:rPr>
                <w:color w:val="auto"/>
                <w:sz w:val="21"/>
                <w:szCs w:val="21"/>
                <w:highlight w:val="none"/>
              </w:rPr>
              <w:t>7</w:t>
            </w:r>
          </w:p>
        </w:tc>
        <w:tc>
          <w:tcPr>
            <w:tcW w:w="1860" w:type="dxa"/>
            <w:vAlign w:val="top"/>
          </w:tcPr>
          <w:p w14:paraId="1775D93B">
            <w:pPr>
              <w:pStyle w:val="17"/>
              <w:spacing w:before="163" w:line="224" w:lineRule="auto"/>
              <w:ind w:left="467"/>
              <w:rPr>
                <w:color w:val="auto"/>
                <w:sz w:val="21"/>
                <w:szCs w:val="21"/>
                <w:highlight w:val="none"/>
              </w:rPr>
            </w:pPr>
            <w:r>
              <w:rPr>
                <w:color w:val="auto"/>
                <w:spacing w:val="-5"/>
                <w:sz w:val="21"/>
                <w:szCs w:val="21"/>
                <w:highlight w:val="none"/>
              </w:rPr>
              <w:t>资金来源</w:t>
            </w:r>
          </w:p>
        </w:tc>
        <w:tc>
          <w:tcPr>
            <w:tcW w:w="6855" w:type="dxa"/>
            <w:vAlign w:val="top"/>
          </w:tcPr>
          <w:p w14:paraId="008F45F6">
            <w:pPr>
              <w:pStyle w:val="17"/>
              <w:spacing w:before="163" w:line="224" w:lineRule="auto"/>
              <w:ind w:left="154"/>
              <w:rPr>
                <w:rFonts w:hint="eastAsia" w:eastAsia="新宋体"/>
                <w:color w:val="auto"/>
                <w:sz w:val="21"/>
                <w:szCs w:val="21"/>
                <w:highlight w:val="none"/>
                <w:lang w:eastAsia="zh-CN"/>
              </w:rPr>
            </w:pPr>
            <w:r>
              <w:rPr>
                <w:rFonts w:hint="eastAsia"/>
                <w:color w:val="auto"/>
                <w:spacing w:val="-5"/>
                <w:sz w:val="21"/>
                <w:szCs w:val="21"/>
                <w:highlight w:val="none"/>
                <w:lang w:val="en-US" w:eastAsia="zh-CN"/>
              </w:rPr>
              <w:t>2025年度纤维公证检验经费</w:t>
            </w:r>
          </w:p>
        </w:tc>
      </w:tr>
      <w:tr w14:paraId="74463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733" w:type="dxa"/>
            <w:gridSpan w:val="2"/>
            <w:vAlign w:val="top"/>
          </w:tcPr>
          <w:p w14:paraId="16F2131C">
            <w:pPr>
              <w:pStyle w:val="17"/>
              <w:spacing w:before="242" w:line="181" w:lineRule="auto"/>
              <w:ind w:left="431"/>
              <w:rPr>
                <w:color w:val="auto"/>
                <w:sz w:val="21"/>
                <w:szCs w:val="21"/>
                <w:highlight w:val="none"/>
              </w:rPr>
            </w:pPr>
            <w:r>
              <w:rPr>
                <w:color w:val="auto"/>
                <w:sz w:val="21"/>
                <w:szCs w:val="21"/>
                <w:highlight w:val="none"/>
              </w:rPr>
              <w:t>8</w:t>
            </w:r>
          </w:p>
        </w:tc>
        <w:tc>
          <w:tcPr>
            <w:tcW w:w="1860" w:type="dxa"/>
            <w:vAlign w:val="top"/>
          </w:tcPr>
          <w:p w14:paraId="3EA8F56F">
            <w:pPr>
              <w:pStyle w:val="17"/>
              <w:spacing w:before="203" w:line="224" w:lineRule="auto"/>
              <w:ind w:left="457"/>
              <w:rPr>
                <w:color w:val="auto"/>
                <w:sz w:val="21"/>
                <w:szCs w:val="21"/>
                <w:highlight w:val="none"/>
              </w:rPr>
            </w:pPr>
            <w:r>
              <w:rPr>
                <w:color w:val="auto"/>
                <w:spacing w:val="-3"/>
                <w:sz w:val="21"/>
                <w:szCs w:val="21"/>
                <w:highlight w:val="none"/>
              </w:rPr>
              <w:t>项目概况</w:t>
            </w:r>
          </w:p>
        </w:tc>
        <w:tc>
          <w:tcPr>
            <w:tcW w:w="6855" w:type="dxa"/>
            <w:vAlign w:val="top"/>
          </w:tcPr>
          <w:p w14:paraId="24AD5F1E">
            <w:pPr>
              <w:pStyle w:val="17"/>
              <w:spacing w:before="204" w:line="223" w:lineRule="auto"/>
              <w:ind w:left="116"/>
              <w:rPr>
                <w:color w:val="auto"/>
                <w:sz w:val="21"/>
                <w:szCs w:val="21"/>
                <w:highlight w:val="none"/>
              </w:rPr>
            </w:pPr>
            <w:r>
              <w:rPr>
                <w:rFonts w:hint="eastAsia"/>
                <w:color w:val="auto"/>
                <w:spacing w:val="-2"/>
                <w:sz w:val="21"/>
                <w:szCs w:val="21"/>
                <w:highlight w:val="none"/>
              </w:rPr>
              <w:t>棉花和纺织品仪器设备38（台）套。</w:t>
            </w:r>
            <w:r>
              <w:rPr>
                <w:color w:val="auto"/>
                <w:spacing w:val="-2"/>
                <w:sz w:val="21"/>
                <w:szCs w:val="21"/>
                <w:highlight w:val="none"/>
              </w:rPr>
              <w:t>（详见</w:t>
            </w:r>
            <w:r>
              <w:rPr>
                <w:rFonts w:hint="eastAsia"/>
                <w:color w:val="auto"/>
                <w:spacing w:val="-2"/>
                <w:sz w:val="21"/>
                <w:szCs w:val="21"/>
                <w:highlight w:val="none"/>
                <w:lang w:val="en-US" w:eastAsia="zh-CN"/>
              </w:rPr>
              <w:t>采购清单</w:t>
            </w:r>
            <w:r>
              <w:rPr>
                <w:color w:val="auto"/>
                <w:spacing w:val="-2"/>
                <w:sz w:val="21"/>
                <w:szCs w:val="21"/>
                <w:highlight w:val="none"/>
              </w:rPr>
              <w:t>）。</w:t>
            </w:r>
          </w:p>
        </w:tc>
      </w:tr>
      <w:tr w14:paraId="31A95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1" w:hRule="atLeast"/>
          <w:jc w:val="center"/>
        </w:trPr>
        <w:tc>
          <w:tcPr>
            <w:tcW w:w="733" w:type="dxa"/>
            <w:gridSpan w:val="2"/>
            <w:vAlign w:val="top"/>
          </w:tcPr>
          <w:p w14:paraId="79E49D94">
            <w:pPr>
              <w:spacing w:line="247" w:lineRule="auto"/>
              <w:rPr>
                <w:rFonts w:ascii="Arial"/>
                <w:color w:val="auto"/>
                <w:sz w:val="21"/>
                <w:highlight w:val="none"/>
              </w:rPr>
            </w:pPr>
          </w:p>
          <w:p w14:paraId="18A252CE">
            <w:pPr>
              <w:spacing w:line="247" w:lineRule="auto"/>
              <w:rPr>
                <w:rFonts w:ascii="Arial"/>
                <w:color w:val="auto"/>
                <w:sz w:val="21"/>
                <w:highlight w:val="none"/>
              </w:rPr>
            </w:pPr>
          </w:p>
          <w:p w14:paraId="1525C1D1">
            <w:pPr>
              <w:spacing w:line="247" w:lineRule="auto"/>
              <w:rPr>
                <w:rFonts w:ascii="Arial"/>
                <w:color w:val="auto"/>
                <w:sz w:val="21"/>
                <w:highlight w:val="none"/>
              </w:rPr>
            </w:pPr>
          </w:p>
          <w:p w14:paraId="50000A2C">
            <w:pPr>
              <w:spacing w:line="247" w:lineRule="auto"/>
              <w:rPr>
                <w:rFonts w:ascii="Arial"/>
                <w:color w:val="auto"/>
                <w:sz w:val="21"/>
                <w:highlight w:val="none"/>
              </w:rPr>
            </w:pPr>
          </w:p>
          <w:p w14:paraId="6A594E34">
            <w:pPr>
              <w:spacing w:line="247" w:lineRule="auto"/>
              <w:rPr>
                <w:rFonts w:ascii="Arial"/>
                <w:color w:val="auto"/>
                <w:sz w:val="21"/>
                <w:highlight w:val="none"/>
              </w:rPr>
            </w:pPr>
          </w:p>
          <w:p w14:paraId="0E6A8912">
            <w:pPr>
              <w:spacing w:line="247" w:lineRule="auto"/>
              <w:rPr>
                <w:rFonts w:ascii="Arial"/>
                <w:color w:val="auto"/>
                <w:sz w:val="21"/>
                <w:highlight w:val="none"/>
              </w:rPr>
            </w:pPr>
          </w:p>
          <w:p w14:paraId="40A15E03">
            <w:pPr>
              <w:spacing w:line="247" w:lineRule="auto"/>
              <w:rPr>
                <w:rFonts w:ascii="Arial"/>
                <w:color w:val="auto"/>
                <w:sz w:val="21"/>
                <w:highlight w:val="none"/>
              </w:rPr>
            </w:pPr>
          </w:p>
          <w:p w14:paraId="69C87180">
            <w:pPr>
              <w:spacing w:line="247" w:lineRule="auto"/>
              <w:rPr>
                <w:rFonts w:ascii="Arial"/>
                <w:color w:val="auto"/>
                <w:sz w:val="21"/>
                <w:highlight w:val="none"/>
              </w:rPr>
            </w:pPr>
          </w:p>
          <w:p w14:paraId="77B28F7D">
            <w:pPr>
              <w:spacing w:line="248" w:lineRule="auto"/>
              <w:rPr>
                <w:rFonts w:ascii="Arial"/>
                <w:color w:val="auto"/>
                <w:sz w:val="21"/>
                <w:highlight w:val="none"/>
              </w:rPr>
            </w:pPr>
          </w:p>
          <w:p w14:paraId="37675BD6">
            <w:pPr>
              <w:pStyle w:val="17"/>
              <w:spacing w:before="68" w:line="181" w:lineRule="auto"/>
              <w:ind w:left="431"/>
              <w:rPr>
                <w:color w:val="auto"/>
                <w:sz w:val="21"/>
                <w:szCs w:val="21"/>
                <w:highlight w:val="none"/>
              </w:rPr>
            </w:pPr>
            <w:r>
              <w:rPr>
                <w:color w:val="auto"/>
                <w:sz w:val="21"/>
                <w:szCs w:val="21"/>
                <w:highlight w:val="none"/>
              </w:rPr>
              <w:t>9</w:t>
            </w:r>
          </w:p>
        </w:tc>
        <w:tc>
          <w:tcPr>
            <w:tcW w:w="1860" w:type="dxa"/>
            <w:vAlign w:val="top"/>
          </w:tcPr>
          <w:p w14:paraId="175A93EE">
            <w:pPr>
              <w:spacing w:line="250" w:lineRule="auto"/>
              <w:rPr>
                <w:rFonts w:ascii="Arial"/>
                <w:color w:val="auto"/>
                <w:sz w:val="21"/>
                <w:highlight w:val="none"/>
              </w:rPr>
            </w:pPr>
          </w:p>
          <w:p w14:paraId="00862C5D">
            <w:pPr>
              <w:spacing w:line="250" w:lineRule="auto"/>
              <w:rPr>
                <w:rFonts w:ascii="Arial"/>
                <w:color w:val="auto"/>
                <w:sz w:val="21"/>
                <w:highlight w:val="none"/>
              </w:rPr>
            </w:pPr>
          </w:p>
          <w:p w14:paraId="3FD9593D">
            <w:pPr>
              <w:spacing w:line="251" w:lineRule="auto"/>
              <w:rPr>
                <w:rFonts w:ascii="Arial"/>
                <w:color w:val="auto"/>
                <w:sz w:val="21"/>
                <w:highlight w:val="none"/>
              </w:rPr>
            </w:pPr>
          </w:p>
          <w:p w14:paraId="02BDFAD7">
            <w:pPr>
              <w:spacing w:line="251" w:lineRule="auto"/>
              <w:rPr>
                <w:rFonts w:ascii="Arial"/>
                <w:color w:val="auto"/>
                <w:sz w:val="21"/>
                <w:highlight w:val="none"/>
              </w:rPr>
            </w:pPr>
          </w:p>
          <w:p w14:paraId="45615A63">
            <w:pPr>
              <w:spacing w:line="251" w:lineRule="auto"/>
              <w:rPr>
                <w:rFonts w:ascii="Arial"/>
                <w:color w:val="auto"/>
                <w:sz w:val="21"/>
                <w:highlight w:val="none"/>
              </w:rPr>
            </w:pPr>
          </w:p>
          <w:p w14:paraId="73ADAEC1">
            <w:pPr>
              <w:spacing w:line="251" w:lineRule="auto"/>
              <w:rPr>
                <w:rFonts w:ascii="Arial"/>
                <w:color w:val="auto"/>
                <w:sz w:val="21"/>
                <w:highlight w:val="none"/>
              </w:rPr>
            </w:pPr>
          </w:p>
          <w:p w14:paraId="2108C23A">
            <w:pPr>
              <w:spacing w:line="251" w:lineRule="auto"/>
              <w:rPr>
                <w:rFonts w:ascii="Arial"/>
                <w:color w:val="auto"/>
                <w:sz w:val="21"/>
                <w:highlight w:val="none"/>
              </w:rPr>
            </w:pPr>
          </w:p>
          <w:p w14:paraId="2E4F489B">
            <w:pPr>
              <w:spacing w:line="251" w:lineRule="auto"/>
              <w:rPr>
                <w:rFonts w:ascii="Arial"/>
                <w:color w:val="auto"/>
                <w:sz w:val="21"/>
                <w:highlight w:val="none"/>
              </w:rPr>
            </w:pPr>
          </w:p>
          <w:p w14:paraId="038DECA7">
            <w:pPr>
              <w:pStyle w:val="17"/>
              <w:spacing w:before="68" w:line="303" w:lineRule="auto"/>
              <w:ind w:left="354" w:right="134" w:hanging="213"/>
              <w:rPr>
                <w:color w:val="auto"/>
                <w:sz w:val="21"/>
                <w:szCs w:val="21"/>
                <w:highlight w:val="none"/>
              </w:rPr>
            </w:pPr>
            <w:r>
              <w:rPr>
                <w:color w:val="auto"/>
                <w:spacing w:val="-2"/>
                <w:sz w:val="21"/>
                <w:szCs w:val="21"/>
                <w:highlight w:val="none"/>
              </w:rPr>
              <w:t>投标人资格条件</w:t>
            </w:r>
            <w:r>
              <w:rPr>
                <w:color w:val="auto"/>
                <w:sz w:val="21"/>
                <w:szCs w:val="21"/>
                <w:highlight w:val="none"/>
              </w:rPr>
              <w:t xml:space="preserve"> </w:t>
            </w:r>
            <w:r>
              <w:rPr>
                <w:color w:val="auto"/>
                <w:spacing w:val="-3"/>
                <w:sz w:val="21"/>
                <w:szCs w:val="21"/>
                <w:highlight w:val="none"/>
              </w:rPr>
              <w:t>及其他要求</w:t>
            </w:r>
          </w:p>
        </w:tc>
        <w:tc>
          <w:tcPr>
            <w:tcW w:w="6855" w:type="dxa"/>
            <w:vAlign w:val="top"/>
          </w:tcPr>
          <w:p w14:paraId="030CA4B0">
            <w:pPr>
              <w:pStyle w:val="17"/>
              <w:keepNext w:val="0"/>
              <w:keepLines w:val="0"/>
              <w:pageBreakBefore w:val="0"/>
              <w:widowControl/>
              <w:kinsoku w:val="0"/>
              <w:wordWrap/>
              <w:overflowPunct/>
              <w:topLinePunct w:val="0"/>
              <w:autoSpaceDE w:val="0"/>
              <w:autoSpaceDN w:val="0"/>
              <w:bidi w:val="0"/>
              <w:adjustRightInd w:val="0"/>
              <w:snapToGrid w:val="0"/>
              <w:spacing w:before="108" w:line="286" w:lineRule="auto"/>
              <w:ind w:left="42" w:leftChars="20" w:right="34" w:firstLine="0" w:firstLineChars="0"/>
              <w:textAlignment w:val="baseline"/>
              <w:rPr>
                <w:color w:val="auto"/>
                <w:sz w:val="21"/>
                <w:szCs w:val="21"/>
                <w:highlight w:val="none"/>
              </w:rPr>
            </w:pPr>
            <w:r>
              <w:rPr>
                <w:rFonts w:hint="eastAsia"/>
                <w:color w:val="auto"/>
                <w:spacing w:val="-1"/>
                <w:sz w:val="21"/>
                <w:szCs w:val="21"/>
                <w:highlight w:val="none"/>
              </w:rPr>
              <w:t>1、符合《中华人民共和国政府采购法》第二十二条的相关规定；投标人应在中华人民共和国注册，具有有效的营业执照，并在人员、技术、货物等方面具有承担本项目的能力；2、提供近两年（2023年或2024年）任意一年第三方财务审计报告或银行出具的资信证明等，成立不满一年的投标企业须提供成立至今的财务报表；3、提供近一年任意三个月缴税记录及社保缴纳证明；（新成立公司提供成立之日起至今的缴税记录及社保缴纳证明；若供应商的纳税记录为零申报的，提供申报记录）4、提供法人或授权委托人在本单位近三个月（2024年1月至投标截止日）缴纳社保证明文件；5、单位负责人为同一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540AB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733" w:type="dxa"/>
            <w:gridSpan w:val="2"/>
            <w:vAlign w:val="top"/>
          </w:tcPr>
          <w:p w14:paraId="0141A51A">
            <w:pPr>
              <w:pStyle w:val="17"/>
              <w:spacing w:before="176" w:line="182" w:lineRule="auto"/>
              <w:ind w:left="393"/>
              <w:rPr>
                <w:color w:val="auto"/>
                <w:sz w:val="21"/>
                <w:szCs w:val="21"/>
                <w:highlight w:val="none"/>
              </w:rPr>
            </w:pPr>
            <w:r>
              <w:rPr>
                <w:color w:val="auto"/>
                <w:spacing w:val="-6"/>
                <w:sz w:val="21"/>
                <w:szCs w:val="21"/>
                <w:highlight w:val="none"/>
              </w:rPr>
              <w:t>10</w:t>
            </w:r>
          </w:p>
        </w:tc>
        <w:tc>
          <w:tcPr>
            <w:tcW w:w="1860" w:type="dxa"/>
            <w:vAlign w:val="top"/>
          </w:tcPr>
          <w:p w14:paraId="5744E4E1">
            <w:pPr>
              <w:pStyle w:val="17"/>
              <w:spacing w:before="139" w:line="224" w:lineRule="auto"/>
              <w:ind w:left="456"/>
              <w:rPr>
                <w:color w:val="auto"/>
                <w:sz w:val="21"/>
                <w:szCs w:val="21"/>
                <w:highlight w:val="none"/>
              </w:rPr>
            </w:pPr>
            <w:r>
              <w:rPr>
                <w:color w:val="auto"/>
                <w:spacing w:val="-3"/>
                <w:sz w:val="21"/>
                <w:szCs w:val="21"/>
                <w:highlight w:val="none"/>
              </w:rPr>
              <w:t>招标方式</w:t>
            </w:r>
          </w:p>
        </w:tc>
        <w:tc>
          <w:tcPr>
            <w:tcW w:w="6855" w:type="dxa"/>
            <w:vAlign w:val="top"/>
          </w:tcPr>
          <w:p w14:paraId="14607245">
            <w:pPr>
              <w:pStyle w:val="17"/>
              <w:spacing w:before="139" w:line="224" w:lineRule="auto"/>
              <w:ind w:left="119"/>
              <w:rPr>
                <w:color w:val="auto"/>
                <w:sz w:val="21"/>
                <w:szCs w:val="21"/>
                <w:highlight w:val="none"/>
              </w:rPr>
            </w:pPr>
            <w:r>
              <w:rPr>
                <w:color w:val="auto"/>
                <w:spacing w:val="-4"/>
                <w:sz w:val="21"/>
                <w:szCs w:val="21"/>
                <w:highlight w:val="none"/>
              </w:rPr>
              <w:t>公开招标</w:t>
            </w:r>
          </w:p>
        </w:tc>
      </w:tr>
      <w:tr w14:paraId="21580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733" w:type="dxa"/>
            <w:gridSpan w:val="2"/>
            <w:vAlign w:val="top"/>
          </w:tcPr>
          <w:p w14:paraId="5658D8FF">
            <w:pPr>
              <w:pStyle w:val="17"/>
              <w:spacing w:before="182" w:line="182" w:lineRule="auto"/>
              <w:ind w:left="393"/>
              <w:rPr>
                <w:color w:val="auto"/>
                <w:sz w:val="21"/>
                <w:szCs w:val="21"/>
                <w:highlight w:val="none"/>
              </w:rPr>
            </w:pPr>
            <w:r>
              <w:rPr>
                <w:color w:val="auto"/>
                <w:spacing w:val="-6"/>
                <w:sz w:val="21"/>
                <w:szCs w:val="21"/>
                <w:highlight w:val="none"/>
              </w:rPr>
              <w:t>11</w:t>
            </w:r>
          </w:p>
        </w:tc>
        <w:tc>
          <w:tcPr>
            <w:tcW w:w="1860" w:type="dxa"/>
            <w:vAlign w:val="top"/>
          </w:tcPr>
          <w:p w14:paraId="02E78549">
            <w:pPr>
              <w:pStyle w:val="17"/>
              <w:spacing w:before="144" w:line="224" w:lineRule="auto"/>
              <w:ind w:left="458"/>
              <w:rPr>
                <w:color w:val="auto"/>
                <w:sz w:val="21"/>
                <w:szCs w:val="21"/>
                <w:highlight w:val="none"/>
              </w:rPr>
            </w:pPr>
            <w:r>
              <w:rPr>
                <w:color w:val="auto"/>
                <w:spacing w:val="-3"/>
                <w:sz w:val="21"/>
                <w:szCs w:val="21"/>
                <w:highlight w:val="none"/>
              </w:rPr>
              <w:t>踏勘现场</w:t>
            </w:r>
          </w:p>
        </w:tc>
        <w:tc>
          <w:tcPr>
            <w:tcW w:w="6855" w:type="dxa"/>
            <w:vAlign w:val="top"/>
          </w:tcPr>
          <w:p w14:paraId="3F6660F1">
            <w:pPr>
              <w:pStyle w:val="17"/>
              <w:spacing w:before="144" w:line="224" w:lineRule="auto"/>
              <w:ind w:left="119"/>
              <w:rPr>
                <w:color w:val="auto"/>
                <w:sz w:val="21"/>
                <w:szCs w:val="21"/>
                <w:highlight w:val="none"/>
              </w:rPr>
            </w:pPr>
            <w:r>
              <w:rPr>
                <w:color w:val="auto"/>
                <w:spacing w:val="-4"/>
                <w:sz w:val="21"/>
                <w:szCs w:val="21"/>
                <w:highlight w:val="none"/>
              </w:rPr>
              <w:t>不组织，投标人自行踏勘现场。</w:t>
            </w:r>
          </w:p>
        </w:tc>
      </w:tr>
      <w:tr w14:paraId="5FB01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733" w:type="dxa"/>
            <w:gridSpan w:val="2"/>
            <w:vAlign w:val="top"/>
          </w:tcPr>
          <w:p w14:paraId="7B1B2F57">
            <w:pPr>
              <w:pStyle w:val="17"/>
              <w:spacing w:before="185" w:line="182" w:lineRule="auto"/>
              <w:ind w:left="393"/>
              <w:rPr>
                <w:color w:val="auto"/>
                <w:sz w:val="21"/>
                <w:szCs w:val="21"/>
                <w:highlight w:val="none"/>
              </w:rPr>
            </w:pPr>
            <w:r>
              <w:rPr>
                <w:color w:val="auto"/>
                <w:spacing w:val="-6"/>
                <w:sz w:val="21"/>
                <w:szCs w:val="21"/>
                <w:highlight w:val="none"/>
              </w:rPr>
              <w:t>12</w:t>
            </w:r>
          </w:p>
        </w:tc>
        <w:tc>
          <w:tcPr>
            <w:tcW w:w="1860" w:type="dxa"/>
            <w:vAlign w:val="top"/>
          </w:tcPr>
          <w:p w14:paraId="499E50D0">
            <w:pPr>
              <w:pStyle w:val="17"/>
              <w:spacing w:before="147" w:line="223" w:lineRule="auto"/>
              <w:ind w:left="351"/>
              <w:rPr>
                <w:color w:val="auto"/>
                <w:sz w:val="21"/>
                <w:szCs w:val="21"/>
                <w:highlight w:val="none"/>
              </w:rPr>
            </w:pPr>
            <w:r>
              <w:rPr>
                <w:color w:val="auto"/>
                <w:spacing w:val="-3"/>
                <w:sz w:val="21"/>
                <w:szCs w:val="21"/>
                <w:highlight w:val="none"/>
              </w:rPr>
              <w:t>投标预备会</w:t>
            </w:r>
          </w:p>
        </w:tc>
        <w:tc>
          <w:tcPr>
            <w:tcW w:w="6855" w:type="dxa"/>
            <w:vAlign w:val="top"/>
          </w:tcPr>
          <w:p w14:paraId="2FB2FD69">
            <w:pPr>
              <w:pStyle w:val="17"/>
              <w:spacing w:before="147" w:line="225" w:lineRule="auto"/>
              <w:ind w:left="119"/>
              <w:rPr>
                <w:color w:val="auto"/>
                <w:sz w:val="21"/>
                <w:szCs w:val="21"/>
                <w:highlight w:val="none"/>
              </w:rPr>
            </w:pPr>
            <w:r>
              <w:rPr>
                <w:color w:val="auto"/>
                <w:spacing w:val="-5"/>
                <w:sz w:val="21"/>
                <w:szCs w:val="21"/>
                <w:highlight w:val="none"/>
              </w:rPr>
              <w:t>不召开</w:t>
            </w:r>
          </w:p>
        </w:tc>
      </w:tr>
      <w:tr w14:paraId="0C6A5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733" w:type="dxa"/>
            <w:gridSpan w:val="2"/>
            <w:vAlign w:val="top"/>
          </w:tcPr>
          <w:p w14:paraId="65699DF5">
            <w:pPr>
              <w:spacing w:line="259" w:lineRule="auto"/>
              <w:rPr>
                <w:rFonts w:ascii="Arial"/>
                <w:color w:val="auto"/>
                <w:sz w:val="21"/>
                <w:highlight w:val="none"/>
              </w:rPr>
            </w:pPr>
          </w:p>
          <w:p w14:paraId="7D653A45">
            <w:pPr>
              <w:pStyle w:val="17"/>
              <w:spacing w:before="68" w:line="182" w:lineRule="auto"/>
              <w:ind w:left="393"/>
              <w:rPr>
                <w:color w:val="auto"/>
                <w:sz w:val="21"/>
                <w:szCs w:val="21"/>
                <w:highlight w:val="none"/>
              </w:rPr>
            </w:pPr>
            <w:r>
              <w:rPr>
                <w:color w:val="auto"/>
                <w:spacing w:val="-6"/>
                <w:sz w:val="21"/>
                <w:szCs w:val="21"/>
                <w:highlight w:val="none"/>
              </w:rPr>
              <w:t>13</w:t>
            </w:r>
          </w:p>
        </w:tc>
        <w:tc>
          <w:tcPr>
            <w:tcW w:w="1860" w:type="dxa"/>
            <w:vAlign w:val="top"/>
          </w:tcPr>
          <w:p w14:paraId="7ECC1282">
            <w:pPr>
              <w:pStyle w:val="17"/>
              <w:spacing w:before="110" w:line="263" w:lineRule="auto"/>
              <w:ind w:left="364" w:right="134" w:hanging="223"/>
              <w:rPr>
                <w:color w:val="auto"/>
                <w:sz w:val="21"/>
                <w:szCs w:val="21"/>
                <w:highlight w:val="none"/>
              </w:rPr>
            </w:pPr>
            <w:r>
              <w:rPr>
                <w:color w:val="auto"/>
                <w:spacing w:val="-2"/>
                <w:sz w:val="21"/>
                <w:szCs w:val="21"/>
                <w:highlight w:val="none"/>
              </w:rPr>
              <w:t>投标人提出问题</w:t>
            </w:r>
            <w:r>
              <w:rPr>
                <w:color w:val="auto"/>
                <w:sz w:val="21"/>
                <w:szCs w:val="21"/>
                <w:highlight w:val="none"/>
              </w:rPr>
              <w:t xml:space="preserve"> </w:t>
            </w:r>
            <w:r>
              <w:rPr>
                <w:color w:val="auto"/>
                <w:spacing w:val="-5"/>
                <w:sz w:val="21"/>
                <w:szCs w:val="21"/>
                <w:highlight w:val="none"/>
              </w:rPr>
              <w:t>的截止时间</w:t>
            </w:r>
          </w:p>
        </w:tc>
        <w:tc>
          <w:tcPr>
            <w:tcW w:w="6855" w:type="dxa"/>
            <w:vAlign w:val="top"/>
          </w:tcPr>
          <w:p w14:paraId="758A400F">
            <w:pPr>
              <w:pStyle w:val="17"/>
              <w:spacing w:before="110" w:line="263" w:lineRule="auto"/>
              <w:ind w:left="115" w:right="102" w:hanging="1"/>
              <w:rPr>
                <w:color w:val="auto"/>
                <w:sz w:val="21"/>
                <w:szCs w:val="21"/>
                <w:highlight w:val="none"/>
              </w:rPr>
            </w:pPr>
            <w:r>
              <w:rPr>
                <w:color w:val="auto"/>
                <w:spacing w:val="-3"/>
                <w:sz w:val="21"/>
                <w:szCs w:val="21"/>
                <w:highlight w:val="none"/>
              </w:rPr>
              <w:t>投标单位应当在知道或者应知（即收到采购文件之日）</w:t>
            </w:r>
            <w:r>
              <w:rPr>
                <w:color w:val="auto"/>
                <w:spacing w:val="-4"/>
                <w:sz w:val="21"/>
                <w:szCs w:val="21"/>
                <w:highlight w:val="none"/>
              </w:rPr>
              <w:t>其权益受到损害之日起七</w:t>
            </w:r>
            <w:r>
              <w:rPr>
                <w:color w:val="auto"/>
                <w:spacing w:val="-3"/>
                <w:sz w:val="21"/>
                <w:szCs w:val="21"/>
                <w:highlight w:val="none"/>
              </w:rPr>
              <w:t>个工作日内以书面形式一次性提出。</w:t>
            </w:r>
          </w:p>
        </w:tc>
      </w:tr>
      <w:tr w14:paraId="5CC73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733" w:type="dxa"/>
            <w:gridSpan w:val="2"/>
            <w:vAlign w:val="top"/>
          </w:tcPr>
          <w:p w14:paraId="482D29E9">
            <w:pPr>
              <w:spacing w:line="260" w:lineRule="auto"/>
              <w:rPr>
                <w:rFonts w:ascii="Arial"/>
                <w:color w:val="auto"/>
                <w:sz w:val="21"/>
                <w:highlight w:val="none"/>
              </w:rPr>
            </w:pPr>
          </w:p>
          <w:p w14:paraId="23F1711B">
            <w:pPr>
              <w:pStyle w:val="17"/>
              <w:spacing w:before="68" w:line="182" w:lineRule="auto"/>
              <w:ind w:left="393"/>
              <w:rPr>
                <w:color w:val="auto"/>
                <w:sz w:val="21"/>
                <w:szCs w:val="21"/>
                <w:highlight w:val="none"/>
              </w:rPr>
            </w:pPr>
            <w:r>
              <w:rPr>
                <w:color w:val="auto"/>
                <w:spacing w:val="-6"/>
                <w:sz w:val="21"/>
                <w:szCs w:val="21"/>
                <w:highlight w:val="none"/>
              </w:rPr>
              <w:t>14</w:t>
            </w:r>
          </w:p>
        </w:tc>
        <w:tc>
          <w:tcPr>
            <w:tcW w:w="1860" w:type="dxa"/>
            <w:vAlign w:val="top"/>
          </w:tcPr>
          <w:p w14:paraId="1879AD7A">
            <w:pPr>
              <w:pStyle w:val="17"/>
              <w:spacing w:before="113" w:line="264" w:lineRule="auto"/>
              <w:ind w:left="681" w:right="239" w:hanging="435"/>
              <w:rPr>
                <w:color w:val="auto"/>
                <w:sz w:val="21"/>
                <w:szCs w:val="21"/>
                <w:highlight w:val="none"/>
              </w:rPr>
            </w:pPr>
            <w:r>
              <w:rPr>
                <w:color w:val="auto"/>
                <w:spacing w:val="-3"/>
                <w:sz w:val="21"/>
                <w:szCs w:val="21"/>
                <w:highlight w:val="none"/>
              </w:rPr>
              <w:t>招标人澄清的</w:t>
            </w:r>
            <w:r>
              <w:rPr>
                <w:color w:val="auto"/>
                <w:spacing w:val="3"/>
                <w:sz w:val="21"/>
                <w:szCs w:val="21"/>
                <w:highlight w:val="none"/>
              </w:rPr>
              <w:t xml:space="preserve"> </w:t>
            </w:r>
            <w:r>
              <w:rPr>
                <w:color w:val="auto"/>
                <w:spacing w:val="-8"/>
                <w:sz w:val="21"/>
                <w:szCs w:val="21"/>
                <w:highlight w:val="none"/>
              </w:rPr>
              <w:t>时间</w:t>
            </w:r>
          </w:p>
        </w:tc>
        <w:tc>
          <w:tcPr>
            <w:tcW w:w="6855" w:type="dxa"/>
            <w:vAlign w:val="top"/>
          </w:tcPr>
          <w:p w14:paraId="0D9E797E">
            <w:pPr>
              <w:pStyle w:val="17"/>
              <w:spacing w:before="293" w:line="224" w:lineRule="auto"/>
              <w:ind w:left="116"/>
              <w:rPr>
                <w:color w:val="auto"/>
                <w:sz w:val="21"/>
                <w:szCs w:val="21"/>
                <w:highlight w:val="none"/>
              </w:rPr>
            </w:pPr>
            <w:r>
              <w:rPr>
                <w:color w:val="auto"/>
                <w:spacing w:val="-7"/>
                <w:sz w:val="21"/>
                <w:szCs w:val="21"/>
                <w:highlight w:val="none"/>
              </w:rPr>
              <w:t>在投标截止时间</w:t>
            </w:r>
            <w:r>
              <w:rPr>
                <w:color w:val="auto"/>
                <w:spacing w:val="-30"/>
                <w:sz w:val="21"/>
                <w:szCs w:val="21"/>
                <w:highlight w:val="none"/>
              </w:rPr>
              <w:t xml:space="preserve"> </w:t>
            </w:r>
            <w:r>
              <w:rPr>
                <w:color w:val="auto"/>
                <w:spacing w:val="-7"/>
                <w:sz w:val="21"/>
                <w:szCs w:val="21"/>
                <w:highlight w:val="none"/>
              </w:rPr>
              <w:t>15 日前。</w:t>
            </w:r>
          </w:p>
        </w:tc>
      </w:tr>
      <w:tr w14:paraId="3A7F8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487" w:hRule="atLeast"/>
          <w:jc w:val="center"/>
        </w:trPr>
        <w:tc>
          <w:tcPr>
            <w:tcW w:w="728" w:type="dxa"/>
            <w:vAlign w:val="top"/>
          </w:tcPr>
          <w:p w14:paraId="2FC93F3A">
            <w:pPr>
              <w:pStyle w:val="17"/>
              <w:spacing w:before="206" w:line="182" w:lineRule="auto"/>
              <w:ind w:left="393"/>
              <w:rPr>
                <w:color w:val="auto"/>
                <w:sz w:val="21"/>
                <w:szCs w:val="21"/>
                <w:highlight w:val="none"/>
              </w:rPr>
            </w:pPr>
            <w:r>
              <w:rPr>
                <w:color w:val="auto"/>
                <w:spacing w:val="-6"/>
                <w:sz w:val="21"/>
                <w:szCs w:val="21"/>
                <w:highlight w:val="none"/>
              </w:rPr>
              <w:t>15</w:t>
            </w:r>
          </w:p>
        </w:tc>
        <w:tc>
          <w:tcPr>
            <w:tcW w:w="1860" w:type="dxa"/>
            <w:vAlign w:val="top"/>
          </w:tcPr>
          <w:p w14:paraId="778B8CB0">
            <w:pPr>
              <w:pStyle w:val="17"/>
              <w:spacing w:before="169" w:line="224" w:lineRule="auto"/>
              <w:ind w:left="349"/>
              <w:rPr>
                <w:color w:val="auto"/>
                <w:sz w:val="21"/>
                <w:szCs w:val="21"/>
                <w:highlight w:val="none"/>
              </w:rPr>
            </w:pPr>
            <w:r>
              <w:rPr>
                <w:color w:val="auto"/>
                <w:spacing w:val="-2"/>
                <w:sz w:val="21"/>
                <w:szCs w:val="21"/>
                <w:highlight w:val="none"/>
              </w:rPr>
              <w:t>联合体投标</w:t>
            </w:r>
          </w:p>
        </w:tc>
        <w:tc>
          <w:tcPr>
            <w:tcW w:w="6855" w:type="dxa"/>
            <w:vAlign w:val="top"/>
          </w:tcPr>
          <w:p w14:paraId="5DF7DDA1">
            <w:pPr>
              <w:pStyle w:val="17"/>
              <w:spacing w:before="169" w:line="224" w:lineRule="auto"/>
              <w:ind w:left="119"/>
              <w:rPr>
                <w:color w:val="auto"/>
                <w:sz w:val="21"/>
                <w:szCs w:val="21"/>
                <w:highlight w:val="none"/>
              </w:rPr>
            </w:pPr>
            <w:r>
              <w:rPr>
                <w:color w:val="auto"/>
                <w:spacing w:val="-5"/>
                <w:sz w:val="21"/>
                <w:szCs w:val="21"/>
                <w:highlight w:val="none"/>
              </w:rPr>
              <w:t>不接受联合体投标。</w:t>
            </w:r>
          </w:p>
        </w:tc>
      </w:tr>
      <w:tr w14:paraId="5B90F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719" w:hRule="atLeast"/>
          <w:jc w:val="center"/>
        </w:trPr>
        <w:tc>
          <w:tcPr>
            <w:tcW w:w="728" w:type="dxa"/>
            <w:vAlign w:val="top"/>
          </w:tcPr>
          <w:p w14:paraId="0038E31D">
            <w:pPr>
              <w:spacing w:line="250" w:lineRule="auto"/>
              <w:rPr>
                <w:rFonts w:ascii="Arial"/>
                <w:color w:val="auto"/>
                <w:sz w:val="21"/>
                <w:highlight w:val="none"/>
              </w:rPr>
            </w:pPr>
          </w:p>
          <w:p w14:paraId="534BF93E">
            <w:pPr>
              <w:pStyle w:val="17"/>
              <w:spacing w:before="68" w:line="182" w:lineRule="auto"/>
              <w:ind w:left="393"/>
              <w:rPr>
                <w:color w:val="auto"/>
                <w:sz w:val="21"/>
                <w:szCs w:val="21"/>
                <w:highlight w:val="none"/>
              </w:rPr>
            </w:pPr>
            <w:r>
              <w:rPr>
                <w:color w:val="auto"/>
                <w:spacing w:val="-6"/>
                <w:sz w:val="21"/>
                <w:szCs w:val="21"/>
                <w:highlight w:val="none"/>
              </w:rPr>
              <w:t>16</w:t>
            </w:r>
          </w:p>
        </w:tc>
        <w:tc>
          <w:tcPr>
            <w:tcW w:w="1860" w:type="dxa"/>
            <w:vAlign w:val="top"/>
          </w:tcPr>
          <w:p w14:paraId="2E05CA1A">
            <w:pPr>
              <w:pStyle w:val="17"/>
              <w:spacing w:before="282" w:line="224" w:lineRule="auto"/>
              <w:ind w:left="351"/>
              <w:rPr>
                <w:color w:val="auto"/>
                <w:sz w:val="21"/>
                <w:szCs w:val="21"/>
                <w:highlight w:val="none"/>
              </w:rPr>
            </w:pPr>
            <w:r>
              <w:rPr>
                <w:color w:val="auto"/>
                <w:spacing w:val="-3"/>
                <w:sz w:val="21"/>
                <w:szCs w:val="21"/>
                <w:highlight w:val="none"/>
              </w:rPr>
              <w:t>招标代理费</w:t>
            </w:r>
          </w:p>
        </w:tc>
        <w:tc>
          <w:tcPr>
            <w:tcW w:w="6855" w:type="dxa"/>
            <w:vAlign w:val="top"/>
          </w:tcPr>
          <w:p w14:paraId="03CB939E">
            <w:pPr>
              <w:pStyle w:val="17"/>
              <w:spacing w:before="107" w:line="222" w:lineRule="auto"/>
              <w:ind w:left="110"/>
              <w:rPr>
                <w:rFonts w:hint="eastAsia"/>
                <w:color w:val="auto"/>
                <w:spacing w:val="-2"/>
                <w:sz w:val="21"/>
                <w:szCs w:val="21"/>
                <w:highlight w:val="none"/>
              </w:rPr>
            </w:pPr>
            <w:r>
              <w:rPr>
                <w:rFonts w:hint="eastAsia"/>
                <w:color w:val="auto"/>
                <w:spacing w:val="-2"/>
                <w:sz w:val="21"/>
                <w:szCs w:val="21"/>
                <w:highlight w:val="none"/>
              </w:rPr>
              <w:t>招标代理服务费由成交人向采购代理机构支付。</w:t>
            </w:r>
          </w:p>
          <w:p w14:paraId="2400AB7F">
            <w:pPr>
              <w:pStyle w:val="17"/>
              <w:spacing w:before="107" w:line="222" w:lineRule="auto"/>
              <w:ind w:left="110"/>
              <w:rPr>
                <w:color w:val="auto"/>
                <w:sz w:val="21"/>
                <w:szCs w:val="21"/>
                <w:highlight w:val="none"/>
              </w:rPr>
            </w:pPr>
            <w:r>
              <w:rPr>
                <w:rFonts w:hint="eastAsia"/>
                <w:color w:val="auto"/>
                <w:spacing w:val="-2"/>
                <w:sz w:val="21"/>
                <w:szCs w:val="21"/>
                <w:highlight w:val="none"/>
              </w:rPr>
              <w:t>交纳时间：中标单位在领取中标通知书前，向招标代理机构一次性缴纳招标代理服务费。</w:t>
            </w:r>
          </w:p>
        </w:tc>
      </w:tr>
      <w:tr w14:paraId="5902F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079" w:hRule="atLeast"/>
          <w:jc w:val="center"/>
        </w:trPr>
        <w:tc>
          <w:tcPr>
            <w:tcW w:w="728" w:type="dxa"/>
            <w:vAlign w:val="top"/>
          </w:tcPr>
          <w:p w14:paraId="4189F8C8">
            <w:pPr>
              <w:spacing w:line="430" w:lineRule="auto"/>
              <w:rPr>
                <w:rFonts w:ascii="Arial"/>
                <w:color w:val="auto"/>
                <w:sz w:val="21"/>
                <w:highlight w:val="none"/>
              </w:rPr>
            </w:pPr>
          </w:p>
          <w:p w14:paraId="2717CB61">
            <w:pPr>
              <w:pStyle w:val="17"/>
              <w:spacing w:before="68" w:line="182" w:lineRule="auto"/>
              <w:ind w:left="393"/>
              <w:rPr>
                <w:color w:val="auto"/>
                <w:sz w:val="21"/>
                <w:szCs w:val="21"/>
                <w:highlight w:val="none"/>
              </w:rPr>
            </w:pPr>
            <w:r>
              <w:rPr>
                <w:color w:val="auto"/>
                <w:spacing w:val="-6"/>
                <w:sz w:val="21"/>
                <w:szCs w:val="21"/>
                <w:highlight w:val="none"/>
              </w:rPr>
              <w:t>17</w:t>
            </w:r>
          </w:p>
        </w:tc>
        <w:tc>
          <w:tcPr>
            <w:tcW w:w="1860" w:type="dxa"/>
            <w:vAlign w:val="top"/>
          </w:tcPr>
          <w:p w14:paraId="6ADEE406">
            <w:pPr>
              <w:pStyle w:val="17"/>
              <w:spacing w:before="104" w:line="224" w:lineRule="auto"/>
              <w:ind w:left="141"/>
              <w:rPr>
                <w:color w:val="auto"/>
                <w:sz w:val="21"/>
                <w:szCs w:val="21"/>
                <w:highlight w:val="none"/>
              </w:rPr>
            </w:pPr>
            <w:r>
              <w:rPr>
                <w:color w:val="auto"/>
                <w:spacing w:val="-2"/>
                <w:sz w:val="21"/>
                <w:szCs w:val="21"/>
                <w:highlight w:val="none"/>
              </w:rPr>
              <w:t>投标人要求澄清</w:t>
            </w:r>
          </w:p>
          <w:p w14:paraId="0BC24F91">
            <w:pPr>
              <w:pStyle w:val="17"/>
              <w:spacing w:before="104" w:line="224" w:lineRule="auto"/>
              <w:ind w:left="141"/>
              <w:rPr>
                <w:color w:val="auto"/>
                <w:sz w:val="21"/>
                <w:szCs w:val="21"/>
                <w:highlight w:val="none"/>
              </w:rPr>
            </w:pPr>
            <w:r>
              <w:rPr>
                <w:color w:val="auto"/>
                <w:spacing w:val="-2"/>
                <w:sz w:val="21"/>
                <w:szCs w:val="21"/>
                <w:highlight w:val="none"/>
              </w:rPr>
              <w:t>招标文件的截止</w:t>
            </w:r>
          </w:p>
          <w:p w14:paraId="5CF46BB6">
            <w:pPr>
              <w:pStyle w:val="17"/>
              <w:spacing w:before="105" w:line="216" w:lineRule="auto"/>
              <w:ind w:left="366"/>
              <w:rPr>
                <w:color w:val="auto"/>
                <w:sz w:val="21"/>
                <w:szCs w:val="21"/>
                <w:highlight w:val="none"/>
              </w:rPr>
            </w:pPr>
            <w:r>
              <w:rPr>
                <w:color w:val="auto"/>
                <w:spacing w:val="-5"/>
                <w:sz w:val="21"/>
                <w:szCs w:val="21"/>
                <w:highlight w:val="none"/>
              </w:rPr>
              <w:t>时间及方式</w:t>
            </w:r>
          </w:p>
        </w:tc>
        <w:tc>
          <w:tcPr>
            <w:tcW w:w="6855" w:type="dxa"/>
            <w:vAlign w:val="top"/>
          </w:tcPr>
          <w:p w14:paraId="574F3E36">
            <w:pPr>
              <w:spacing w:line="393" w:lineRule="auto"/>
              <w:rPr>
                <w:rFonts w:ascii="Arial"/>
                <w:color w:val="auto"/>
                <w:sz w:val="21"/>
                <w:highlight w:val="none"/>
              </w:rPr>
            </w:pPr>
          </w:p>
          <w:p w14:paraId="0F4D867A">
            <w:pPr>
              <w:pStyle w:val="17"/>
              <w:spacing w:before="68" w:line="224" w:lineRule="auto"/>
              <w:ind w:left="116"/>
              <w:rPr>
                <w:color w:val="auto"/>
                <w:sz w:val="21"/>
                <w:szCs w:val="21"/>
                <w:highlight w:val="none"/>
              </w:rPr>
            </w:pPr>
            <w:r>
              <w:rPr>
                <w:color w:val="auto"/>
                <w:spacing w:val="-7"/>
                <w:sz w:val="21"/>
                <w:szCs w:val="21"/>
                <w:highlight w:val="none"/>
              </w:rPr>
              <w:t>在投标截止时间</w:t>
            </w:r>
            <w:r>
              <w:rPr>
                <w:color w:val="auto"/>
                <w:spacing w:val="-30"/>
                <w:sz w:val="21"/>
                <w:szCs w:val="21"/>
                <w:highlight w:val="none"/>
              </w:rPr>
              <w:t xml:space="preserve"> </w:t>
            </w:r>
            <w:r>
              <w:rPr>
                <w:color w:val="auto"/>
                <w:spacing w:val="-7"/>
                <w:sz w:val="21"/>
                <w:szCs w:val="21"/>
                <w:highlight w:val="none"/>
              </w:rPr>
              <w:t>15 日前。</w:t>
            </w:r>
          </w:p>
        </w:tc>
      </w:tr>
      <w:tr w14:paraId="06DC0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2158" w:hRule="atLeast"/>
          <w:jc w:val="center"/>
        </w:trPr>
        <w:tc>
          <w:tcPr>
            <w:tcW w:w="728" w:type="dxa"/>
            <w:vAlign w:val="top"/>
          </w:tcPr>
          <w:p w14:paraId="3B97ADE3">
            <w:pPr>
              <w:spacing w:line="241" w:lineRule="auto"/>
              <w:rPr>
                <w:rFonts w:ascii="Arial"/>
                <w:color w:val="auto"/>
                <w:sz w:val="21"/>
                <w:highlight w:val="none"/>
              </w:rPr>
            </w:pPr>
          </w:p>
          <w:p w14:paraId="6C768C13">
            <w:pPr>
              <w:spacing w:line="242" w:lineRule="auto"/>
              <w:rPr>
                <w:rFonts w:ascii="Arial"/>
                <w:color w:val="auto"/>
                <w:sz w:val="21"/>
                <w:highlight w:val="none"/>
              </w:rPr>
            </w:pPr>
          </w:p>
          <w:p w14:paraId="3E1DDC03">
            <w:pPr>
              <w:spacing w:line="242" w:lineRule="auto"/>
              <w:rPr>
                <w:rFonts w:ascii="Arial"/>
                <w:color w:val="auto"/>
                <w:sz w:val="21"/>
                <w:highlight w:val="none"/>
              </w:rPr>
            </w:pPr>
          </w:p>
          <w:p w14:paraId="17AFFEE7">
            <w:pPr>
              <w:spacing w:line="242" w:lineRule="auto"/>
              <w:rPr>
                <w:rFonts w:ascii="Arial"/>
                <w:color w:val="auto"/>
                <w:sz w:val="21"/>
                <w:highlight w:val="none"/>
              </w:rPr>
            </w:pPr>
          </w:p>
          <w:p w14:paraId="3283869B">
            <w:pPr>
              <w:pStyle w:val="17"/>
              <w:spacing w:before="69" w:line="182" w:lineRule="auto"/>
              <w:ind w:left="393"/>
              <w:rPr>
                <w:color w:val="auto"/>
                <w:sz w:val="21"/>
                <w:szCs w:val="21"/>
                <w:highlight w:val="none"/>
              </w:rPr>
            </w:pPr>
            <w:r>
              <w:rPr>
                <w:color w:val="auto"/>
                <w:spacing w:val="-6"/>
                <w:sz w:val="21"/>
                <w:szCs w:val="21"/>
                <w:highlight w:val="none"/>
              </w:rPr>
              <w:t>18</w:t>
            </w:r>
          </w:p>
        </w:tc>
        <w:tc>
          <w:tcPr>
            <w:tcW w:w="1860" w:type="dxa"/>
            <w:vAlign w:val="top"/>
          </w:tcPr>
          <w:p w14:paraId="24F9B651">
            <w:pPr>
              <w:spacing w:line="310" w:lineRule="auto"/>
              <w:rPr>
                <w:rFonts w:ascii="Arial"/>
                <w:color w:val="auto"/>
                <w:sz w:val="21"/>
                <w:highlight w:val="none"/>
              </w:rPr>
            </w:pPr>
          </w:p>
          <w:p w14:paraId="1B951167">
            <w:pPr>
              <w:spacing w:line="310" w:lineRule="auto"/>
              <w:rPr>
                <w:rFonts w:ascii="Arial"/>
                <w:color w:val="auto"/>
                <w:sz w:val="21"/>
                <w:highlight w:val="none"/>
              </w:rPr>
            </w:pPr>
          </w:p>
          <w:p w14:paraId="66299F17">
            <w:pPr>
              <w:spacing w:line="310" w:lineRule="auto"/>
              <w:rPr>
                <w:rFonts w:ascii="Arial"/>
                <w:color w:val="auto"/>
                <w:sz w:val="21"/>
                <w:highlight w:val="none"/>
              </w:rPr>
            </w:pPr>
          </w:p>
          <w:p w14:paraId="266F2AB5">
            <w:pPr>
              <w:pStyle w:val="17"/>
              <w:spacing w:before="69" w:line="222" w:lineRule="auto"/>
              <w:ind w:left="252"/>
              <w:rPr>
                <w:color w:val="auto"/>
                <w:sz w:val="21"/>
                <w:szCs w:val="21"/>
                <w:highlight w:val="none"/>
              </w:rPr>
            </w:pPr>
            <w:r>
              <w:rPr>
                <w:color w:val="auto"/>
                <w:spacing w:val="-3"/>
                <w:sz w:val="21"/>
                <w:szCs w:val="21"/>
                <w:highlight w:val="none"/>
              </w:rPr>
              <w:t>最高投标限价</w:t>
            </w:r>
          </w:p>
        </w:tc>
        <w:tc>
          <w:tcPr>
            <w:tcW w:w="6855" w:type="dxa"/>
            <w:vAlign w:val="top"/>
          </w:tcPr>
          <w:p w14:paraId="343D7420">
            <w:pPr>
              <w:spacing w:before="104" w:line="189" w:lineRule="auto"/>
              <w:ind w:left="114"/>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12"/>
                <w:sz w:val="21"/>
                <w:szCs w:val="21"/>
                <w:highlight w:val="none"/>
              </w:rPr>
              <w:t>小写：</w:t>
            </w:r>
            <w:r>
              <w:rPr>
                <w:rFonts w:hint="eastAsia" w:ascii="微软雅黑" w:hAnsi="微软雅黑" w:eastAsia="微软雅黑" w:cs="微软雅黑"/>
                <w:b/>
                <w:bCs/>
                <w:color w:val="auto"/>
                <w:spacing w:val="-12"/>
                <w:sz w:val="21"/>
                <w:szCs w:val="21"/>
                <w:highlight w:val="none"/>
                <w:lang w:val="en-US" w:eastAsia="zh-CN"/>
              </w:rPr>
              <w:t>959万元</w:t>
            </w:r>
          </w:p>
          <w:p w14:paraId="7A342DF0">
            <w:pPr>
              <w:spacing w:before="76" w:line="188" w:lineRule="auto"/>
              <w:ind w:left="117"/>
              <w:rPr>
                <w:rFonts w:hint="eastAsia" w:ascii="微软雅黑" w:hAnsi="微软雅黑" w:eastAsia="微软雅黑" w:cs="微软雅黑"/>
                <w:color w:val="auto"/>
                <w:sz w:val="21"/>
                <w:szCs w:val="21"/>
                <w:highlight w:val="none"/>
                <w:lang w:eastAsia="zh-CN"/>
              </w:rPr>
            </w:pPr>
            <w:r>
              <w:rPr>
                <w:rFonts w:ascii="微软雅黑" w:hAnsi="微软雅黑" w:eastAsia="微软雅黑" w:cs="微软雅黑"/>
                <w:b/>
                <w:bCs/>
                <w:color w:val="auto"/>
                <w:spacing w:val="-2"/>
                <w:sz w:val="21"/>
                <w:szCs w:val="21"/>
                <w:highlight w:val="none"/>
              </w:rPr>
              <w:t>大写：</w:t>
            </w:r>
            <w:r>
              <w:rPr>
                <w:rFonts w:hint="eastAsia" w:ascii="微软雅黑" w:hAnsi="微软雅黑" w:eastAsia="微软雅黑" w:cs="微软雅黑"/>
                <w:b/>
                <w:bCs/>
                <w:color w:val="auto"/>
                <w:spacing w:val="-12"/>
                <w:sz w:val="21"/>
                <w:szCs w:val="21"/>
                <w:highlight w:val="none"/>
                <w:lang w:val="en-US" w:eastAsia="zh-CN"/>
              </w:rPr>
              <w:t>玖佰伍拾玖万元整</w:t>
            </w:r>
          </w:p>
          <w:p w14:paraId="2A5D6D92">
            <w:pPr>
              <w:pStyle w:val="17"/>
              <w:spacing w:before="78" w:line="222" w:lineRule="auto"/>
              <w:ind w:left="123"/>
              <w:rPr>
                <w:color w:val="auto"/>
                <w:sz w:val="21"/>
                <w:szCs w:val="21"/>
                <w:highlight w:val="none"/>
              </w:rPr>
            </w:pPr>
            <w:r>
              <w:rPr>
                <w:color w:val="auto"/>
                <w:spacing w:val="-2"/>
                <w:sz w:val="21"/>
                <w:szCs w:val="21"/>
                <w:highlight w:val="none"/>
              </w:rPr>
              <w:t>1、各投标人的投标总报价不得高于采购预算，否则将否决其投标。</w:t>
            </w:r>
          </w:p>
          <w:p w14:paraId="7ACF8255">
            <w:pPr>
              <w:pStyle w:val="17"/>
              <w:spacing w:before="107" w:line="222" w:lineRule="auto"/>
              <w:ind w:left="110"/>
              <w:rPr>
                <w:color w:val="auto"/>
                <w:sz w:val="21"/>
                <w:szCs w:val="21"/>
                <w:highlight w:val="none"/>
              </w:rPr>
            </w:pPr>
            <w:r>
              <w:rPr>
                <w:color w:val="auto"/>
                <w:spacing w:val="-2"/>
                <w:sz w:val="21"/>
                <w:szCs w:val="21"/>
                <w:highlight w:val="none"/>
              </w:rPr>
              <w:t>2、投标报价为“招标范围”内的总报价。</w:t>
            </w:r>
          </w:p>
          <w:p w14:paraId="245BC6E7">
            <w:pPr>
              <w:pStyle w:val="17"/>
              <w:spacing w:before="107" w:line="265" w:lineRule="auto"/>
              <w:ind w:left="114" w:right="128" w:hanging="2"/>
              <w:rPr>
                <w:color w:val="auto"/>
                <w:sz w:val="21"/>
                <w:szCs w:val="21"/>
                <w:highlight w:val="none"/>
              </w:rPr>
            </w:pPr>
            <w:r>
              <w:rPr>
                <w:color w:val="auto"/>
                <w:spacing w:val="-1"/>
                <w:sz w:val="21"/>
                <w:szCs w:val="21"/>
                <w:highlight w:val="none"/>
              </w:rPr>
              <w:t>3、投标人的报价应为所确定的招标范围内的全部工作内容的价格体现，所有费</w:t>
            </w:r>
            <w:r>
              <w:rPr>
                <w:color w:val="auto"/>
                <w:spacing w:val="-2"/>
                <w:sz w:val="21"/>
                <w:szCs w:val="21"/>
                <w:highlight w:val="none"/>
              </w:rPr>
              <w:t>用，且在合同执行过程中，不因任何因素予以调整。</w:t>
            </w:r>
          </w:p>
        </w:tc>
      </w:tr>
      <w:tr w14:paraId="264E1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485" w:hRule="atLeast"/>
          <w:jc w:val="center"/>
        </w:trPr>
        <w:tc>
          <w:tcPr>
            <w:tcW w:w="728" w:type="dxa"/>
            <w:vAlign w:val="center"/>
          </w:tcPr>
          <w:p w14:paraId="567A9397">
            <w:pPr>
              <w:spacing w:line="241" w:lineRule="auto"/>
              <w:jc w:val="center"/>
              <w:rPr>
                <w:rFonts w:ascii="Arial"/>
                <w:color w:val="auto"/>
                <w:sz w:val="21"/>
                <w:highlight w:val="none"/>
              </w:rPr>
            </w:pPr>
            <w:r>
              <w:rPr>
                <w:rFonts w:ascii="Arial"/>
                <w:color w:val="auto"/>
                <w:sz w:val="21"/>
                <w:highlight w:val="none"/>
              </w:rPr>
              <w:t>19</w:t>
            </w:r>
          </w:p>
        </w:tc>
        <w:tc>
          <w:tcPr>
            <w:tcW w:w="1860" w:type="dxa"/>
            <w:vAlign w:val="center"/>
          </w:tcPr>
          <w:p w14:paraId="55575EA4">
            <w:pPr>
              <w:spacing w:line="241" w:lineRule="auto"/>
              <w:jc w:val="center"/>
              <w:rPr>
                <w:rFonts w:ascii="Arial"/>
                <w:color w:val="auto"/>
                <w:sz w:val="21"/>
                <w:highlight w:val="none"/>
              </w:rPr>
            </w:pPr>
            <w:r>
              <w:rPr>
                <w:rFonts w:ascii="Arial"/>
                <w:color w:val="auto"/>
                <w:sz w:val="21"/>
                <w:highlight w:val="none"/>
              </w:rPr>
              <w:t>投标文件的组成</w:t>
            </w:r>
          </w:p>
        </w:tc>
        <w:tc>
          <w:tcPr>
            <w:tcW w:w="6855" w:type="dxa"/>
            <w:vAlign w:val="top"/>
          </w:tcPr>
          <w:p w14:paraId="54F1F0B6">
            <w:pPr>
              <w:pStyle w:val="17"/>
              <w:spacing w:before="278" w:line="229" w:lineRule="auto"/>
              <w:ind w:left="107"/>
              <w:rPr>
                <w:color w:val="auto"/>
                <w:sz w:val="21"/>
                <w:szCs w:val="21"/>
                <w:highlight w:val="none"/>
              </w:rPr>
            </w:pPr>
            <w:r>
              <w:rPr>
                <w:color w:val="auto"/>
                <w:sz w:val="21"/>
                <w:szCs w:val="21"/>
                <w:highlight w:val="none"/>
              </w:rPr>
              <w:t>/</w:t>
            </w:r>
          </w:p>
        </w:tc>
      </w:tr>
      <w:tr w14:paraId="09127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708" w:hRule="atLeast"/>
          <w:jc w:val="center"/>
        </w:trPr>
        <w:tc>
          <w:tcPr>
            <w:tcW w:w="728" w:type="dxa"/>
            <w:vAlign w:val="center"/>
          </w:tcPr>
          <w:p w14:paraId="194C4E0E">
            <w:pPr>
              <w:spacing w:line="241" w:lineRule="auto"/>
              <w:jc w:val="center"/>
              <w:rPr>
                <w:rFonts w:ascii="Arial"/>
                <w:color w:val="auto"/>
                <w:sz w:val="21"/>
                <w:highlight w:val="none"/>
              </w:rPr>
            </w:pPr>
            <w:r>
              <w:rPr>
                <w:rFonts w:ascii="Arial"/>
                <w:color w:val="auto"/>
                <w:sz w:val="21"/>
                <w:highlight w:val="none"/>
              </w:rPr>
              <w:t>20</w:t>
            </w:r>
          </w:p>
        </w:tc>
        <w:tc>
          <w:tcPr>
            <w:tcW w:w="1860" w:type="dxa"/>
            <w:vAlign w:val="center"/>
          </w:tcPr>
          <w:p w14:paraId="15F3E287">
            <w:pPr>
              <w:spacing w:line="241" w:lineRule="auto"/>
              <w:jc w:val="center"/>
              <w:rPr>
                <w:rFonts w:ascii="Arial"/>
                <w:color w:val="auto"/>
                <w:sz w:val="21"/>
                <w:highlight w:val="none"/>
              </w:rPr>
            </w:pPr>
            <w:r>
              <w:rPr>
                <w:rFonts w:ascii="Arial"/>
                <w:color w:val="auto"/>
                <w:sz w:val="21"/>
                <w:highlight w:val="none"/>
              </w:rPr>
              <w:t>投标有效期</w:t>
            </w:r>
          </w:p>
        </w:tc>
        <w:tc>
          <w:tcPr>
            <w:tcW w:w="6855" w:type="dxa"/>
            <w:vAlign w:val="top"/>
          </w:tcPr>
          <w:p w14:paraId="4E5F6571">
            <w:pPr>
              <w:pStyle w:val="17"/>
              <w:spacing w:before="284" w:line="224" w:lineRule="auto"/>
              <w:jc w:val="both"/>
              <w:rPr>
                <w:color w:val="auto"/>
                <w:sz w:val="21"/>
                <w:szCs w:val="21"/>
                <w:highlight w:val="none"/>
              </w:rPr>
            </w:pPr>
            <w:r>
              <w:rPr>
                <w:rFonts w:hint="eastAsia" w:ascii="Arial" w:hAnsi="Arial" w:eastAsia="Arial" w:cs="Arial"/>
                <w:snapToGrid w:val="0"/>
                <w:color w:val="auto"/>
                <w:kern w:val="0"/>
                <w:sz w:val="21"/>
                <w:szCs w:val="21"/>
                <w:highlight w:val="none"/>
                <w:lang w:val="en-US" w:eastAsia="zh-CN" w:bidi="ar-SA"/>
              </w:rPr>
              <w:t>9</w:t>
            </w:r>
            <w:r>
              <w:rPr>
                <w:rFonts w:ascii="Arial" w:hAnsi="Arial" w:eastAsia="Arial" w:cs="Arial"/>
                <w:snapToGrid w:val="0"/>
                <w:color w:val="auto"/>
                <w:kern w:val="0"/>
                <w:sz w:val="21"/>
                <w:szCs w:val="21"/>
                <w:highlight w:val="none"/>
                <w:lang w:val="en-US" w:eastAsia="en-US" w:bidi="ar-SA"/>
              </w:rPr>
              <w:t>0 日历日（自投标截止时间起开始计算）。</w:t>
            </w:r>
          </w:p>
        </w:tc>
      </w:tr>
      <w:tr w14:paraId="673DA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715" w:hRule="atLeast"/>
          <w:jc w:val="center"/>
        </w:trPr>
        <w:tc>
          <w:tcPr>
            <w:tcW w:w="728" w:type="dxa"/>
            <w:vAlign w:val="top"/>
          </w:tcPr>
          <w:p w14:paraId="378AF205">
            <w:pPr>
              <w:spacing w:line="255" w:lineRule="auto"/>
              <w:rPr>
                <w:rFonts w:ascii="Arial"/>
                <w:color w:val="auto"/>
                <w:sz w:val="21"/>
                <w:highlight w:val="none"/>
              </w:rPr>
            </w:pPr>
          </w:p>
          <w:p w14:paraId="039904F0">
            <w:pPr>
              <w:spacing w:line="255" w:lineRule="auto"/>
              <w:rPr>
                <w:rFonts w:ascii="Arial"/>
                <w:color w:val="auto"/>
                <w:sz w:val="21"/>
                <w:highlight w:val="none"/>
              </w:rPr>
            </w:pPr>
          </w:p>
          <w:p w14:paraId="494059E1">
            <w:pPr>
              <w:spacing w:line="255" w:lineRule="auto"/>
              <w:rPr>
                <w:rFonts w:ascii="Arial"/>
                <w:color w:val="auto"/>
                <w:sz w:val="21"/>
                <w:highlight w:val="none"/>
              </w:rPr>
            </w:pPr>
          </w:p>
          <w:p w14:paraId="5E21CEDD">
            <w:pPr>
              <w:spacing w:line="255" w:lineRule="auto"/>
              <w:rPr>
                <w:rFonts w:ascii="Arial"/>
                <w:color w:val="auto"/>
                <w:sz w:val="21"/>
                <w:highlight w:val="none"/>
              </w:rPr>
            </w:pPr>
          </w:p>
          <w:p w14:paraId="5FBB43E0">
            <w:pPr>
              <w:spacing w:line="255" w:lineRule="auto"/>
              <w:rPr>
                <w:rFonts w:ascii="Arial"/>
                <w:color w:val="auto"/>
                <w:sz w:val="21"/>
                <w:highlight w:val="none"/>
              </w:rPr>
            </w:pPr>
          </w:p>
          <w:p w14:paraId="574BC935">
            <w:pPr>
              <w:spacing w:line="255" w:lineRule="auto"/>
              <w:rPr>
                <w:rFonts w:ascii="Arial"/>
                <w:color w:val="auto"/>
                <w:sz w:val="21"/>
                <w:highlight w:val="none"/>
              </w:rPr>
            </w:pPr>
          </w:p>
          <w:p w14:paraId="701064DC">
            <w:pPr>
              <w:spacing w:line="255" w:lineRule="auto"/>
              <w:rPr>
                <w:rFonts w:ascii="Arial"/>
                <w:color w:val="auto"/>
                <w:sz w:val="21"/>
                <w:highlight w:val="none"/>
              </w:rPr>
            </w:pPr>
          </w:p>
          <w:p w14:paraId="01FEDA13">
            <w:pPr>
              <w:spacing w:line="255" w:lineRule="auto"/>
              <w:rPr>
                <w:rFonts w:ascii="Arial"/>
                <w:color w:val="auto"/>
                <w:sz w:val="21"/>
                <w:highlight w:val="none"/>
              </w:rPr>
            </w:pPr>
          </w:p>
          <w:p w14:paraId="34F2BA12">
            <w:pPr>
              <w:spacing w:line="255" w:lineRule="auto"/>
              <w:rPr>
                <w:rFonts w:ascii="Arial"/>
                <w:color w:val="auto"/>
                <w:sz w:val="21"/>
                <w:highlight w:val="none"/>
              </w:rPr>
            </w:pPr>
          </w:p>
          <w:p w14:paraId="3AD8755F">
            <w:pPr>
              <w:spacing w:line="255" w:lineRule="auto"/>
              <w:rPr>
                <w:rFonts w:ascii="Arial"/>
                <w:color w:val="auto"/>
                <w:sz w:val="21"/>
                <w:highlight w:val="none"/>
              </w:rPr>
            </w:pPr>
          </w:p>
          <w:p w14:paraId="654EC046">
            <w:pPr>
              <w:spacing w:line="255" w:lineRule="auto"/>
              <w:rPr>
                <w:rFonts w:ascii="Arial"/>
                <w:color w:val="auto"/>
                <w:sz w:val="21"/>
                <w:highlight w:val="none"/>
              </w:rPr>
            </w:pPr>
          </w:p>
          <w:p w14:paraId="2E21861C">
            <w:pPr>
              <w:spacing w:line="255" w:lineRule="auto"/>
              <w:rPr>
                <w:rFonts w:ascii="Arial"/>
                <w:color w:val="auto"/>
                <w:sz w:val="21"/>
                <w:highlight w:val="none"/>
              </w:rPr>
            </w:pPr>
          </w:p>
          <w:p w14:paraId="3D656565">
            <w:pPr>
              <w:spacing w:line="255" w:lineRule="auto"/>
              <w:rPr>
                <w:rFonts w:ascii="Arial"/>
                <w:color w:val="auto"/>
                <w:sz w:val="21"/>
                <w:highlight w:val="none"/>
              </w:rPr>
            </w:pPr>
          </w:p>
          <w:p w14:paraId="61E63381">
            <w:pPr>
              <w:spacing w:line="256" w:lineRule="auto"/>
              <w:rPr>
                <w:rFonts w:ascii="Arial"/>
                <w:color w:val="auto"/>
                <w:sz w:val="21"/>
                <w:highlight w:val="none"/>
              </w:rPr>
            </w:pPr>
          </w:p>
          <w:p w14:paraId="16827622">
            <w:pPr>
              <w:spacing w:line="256" w:lineRule="auto"/>
              <w:rPr>
                <w:rFonts w:ascii="Arial"/>
                <w:color w:val="auto"/>
                <w:sz w:val="21"/>
                <w:highlight w:val="none"/>
              </w:rPr>
            </w:pPr>
          </w:p>
          <w:p w14:paraId="1E0A5CF3">
            <w:pPr>
              <w:pStyle w:val="17"/>
              <w:spacing w:before="68" w:line="182" w:lineRule="auto"/>
              <w:ind w:left="380" w:leftChars="0"/>
              <w:rPr>
                <w:color w:val="auto"/>
                <w:spacing w:val="-3"/>
                <w:sz w:val="21"/>
                <w:szCs w:val="21"/>
                <w:highlight w:val="none"/>
              </w:rPr>
            </w:pPr>
            <w:r>
              <w:rPr>
                <w:color w:val="auto"/>
                <w:spacing w:val="-3"/>
                <w:sz w:val="21"/>
                <w:szCs w:val="21"/>
                <w:highlight w:val="none"/>
              </w:rPr>
              <w:t>21</w:t>
            </w:r>
          </w:p>
        </w:tc>
        <w:tc>
          <w:tcPr>
            <w:tcW w:w="1860" w:type="dxa"/>
            <w:vAlign w:val="top"/>
          </w:tcPr>
          <w:p w14:paraId="051273DF">
            <w:pPr>
              <w:spacing w:line="252" w:lineRule="auto"/>
              <w:rPr>
                <w:rFonts w:ascii="Arial"/>
                <w:color w:val="auto"/>
                <w:sz w:val="21"/>
                <w:highlight w:val="none"/>
              </w:rPr>
            </w:pPr>
          </w:p>
          <w:p w14:paraId="0E6882F8">
            <w:pPr>
              <w:spacing w:line="252" w:lineRule="auto"/>
              <w:rPr>
                <w:rFonts w:ascii="Arial"/>
                <w:color w:val="auto"/>
                <w:sz w:val="21"/>
                <w:highlight w:val="none"/>
              </w:rPr>
            </w:pPr>
          </w:p>
          <w:p w14:paraId="4B6026DD">
            <w:pPr>
              <w:spacing w:line="252" w:lineRule="auto"/>
              <w:rPr>
                <w:rFonts w:ascii="Arial"/>
                <w:color w:val="auto"/>
                <w:sz w:val="21"/>
                <w:highlight w:val="none"/>
              </w:rPr>
            </w:pPr>
          </w:p>
          <w:p w14:paraId="226F7F84">
            <w:pPr>
              <w:spacing w:line="252" w:lineRule="auto"/>
              <w:rPr>
                <w:rFonts w:ascii="Arial"/>
                <w:color w:val="auto"/>
                <w:sz w:val="21"/>
                <w:highlight w:val="none"/>
              </w:rPr>
            </w:pPr>
          </w:p>
          <w:p w14:paraId="29103E68">
            <w:pPr>
              <w:spacing w:line="252" w:lineRule="auto"/>
              <w:rPr>
                <w:rFonts w:ascii="Arial"/>
                <w:color w:val="auto"/>
                <w:sz w:val="21"/>
                <w:highlight w:val="none"/>
              </w:rPr>
            </w:pPr>
          </w:p>
          <w:p w14:paraId="7BD2ED72">
            <w:pPr>
              <w:spacing w:line="253" w:lineRule="auto"/>
              <w:rPr>
                <w:rFonts w:ascii="Arial"/>
                <w:color w:val="auto"/>
                <w:sz w:val="21"/>
                <w:highlight w:val="none"/>
              </w:rPr>
            </w:pPr>
          </w:p>
          <w:p w14:paraId="65EFCF34">
            <w:pPr>
              <w:spacing w:line="253" w:lineRule="auto"/>
              <w:rPr>
                <w:rFonts w:ascii="Arial"/>
                <w:color w:val="auto"/>
                <w:sz w:val="21"/>
                <w:highlight w:val="none"/>
              </w:rPr>
            </w:pPr>
          </w:p>
          <w:p w14:paraId="2892F5FB">
            <w:pPr>
              <w:spacing w:line="253" w:lineRule="auto"/>
              <w:rPr>
                <w:rFonts w:ascii="Arial"/>
                <w:color w:val="auto"/>
                <w:sz w:val="21"/>
                <w:highlight w:val="none"/>
              </w:rPr>
            </w:pPr>
          </w:p>
          <w:p w14:paraId="0791680B">
            <w:pPr>
              <w:spacing w:line="253" w:lineRule="auto"/>
              <w:rPr>
                <w:rFonts w:ascii="Arial"/>
                <w:color w:val="auto"/>
                <w:sz w:val="21"/>
                <w:highlight w:val="none"/>
              </w:rPr>
            </w:pPr>
          </w:p>
          <w:p w14:paraId="2B853D52">
            <w:pPr>
              <w:spacing w:line="253" w:lineRule="auto"/>
              <w:rPr>
                <w:rFonts w:ascii="Arial"/>
                <w:color w:val="auto"/>
                <w:sz w:val="21"/>
                <w:highlight w:val="none"/>
              </w:rPr>
            </w:pPr>
          </w:p>
          <w:p w14:paraId="7D838AAC">
            <w:pPr>
              <w:spacing w:line="253" w:lineRule="auto"/>
              <w:rPr>
                <w:rFonts w:ascii="Arial"/>
                <w:color w:val="auto"/>
                <w:sz w:val="21"/>
                <w:highlight w:val="none"/>
              </w:rPr>
            </w:pPr>
          </w:p>
          <w:p w14:paraId="3E322CCA">
            <w:pPr>
              <w:spacing w:line="253" w:lineRule="auto"/>
              <w:rPr>
                <w:rFonts w:ascii="Arial"/>
                <w:color w:val="auto"/>
                <w:sz w:val="21"/>
                <w:highlight w:val="none"/>
              </w:rPr>
            </w:pPr>
          </w:p>
          <w:p w14:paraId="3C72AFB2">
            <w:pPr>
              <w:spacing w:line="253" w:lineRule="auto"/>
              <w:rPr>
                <w:rFonts w:ascii="Arial"/>
                <w:color w:val="auto"/>
                <w:sz w:val="21"/>
                <w:highlight w:val="none"/>
              </w:rPr>
            </w:pPr>
          </w:p>
          <w:p w14:paraId="7180747B">
            <w:pPr>
              <w:spacing w:line="253" w:lineRule="auto"/>
              <w:rPr>
                <w:rFonts w:ascii="Arial"/>
                <w:color w:val="auto"/>
                <w:sz w:val="21"/>
                <w:highlight w:val="none"/>
              </w:rPr>
            </w:pPr>
          </w:p>
          <w:p w14:paraId="4E2DDC55">
            <w:pPr>
              <w:spacing w:line="253" w:lineRule="auto"/>
              <w:rPr>
                <w:rFonts w:ascii="Arial"/>
                <w:color w:val="auto"/>
                <w:sz w:val="21"/>
                <w:highlight w:val="none"/>
              </w:rPr>
            </w:pPr>
          </w:p>
          <w:p w14:paraId="44A25BC6">
            <w:pPr>
              <w:pStyle w:val="17"/>
              <w:spacing w:before="68" w:line="224" w:lineRule="auto"/>
              <w:ind w:left="351" w:leftChars="0"/>
              <w:rPr>
                <w:color w:val="auto"/>
                <w:spacing w:val="-3"/>
                <w:sz w:val="21"/>
                <w:szCs w:val="21"/>
                <w:highlight w:val="none"/>
              </w:rPr>
            </w:pPr>
            <w:r>
              <w:rPr>
                <w:color w:val="auto"/>
                <w:spacing w:val="-3"/>
                <w:sz w:val="21"/>
                <w:szCs w:val="21"/>
                <w:highlight w:val="none"/>
              </w:rPr>
              <w:t>投标保证金</w:t>
            </w:r>
          </w:p>
        </w:tc>
        <w:tc>
          <w:tcPr>
            <w:tcW w:w="6855" w:type="dxa"/>
            <w:vAlign w:val="top"/>
          </w:tcPr>
          <w:p w14:paraId="0EAD08F1">
            <w:pPr>
              <w:keepNext w:val="0"/>
              <w:keepLines w:val="0"/>
              <w:pageBreakBefore w:val="0"/>
              <w:widowControl/>
              <w:kinsoku w:val="0"/>
              <w:wordWrap/>
              <w:overflowPunct/>
              <w:topLinePunct w:val="0"/>
              <w:autoSpaceDE w:val="0"/>
              <w:autoSpaceDN w:val="0"/>
              <w:bidi w:val="0"/>
              <w:adjustRightInd w:val="0"/>
              <w:snapToGrid w:val="0"/>
              <w:spacing w:before="108" w:line="238" w:lineRule="auto"/>
              <w:ind w:left="118" w:right="102" w:firstLine="5"/>
              <w:textAlignment w:val="baseline"/>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1"/>
                <w:sz w:val="21"/>
                <w:szCs w:val="21"/>
                <w:highlight w:val="none"/>
              </w:rPr>
              <w:t>1、投标保证金的缴纳形式：投标保证金必须以投标人</w:t>
            </w:r>
            <w:r>
              <w:rPr>
                <w:rFonts w:ascii="微软雅黑" w:hAnsi="微软雅黑" w:eastAsia="微软雅黑" w:cs="微软雅黑"/>
                <w:b/>
                <w:bCs/>
                <w:color w:val="auto"/>
                <w:spacing w:val="-2"/>
                <w:sz w:val="21"/>
                <w:szCs w:val="21"/>
                <w:highlight w:val="none"/>
              </w:rPr>
              <w:t>名义采用支票、汇票、本</w:t>
            </w:r>
            <w:r>
              <w:rPr>
                <w:rFonts w:ascii="微软雅黑" w:hAnsi="微软雅黑" w:eastAsia="微软雅黑" w:cs="微软雅黑"/>
                <w:b/>
                <w:bCs/>
                <w:color w:val="auto"/>
                <w:sz w:val="21"/>
                <w:szCs w:val="21"/>
                <w:highlight w:val="none"/>
              </w:rPr>
              <w:t xml:space="preserve"> </w:t>
            </w:r>
            <w:r>
              <w:rPr>
                <w:rFonts w:ascii="微软雅黑" w:hAnsi="微软雅黑" w:eastAsia="微软雅黑" w:cs="微软雅黑"/>
                <w:b/>
                <w:bCs/>
                <w:color w:val="auto"/>
                <w:spacing w:val="-2"/>
                <w:sz w:val="21"/>
                <w:szCs w:val="21"/>
                <w:highlight w:val="none"/>
              </w:rPr>
              <w:t>票或者金融机构、担保机构出具的保函等非现金形式提交。</w:t>
            </w:r>
          </w:p>
          <w:p w14:paraId="48BF2515">
            <w:pPr>
              <w:keepNext w:val="0"/>
              <w:keepLines w:val="0"/>
              <w:pageBreakBefore w:val="0"/>
              <w:widowControl/>
              <w:kinsoku w:val="0"/>
              <w:wordWrap/>
              <w:overflowPunct/>
              <w:topLinePunct w:val="0"/>
              <w:autoSpaceDE w:val="0"/>
              <w:autoSpaceDN w:val="0"/>
              <w:bidi w:val="0"/>
              <w:adjustRightInd w:val="0"/>
              <w:snapToGrid w:val="0"/>
              <w:spacing w:before="3" w:line="238" w:lineRule="auto"/>
              <w:ind w:left="110"/>
              <w:textAlignment w:val="baseline"/>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6"/>
                <w:sz w:val="21"/>
                <w:szCs w:val="21"/>
                <w:highlight w:val="none"/>
              </w:rPr>
              <w:t>2、投标保证金的金额：</w:t>
            </w:r>
            <w:r>
              <w:rPr>
                <w:rFonts w:hint="eastAsia" w:ascii="微软雅黑" w:hAnsi="微软雅黑" w:eastAsia="微软雅黑" w:cs="微软雅黑"/>
                <w:b/>
                <w:bCs/>
                <w:color w:val="auto"/>
                <w:spacing w:val="-6"/>
                <w:sz w:val="21"/>
                <w:szCs w:val="21"/>
                <w:highlight w:val="none"/>
                <w:lang w:val="en-US" w:eastAsia="zh-CN"/>
              </w:rPr>
              <w:t>100000.00</w:t>
            </w:r>
            <w:r>
              <w:rPr>
                <w:rFonts w:ascii="微软雅黑" w:hAnsi="微软雅黑" w:eastAsia="微软雅黑" w:cs="微软雅黑"/>
                <w:b/>
                <w:bCs/>
                <w:color w:val="auto"/>
                <w:spacing w:val="-6"/>
                <w:sz w:val="21"/>
                <w:szCs w:val="21"/>
                <w:highlight w:val="none"/>
              </w:rPr>
              <w:t xml:space="preserve"> 元人民币（</w:t>
            </w:r>
            <w:r>
              <w:rPr>
                <w:rFonts w:hint="eastAsia" w:ascii="微软雅黑" w:hAnsi="微软雅黑" w:eastAsia="微软雅黑" w:cs="微软雅黑"/>
                <w:b/>
                <w:bCs/>
                <w:color w:val="auto"/>
                <w:spacing w:val="-6"/>
                <w:sz w:val="21"/>
                <w:szCs w:val="21"/>
                <w:highlight w:val="none"/>
                <w:lang w:val="en-US" w:eastAsia="zh-CN"/>
              </w:rPr>
              <w:t>壹拾万元整</w:t>
            </w:r>
            <w:r>
              <w:rPr>
                <w:rFonts w:ascii="微软雅黑" w:hAnsi="微软雅黑" w:eastAsia="微软雅黑" w:cs="微软雅黑"/>
                <w:b/>
                <w:bCs/>
                <w:color w:val="auto"/>
                <w:spacing w:val="-6"/>
                <w:sz w:val="21"/>
                <w:szCs w:val="21"/>
                <w:highlight w:val="none"/>
              </w:rPr>
              <w:t>）</w:t>
            </w:r>
          </w:p>
          <w:p w14:paraId="62345E54">
            <w:pPr>
              <w:spacing w:before="4" w:line="238" w:lineRule="auto"/>
              <w:ind w:left="113" w:right="102" w:hanging="6"/>
              <w:rPr>
                <w:rFonts w:ascii="微软雅黑" w:hAnsi="微软雅黑" w:eastAsia="微软雅黑" w:cs="微软雅黑"/>
                <w:b/>
                <w:bCs/>
                <w:color w:val="auto"/>
                <w:spacing w:val="9"/>
                <w:sz w:val="21"/>
                <w:szCs w:val="21"/>
                <w:highlight w:val="none"/>
              </w:rPr>
            </w:pPr>
            <w:r>
              <w:rPr>
                <w:rFonts w:ascii="微软雅黑" w:hAnsi="微软雅黑" w:eastAsia="微软雅黑" w:cs="微软雅黑"/>
                <w:b/>
                <w:bCs/>
                <w:color w:val="auto"/>
                <w:spacing w:val="-3"/>
                <w:sz w:val="21"/>
                <w:szCs w:val="21"/>
                <w:highlight w:val="none"/>
              </w:rPr>
              <w:t>3、递交方式：投标单位将投标保证金从企业基本帐户汇至以下账户：</w:t>
            </w:r>
            <w:r>
              <w:rPr>
                <w:rFonts w:ascii="微软雅黑" w:hAnsi="微软雅黑" w:eastAsia="微软雅黑" w:cs="微软雅黑"/>
                <w:b/>
                <w:bCs/>
                <w:color w:val="auto"/>
                <w:spacing w:val="9"/>
                <w:sz w:val="21"/>
                <w:szCs w:val="21"/>
                <w:highlight w:val="none"/>
              </w:rPr>
              <w:t xml:space="preserve"> </w:t>
            </w:r>
          </w:p>
          <w:p w14:paraId="64499867">
            <w:pPr>
              <w:spacing w:before="4" w:line="238" w:lineRule="auto"/>
              <w:ind w:right="102"/>
              <w:rPr>
                <w:rFonts w:hint="eastAsia" w:ascii="微软雅黑" w:hAnsi="微软雅黑" w:eastAsia="微软雅黑" w:cs="微软雅黑"/>
                <w:b/>
                <w:bCs/>
                <w:color w:val="auto"/>
                <w:spacing w:val="9"/>
                <w:sz w:val="21"/>
                <w:szCs w:val="21"/>
                <w:highlight w:val="none"/>
              </w:rPr>
            </w:pPr>
            <w:r>
              <w:rPr>
                <w:rFonts w:hint="eastAsia" w:ascii="微软雅黑" w:hAnsi="微软雅黑" w:eastAsia="微软雅黑" w:cs="微软雅黑"/>
                <w:b/>
                <w:bCs/>
                <w:color w:val="auto"/>
                <w:spacing w:val="9"/>
                <w:sz w:val="21"/>
                <w:szCs w:val="21"/>
                <w:highlight w:val="none"/>
              </w:rPr>
              <w:t>开户单位名称：新疆惠合正德工程管理有限公司伊犁分公司</w:t>
            </w:r>
          </w:p>
          <w:p w14:paraId="1174FD5A">
            <w:pPr>
              <w:spacing w:before="4" w:line="238" w:lineRule="auto"/>
              <w:ind w:right="102"/>
              <w:rPr>
                <w:rFonts w:hint="eastAsia" w:ascii="微软雅黑" w:hAnsi="微软雅黑" w:eastAsia="微软雅黑" w:cs="微软雅黑"/>
                <w:b/>
                <w:bCs/>
                <w:color w:val="auto"/>
                <w:spacing w:val="9"/>
                <w:sz w:val="21"/>
                <w:szCs w:val="21"/>
                <w:highlight w:val="none"/>
              </w:rPr>
            </w:pPr>
            <w:r>
              <w:rPr>
                <w:rFonts w:hint="eastAsia" w:ascii="微软雅黑" w:hAnsi="微软雅黑" w:eastAsia="微软雅黑" w:cs="微软雅黑"/>
                <w:b/>
                <w:bCs/>
                <w:color w:val="auto"/>
                <w:spacing w:val="9"/>
                <w:sz w:val="21"/>
                <w:szCs w:val="21"/>
                <w:highlight w:val="none"/>
              </w:rPr>
              <w:t>开户账号：30735701040002490 </w:t>
            </w:r>
          </w:p>
          <w:p w14:paraId="3B6E3F19">
            <w:pPr>
              <w:spacing w:before="4" w:line="238" w:lineRule="auto"/>
              <w:ind w:right="102"/>
              <w:rPr>
                <w:rFonts w:hint="eastAsia" w:ascii="微软雅黑" w:hAnsi="微软雅黑" w:eastAsia="微软雅黑" w:cs="微软雅黑"/>
                <w:b/>
                <w:bCs/>
                <w:color w:val="auto"/>
                <w:spacing w:val="9"/>
                <w:sz w:val="21"/>
                <w:szCs w:val="21"/>
                <w:highlight w:val="none"/>
              </w:rPr>
            </w:pPr>
            <w:r>
              <w:rPr>
                <w:rFonts w:hint="eastAsia" w:ascii="微软雅黑" w:hAnsi="微软雅黑" w:eastAsia="微软雅黑" w:cs="微软雅黑"/>
                <w:b/>
                <w:bCs/>
                <w:color w:val="auto"/>
                <w:spacing w:val="9"/>
                <w:sz w:val="21"/>
                <w:szCs w:val="21"/>
                <w:highlight w:val="none"/>
              </w:rPr>
              <w:t>开户行：中国农业银行股份有限公司伊犁振兴（兵团）支行</w:t>
            </w:r>
          </w:p>
          <w:p w14:paraId="6EC8984F">
            <w:pPr>
              <w:spacing w:before="4" w:line="238" w:lineRule="auto"/>
              <w:ind w:left="113" w:right="102" w:hanging="6"/>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1"/>
                <w:sz w:val="21"/>
                <w:szCs w:val="21"/>
                <w:highlight w:val="none"/>
              </w:rPr>
              <w:t>4、递交时间：投标截止时间之前（提交投标保证金应充分考虑资金在途时间、</w:t>
            </w:r>
            <w:r>
              <w:rPr>
                <w:rFonts w:ascii="微软雅黑" w:hAnsi="微软雅黑" w:eastAsia="微软雅黑" w:cs="微软雅黑"/>
                <w:b/>
                <w:bCs/>
                <w:color w:val="auto"/>
                <w:spacing w:val="6"/>
                <w:sz w:val="21"/>
                <w:szCs w:val="21"/>
                <w:highlight w:val="none"/>
              </w:rPr>
              <w:t xml:space="preserve"> </w:t>
            </w:r>
            <w:r>
              <w:rPr>
                <w:rFonts w:ascii="微软雅黑" w:hAnsi="微软雅黑" w:eastAsia="微软雅黑" w:cs="微软雅黑"/>
                <w:b/>
                <w:bCs/>
                <w:color w:val="auto"/>
                <w:spacing w:val="-3"/>
                <w:sz w:val="21"/>
                <w:szCs w:val="21"/>
                <w:highlight w:val="none"/>
              </w:rPr>
              <w:t>跨行等因素导致的延迟到账情况，由此导致的保证金不</w:t>
            </w:r>
            <w:r>
              <w:rPr>
                <w:rFonts w:ascii="微软雅黑" w:hAnsi="微软雅黑" w:eastAsia="微软雅黑" w:cs="微软雅黑"/>
                <w:b/>
                <w:bCs/>
                <w:color w:val="auto"/>
                <w:spacing w:val="-4"/>
                <w:sz w:val="21"/>
                <w:szCs w:val="21"/>
                <w:highlight w:val="none"/>
              </w:rPr>
              <w:t>能按时到账其责任由投标</w:t>
            </w:r>
            <w:r>
              <w:rPr>
                <w:rFonts w:ascii="微软雅黑" w:hAnsi="微软雅黑" w:eastAsia="微软雅黑" w:cs="微软雅黑"/>
                <w:b/>
                <w:bCs/>
                <w:color w:val="auto"/>
                <w:sz w:val="21"/>
                <w:szCs w:val="21"/>
                <w:highlight w:val="none"/>
              </w:rPr>
              <w:t xml:space="preserve"> </w:t>
            </w:r>
            <w:r>
              <w:rPr>
                <w:rFonts w:ascii="微软雅黑" w:hAnsi="微软雅黑" w:eastAsia="微软雅黑" w:cs="微软雅黑"/>
                <w:b/>
                <w:bCs/>
                <w:color w:val="auto"/>
                <w:spacing w:val="-3"/>
                <w:sz w:val="21"/>
                <w:szCs w:val="21"/>
                <w:highlight w:val="none"/>
              </w:rPr>
              <w:t>人单位自行承担。各投标人缴纳投标保证金时需在附加</w:t>
            </w:r>
            <w:r>
              <w:rPr>
                <w:rFonts w:ascii="微软雅黑" w:hAnsi="微软雅黑" w:eastAsia="微软雅黑" w:cs="微软雅黑"/>
                <w:b/>
                <w:bCs/>
                <w:color w:val="auto"/>
                <w:spacing w:val="-4"/>
                <w:sz w:val="21"/>
                <w:szCs w:val="21"/>
                <w:highlight w:val="none"/>
              </w:rPr>
              <w:t>信息及用途栏内注明“投</w:t>
            </w:r>
            <w:r>
              <w:rPr>
                <w:rFonts w:ascii="微软雅黑" w:hAnsi="微软雅黑" w:eastAsia="微软雅黑" w:cs="微软雅黑"/>
                <w:b/>
                <w:bCs/>
                <w:color w:val="auto"/>
                <w:spacing w:val="-1"/>
                <w:sz w:val="21"/>
                <w:szCs w:val="21"/>
                <w:highlight w:val="none"/>
              </w:rPr>
              <w:t>标保证金、项目名称”，以投标保证金接收</w:t>
            </w:r>
            <w:r>
              <w:rPr>
                <w:rFonts w:ascii="微软雅黑" w:hAnsi="微软雅黑" w:eastAsia="微软雅黑" w:cs="微软雅黑"/>
                <w:b/>
                <w:bCs/>
                <w:color w:val="auto"/>
                <w:spacing w:val="-2"/>
                <w:sz w:val="21"/>
                <w:szCs w:val="21"/>
                <w:highlight w:val="none"/>
              </w:rPr>
              <w:t>方银行到账信息为准）。</w:t>
            </w:r>
          </w:p>
          <w:p w14:paraId="1973C720">
            <w:pPr>
              <w:pStyle w:val="17"/>
              <w:spacing w:before="11" w:line="303" w:lineRule="auto"/>
              <w:ind w:left="119" w:right="102"/>
              <w:rPr>
                <w:rFonts w:hint="eastAsia"/>
                <w:color w:val="auto"/>
                <w:spacing w:val="-4"/>
                <w:sz w:val="21"/>
                <w:szCs w:val="21"/>
                <w:highlight w:val="none"/>
                <w:lang w:val="en-US" w:eastAsia="zh-CN"/>
              </w:rPr>
            </w:pPr>
            <w:r>
              <w:rPr>
                <w:color w:val="auto"/>
                <w:spacing w:val="-1"/>
                <w:sz w:val="21"/>
                <w:szCs w:val="21"/>
                <w:highlight w:val="none"/>
              </w:rPr>
              <w:t>友情提示：1、采用保函作为保证金形式的，投标企业将“保函”同投标文件提</w:t>
            </w:r>
            <w:r>
              <w:rPr>
                <w:color w:val="auto"/>
                <w:spacing w:val="-17"/>
                <w:sz w:val="21"/>
                <w:szCs w:val="21"/>
                <w:highlight w:val="none"/>
              </w:rPr>
              <w:t>交；</w:t>
            </w:r>
            <w:r>
              <w:rPr>
                <w:color w:val="auto"/>
                <w:sz w:val="21"/>
                <w:szCs w:val="21"/>
                <w:highlight w:val="none"/>
              </w:rPr>
              <w:t>2、潜在投标人可以自主选择以上任一种递交方式提交保证金</w:t>
            </w:r>
            <w:r>
              <w:rPr>
                <w:color w:val="auto"/>
                <w:spacing w:val="-1"/>
                <w:sz w:val="21"/>
                <w:szCs w:val="21"/>
                <w:highlight w:val="none"/>
              </w:rPr>
              <w:t>，若投标人未按照</w:t>
            </w:r>
            <w:r>
              <w:rPr>
                <w:color w:val="auto"/>
                <w:sz w:val="21"/>
                <w:szCs w:val="21"/>
                <w:highlight w:val="none"/>
              </w:rPr>
              <w:t xml:space="preserve"> </w:t>
            </w:r>
            <w:r>
              <w:rPr>
                <w:color w:val="auto"/>
                <w:spacing w:val="-2"/>
                <w:sz w:val="21"/>
                <w:szCs w:val="21"/>
                <w:highlight w:val="none"/>
              </w:rPr>
              <w:t>上述规定缴纳投标保证金,投标文件将被拒绝评审</w:t>
            </w:r>
            <w:r>
              <w:rPr>
                <w:rFonts w:hint="eastAsia"/>
                <w:color w:val="auto"/>
                <w:spacing w:val="-2"/>
                <w:sz w:val="21"/>
                <w:szCs w:val="21"/>
                <w:highlight w:val="none"/>
                <w:lang w:eastAsia="zh-CN"/>
              </w:rPr>
              <w:t>。</w:t>
            </w:r>
            <w:r>
              <w:rPr>
                <w:color w:val="auto"/>
                <w:sz w:val="21"/>
                <w:szCs w:val="21"/>
                <w:highlight w:val="none"/>
              </w:rPr>
              <w:t>3、银行法定节假日不办理公对公账户电汇业务，请提前</w:t>
            </w:r>
            <w:r>
              <w:rPr>
                <w:color w:val="auto"/>
                <w:spacing w:val="-1"/>
                <w:sz w:val="21"/>
                <w:szCs w:val="21"/>
                <w:highlight w:val="none"/>
              </w:rPr>
              <w:t>办理。投标保证金是否</w:t>
            </w:r>
            <w:r>
              <w:rPr>
                <w:color w:val="auto"/>
                <w:spacing w:val="-3"/>
                <w:sz w:val="21"/>
                <w:szCs w:val="21"/>
                <w:highlight w:val="none"/>
              </w:rPr>
              <w:t>在规定截止时间前到户的风险由投标单位承担，投</w:t>
            </w:r>
            <w:r>
              <w:rPr>
                <w:color w:val="auto"/>
                <w:spacing w:val="-4"/>
                <w:sz w:val="21"/>
                <w:szCs w:val="21"/>
                <w:highlight w:val="none"/>
              </w:rPr>
              <w:t>标保证金在银行的划转需要一</w:t>
            </w:r>
            <w:r>
              <w:rPr>
                <w:color w:val="auto"/>
                <w:spacing w:val="-3"/>
                <w:sz w:val="21"/>
                <w:szCs w:val="21"/>
                <w:highlight w:val="none"/>
              </w:rPr>
              <w:t>定时间，望投标单位尽早缴纳</w:t>
            </w:r>
            <w:r>
              <w:rPr>
                <w:rFonts w:hint="eastAsia"/>
                <w:color w:val="auto"/>
                <w:spacing w:val="-3"/>
                <w:sz w:val="21"/>
                <w:szCs w:val="21"/>
                <w:highlight w:val="none"/>
                <w:lang w:eastAsia="zh-CN"/>
              </w:rPr>
              <w:t>！</w:t>
            </w:r>
            <w:r>
              <w:rPr>
                <w:color w:val="auto"/>
                <w:sz w:val="21"/>
                <w:szCs w:val="21"/>
                <w:highlight w:val="none"/>
              </w:rPr>
              <w:t>4、采用保函形式递交保证金的：①根据国家现行采购政策，投标保</w:t>
            </w:r>
            <w:r>
              <w:rPr>
                <w:color w:val="auto"/>
                <w:spacing w:val="-1"/>
                <w:sz w:val="21"/>
                <w:szCs w:val="21"/>
                <w:highlight w:val="none"/>
              </w:rPr>
              <w:t>证金可以使</w:t>
            </w:r>
            <w:r>
              <w:rPr>
                <w:color w:val="auto"/>
                <w:spacing w:val="-3"/>
                <w:sz w:val="21"/>
                <w:szCs w:val="21"/>
                <w:highlight w:val="none"/>
              </w:rPr>
              <w:t>用金融系统电子保函。电子保函按照“一包段一保函”</w:t>
            </w:r>
            <w:r>
              <w:rPr>
                <w:color w:val="auto"/>
                <w:spacing w:val="-4"/>
                <w:sz w:val="21"/>
                <w:szCs w:val="21"/>
                <w:highlight w:val="none"/>
              </w:rPr>
              <w:t>的原则，办理电子保函必</w:t>
            </w:r>
            <w:r>
              <w:rPr>
                <w:color w:val="auto"/>
                <w:spacing w:val="-3"/>
                <w:sz w:val="21"/>
                <w:szCs w:val="21"/>
                <w:highlight w:val="none"/>
              </w:rPr>
              <w:t>须在投标截止时间（开标时间）前完成。投标人需自行</w:t>
            </w:r>
            <w:r>
              <w:rPr>
                <w:color w:val="auto"/>
                <w:spacing w:val="-4"/>
                <w:sz w:val="21"/>
                <w:szCs w:val="21"/>
                <w:highlight w:val="none"/>
              </w:rPr>
              <w:t>评估异地、跨行、公休日</w:t>
            </w:r>
            <w:r>
              <w:rPr>
                <w:color w:val="auto"/>
                <w:sz w:val="21"/>
                <w:szCs w:val="21"/>
                <w:highlight w:val="none"/>
              </w:rPr>
              <w:t>等因素造成的保函办理延迟风险，并承担相应责任</w:t>
            </w:r>
            <w:r>
              <w:rPr>
                <w:color w:val="auto"/>
                <w:spacing w:val="-1"/>
                <w:sz w:val="21"/>
                <w:szCs w:val="21"/>
                <w:highlight w:val="none"/>
              </w:rPr>
              <w:t>；开标前，投保人必须下载</w:t>
            </w:r>
            <w:r>
              <w:rPr>
                <w:color w:val="auto"/>
                <w:spacing w:val="-3"/>
                <w:sz w:val="21"/>
                <w:szCs w:val="21"/>
                <w:highlight w:val="none"/>
              </w:rPr>
              <w:t>加密保单作为保证金缴纳凭证放入投标文件中；②电子</w:t>
            </w:r>
            <w:r>
              <w:rPr>
                <w:color w:val="auto"/>
                <w:spacing w:val="-4"/>
                <w:sz w:val="21"/>
                <w:szCs w:val="21"/>
                <w:highlight w:val="none"/>
              </w:rPr>
              <w:t>保函操作流程：登录政采</w:t>
            </w:r>
            <w:r>
              <w:rPr>
                <w:color w:val="auto"/>
                <w:sz w:val="21"/>
                <w:szCs w:val="21"/>
                <w:highlight w:val="none"/>
              </w:rPr>
              <w:t xml:space="preserve"> </w:t>
            </w:r>
            <w:r>
              <w:rPr>
                <w:color w:val="auto"/>
                <w:spacing w:val="-2"/>
                <w:sz w:val="21"/>
                <w:szCs w:val="21"/>
                <w:highlight w:val="none"/>
              </w:rPr>
              <w:t>云平台→</w:t>
            </w:r>
            <w:r>
              <w:rPr>
                <w:color w:val="auto"/>
                <w:spacing w:val="-79"/>
                <w:sz w:val="21"/>
                <w:szCs w:val="21"/>
                <w:highlight w:val="none"/>
              </w:rPr>
              <w:t xml:space="preserve"> </w:t>
            </w:r>
            <w:r>
              <w:rPr>
                <w:color w:val="auto"/>
                <w:spacing w:val="-2"/>
                <w:sz w:val="21"/>
                <w:szCs w:val="21"/>
                <w:highlight w:val="none"/>
              </w:rPr>
              <w:t>点击右上角[金融服务]进入详情页→</w:t>
            </w:r>
            <w:r>
              <w:rPr>
                <w:color w:val="auto"/>
                <w:spacing w:val="-80"/>
                <w:sz w:val="21"/>
                <w:szCs w:val="21"/>
                <w:highlight w:val="none"/>
              </w:rPr>
              <w:t xml:space="preserve"> </w:t>
            </w:r>
            <w:r>
              <w:rPr>
                <w:color w:val="auto"/>
                <w:spacing w:val="-2"/>
                <w:sz w:val="21"/>
                <w:szCs w:val="21"/>
                <w:highlight w:val="none"/>
              </w:rPr>
              <w:t>点击页面上方[保险/保函</w:t>
            </w:r>
            <w:r>
              <w:rPr>
                <w:color w:val="auto"/>
                <w:spacing w:val="-3"/>
                <w:sz w:val="21"/>
                <w:szCs w:val="21"/>
                <w:highlight w:val="none"/>
              </w:rPr>
              <w:t>]，根据</w:t>
            </w:r>
            <w:r>
              <w:rPr>
                <w:color w:val="auto"/>
                <w:sz w:val="21"/>
                <w:szCs w:val="21"/>
                <w:highlight w:val="none"/>
              </w:rPr>
              <w:t xml:space="preserve"> </w:t>
            </w:r>
            <w:r>
              <w:rPr>
                <w:color w:val="auto"/>
                <w:spacing w:val="-5"/>
                <w:sz w:val="21"/>
                <w:szCs w:val="21"/>
                <w:highlight w:val="none"/>
              </w:rPr>
              <w:t>实际情况申请办理即可。供应商须在投标截止时间前，</w:t>
            </w:r>
            <w:r>
              <w:rPr>
                <w:color w:val="auto"/>
                <w:spacing w:val="-47"/>
                <w:sz w:val="21"/>
                <w:szCs w:val="21"/>
                <w:highlight w:val="none"/>
              </w:rPr>
              <w:t xml:space="preserve"> </w:t>
            </w:r>
            <w:r>
              <w:rPr>
                <w:color w:val="auto"/>
                <w:spacing w:val="-5"/>
                <w:sz w:val="21"/>
                <w:szCs w:val="21"/>
                <w:highlight w:val="none"/>
              </w:rPr>
              <w:t>将所投项目对应的保函随</w:t>
            </w:r>
            <w:r>
              <w:rPr>
                <w:color w:val="auto"/>
                <w:sz w:val="21"/>
                <w:szCs w:val="21"/>
                <w:highlight w:val="none"/>
              </w:rPr>
              <w:t xml:space="preserve"> </w:t>
            </w:r>
            <w:r>
              <w:rPr>
                <w:color w:val="auto"/>
                <w:spacing w:val="-3"/>
                <w:sz w:val="21"/>
                <w:szCs w:val="21"/>
                <w:highlight w:val="none"/>
              </w:rPr>
              <w:t>响应文件一起上传到政采云平台。</w:t>
            </w:r>
          </w:p>
        </w:tc>
      </w:tr>
      <w:tr w14:paraId="5D351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369" w:hRule="atLeast"/>
          <w:jc w:val="center"/>
        </w:trPr>
        <w:tc>
          <w:tcPr>
            <w:tcW w:w="728" w:type="dxa"/>
            <w:vAlign w:val="top"/>
          </w:tcPr>
          <w:p w14:paraId="29A2E76D">
            <w:pPr>
              <w:pStyle w:val="17"/>
              <w:spacing w:before="146" w:line="181" w:lineRule="auto"/>
              <w:ind w:left="380"/>
              <w:rPr>
                <w:color w:val="auto"/>
                <w:sz w:val="21"/>
                <w:szCs w:val="21"/>
                <w:highlight w:val="none"/>
              </w:rPr>
            </w:pPr>
            <w:r>
              <w:rPr>
                <w:color w:val="auto"/>
                <w:spacing w:val="-3"/>
                <w:sz w:val="21"/>
                <w:szCs w:val="21"/>
                <w:highlight w:val="none"/>
              </w:rPr>
              <w:t>22</w:t>
            </w:r>
          </w:p>
        </w:tc>
        <w:tc>
          <w:tcPr>
            <w:tcW w:w="1860" w:type="dxa"/>
            <w:vAlign w:val="top"/>
          </w:tcPr>
          <w:p w14:paraId="52D8C51B">
            <w:pPr>
              <w:pStyle w:val="17"/>
              <w:spacing w:before="107" w:line="221" w:lineRule="auto"/>
              <w:ind w:left="246"/>
              <w:rPr>
                <w:color w:val="auto"/>
                <w:sz w:val="21"/>
                <w:szCs w:val="21"/>
                <w:highlight w:val="none"/>
              </w:rPr>
            </w:pPr>
            <w:r>
              <w:rPr>
                <w:color w:val="auto"/>
                <w:spacing w:val="-2"/>
                <w:sz w:val="21"/>
                <w:szCs w:val="21"/>
                <w:highlight w:val="none"/>
              </w:rPr>
              <w:t>投标文件数量</w:t>
            </w:r>
          </w:p>
        </w:tc>
        <w:tc>
          <w:tcPr>
            <w:tcW w:w="6855" w:type="dxa"/>
            <w:vAlign w:val="top"/>
          </w:tcPr>
          <w:p w14:paraId="5968E04C">
            <w:pPr>
              <w:pStyle w:val="17"/>
              <w:spacing w:before="107" w:line="221" w:lineRule="auto"/>
              <w:ind w:left="114"/>
              <w:rPr>
                <w:color w:val="auto"/>
                <w:sz w:val="21"/>
                <w:szCs w:val="21"/>
                <w:highlight w:val="none"/>
              </w:rPr>
            </w:pPr>
            <w:r>
              <w:rPr>
                <w:color w:val="auto"/>
                <w:spacing w:val="-4"/>
                <w:sz w:val="21"/>
                <w:szCs w:val="21"/>
                <w:highlight w:val="none"/>
              </w:rPr>
              <w:t>份数要求：上传电子加密标书</w:t>
            </w:r>
            <w:r>
              <w:rPr>
                <w:color w:val="auto"/>
                <w:spacing w:val="-25"/>
                <w:sz w:val="21"/>
                <w:szCs w:val="21"/>
                <w:highlight w:val="none"/>
              </w:rPr>
              <w:t xml:space="preserve"> </w:t>
            </w:r>
            <w:r>
              <w:rPr>
                <w:color w:val="auto"/>
                <w:spacing w:val="-4"/>
                <w:sz w:val="21"/>
                <w:szCs w:val="21"/>
                <w:highlight w:val="none"/>
              </w:rPr>
              <w:t>1</w:t>
            </w:r>
            <w:r>
              <w:rPr>
                <w:color w:val="auto"/>
                <w:spacing w:val="-38"/>
                <w:sz w:val="21"/>
                <w:szCs w:val="21"/>
                <w:highlight w:val="none"/>
              </w:rPr>
              <w:t xml:space="preserve"> </w:t>
            </w:r>
            <w:r>
              <w:rPr>
                <w:color w:val="auto"/>
                <w:spacing w:val="-4"/>
                <w:sz w:val="21"/>
                <w:szCs w:val="21"/>
                <w:highlight w:val="none"/>
              </w:rPr>
              <w:t>份。</w:t>
            </w:r>
          </w:p>
        </w:tc>
      </w:tr>
      <w:tr w14:paraId="40B6C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497" w:hRule="atLeast"/>
          <w:jc w:val="center"/>
        </w:trPr>
        <w:tc>
          <w:tcPr>
            <w:tcW w:w="728" w:type="dxa"/>
            <w:vAlign w:val="top"/>
          </w:tcPr>
          <w:p w14:paraId="4E14ADE4">
            <w:pPr>
              <w:pStyle w:val="17"/>
              <w:spacing w:before="210" w:line="181" w:lineRule="auto"/>
              <w:ind w:left="380"/>
              <w:rPr>
                <w:color w:val="auto"/>
                <w:sz w:val="21"/>
                <w:szCs w:val="21"/>
                <w:highlight w:val="none"/>
              </w:rPr>
            </w:pPr>
            <w:r>
              <w:rPr>
                <w:color w:val="auto"/>
                <w:spacing w:val="-3"/>
                <w:sz w:val="21"/>
                <w:szCs w:val="21"/>
                <w:highlight w:val="none"/>
              </w:rPr>
              <w:t>23</w:t>
            </w:r>
          </w:p>
        </w:tc>
        <w:tc>
          <w:tcPr>
            <w:tcW w:w="1860" w:type="dxa"/>
            <w:vAlign w:val="top"/>
          </w:tcPr>
          <w:p w14:paraId="20D46F7E">
            <w:pPr>
              <w:pStyle w:val="17"/>
              <w:spacing w:before="172" w:line="223" w:lineRule="auto"/>
              <w:ind w:left="146"/>
              <w:rPr>
                <w:color w:val="auto"/>
                <w:sz w:val="21"/>
                <w:szCs w:val="21"/>
                <w:highlight w:val="none"/>
              </w:rPr>
            </w:pPr>
            <w:r>
              <w:rPr>
                <w:color w:val="auto"/>
                <w:spacing w:val="-3"/>
                <w:sz w:val="21"/>
                <w:szCs w:val="21"/>
                <w:highlight w:val="none"/>
              </w:rPr>
              <w:t>签字或盖章要求</w:t>
            </w:r>
          </w:p>
        </w:tc>
        <w:tc>
          <w:tcPr>
            <w:tcW w:w="6855" w:type="dxa"/>
            <w:vAlign w:val="top"/>
          </w:tcPr>
          <w:p w14:paraId="744CE7A1">
            <w:pPr>
              <w:pStyle w:val="17"/>
              <w:spacing w:before="172" w:line="223" w:lineRule="auto"/>
              <w:ind w:left="115"/>
              <w:rPr>
                <w:color w:val="auto"/>
                <w:sz w:val="21"/>
                <w:szCs w:val="21"/>
                <w:highlight w:val="none"/>
              </w:rPr>
            </w:pPr>
            <w:r>
              <w:rPr>
                <w:color w:val="auto"/>
                <w:spacing w:val="-3"/>
                <w:sz w:val="21"/>
                <w:szCs w:val="21"/>
                <w:highlight w:val="none"/>
              </w:rPr>
              <w:t>须按格式文件要求签字或盖章。</w:t>
            </w:r>
          </w:p>
        </w:tc>
      </w:tr>
      <w:tr w14:paraId="31188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572" w:hRule="atLeast"/>
          <w:jc w:val="center"/>
        </w:trPr>
        <w:tc>
          <w:tcPr>
            <w:tcW w:w="728" w:type="dxa"/>
            <w:vAlign w:val="top"/>
          </w:tcPr>
          <w:p w14:paraId="46C82BB4">
            <w:pPr>
              <w:pStyle w:val="17"/>
              <w:spacing w:before="248" w:line="181" w:lineRule="auto"/>
              <w:ind w:left="380"/>
              <w:rPr>
                <w:color w:val="auto"/>
                <w:sz w:val="21"/>
                <w:szCs w:val="21"/>
                <w:highlight w:val="none"/>
              </w:rPr>
            </w:pPr>
            <w:r>
              <w:rPr>
                <w:color w:val="auto"/>
                <w:spacing w:val="-3"/>
                <w:sz w:val="21"/>
                <w:szCs w:val="21"/>
                <w:highlight w:val="none"/>
              </w:rPr>
              <w:t>24</w:t>
            </w:r>
          </w:p>
        </w:tc>
        <w:tc>
          <w:tcPr>
            <w:tcW w:w="1860" w:type="dxa"/>
            <w:vAlign w:val="top"/>
          </w:tcPr>
          <w:p w14:paraId="5E94DD4F">
            <w:pPr>
              <w:pStyle w:val="17"/>
              <w:spacing w:before="210" w:line="224" w:lineRule="auto"/>
              <w:ind w:left="460"/>
              <w:rPr>
                <w:color w:val="auto"/>
                <w:sz w:val="21"/>
                <w:szCs w:val="21"/>
                <w:highlight w:val="none"/>
              </w:rPr>
            </w:pPr>
            <w:r>
              <w:rPr>
                <w:color w:val="auto"/>
                <w:spacing w:val="-4"/>
                <w:sz w:val="21"/>
                <w:szCs w:val="21"/>
                <w:highlight w:val="none"/>
              </w:rPr>
              <w:t>装订要求</w:t>
            </w:r>
          </w:p>
        </w:tc>
        <w:tc>
          <w:tcPr>
            <w:tcW w:w="6855" w:type="dxa"/>
            <w:vAlign w:val="top"/>
          </w:tcPr>
          <w:p w14:paraId="1FA11DE0">
            <w:pPr>
              <w:pStyle w:val="17"/>
              <w:spacing w:before="209" w:line="229" w:lineRule="auto"/>
              <w:ind w:left="107"/>
              <w:rPr>
                <w:color w:val="auto"/>
                <w:sz w:val="21"/>
                <w:szCs w:val="21"/>
                <w:highlight w:val="none"/>
              </w:rPr>
            </w:pPr>
            <w:r>
              <w:rPr>
                <w:color w:val="auto"/>
                <w:sz w:val="21"/>
                <w:szCs w:val="21"/>
                <w:highlight w:val="none"/>
              </w:rPr>
              <w:t>/</w:t>
            </w:r>
          </w:p>
        </w:tc>
      </w:tr>
      <w:tr w14:paraId="5835A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743" w:hRule="atLeast"/>
          <w:jc w:val="center"/>
        </w:trPr>
        <w:tc>
          <w:tcPr>
            <w:tcW w:w="728" w:type="dxa"/>
            <w:vAlign w:val="top"/>
          </w:tcPr>
          <w:p w14:paraId="3602BDDE">
            <w:pPr>
              <w:spacing w:line="264" w:lineRule="auto"/>
              <w:rPr>
                <w:rFonts w:ascii="Arial"/>
                <w:color w:val="auto"/>
                <w:sz w:val="21"/>
                <w:highlight w:val="none"/>
              </w:rPr>
            </w:pPr>
          </w:p>
          <w:p w14:paraId="5B8DCF4B">
            <w:pPr>
              <w:pStyle w:val="17"/>
              <w:spacing w:before="68" w:line="181" w:lineRule="auto"/>
              <w:ind w:left="380"/>
              <w:rPr>
                <w:color w:val="auto"/>
                <w:sz w:val="21"/>
                <w:szCs w:val="21"/>
                <w:highlight w:val="none"/>
              </w:rPr>
            </w:pPr>
            <w:r>
              <w:rPr>
                <w:color w:val="auto"/>
                <w:spacing w:val="-3"/>
                <w:sz w:val="21"/>
                <w:szCs w:val="21"/>
                <w:highlight w:val="none"/>
              </w:rPr>
              <w:t>25</w:t>
            </w:r>
          </w:p>
        </w:tc>
        <w:tc>
          <w:tcPr>
            <w:tcW w:w="1860" w:type="dxa"/>
            <w:vAlign w:val="top"/>
          </w:tcPr>
          <w:p w14:paraId="6A43EA71">
            <w:pPr>
              <w:pStyle w:val="17"/>
              <w:spacing w:before="116" w:line="271" w:lineRule="auto"/>
              <w:ind w:left="670" w:right="448" w:hanging="211"/>
              <w:rPr>
                <w:color w:val="auto"/>
                <w:sz w:val="21"/>
                <w:szCs w:val="21"/>
                <w:highlight w:val="none"/>
              </w:rPr>
            </w:pPr>
            <w:r>
              <w:rPr>
                <w:color w:val="auto"/>
                <w:spacing w:val="-5"/>
                <w:sz w:val="21"/>
                <w:szCs w:val="21"/>
                <w:highlight w:val="none"/>
              </w:rPr>
              <w:t>具体密封</w:t>
            </w:r>
            <w:r>
              <w:rPr>
                <w:color w:val="auto"/>
                <w:spacing w:val="2"/>
                <w:sz w:val="21"/>
                <w:szCs w:val="21"/>
                <w:highlight w:val="none"/>
              </w:rPr>
              <w:t xml:space="preserve"> </w:t>
            </w:r>
            <w:r>
              <w:rPr>
                <w:color w:val="auto"/>
                <w:spacing w:val="-5"/>
                <w:sz w:val="21"/>
                <w:szCs w:val="21"/>
                <w:highlight w:val="none"/>
              </w:rPr>
              <w:t>要求</w:t>
            </w:r>
          </w:p>
        </w:tc>
        <w:tc>
          <w:tcPr>
            <w:tcW w:w="6855" w:type="dxa"/>
            <w:vAlign w:val="top"/>
          </w:tcPr>
          <w:p w14:paraId="07F68C2C">
            <w:pPr>
              <w:pStyle w:val="17"/>
              <w:spacing w:before="295" w:line="229" w:lineRule="auto"/>
              <w:ind w:left="107"/>
              <w:rPr>
                <w:color w:val="auto"/>
                <w:sz w:val="21"/>
                <w:szCs w:val="21"/>
                <w:highlight w:val="none"/>
              </w:rPr>
            </w:pPr>
            <w:r>
              <w:rPr>
                <w:color w:val="auto"/>
                <w:sz w:val="21"/>
                <w:szCs w:val="21"/>
                <w:highlight w:val="none"/>
              </w:rPr>
              <w:t>/</w:t>
            </w:r>
          </w:p>
        </w:tc>
      </w:tr>
      <w:tr w14:paraId="3B342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908" w:hRule="atLeast"/>
          <w:jc w:val="center"/>
        </w:trPr>
        <w:tc>
          <w:tcPr>
            <w:tcW w:w="728" w:type="dxa"/>
            <w:vAlign w:val="top"/>
          </w:tcPr>
          <w:p w14:paraId="6683F14F">
            <w:pPr>
              <w:spacing w:line="347" w:lineRule="auto"/>
              <w:rPr>
                <w:rFonts w:ascii="Arial"/>
                <w:color w:val="auto"/>
                <w:sz w:val="21"/>
                <w:highlight w:val="none"/>
              </w:rPr>
            </w:pPr>
          </w:p>
          <w:p w14:paraId="3ECC4B78">
            <w:pPr>
              <w:pStyle w:val="17"/>
              <w:spacing w:before="68" w:line="181" w:lineRule="auto"/>
              <w:ind w:left="380"/>
              <w:rPr>
                <w:color w:val="auto"/>
                <w:sz w:val="21"/>
                <w:szCs w:val="21"/>
                <w:highlight w:val="none"/>
              </w:rPr>
            </w:pPr>
            <w:r>
              <w:rPr>
                <w:color w:val="auto"/>
                <w:spacing w:val="-3"/>
                <w:sz w:val="21"/>
                <w:szCs w:val="21"/>
                <w:highlight w:val="none"/>
              </w:rPr>
              <w:t>26</w:t>
            </w:r>
          </w:p>
        </w:tc>
        <w:tc>
          <w:tcPr>
            <w:tcW w:w="1860" w:type="dxa"/>
            <w:vAlign w:val="top"/>
          </w:tcPr>
          <w:p w14:paraId="62720D6C">
            <w:pPr>
              <w:pStyle w:val="17"/>
              <w:spacing w:before="200" w:line="302" w:lineRule="auto"/>
              <w:ind w:left="574" w:right="134" w:hanging="424"/>
              <w:rPr>
                <w:color w:val="auto"/>
                <w:sz w:val="21"/>
                <w:szCs w:val="21"/>
                <w:highlight w:val="none"/>
              </w:rPr>
            </w:pPr>
            <w:r>
              <w:rPr>
                <w:color w:val="auto"/>
                <w:spacing w:val="-4"/>
                <w:sz w:val="21"/>
                <w:szCs w:val="21"/>
                <w:highlight w:val="none"/>
              </w:rPr>
              <w:t>包装袋上应载明</w:t>
            </w:r>
            <w:r>
              <w:rPr>
                <w:color w:val="auto"/>
                <w:spacing w:val="4"/>
                <w:sz w:val="21"/>
                <w:szCs w:val="21"/>
                <w:highlight w:val="none"/>
              </w:rPr>
              <w:t xml:space="preserve"> </w:t>
            </w:r>
            <w:r>
              <w:rPr>
                <w:color w:val="auto"/>
                <w:spacing w:val="-6"/>
                <w:sz w:val="21"/>
                <w:szCs w:val="21"/>
                <w:highlight w:val="none"/>
              </w:rPr>
              <w:t>的信息</w:t>
            </w:r>
          </w:p>
        </w:tc>
        <w:tc>
          <w:tcPr>
            <w:tcW w:w="6855" w:type="dxa"/>
            <w:vAlign w:val="top"/>
          </w:tcPr>
          <w:p w14:paraId="2E9D9335">
            <w:pPr>
              <w:spacing w:line="308" w:lineRule="auto"/>
              <w:rPr>
                <w:rFonts w:ascii="Arial"/>
                <w:color w:val="auto"/>
                <w:sz w:val="21"/>
                <w:highlight w:val="none"/>
              </w:rPr>
            </w:pPr>
          </w:p>
          <w:p w14:paraId="714C8504">
            <w:pPr>
              <w:pStyle w:val="17"/>
              <w:spacing w:before="68" w:line="229" w:lineRule="auto"/>
              <w:ind w:left="107"/>
              <w:rPr>
                <w:color w:val="auto"/>
                <w:sz w:val="21"/>
                <w:szCs w:val="21"/>
                <w:highlight w:val="none"/>
              </w:rPr>
            </w:pPr>
            <w:r>
              <w:rPr>
                <w:color w:val="auto"/>
                <w:sz w:val="21"/>
                <w:szCs w:val="21"/>
                <w:highlight w:val="none"/>
              </w:rPr>
              <w:t>/</w:t>
            </w:r>
          </w:p>
        </w:tc>
      </w:tr>
      <w:tr w14:paraId="72A58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439" w:hRule="atLeast"/>
          <w:jc w:val="center"/>
        </w:trPr>
        <w:tc>
          <w:tcPr>
            <w:tcW w:w="728" w:type="dxa"/>
            <w:vAlign w:val="top"/>
          </w:tcPr>
          <w:p w14:paraId="156AE43C">
            <w:pPr>
              <w:spacing w:line="306" w:lineRule="auto"/>
              <w:rPr>
                <w:rFonts w:ascii="Arial"/>
                <w:color w:val="auto"/>
                <w:sz w:val="21"/>
                <w:highlight w:val="none"/>
              </w:rPr>
            </w:pPr>
          </w:p>
          <w:p w14:paraId="0C88AAE3">
            <w:pPr>
              <w:spacing w:line="306" w:lineRule="auto"/>
              <w:rPr>
                <w:rFonts w:ascii="Arial"/>
                <w:color w:val="auto"/>
                <w:sz w:val="21"/>
                <w:highlight w:val="none"/>
              </w:rPr>
            </w:pPr>
          </w:p>
          <w:p w14:paraId="205962B2">
            <w:pPr>
              <w:pStyle w:val="17"/>
              <w:spacing w:before="68" w:line="181" w:lineRule="auto"/>
              <w:ind w:left="380"/>
              <w:rPr>
                <w:color w:val="auto"/>
                <w:sz w:val="21"/>
                <w:szCs w:val="21"/>
                <w:highlight w:val="none"/>
              </w:rPr>
            </w:pPr>
            <w:r>
              <w:rPr>
                <w:color w:val="auto"/>
                <w:spacing w:val="-3"/>
                <w:sz w:val="21"/>
                <w:szCs w:val="21"/>
                <w:highlight w:val="none"/>
              </w:rPr>
              <w:t>27</w:t>
            </w:r>
          </w:p>
        </w:tc>
        <w:tc>
          <w:tcPr>
            <w:tcW w:w="1860" w:type="dxa"/>
            <w:vAlign w:val="top"/>
          </w:tcPr>
          <w:p w14:paraId="25E6AD35">
            <w:pPr>
              <w:spacing w:line="393" w:lineRule="auto"/>
              <w:rPr>
                <w:rFonts w:ascii="Arial"/>
                <w:color w:val="auto"/>
                <w:sz w:val="21"/>
                <w:highlight w:val="none"/>
              </w:rPr>
            </w:pPr>
          </w:p>
          <w:p w14:paraId="600222DD">
            <w:pPr>
              <w:pStyle w:val="17"/>
              <w:spacing w:before="69" w:line="304" w:lineRule="auto"/>
              <w:ind w:left="246" w:right="134" w:hanging="105"/>
              <w:rPr>
                <w:color w:val="auto"/>
                <w:sz w:val="21"/>
                <w:szCs w:val="21"/>
                <w:highlight w:val="none"/>
              </w:rPr>
            </w:pPr>
            <w:r>
              <w:rPr>
                <w:color w:val="auto"/>
                <w:spacing w:val="-2"/>
                <w:sz w:val="21"/>
                <w:szCs w:val="21"/>
                <w:highlight w:val="none"/>
              </w:rPr>
              <w:t>投标文件提交截</w:t>
            </w:r>
            <w:r>
              <w:rPr>
                <w:color w:val="auto"/>
                <w:sz w:val="21"/>
                <w:szCs w:val="21"/>
                <w:highlight w:val="none"/>
              </w:rPr>
              <w:t xml:space="preserve"> </w:t>
            </w:r>
            <w:r>
              <w:rPr>
                <w:color w:val="auto"/>
                <w:spacing w:val="-2"/>
                <w:sz w:val="21"/>
                <w:szCs w:val="21"/>
                <w:highlight w:val="none"/>
              </w:rPr>
              <w:t>止时间及地点</w:t>
            </w:r>
          </w:p>
        </w:tc>
        <w:tc>
          <w:tcPr>
            <w:tcW w:w="6855" w:type="dxa"/>
            <w:vAlign w:val="top"/>
          </w:tcPr>
          <w:p w14:paraId="797F6221">
            <w:pPr>
              <w:pStyle w:val="17"/>
              <w:spacing w:before="105" w:line="224" w:lineRule="auto"/>
              <w:ind w:left="129"/>
              <w:rPr>
                <w:color w:val="auto"/>
                <w:sz w:val="21"/>
                <w:szCs w:val="21"/>
                <w:highlight w:val="none"/>
              </w:rPr>
            </w:pPr>
            <w:r>
              <w:rPr>
                <w:color w:val="auto"/>
                <w:spacing w:val="-13"/>
                <w:sz w:val="21"/>
                <w:szCs w:val="21"/>
                <w:highlight w:val="none"/>
              </w:rPr>
              <w:t>时</w:t>
            </w:r>
            <w:r>
              <w:rPr>
                <w:color w:val="auto"/>
                <w:spacing w:val="16"/>
                <w:sz w:val="21"/>
                <w:szCs w:val="21"/>
                <w:highlight w:val="none"/>
              </w:rPr>
              <w:t xml:space="preserve">  </w:t>
            </w:r>
            <w:r>
              <w:rPr>
                <w:color w:val="auto"/>
                <w:spacing w:val="-13"/>
                <w:sz w:val="21"/>
                <w:szCs w:val="21"/>
                <w:highlight w:val="none"/>
              </w:rPr>
              <w:t>间：202</w:t>
            </w:r>
            <w:r>
              <w:rPr>
                <w:rFonts w:hint="eastAsia"/>
                <w:color w:val="auto"/>
                <w:spacing w:val="-13"/>
                <w:sz w:val="21"/>
                <w:szCs w:val="21"/>
                <w:highlight w:val="none"/>
                <w:lang w:val="en-US" w:eastAsia="zh-CN"/>
              </w:rPr>
              <w:t>5</w:t>
            </w:r>
            <w:r>
              <w:rPr>
                <w:color w:val="auto"/>
                <w:spacing w:val="-13"/>
                <w:sz w:val="21"/>
                <w:szCs w:val="21"/>
                <w:highlight w:val="none"/>
              </w:rPr>
              <w:t>年</w:t>
            </w:r>
            <w:r>
              <w:rPr>
                <w:rFonts w:hint="eastAsia"/>
                <w:color w:val="auto"/>
                <w:spacing w:val="-13"/>
                <w:sz w:val="21"/>
                <w:szCs w:val="21"/>
                <w:highlight w:val="none"/>
                <w:lang w:val="en-US" w:eastAsia="zh-CN"/>
              </w:rPr>
              <w:t>7</w:t>
            </w:r>
            <w:r>
              <w:rPr>
                <w:color w:val="auto"/>
                <w:spacing w:val="-13"/>
                <w:sz w:val="21"/>
                <w:szCs w:val="21"/>
                <w:highlight w:val="none"/>
              </w:rPr>
              <w:t>月</w:t>
            </w:r>
            <w:r>
              <w:rPr>
                <w:rFonts w:hint="eastAsia"/>
                <w:color w:val="auto"/>
                <w:spacing w:val="-13"/>
                <w:sz w:val="21"/>
                <w:szCs w:val="21"/>
                <w:highlight w:val="none"/>
                <w:lang w:val="en-US" w:eastAsia="zh-CN"/>
              </w:rPr>
              <w:t>16</w:t>
            </w:r>
            <w:r>
              <w:rPr>
                <w:color w:val="auto"/>
                <w:spacing w:val="-13"/>
                <w:sz w:val="21"/>
                <w:szCs w:val="21"/>
                <w:highlight w:val="none"/>
              </w:rPr>
              <w:t xml:space="preserve"> 日</w:t>
            </w:r>
            <w:r>
              <w:rPr>
                <w:rFonts w:hint="eastAsia"/>
                <w:color w:val="auto"/>
                <w:spacing w:val="-13"/>
                <w:sz w:val="21"/>
                <w:szCs w:val="21"/>
                <w:highlight w:val="none"/>
                <w:lang w:val="en-US" w:eastAsia="zh-CN"/>
              </w:rPr>
              <w:t xml:space="preserve">10 </w:t>
            </w:r>
            <w:r>
              <w:rPr>
                <w:rFonts w:hint="eastAsia"/>
                <w:color w:val="auto"/>
                <w:spacing w:val="-13"/>
                <w:sz w:val="21"/>
                <w:szCs w:val="21"/>
                <w:highlight w:val="none"/>
                <w:lang w:eastAsia="zh-CN"/>
              </w:rPr>
              <w:t>时</w:t>
            </w:r>
            <w:r>
              <w:rPr>
                <w:rFonts w:hint="eastAsia"/>
                <w:color w:val="auto"/>
                <w:spacing w:val="-13"/>
                <w:sz w:val="21"/>
                <w:szCs w:val="21"/>
                <w:highlight w:val="none"/>
                <w:lang w:val="en-US" w:eastAsia="zh-CN"/>
              </w:rPr>
              <w:t>30</w:t>
            </w:r>
            <w:r>
              <w:rPr>
                <w:color w:val="auto"/>
                <w:spacing w:val="-13"/>
                <w:sz w:val="21"/>
                <w:szCs w:val="21"/>
                <w:highlight w:val="none"/>
              </w:rPr>
              <w:t>分（北京时间）</w:t>
            </w:r>
          </w:p>
          <w:p w14:paraId="672CA831">
            <w:pPr>
              <w:pStyle w:val="17"/>
              <w:spacing w:before="106" w:line="282" w:lineRule="auto"/>
              <w:ind w:left="114" w:firstLine="1"/>
              <w:rPr>
                <w:color w:val="auto"/>
                <w:sz w:val="21"/>
                <w:szCs w:val="21"/>
                <w:highlight w:val="none"/>
              </w:rPr>
            </w:pPr>
            <w:r>
              <w:rPr>
                <w:color w:val="auto"/>
                <w:sz w:val="21"/>
                <w:szCs w:val="21"/>
                <w:highlight w:val="none"/>
              </w:rPr>
              <w:t>地  点：请登录政采云投标客户端，在截止</w:t>
            </w:r>
            <w:r>
              <w:rPr>
                <w:color w:val="auto"/>
                <w:spacing w:val="-1"/>
                <w:sz w:val="21"/>
                <w:szCs w:val="21"/>
                <w:highlight w:val="none"/>
              </w:rPr>
              <w:t>时间前将加密的电子响应文件上传到</w:t>
            </w:r>
            <w:r>
              <w:rPr>
                <w:color w:val="auto"/>
                <w:spacing w:val="-3"/>
                <w:sz w:val="21"/>
                <w:szCs w:val="21"/>
                <w:highlight w:val="none"/>
              </w:rPr>
              <w:t>新疆政府采购网对应的位置（逾期上传或者未上传指定</w:t>
            </w:r>
            <w:r>
              <w:rPr>
                <w:color w:val="auto"/>
                <w:spacing w:val="-4"/>
                <w:sz w:val="21"/>
                <w:szCs w:val="21"/>
                <w:highlight w:val="none"/>
              </w:rPr>
              <w:t>地点的响应文件，采购人</w:t>
            </w:r>
            <w:r>
              <w:rPr>
                <w:color w:val="auto"/>
                <w:spacing w:val="-6"/>
                <w:sz w:val="21"/>
                <w:szCs w:val="21"/>
                <w:highlight w:val="none"/>
              </w:rPr>
              <w:t>不予受理）。</w:t>
            </w:r>
          </w:p>
        </w:tc>
      </w:tr>
      <w:tr w14:paraId="62CE4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719" w:hRule="atLeast"/>
          <w:jc w:val="center"/>
        </w:trPr>
        <w:tc>
          <w:tcPr>
            <w:tcW w:w="728" w:type="dxa"/>
            <w:vAlign w:val="top"/>
          </w:tcPr>
          <w:p w14:paraId="0CE5107B">
            <w:pPr>
              <w:spacing w:line="255" w:lineRule="auto"/>
              <w:rPr>
                <w:rFonts w:ascii="Arial"/>
                <w:color w:val="auto"/>
                <w:sz w:val="21"/>
                <w:highlight w:val="none"/>
              </w:rPr>
            </w:pPr>
          </w:p>
          <w:p w14:paraId="529AD280">
            <w:pPr>
              <w:pStyle w:val="17"/>
              <w:spacing w:before="68" w:line="181" w:lineRule="auto"/>
              <w:ind w:left="380"/>
              <w:rPr>
                <w:color w:val="auto"/>
                <w:sz w:val="21"/>
                <w:szCs w:val="21"/>
                <w:highlight w:val="none"/>
              </w:rPr>
            </w:pPr>
            <w:r>
              <w:rPr>
                <w:color w:val="auto"/>
                <w:spacing w:val="-3"/>
                <w:sz w:val="21"/>
                <w:szCs w:val="21"/>
                <w:highlight w:val="none"/>
              </w:rPr>
              <w:t>28</w:t>
            </w:r>
          </w:p>
        </w:tc>
        <w:tc>
          <w:tcPr>
            <w:tcW w:w="1860" w:type="dxa"/>
            <w:vAlign w:val="top"/>
          </w:tcPr>
          <w:p w14:paraId="50979D32">
            <w:pPr>
              <w:pStyle w:val="17"/>
              <w:spacing w:before="287" w:line="224" w:lineRule="auto"/>
              <w:ind w:left="141"/>
              <w:rPr>
                <w:color w:val="auto"/>
                <w:sz w:val="21"/>
                <w:szCs w:val="21"/>
                <w:highlight w:val="none"/>
              </w:rPr>
            </w:pPr>
            <w:r>
              <w:rPr>
                <w:color w:val="auto"/>
                <w:spacing w:val="-2"/>
                <w:sz w:val="21"/>
                <w:szCs w:val="21"/>
                <w:highlight w:val="none"/>
              </w:rPr>
              <w:t>开标时间及地点</w:t>
            </w:r>
          </w:p>
        </w:tc>
        <w:tc>
          <w:tcPr>
            <w:tcW w:w="6855" w:type="dxa"/>
            <w:vAlign w:val="top"/>
          </w:tcPr>
          <w:p w14:paraId="5083C1A6">
            <w:pPr>
              <w:pStyle w:val="17"/>
              <w:spacing w:before="106" w:line="224" w:lineRule="auto"/>
              <w:ind w:left="129"/>
              <w:rPr>
                <w:color w:val="auto"/>
                <w:sz w:val="21"/>
                <w:szCs w:val="21"/>
                <w:highlight w:val="none"/>
              </w:rPr>
            </w:pPr>
            <w:r>
              <w:rPr>
                <w:color w:val="auto"/>
                <w:spacing w:val="-13"/>
                <w:sz w:val="21"/>
                <w:szCs w:val="21"/>
                <w:highlight w:val="none"/>
              </w:rPr>
              <w:t>时</w:t>
            </w:r>
            <w:r>
              <w:rPr>
                <w:color w:val="auto"/>
                <w:spacing w:val="16"/>
                <w:sz w:val="21"/>
                <w:szCs w:val="21"/>
                <w:highlight w:val="none"/>
              </w:rPr>
              <w:t xml:space="preserve">  </w:t>
            </w:r>
            <w:r>
              <w:rPr>
                <w:color w:val="auto"/>
                <w:spacing w:val="-13"/>
                <w:sz w:val="21"/>
                <w:szCs w:val="21"/>
                <w:highlight w:val="none"/>
              </w:rPr>
              <w:t>间：202</w:t>
            </w:r>
            <w:r>
              <w:rPr>
                <w:rFonts w:hint="eastAsia"/>
                <w:color w:val="auto"/>
                <w:spacing w:val="-13"/>
                <w:sz w:val="21"/>
                <w:szCs w:val="21"/>
                <w:highlight w:val="none"/>
                <w:lang w:val="en-US" w:eastAsia="zh-CN"/>
              </w:rPr>
              <w:t>5</w:t>
            </w:r>
            <w:r>
              <w:rPr>
                <w:color w:val="auto"/>
                <w:spacing w:val="-13"/>
                <w:sz w:val="21"/>
                <w:szCs w:val="21"/>
                <w:highlight w:val="none"/>
              </w:rPr>
              <w:t>年</w:t>
            </w:r>
            <w:r>
              <w:rPr>
                <w:rFonts w:hint="eastAsia"/>
                <w:color w:val="auto"/>
                <w:spacing w:val="-13"/>
                <w:sz w:val="21"/>
                <w:szCs w:val="21"/>
                <w:highlight w:val="none"/>
                <w:lang w:val="en-US" w:eastAsia="zh-CN"/>
              </w:rPr>
              <w:t>7</w:t>
            </w:r>
            <w:r>
              <w:rPr>
                <w:color w:val="auto"/>
                <w:spacing w:val="-13"/>
                <w:sz w:val="21"/>
                <w:szCs w:val="21"/>
                <w:highlight w:val="none"/>
              </w:rPr>
              <w:t>月</w:t>
            </w:r>
            <w:r>
              <w:rPr>
                <w:rFonts w:hint="eastAsia"/>
                <w:color w:val="auto"/>
                <w:spacing w:val="-13"/>
                <w:sz w:val="21"/>
                <w:szCs w:val="21"/>
                <w:highlight w:val="none"/>
                <w:lang w:val="en-US" w:eastAsia="zh-CN"/>
              </w:rPr>
              <w:t>16</w:t>
            </w:r>
            <w:r>
              <w:rPr>
                <w:color w:val="auto"/>
                <w:spacing w:val="-13"/>
                <w:sz w:val="21"/>
                <w:szCs w:val="21"/>
                <w:highlight w:val="none"/>
              </w:rPr>
              <w:t xml:space="preserve"> 日</w:t>
            </w:r>
            <w:r>
              <w:rPr>
                <w:rFonts w:hint="eastAsia"/>
                <w:color w:val="auto"/>
                <w:spacing w:val="-13"/>
                <w:sz w:val="21"/>
                <w:szCs w:val="21"/>
                <w:highlight w:val="none"/>
                <w:lang w:val="en-US" w:eastAsia="zh-CN"/>
              </w:rPr>
              <w:t xml:space="preserve">10 </w:t>
            </w:r>
            <w:r>
              <w:rPr>
                <w:rFonts w:hint="eastAsia"/>
                <w:color w:val="auto"/>
                <w:spacing w:val="-13"/>
                <w:sz w:val="21"/>
                <w:szCs w:val="21"/>
                <w:highlight w:val="none"/>
                <w:lang w:eastAsia="zh-CN"/>
              </w:rPr>
              <w:t>时</w:t>
            </w:r>
            <w:r>
              <w:rPr>
                <w:rFonts w:hint="eastAsia"/>
                <w:color w:val="auto"/>
                <w:spacing w:val="-13"/>
                <w:sz w:val="21"/>
                <w:szCs w:val="21"/>
                <w:highlight w:val="none"/>
                <w:lang w:val="en-US" w:eastAsia="zh-CN"/>
              </w:rPr>
              <w:t>30</w:t>
            </w:r>
            <w:r>
              <w:rPr>
                <w:color w:val="auto"/>
                <w:spacing w:val="-13"/>
                <w:sz w:val="21"/>
                <w:szCs w:val="21"/>
                <w:highlight w:val="none"/>
              </w:rPr>
              <w:t>分（北京时间）</w:t>
            </w:r>
          </w:p>
          <w:p w14:paraId="4332A171">
            <w:pPr>
              <w:pStyle w:val="17"/>
              <w:spacing w:before="105" w:line="213" w:lineRule="auto"/>
              <w:ind w:left="115"/>
              <w:rPr>
                <w:color w:val="auto"/>
                <w:sz w:val="21"/>
                <w:szCs w:val="21"/>
                <w:highlight w:val="none"/>
              </w:rPr>
            </w:pPr>
            <w:r>
              <w:rPr>
                <w:color w:val="auto"/>
                <w:spacing w:val="-5"/>
                <w:sz w:val="21"/>
                <w:szCs w:val="21"/>
                <w:highlight w:val="none"/>
              </w:rPr>
              <w:t>地</w:t>
            </w:r>
            <w:r>
              <w:rPr>
                <w:color w:val="auto"/>
                <w:spacing w:val="12"/>
                <w:sz w:val="21"/>
                <w:szCs w:val="21"/>
                <w:highlight w:val="none"/>
              </w:rPr>
              <w:t xml:space="preserve">  </w:t>
            </w:r>
            <w:r>
              <w:rPr>
                <w:color w:val="auto"/>
                <w:spacing w:val="-5"/>
                <w:sz w:val="21"/>
                <w:szCs w:val="21"/>
                <w:highlight w:val="none"/>
              </w:rPr>
              <w:t>点：政采云电子开标大厅。</w:t>
            </w:r>
          </w:p>
        </w:tc>
      </w:tr>
      <w:tr w14:paraId="278D0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799" w:hRule="atLeast"/>
          <w:jc w:val="center"/>
        </w:trPr>
        <w:tc>
          <w:tcPr>
            <w:tcW w:w="728" w:type="dxa"/>
            <w:vAlign w:val="top"/>
          </w:tcPr>
          <w:p w14:paraId="3B5E22AC">
            <w:pPr>
              <w:spacing w:line="264" w:lineRule="auto"/>
              <w:rPr>
                <w:rFonts w:ascii="Arial"/>
                <w:color w:val="auto"/>
                <w:sz w:val="21"/>
                <w:highlight w:val="none"/>
              </w:rPr>
            </w:pPr>
          </w:p>
          <w:p w14:paraId="03FC32F2">
            <w:pPr>
              <w:spacing w:line="264" w:lineRule="auto"/>
              <w:rPr>
                <w:rFonts w:ascii="Arial"/>
                <w:color w:val="auto"/>
                <w:sz w:val="21"/>
                <w:highlight w:val="none"/>
              </w:rPr>
            </w:pPr>
          </w:p>
          <w:p w14:paraId="7D3ECF39">
            <w:pPr>
              <w:spacing w:line="265" w:lineRule="auto"/>
              <w:rPr>
                <w:rFonts w:ascii="Arial"/>
                <w:color w:val="auto"/>
                <w:sz w:val="21"/>
                <w:highlight w:val="none"/>
              </w:rPr>
            </w:pPr>
          </w:p>
          <w:p w14:paraId="0712CB22">
            <w:pPr>
              <w:pStyle w:val="17"/>
              <w:spacing w:before="68" w:line="181" w:lineRule="auto"/>
              <w:ind w:left="380"/>
              <w:rPr>
                <w:color w:val="auto"/>
                <w:sz w:val="21"/>
                <w:szCs w:val="21"/>
                <w:highlight w:val="none"/>
              </w:rPr>
            </w:pPr>
            <w:r>
              <w:rPr>
                <w:color w:val="auto"/>
                <w:spacing w:val="-3"/>
                <w:sz w:val="21"/>
                <w:szCs w:val="21"/>
                <w:highlight w:val="none"/>
              </w:rPr>
              <w:t>29</w:t>
            </w:r>
          </w:p>
        </w:tc>
        <w:tc>
          <w:tcPr>
            <w:tcW w:w="1860" w:type="dxa"/>
            <w:vAlign w:val="top"/>
          </w:tcPr>
          <w:p w14:paraId="0C6732D4">
            <w:pPr>
              <w:spacing w:line="251" w:lineRule="auto"/>
              <w:rPr>
                <w:rFonts w:ascii="Arial"/>
                <w:color w:val="auto"/>
                <w:sz w:val="21"/>
                <w:highlight w:val="none"/>
              </w:rPr>
            </w:pPr>
          </w:p>
          <w:p w14:paraId="0609AD2D">
            <w:pPr>
              <w:spacing w:line="252" w:lineRule="auto"/>
              <w:rPr>
                <w:rFonts w:ascii="Arial"/>
                <w:color w:val="auto"/>
                <w:sz w:val="21"/>
                <w:highlight w:val="none"/>
              </w:rPr>
            </w:pPr>
          </w:p>
          <w:p w14:paraId="5954163C">
            <w:pPr>
              <w:spacing w:line="252" w:lineRule="auto"/>
              <w:rPr>
                <w:rFonts w:ascii="Arial"/>
                <w:color w:val="auto"/>
                <w:sz w:val="21"/>
                <w:highlight w:val="none"/>
              </w:rPr>
            </w:pPr>
          </w:p>
          <w:p w14:paraId="60B2C314">
            <w:pPr>
              <w:pStyle w:val="17"/>
              <w:spacing w:before="68" w:line="224" w:lineRule="auto"/>
              <w:ind w:left="456"/>
              <w:rPr>
                <w:color w:val="auto"/>
                <w:sz w:val="21"/>
                <w:szCs w:val="21"/>
                <w:highlight w:val="none"/>
              </w:rPr>
            </w:pPr>
            <w:r>
              <w:rPr>
                <w:color w:val="auto"/>
                <w:spacing w:val="-3"/>
                <w:sz w:val="21"/>
                <w:szCs w:val="21"/>
                <w:highlight w:val="none"/>
              </w:rPr>
              <w:t>开标程序</w:t>
            </w:r>
          </w:p>
        </w:tc>
        <w:tc>
          <w:tcPr>
            <w:tcW w:w="6855" w:type="dxa"/>
            <w:vAlign w:val="top"/>
          </w:tcPr>
          <w:p w14:paraId="75E993C0">
            <w:pPr>
              <w:pStyle w:val="17"/>
              <w:spacing w:before="107" w:line="223" w:lineRule="auto"/>
              <w:ind w:left="115"/>
              <w:rPr>
                <w:color w:val="auto"/>
                <w:sz w:val="21"/>
                <w:szCs w:val="21"/>
                <w:highlight w:val="none"/>
              </w:rPr>
            </w:pPr>
            <w:r>
              <w:rPr>
                <w:color w:val="auto"/>
                <w:spacing w:val="-6"/>
                <w:sz w:val="21"/>
                <w:szCs w:val="21"/>
                <w:highlight w:val="none"/>
              </w:rPr>
              <w:t>本项目采用不见面开标：</w:t>
            </w:r>
          </w:p>
          <w:p w14:paraId="2F63713C">
            <w:pPr>
              <w:pStyle w:val="17"/>
              <w:spacing w:before="106" w:line="223" w:lineRule="auto"/>
              <w:ind w:left="114"/>
              <w:rPr>
                <w:color w:val="auto"/>
                <w:sz w:val="21"/>
                <w:szCs w:val="21"/>
                <w:highlight w:val="none"/>
              </w:rPr>
            </w:pPr>
            <w:r>
              <w:rPr>
                <w:color w:val="auto"/>
                <w:spacing w:val="-3"/>
                <w:sz w:val="21"/>
                <w:szCs w:val="21"/>
                <w:highlight w:val="none"/>
              </w:rPr>
              <w:t>（1）到投标截止时间后，主持人主持开标会议；</w:t>
            </w:r>
          </w:p>
          <w:p w14:paraId="17FC1E13">
            <w:pPr>
              <w:pStyle w:val="17"/>
              <w:spacing w:before="106" w:line="223" w:lineRule="auto"/>
              <w:ind w:left="114"/>
              <w:rPr>
                <w:color w:val="auto"/>
                <w:sz w:val="21"/>
                <w:szCs w:val="21"/>
                <w:highlight w:val="none"/>
              </w:rPr>
            </w:pPr>
            <w:r>
              <w:rPr>
                <w:color w:val="auto"/>
                <w:spacing w:val="-4"/>
                <w:sz w:val="21"/>
                <w:szCs w:val="21"/>
                <w:highlight w:val="none"/>
              </w:rPr>
              <w:t>（2）公布投标人，投标文件解密；</w:t>
            </w:r>
          </w:p>
          <w:p w14:paraId="0F5525BB">
            <w:pPr>
              <w:pStyle w:val="17"/>
              <w:spacing w:before="106" w:line="224" w:lineRule="auto"/>
              <w:ind w:left="114"/>
              <w:rPr>
                <w:color w:val="auto"/>
                <w:sz w:val="21"/>
                <w:szCs w:val="21"/>
                <w:highlight w:val="none"/>
              </w:rPr>
            </w:pPr>
            <w:r>
              <w:rPr>
                <w:color w:val="auto"/>
                <w:spacing w:val="-4"/>
                <w:sz w:val="21"/>
                <w:szCs w:val="21"/>
                <w:highlight w:val="none"/>
              </w:rPr>
              <w:t>（3）评标专家进入评审阶段；</w:t>
            </w:r>
          </w:p>
          <w:p w14:paraId="772E294F">
            <w:pPr>
              <w:pStyle w:val="17"/>
              <w:spacing w:before="105" w:line="212" w:lineRule="auto"/>
              <w:ind w:left="114"/>
              <w:rPr>
                <w:color w:val="auto"/>
                <w:sz w:val="21"/>
                <w:szCs w:val="21"/>
                <w:highlight w:val="none"/>
              </w:rPr>
            </w:pPr>
            <w:r>
              <w:rPr>
                <w:color w:val="auto"/>
                <w:spacing w:val="-2"/>
                <w:sz w:val="21"/>
                <w:szCs w:val="21"/>
                <w:highlight w:val="none"/>
              </w:rPr>
              <w:t>（4）评标结束后，有关人员在开标记录表签字确认。</w:t>
            </w:r>
          </w:p>
        </w:tc>
      </w:tr>
      <w:tr w14:paraId="3BD4F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719" w:hRule="atLeast"/>
          <w:jc w:val="center"/>
        </w:trPr>
        <w:tc>
          <w:tcPr>
            <w:tcW w:w="728" w:type="dxa"/>
            <w:vAlign w:val="top"/>
          </w:tcPr>
          <w:p w14:paraId="2DF1CB68">
            <w:pPr>
              <w:spacing w:line="257" w:lineRule="auto"/>
              <w:rPr>
                <w:rFonts w:ascii="Arial"/>
                <w:color w:val="auto"/>
                <w:sz w:val="21"/>
                <w:highlight w:val="none"/>
              </w:rPr>
            </w:pPr>
          </w:p>
          <w:p w14:paraId="2403F61C">
            <w:pPr>
              <w:pStyle w:val="17"/>
              <w:spacing w:before="68" w:line="181" w:lineRule="auto"/>
              <w:ind w:left="382"/>
              <w:rPr>
                <w:color w:val="auto"/>
                <w:sz w:val="21"/>
                <w:szCs w:val="21"/>
                <w:highlight w:val="none"/>
              </w:rPr>
            </w:pPr>
            <w:r>
              <w:rPr>
                <w:color w:val="auto"/>
                <w:spacing w:val="-3"/>
                <w:sz w:val="21"/>
                <w:szCs w:val="21"/>
                <w:highlight w:val="none"/>
              </w:rPr>
              <w:t>30</w:t>
            </w:r>
          </w:p>
        </w:tc>
        <w:tc>
          <w:tcPr>
            <w:tcW w:w="1860" w:type="dxa"/>
            <w:vAlign w:val="top"/>
          </w:tcPr>
          <w:p w14:paraId="684A8B30">
            <w:pPr>
              <w:pStyle w:val="17"/>
              <w:spacing w:before="108" w:line="264" w:lineRule="auto"/>
              <w:ind w:left="667" w:right="239" w:hanging="420"/>
              <w:rPr>
                <w:color w:val="auto"/>
                <w:sz w:val="21"/>
                <w:szCs w:val="21"/>
                <w:highlight w:val="none"/>
              </w:rPr>
            </w:pPr>
            <w:r>
              <w:rPr>
                <w:color w:val="auto"/>
                <w:spacing w:val="-3"/>
                <w:sz w:val="21"/>
                <w:szCs w:val="21"/>
                <w:highlight w:val="none"/>
              </w:rPr>
              <w:t>评标委员会的</w:t>
            </w:r>
            <w:r>
              <w:rPr>
                <w:color w:val="auto"/>
                <w:spacing w:val="2"/>
                <w:sz w:val="21"/>
                <w:szCs w:val="21"/>
                <w:highlight w:val="none"/>
              </w:rPr>
              <w:t xml:space="preserve"> </w:t>
            </w:r>
            <w:r>
              <w:rPr>
                <w:color w:val="auto"/>
                <w:spacing w:val="-4"/>
                <w:sz w:val="21"/>
                <w:szCs w:val="21"/>
                <w:highlight w:val="none"/>
              </w:rPr>
              <w:t>组建</w:t>
            </w:r>
          </w:p>
        </w:tc>
        <w:tc>
          <w:tcPr>
            <w:tcW w:w="6855" w:type="dxa"/>
            <w:vAlign w:val="top"/>
          </w:tcPr>
          <w:p w14:paraId="7ECD06AA">
            <w:pPr>
              <w:pStyle w:val="17"/>
              <w:spacing w:before="107" w:line="223" w:lineRule="auto"/>
              <w:ind w:left="115"/>
              <w:rPr>
                <w:rFonts w:hint="eastAsia" w:eastAsia="新宋体"/>
                <w:color w:val="auto"/>
                <w:spacing w:val="-6"/>
                <w:sz w:val="21"/>
                <w:szCs w:val="21"/>
                <w:highlight w:val="none"/>
                <w:lang w:eastAsia="zh-CN"/>
              </w:rPr>
            </w:pPr>
            <w:r>
              <w:rPr>
                <w:color w:val="auto"/>
                <w:spacing w:val="-6"/>
                <w:sz w:val="21"/>
                <w:szCs w:val="21"/>
                <w:highlight w:val="none"/>
              </w:rPr>
              <w:t xml:space="preserve">评标委员会由专家 </w:t>
            </w:r>
            <w:r>
              <w:rPr>
                <w:rFonts w:hint="eastAsia"/>
                <w:color w:val="auto"/>
                <w:spacing w:val="-6"/>
                <w:sz w:val="21"/>
                <w:szCs w:val="21"/>
                <w:highlight w:val="none"/>
                <w:lang w:val="en-US" w:eastAsia="zh-CN"/>
              </w:rPr>
              <w:t>5</w:t>
            </w:r>
            <w:r>
              <w:rPr>
                <w:color w:val="auto"/>
                <w:spacing w:val="-6"/>
                <w:sz w:val="21"/>
                <w:szCs w:val="21"/>
                <w:highlight w:val="none"/>
              </w:rPr>
              <w:t xml:space="preserve"> 人组成；</w:t>
            </w:r>
            <w:r>
              <w:rPr>
                <w:rFonts w:hint="eastAsia"/>
                <w:color w:val="auto"/>
                <w:spacing w:val="-6"/>
                <w:sz w:val="21"/>
                <w:szCs w:val="21"/>
                <w:highlight w:val="none"/>
              </w:rPr>
              <w:t>（其中采购人代表 1人，政采云平台随机抽取专家4人）</w:t>
            </w:r>
            <w:r>
              <w:rPr>
                <w:rFonts w:hint="eastAsia"/>
                <w:color w:val="auto"/>
                <w:spacing w:val="-6"/>
                <w:sz w:val="21"/>
                <w:szCs w:val="21"/>
                <w:highlight w:val="none"/>
                <w:lang w:eastAsia="zh-CN"/>
              </w:rPr>
              <w:t>。</w:t>
            </w:r>
          </w:p>
          <w:p w14:paraId="5E53CF64">
            <w:pPr>
              <w:pStyle w:val="17"/>
              <w:spacing w:before="107" w:line="223" w:lineRule="auto"/>
              <w:ind w:left="115"/>
              <w:rPr>
                <w:color w:val="auto"/>
                <w:sz w:val="21"/>
                <w:szCs w:val="21"/>
                <w:highlight w:val="none"/>
              </w:rPr>
            </w:pPr>
            <w:r>
              <w:rPr>
                <w:color w:val="auto"/>
                <w:spacing w:val="-6"/>
                <w:sz w:val="21"/>
                <w:szCs w:val="21"/>
                <w:highlight w:val="none"/>
              </w:rPr>
              <w:t>评标专家确定方式：从新疆政采云专家库中随机抽取的方式确定 。</w:t>
            </w:r>
          </w:p>
        </w:tc>
      </w:tr>
      <w:tr w14:paraId="6CB1E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719" w:hRule="atLeast"/>
          <w:jc w:val="center"/>
        </w:trPr>
        <w:tc>
          <w:tcPr>
            <w:tcW w:w="728" w:type="dxa"/>
            <w:vAlign w:val="top"/>
          </w:tcPr>
          <w:p w14:paraId="7874ADE3">
            <w:pPr>
              <w:spacing w:line="257" w:lineRule="auto"/>
              <w:rPr>
                <w:rFonts w:ascii="Arial"/>
                <w:color w:val="auto"/>
                <w:sz w:val="21"/>
                <w:highlight w:val="none"/>
              </w:rPr>
            </w:pPr>
          </w:p>
          <w:p w14:paraId="42002857">
            <w:pPr>
              <w:pStyle w:val="17"/>
              <w:spacing w:before="68" w:line="182" w:lineRule="auto"/>
              <w:ind w:left="382"/>
              <w:rPr>
                <w:color w:val="auto"/>
                <w:sz w:val="21"/>
                <w:szCs w:val="21"/>
                <w:highlight w:val="none"/>
              </w:rPr>
            </w:pPr>
            <w:r>
              <w:rPr>
                <w:color w:val="auto"/>
                <w:spacing w:val="-3"/>
                <w:sz w:val="21"/>
                <w:szCs w:val="21"/>
                <w:highlight w:val="none"/>
              </w:rPr>
              <w:t>31</w:t>
            </w:r>
          </w:p>
        </w:tc>
        <w:tc>
          <w:tcPr>
            <w:tcW w:w="1860" w:type="dxa"/>
            <w:vAlign w:val="top"/>
          </w:tcPr>
          <w:p w14:paraId="76E9B937">
            <w:pPr>
              <w:pStyle w:val="17"/>
              <w:spacing w:before="110" w:line="263" w:lineRule="auto"/>
              <w:ind w:left="157" w:right="134" w:hanging="15"/>
              <w:rPr>
                <w:color w:val="auto"/>
                <w:sz w:val="21"/>
                <w:szCs w:val="21"/>
                <w:highlight w:val="none"/>
              </w:rPr>
            </w:pPr>
            <w:r>
              <w:rPr>
                <w:color w:val="auto"/>
                <w:spacing w:val="-3"/>
                <w:sz w:val="21"/>
                <w:szCs w:val="21"/>
                <w:highlight w:val="none"/>
              </w:rPr>
              <w:t>是否授权评标委</w:t>
            </w:r>
            <w:r>
              <w:rPr>
                <w:color w:val="auto"/>
                <w:spacing w:val="5"/>
                <w:sz w:val="21"/>
                <w:szCs w:val="21"/>
                <w:highlight w:val="none"/>
              </w:rPr>
              <w:t xml:space="preserve"> </w:t>
            </w:r>
            <w:r>
              <w:rPr>
                <w:color w:val="auto"/>
                <w:spacing w:val="-5"/>
                <w:sz w:val="21"/>
                <w:szCs w:val="21"/>
                <w:highlight w:val="none"/>
              </w:rPr>
              <w:t>员会确定中标人</w:t>
            </w:r>
          </w:p>
        </w:tc>
        <w:tc>
          <w:tcPr>
            <w:tcW w:w="6855" w:type="dxa"/>
            <w:vAlign w:val="top"/>
          </w:tcPr>
          <w:p w14:paraId="6EFAA39C">
            <w:pPr>
              <w:pStyle w:val="17"/>
              <w:spacing w:before="289" w:line="223" w:lineRule="auto"/>
              <w:ind w:left="115"/>
              <w:rPr>
                <w:color w:val="auto"/>
                <w:sz w:val="21"/>
                <w:szCs w:val="21"/>
                <w:highlight w:val="none"/>
              </w:rPr>
            </w:pPr>
            <w:r>
              <w:rPr>
                <w:color w:val="auto"/>
                <w:spacing w:val="-2"/>
                <w:sz w:val="21"/>
                <w:szCs w:val="21"/>
                <w:highlight w:val="none"/>
              </w:rPr>
              <w:t>是，推荐的中标人数：</w:t>
            </w:r>
            <w:r>
              <w:rPr>
                <w:rFonts w:hint="eastAsia"/>
                <w:color w:val="auto"/>
                <w:spacing w:val="-2"/>
                <w:sz w:val="21"/>
                <w:szCs w:val="21"/>
                <w:highlight w:val="none"/>
                <w:lang w:val="en-US" w:eastAsia="zh-CN"/>
              </w:rPr>
              <w:t>1</w:t>
            </w:r>
            <w:r>
              <w:rPr>
                <w:color w:val="auto"/>
                <w:spacing w:val="-26"/>
                <w:sz w:val="21"/>
                <w:szCs w:val="21"/>
                <w:highlight w:val="none"/>
              </w:rPr>
              <w:t xml:space="preserve"> </w:t>
            </w:r>
            <w:r>
              <w:rPr>
                <w:color w:val="auto"/>
                <w:spacing w:val="-2"/>
                <w:sz w:val="21"/>
                <w:szCs w:val="21"/>
                <w:highlight w:val="none"/>
              </w:rPr>
              <w:t>名</w:t>
            </w:r>
          </w:p>
        </w:tc>
      </w:tr>
      <w:tr w14:paraId="1481F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719" w:hRule="atLeast"/>
          <w:jc w:val="center"/>
        </w:trPr>
        <w:tc>
          <w:tcPr>
            <w:tcW w:w="728" w:type="dxa"/>
            <w:vAlign w:val="top"/>
          </w:tcPr>
          <w:p w14:paraId="216D9527">
            <w:pPr>
              <w:spacing w:line="259" w:lineRule="auto"/>
              <w:rPr>
                <w:rFonts w:ascii="Arial"/>
                <w:color w:val="auto"/>
                <w:sz w:val="21"/>
                <w:highlight w:val="none"/>
              </w:rPr>
            </w:pPr>
          </w:p>
          <w:p w14:paraId="7DFCBFC0">
            <w:pPr>
              <w:pStyle w:val="17"/>
              <w:spacing w:before="68" w:line="181" w:lineRule="auto"/>
              <w:ind w:left="382"/>
              <w:rPr>
                <w:color w:val="auto"/>
                <w:sz w:val="21"/>
                <w:szCs w:val="21"/>
                <w:highlight w:val="none"/>
              </w:rPr>
            </w:pPr>
            <w:r>
              <w:rPr>
                <w:color w:val="auto"/>
                <w:spacing w:val="-3"/>
                <w:sz w:val="21"/>
                <w:szCs w:val="21"/>
                <w:highlight w:val="none"/>
              </w:rPr>
              <w:t>32</w:t>
            </w:r>
          </w:p>
        </w:tc>
        <w:tc>
          <w:tcPr>
            <w:tcW w:w="1860" w:type="dxa"/>
            <w:vAlign w:val="top"/>
          </w:tcPr>
          <w:p w14:paraId="5D0E8EEE">
            <w:pPr>
              <w:pStyle w:val="17"/>
              <w:spacing w:before="110" w:line="263" w:lineRule="auto"/>
              <w:ind w:left="461" w:right="448" w:firstLine="22"/>
              <w:rPr>
                <w:color w:val="auto"/>
                <w:sz w:val="21"/>
                <w:szCs w:val="21"/>
                <w:highlight w:val="none"/>
              </w:rPr>
            </w:pPr>
            <w:r>
              <w:rPr>
                <w:color w:val="auto"/>
                <w:spacing w:val="-11"/>
                <w:sz w:val="21"/>
                <w:szCs w:val="21"/>
                <w:highlight w:val="none"/>
              </w:rPr>
              <w:t>中标结果</w:t>
            </w:r>
            <w:r>
              <w:rPr>
                <w:color w:val="auto"/>
                <w:spacing w:val="2"/>
                <w:sz w:val="21"/>
                <w:szCs w:val="21"/>
                <w:highlight w:val="none"/>
              </w:rPr>
              <w:t xml:space="preserve"> </w:t>
            </w:r>
            <w:r>
              <w:rPr>
                <w:color w:val="auto"/>
                <w:spacing w:val="-5"/>
                <w:sz w:val="21"/>
                <w:szCs w:val="21"/>
                <w:highlight w:val="none"/>
              </w:rPr>
              <w:t>公示媒介</w:t>
            </w:r>
          </w:p>
        </w:tc>
        <w:tc>
          <w:tcPr>
            <w:tcW w:w="6855" w:type="dxa"/>
            <w:vAlign w:val="center"/>
          </w:tcPr>
          <w:p w14:paraId="62BB7C32">
            <w:pPr>
              <w:pStyle w:val="17"/>
              <w:spacing w:before="110" w:line="263" w:lineRule="auto"/>
              <w:ind w:left="117" w:right="2468" w:hanging="3"/>
              <w:jc w:val="both"/>
              <w:rPr>
                <w:rFonts w:hint="eastAsia" w:eastAsia="新宋体"/>
                <w:color w:val="auto"/>
                <w:sz w:val="21"/>
                <w:szCs w:val="21"/>
                <w:highlight w:val="none"/>
                <w:lang w:eastAsia="zh-CN"/>
              </w:rPr>
            </w:pPr>
            <w:r>
              <w:rPr>
                <w:color w:val="auto"/>
                <w:sz w:val="21"/>
                <w:szCs w:val="21"/>
                <w:highlight w:val="none"/>
              </w:rPr>
              <w:t>新疆政府采购网</w:t>
            </w:r>
            <w:r>
              <w:rPr>
                <w:color w:val="auto"/>
                <w:spacing w:val="-47"/>
                <w:sz w:val="21"/>
                <w:szCs w:val="21"/>
                <w:highlight w:val="none"/>
              </w:rPr>
              <w:t xml:space="preserve"> </w:t>
            </w:r>
            <w:r>
              <w:rPr>
                <w:rFonts w:hint="eastAsia"/>
                <w:color w:val="auto"/>
                <w:sz w:val="21"/>
                <w:szCs w:val="21"/>
                <w:highlight w:val="none"/>
                <w:lang w:eastAsia="zh-CN"/>
              </w:rPr>
              <w:t>。</w:t>
            </w:r>
          </w:p>
        </w:tc>
      </w:tr>
      <w:tr w14:paraId="48CAF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622" w:hRule="atLeast"/>
          <w:jc w:val="center"/>
        </w:trPr>
        <w:tc>
          <w:tcPr>
            <w:tcW w:w="728" w:type="dxa"/>
            <w:vAlign w:val="top"/>
          </w:tcPr>
          <w:p w14:paraId="2FBE2F08">
            <w:pPr>
              <w:pStyle w:val="17"/>
              <w:spacing w:before="281" w:line="181" w:lineRule="auto"/>
              <w:ind w:left="382"/>
              <w:rPr>
                <w:color w:val="auto"/>
                <w:sz w:val="21"/>
                <w:szCs w:val="21"/>
                <w:highlight w:val="none"/>
              </w:rPr>
            </w:pPr>
            <w:r>
              <w:rPr>
                <w:color w:val="auto"/>
                <w:spacing w:val="-3"/>
                <w:sz w:val="21"/>
                <w:szCs w:val="21"/>
                <w:highlight w:val="none"/>
              </w:rPr>
              <w:t>33</w:t>
            </w:r>
          </w:p>
        </w:tc>
        <w:tc>
          <w:tcPr>
            <w:tcW w:w="1860" w:type="dxa"/>
            <w:vAlign w:val="top"/>
          </w:tcPr>
          <w:p w14:paraId="058988A0">
            <w:pPr>
              <w:pStyle w:val="17"/>
              <w:spacing w:before="242" w:line="223" w:lineRule="auto"/>
              <w:ind w:left="378"/>
              <w:rPr>
                <w:color w:val="auto"/>
                <w:sz w:val="21"/>
                <w:szCs w:val="21"/>
                <w:highlight w:val="none"/>
              </w:rPr>
            </w:pPr>
            <w:r>
              <w:rPr>
                <w:color w:val="auto"/>
                <w:spacing w:val="-7"/>
                <w:sz w:val="21"/>
                <w:szCs w:val="21"/>
                <w:highlight w:val="none"/>
              </w:rPr>
              <w:t>中标通知书</w:t>
            </w:r>
          </w:p>
        </w:tc>
        <w:tc>
          <w:tcPr>
            <w:tcW w:w="6855" w:type="dxa"/>
            <w:vAlign w:val="top"/>
          </w:tcPr>
          <w:p w14:paraId="0F50BABE">
            <w:pPr>
              <w:pStyle w:val="17"/>
              <w:spacing w:before="242" w:line="223" w:lineRule="auto"/>
              <w:ind w:left="141"/>
              <w:rPr>
                <w:color w:val="auto"/>
                <w:sz w:val="21"/>
                <w:szCs w:val="21"/>
                <w:highlight w:val="none"/>
              </w:rPr>
            </w:pPr>
            <w:r>
              <w:rPr>
                <w:color w:val="auto"/>
                <w:spacing w:val="-4"/>
                <w:sz w:val="21"/>
                <w:szCs w:val="21"/>
                <w:highlight w:val="none"/>
              </w:rPr>
              <w:t>中标公示</w:t>
            </w:r>
            <w:r>
              <w:rPr>
                <w:color w:val="auto"/>
                <w:spacing w:val="-12"/>
                <w:sz w:val="21"/>
                <w:szCs w:val="21"/>
                <w:highlight w:val="none"/>
              </w:rPr>
              <w:t xml:space="preserve"> </w:t>
            </w:r>
            <w:r>
              <w:rPr>
                <w:color w:val="auto"/>
                <w:spacing w:val="-4"/>
                <w:sz w:val="21"/>
                <w:szCs w:val="21"/>
                <w:highlight w:val="none"/>
              </w:rPr>
              <w:t>1</w:t>
            </w:r>
            <w:r>
              <w:rPr>
                <w:color w:val="auto"/>
                <w:spacing w:val="-34"/>
                <w:sz w:val="21"/>
                <w:szCs w:val="21"/>
                <w:highlight w:val="none"/>
              </w:rPr>
              <w:t xml:space="preserve"> </w:t>
            </w:r>
            <w:r>
              <w:rPr>
                <w:color w:val="auto"/>
                <w:spacing w:val="-4"/>
                <w:sz w:val="21"/>
                <w:szCs w:val="21"/>
                <w:highlight w:val="none"/>
              </w:rPr>
              <w:t>工作日无异议后，</w:t>
            </w:r>
            <w:r>
              <w:rPr>
                <w:rFonts w:hint="eastAsia"/>
                <w:color w:val="auto"/>
                <w:spacing w:val="-4"/>
                <w:sz w:val="21"/>
                <w:szCs w:val="21"/>
                <w:highlight w:val="none"/>
              </w:rPr>
              <w:t>中标通知书须加盖招标人、招标代理机构公章，方可发出</w:t>
            </w:r>
            <w:r>
              <w:rPr>
                <w:color w:val="auto"/>
                <w:spacing w:val="-4"/>
                <w:sz w:val="21"/>
                <w:szCs w:val="21"/>
                <w:highlight w:val="none"/>
              </w:rPr>
              <w:t>。</w:t>
            </w:r>
          </w:p>
        </w:tc>
      </w:tr>
      <w:tr w14:paraId="7714E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513" w:hRule="atLeast"/>
          <w:jc w:val="center"/>
        </w:trPr>
        <w:tc>
          <w:tcPr>
            <w:tcW w:w="728" w:type="dxa"/>
            <w:vAlign w:val="top"/>
          </w:tcPr>
          <w:p w14:paraId="53B1788B">
            <w:pPr>
              <w:pStyle w:val="17"/>
              <w:spacing w:before="226" w:line="181" w:lineRule="auto"/>
              <w:ind w:left="382"/>
              <w:rPr>
                <w:color w:val="auto"/>
                <w:sz w:val="21"/>
                <w:szCs w:val="21"/>
                <w:highlight w:val="none"/>
              </w:rPr>
            </w:pPr>
            <w:r>
              <w:rPr>
                <w:color w:val="auto"/>
                <w:spacing w:val="-3"/>
                <w:sz w:val="21"/>
                <w:szCs w:val="21"/>
                <w:highlight w:val="none"/>
              </w:rPr>
              <w:t>34</w:t>
            </w:r>
          </w:p>
        </w:tc>
        <w:tc>
          <w:tcPr>
            <w:tcW w:w="1860" w:type="dxa"/>
            <w:vAlign w:val="top"/>
          </w:tcPr>
          <w:p w14:paraId="2F74D42F">
            <w:pPr>
              <w:pStyle w:val="17"/>
              <w:spacing w:before="187" w:line="224" w:lineRule="auto"/>
              <w:ind w:left="456"/>
              <w:rPr>
                <w:color w:val="auto"/>
                <w:sz w:val="21"/>
                <w:szCs w:val="21"/>
                <w:highlight w:val="none"/>
              </w:rPr>
            </w:pPr>
            <w:r>
              <w:rPr>
                <w:color w:val="auto"/>
                <w:spacing w:val="-3"/>
                <w:sz w:val="21"/>
                <w:szCs w:val="21"/>
                <w:highlight w:val="none"/>
              </w:rPr>
              <w:t>付款方式</w:t>
            </w:r>
          </w:p>
        </w:tc>
        <w:tc>
          <w:tcPr>
            <w:tcW w:w="6855" w:type="dxa"/>
            <w:vAlign w:val="top"/>
          </w:tcPr>
          <w:p w14:paraId="62FE8788">
            <w:pPr>
              <w:pStyle w:val="17"/>
              <w:spacing w:before="188" w:line="223" w:lineRule="auto"/>
              <w:ind w:left="121"/>
              <w:rPr>
                <w:color w:val="auto"/>
                <w:sz w:val="21"/>
                <w:szCs w:val="21"/>
                <w:highlight w:val="none"/>
              </w:rPr>
            </w:pPr>
            <w:r>
              <w:rPr>
                <w:rFonts w:hint="eastAsia"/>
                <w:color w:val="auto"/>
                <w:spacing w:val="-4"/>
                <w:sz w:val="21"/>
                <w:szCs w:val="21"/>
                <w:highlight w:val="none"/>
                <w:lang w:val="en-US" w:eastAsia="zh-CN"/>
              </w:rPr>
              <w:t>合同签订后付70%，设备配件到货验收合格后付20%，现场安装调试及人员培训可独立操作后付10%；</w:t>
            </w:r>
          </w:p>
        </w:tc>
      </w:tr>
      <w:tr w14:paraId="45685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648" w:hRule="atLeast"/>
          <w:jc w:val="center"/>
        </w:trPr>
        <w:tc>
          <w:tcPr>
            <w:tcW w:w="728" w:type="dxa"/>
            <w:vAlign w:val="top"/>
          </w:tcPr>
          <w:p w14:paraId="4D72D45F">
            <w:pPr>
              <w:pStyle w:val="17"/>
              <w:spacing w:before="294" w:line="181" w:lineRule="auto"/>
              <w:ind w:left="382"/>
              <w:rPr>
                <w:color w:val="auto"/>
                <w:sz w:val="21"/>
                <w:szCs w:val="21"/>
                <w:highlight w:val="none"/>
              </w:rPr>
            </w:pPr>
            <w:r>
              <w:rPr>
                <w:color w:val="auto"/>
                <w:spacing w:val="-3"/>
                <w:sz w:val="21"/>
                <w:szCs w:val="21"/>
                <w:highlight w:val="none"/>
              </w:rPr>
              <w:t>35</w:t>
            </w:r>
          </w:p>
        </w:tc>
        <w:tc>
          <w:tcPr>
            <w:tcW w:w="1860" w:type="dxa"/>
            <w:vAlign w:val="top"/>
          </w:tcPr>
          <w:p w14:paraId="2EDB7A84">
            <w:pPr>
              <w:pStyle w:val="17"/>
              <w:spacing w:before="256" w:line="224" w:lineRule="auto"/>
              <w:ind w:left="566"/>
              <w:rPr>
                <w:rFonts w:hint="eastAsia" w:eastAsia="新宋体"/>
                <w:color w:val="auto"/>
                <w:sz w:val="21"/>
                <w:szCs w:val="21"/>
                <w:highlight w:val="none"/>
                <w:lang w:eastAsia="zh-CN"/>
              </w:rPr>
            </w:pPr>
            <w:r>
              <w:rPr>
                <w:rFonts w:hint="eastAsia"/>
                <w:color w:val="auto"/>
                <w:spacing w:val="-5"/>
                <w:sz w:val="21"/>
                <w:szCs w:val="21"/>
                <w:highlight w:val="none"/>
                <w:lang w:eastAsia="zh-CN"/>
              </w:rPr>
              <w:t>保修期</w:t>
            </w:r>
          </w:p>
        </w:tc>
        <w:tc>
          <w:tcPr>
            <w:tcW w:w="6855" w:type="dxa"/>
            <w:vAlign w:val="top"/>
          </w:tcPr>
          <w:p w14:paraId="2A96EE54">
            <w:pPr>
              <w:pStyle w:val="17"/>
              <w:spacing w:before="255" w:line="224" w:lineRule="auto"/>
              <w:ind w:left="114"/>
              <w:rPr>
                <w:rFonts w:hint="default" w:eastAsia="新宋体"/>
                <w:color w:val="auto"/>
                <w:sz w:val="21"/>
                <w:szCs w:val="21"/>
                <w:highlight w:val="none"/>
                <w:lang w:eastAsia="zh-CN"/>
              </w:rPr>
            </w:pPr>
            <w:r>
              <w:rPr>
                <w:rFonts w:hint="eastAsia"/>
                <w:color w:val="auto"/>
                <w:spacing w:val="-3"/>
                <w:sz w:val="21"/>
                <w:szCs w:val="21"/>
                <w:highlight w:val="none"/>
                <w:lang w:eastAsia="zh-CN"/>
              </w:rPr>
              <w:t>根据购置的设备要求提供。（</w:t>
            </w:r>
            <w:r>
              <w:rPr>
                <w:rFonts w:hint="eastAsia"/>
                <w:color w:val="auto"/>
                <w:spacing w:val="-3"/>
                <w:sz w:val="21"/>
                <w:szCs w:val="21"/>
                <w:highlight w:val="none"/>
                <w:lang w:val="en-US" w:eastAsia="zh-CN"/>
              </w:rPr>
              <w:t>详见清单参数内有具体要求</w:t>
            </w:r>
            <w:r>
              <w:rPr>
                <w:rFonts w:hint="eastAsia"/>
                <w:color w:val="auto"/>
                <w:spacing w:val="-3"/>
                <w:sz w:val="21"/>
                <w:szCs w:val="21"/>
                <w:highlight w:val="none"/>
                <w:lang w:eastAsia="zh-CN"/>
              </w:rPr>
              <w:t>）</w:t>
            </w:r>
          </w:p>
        </w:tc>
      </w:tr>
      <w:tr w14:paraId="233E3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597" w:hRule="atLeast"/>
          <w:jc w:val="center"/>
        </w:trPr>
        <w:tc>
          <w:tcPr>
            <w:tcW w:w="728" w:type="dxa"/>
            <w:vAlign w:val="center"/>
          </w:tcPr>
          <w:p w14:paraId="7DC27549">
            <w:pPr>
              <w:pStyle w:val="17"/>
              <w:spacing w:before="68" w:line="181" w:lineRule="auto"/>
              <w:jc w:val="center"/>
              <w:rPr>
                <w:rFonts w:hint="eastAsia" w:eastAsia="新宋体"/>
                <w:color w:val="auto"/>
                <w:sz w:val="21"/>
                <w:szCs w:val="21"/>
                <w:highlight w:val="none"/>
                <w:lang w:eastAsia="zh-CN"/>
              </w:rPr>
            </w:pPr>
            <w:r>
              <w:rPr>
                <w:color w:val="auto"/>
                <w:spacing w:val="-3"/>
                <w:sz w:val="21"/>
                <w:szCs w:val="21"/>
                <w:highlight w:val="none"/>
              </w:rPr>
              <w:t>3</w:t>
            </w:r>
            <w:r>
              <w:rPr>
                <w:rFonts w:hint="eastAsia"/>
                <w:color w:val="auto"/>
                <w:spacing w:val="-3"/>
                <w:sz w:val="21"/>
                <w:szCs w:val="21"/>
                <w:highlight w:val="none"/>
                <w:lang w:val="en-US" w:eastAsia="zh-CN"/>
              </w:rPr>
              <w:t>6</w:t>
            </w:r>
          </w:p>
        </w:tc>
        <w:tc>
          <w:tcPr>
            <w:tcW w:w="1860" w:type="dxa"/>
            <w:vAlign w:val="center"/>
          </w:tcPr>
          <w:p w14:paraId="5E6C72D1">
            <w:pPr>
              <w:pStyle w:val="17"/>
              <w:spacing w:before="68" w:line="223" w:lineRule="auto"/>
              <w:jc w:val="center"/>
              <w:rPr>
                <w:color w:val="auto"/>
                <w:sz w:val="21"/>
                <w:szCs w:val="21"/>
                <w:highlight w:val="none"/>
              </w:rPr>
            </w:pPr>
            <w:r>
              <w:rPr>
                <w:color w:val="auto"/>
                <w:spacing w:val="-3"/>
                <w:sz w:val="21"/>
                <w:szCs w:val="21"/>
                <w:highlight w:val="none"/>
              </w:rPr>
              <w:t>政府采购政策</w:t>
            </w:r>
          </w:p>
        </w:tc>
        <w:tc>
          <w:tcPr>
            <w:tcW w:w="6855" w:type="dxa"/>
            <w:vAlign w:val="center"/>
          </w:tcPr>
          <w:p w14:paraId="63E03E54">
            <w:pPr>
              <w:pStyle w:val="17"/>
              <w:spacing w:before="106" w:line="223" w:lineRule="auto"/>
              <w:ind w:left="114"/>
              <w:rPr>
                <w:rFonts w:hint="eastAsia"/>
                <w:b/>
                <w:bCs/>
                <w:color w:val="auto"/>
                <w:spacing w:val="-3"/>
                <w:sz w:val="21"/>
                <w:szCs w:val="21"/>
                <w:highlight w:val="none"/>
              </w:rPr>
            </w:pPr>
            <w:r>
              <w:rPr>
                <w:rFonts w:hint="eastAsia"/>
                <w:b/>
                <w:bCs/>
                <w:color w:val="auto"/>
                <w:spacing w:val="-3"/>
                <w:sz w:val="21"/>
                <w:szCs w:val="21"/>
                <w:highlight w:val="none"/>
              </w:rPr>
              <w:t>1、本项目</w:t>
            </w:r>
            <w:r>
              <w:rPr>
                <w:rFonts w:hint="eastAsia"/>
                <w:b/>
                <w:bCs/>
                <w:color w:val="auto"/>
                <w:spacing w:val="-3"/>
                <w:sz w:val="21"/>
                <w:szCs w:val="21"/>
                <w:highlight w:val="none"/>
                <w:lang w:val="en-US" w:eastAsia="zh-CN"/>
              </w:rPr>
              <w:t>不</w:t>
            </w:r>
            <w:r>
              <w:rPr>
                <w:rFonts w:hint="eastAsia"/>
                <w:b/>
                <w:bCs/>
                <w:color w:val="auto"/>
                <w:spacing w:val="-3"/>
                <w:sz w:val="21"/>
                <w:szCs w:val="21"/>
                <w:highlight w:val="none"/>
              </w:rPr>
              <w:t>专门面向中小企业；</w:t>
            </w:r>
          </w:p>
          <w:p w14:paraId="26C001B1">
            <w:pPr>
              <w:pStyle w:val="17"/>
              <w:spacing w:before="106" w:line="223" w:lineRule="auto"/>
              <w:ind w:left="114"/>
              <w:rPr>
                <w:rFonts w:hint="eastAsia"/>
                <w:color w:val="auto"/>
                <w:spacing w:val="-3"/>
                <w:sz w:val="21"/>
                <w:szCs w:val="21"/>
                <w:highlight w:val="none"/>
              </w:rPr>
            </w:pPr>
            <w:r>
              <w:rPr>
                <w:rFonts w:hint="eastAsia"/>
                <w:color w:val="auto"/>
                <w:spacing w:val="-3"/>
                <w:sz w:val="21"/>
                <w:szCs w:val="21"/>
                <w:highlight w:val="none"/>
              </w:rPr>
              <w:t>2、根据工信部等部委发布的《关于印发中小企业划型标准规定的通知》（工信部联企业〔2011〕300 号）；财政部、工业和信息化部《政府采购促进中小企业发展管理办法》（财库[2020]46 号文）；财政部《关于进一步加大政府采购支持中小企业力度的通知》（财库〔2022〕19 号）规定；</w:t>
            </w:r>
          </w:p>
          <w:p w14:paraId="52CEF8F6">
            <w:pPr>
              <w:pStyle w:val="17"/>
              <w:spacing w:before="106" w:line="223" w:lineRule="auto"/>
              <w:ind w:left="114"/>
              <w:rPr>
                <w:rFonts w:hint="eastAsia"/>
                <w:color w:val="auto"/>
                <w:spacing w:val="-3"/>
                <w:sz w:val="21"/>
                <w:szCs w:val="21"/>
                <w:highlight w:val="none"/>
              </w:rPr>
            </w:pPr>
            <w:r>
              <w:rPr>
                <w:rFonts w:hint="eastAsia"/>
                <w:color w:val="auto"/>
                <w:spacing w:val="-3"/>
                <w:sz w:val="21"/>
                <w:szCs w:val="21"/>
                <w:highlight w:val="none"/>
              </w:rPr>
              <w:t>3、本次采购标的所属行业为</w:t>
            </w:r>
            <w:r>
              <w:rPr>
                <w:rFonts w:hint="eastAsia"/>
                <w:color w:val="auto"/>
                <w:spacing w:val="-3"/>
                <w:sz w:val="21"/>
                <w:szCs w:val="21"/>
                <w:highlight w:val="none"/>
                <w:lang w:val="en-US" w:eastAsia="zh-CN"/>
              </w:rPr>
              <w:t>工业</w:t>
            </w:r>
            <w:r>
              <w:rPr>
                <w:rFonts w:hint="eastAsia"/>
                <w:color w:val="auto"/>
                <w:spacing w:val="-3"/>
                <w:sz w:val="21"/>
                <w:szCs w:val="21"/>
                <w:highlight w:val="none"/>
              </w:rPr>
              <w:t>，符合以下条件的中小微型企业应按照采购文件格式要求提供《中小企业声明函》并执行以下政策：</w:t>
            </w:r>
          </w:p>
          <w:p w14:paraId="066D93C9">
            <w:pPr>
              <w:pStyle w:val="17"/>
              <w:spacing w:before="106" w:line="223" w:lineRule="auto"/>
              <w:ind w:left="114"/>
              <w:rPr>
                <w:rFonts w:hint="eastAsia"/>
                <w:color w:val="auto"/>
                <w:spacing w:val="-3"/>
                <w:sz w:val="21"/>
                <w:szCs w:val="21"/>
                <w:highlight w:val="none"/>
              </w:rPr>
            </w:pPr>
            <w:r>
              <w:rPr>
                <w:rFonts w:hint="eastAsia"/>
                <w:color w:val="auto"/>
                <w:spacing w:val="-3"/>
                <w:sz w:val="21"/>
                <w:szCs w:val="21"/>
                <w:highlight w:val="none"/>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472B7D5">
            <w:pPr>
              <w:pStyle w:val="17"/>
              <w:spacing w:before="106" w:line="223" w:lineRule="auto"/>
              <w:ind w:left="114"/>
              <w:rPr>
                <w:rFonts w:hint="eastAsia"/>
                <w:color w:val="auto"/>
                <w:spacing w:val="-3"/>
                <w:sz w:val="21"/>
                <w:szCs w:val="21"/>
                <w:highlight w:val="none"/>
              </w:rPr>
            </w:pPr>
            <w:r>
              <w:rPr>
                <w:rFonts w:hint="eastAsia"/>
                <w:color w:val="auto"/>
                <w:spacing w:val="-3"/>
                <w:sz w:val="21"/>
                <w:szCs w:val="21"/>
                <w:highlight w:val="none"/>
              </w:rPr>
              <w:t>（2）本次投标采购项目中，服务由小微企业承接，即提供服务的人员为小微企业依照《中华人民共和国</w:t>
            </w:r>
            <w:r>
              <w:rPr>
                <w:rFonts w:hint="eastAsia"/>
                <w:color w:val="auto"/>
                <w:spacing w:val="-3"/>
                <w:sz w:val="21"/>
                <w:szCs w:val="21"/>
                <w:highlight w:val="none"/>
                <w:lang w:val="en-US" w:eastAsia="zh-CN"/>
              </w:rPr>
              <w:t>劳动合同法</w:t>
            </w:r>
            <w:r>
              <w:rPr>
                <w:rFonts w:hint="eastAsia"/>
                <w:color w:val="auto"/>
                <w:spacing w:val="-3"/>
                <w:sz w:val="21"/>
                <w:szCs w:val="21"/>
                <w:highlight w:val="none"/>
              </w:rPr>
              <w:t>》订立劳动合同的从业人员。</w:t>
            </w:r>
          </w:p>
          <w:p w14:paraId="5EECA210">
            <w:pPr>
              <w:pStyle w:val="17"/>
              <w:spacing w:before="106" w:line="223" w:lineRule="auto"/>
              <w:ind w:left="114"/>
              <w:rPr>
                <w:rFonts w:hint="eastAsia"/>
                <w:color w:val="auto"/>
                <w:spacing w:val="-3"/>
                <w:sz w:val="21"/>
                <w:szCs w:val="21"/>
                <w:highlight w:val="none"/>
              </w:rPr>
            </w:pPr>
            <w:r>
              <w:rPr>
                <w:rFonts w:hint="eastAsia"/>
                <w:color w:val="auto"/>
                <w:spacing w:val="-3"/>
                <w:sz w:val="21"/>
                <w:szCs w:val="21"/>
                <w:highlight w:val="none"/>
              </w:rPr>
              <w:t>（3）根据上述文件规定，须提供中小企业声明函，对满足上述（1）（2）两项条件的小微企业的投标总报价给予10%的扣除，用扣除后的价格参与评审。</w:t>
            </w:r>
          </w:p>
          <w:p w14:paraId="23554CF4">
            <w:pPr>
              <w:pStyle w:val="17"/>
              <w:spacing w:before="106" w:line="223" w:lineRule="auto"/>
              <w:ind w:left="114"/>
              <w:rPr>
                <w:color w:val="auto"/>
                <w:sz w:val="21"/>
                <w:szCs w:val="21"/>
                <w:highlight w:val="none"/>
              </w:rPr>
            </w:pPr>
            <w:r>
              <w:rPr>
                <w:rFonts w:hint="eastAsia"/>
                <w:color w:val="auto"/>
                <w:spacing w:val="-3"/>
                <w:sz w:val="21"/>
                <w:szCs w:val="21"/>
                <w:highlight w:val="none"/>
              </w:rPr>
              <w:t>（4）依据本办法规定享受扶持政策获得政府采购合同的，小微企业不得将合同分包给大中型企业，中型企业不得将合同分包给大型企业。</w:t>
            </w:r>
          </w:p>
        </w:tc>
      </w:tr>
      <w:tr w14:paraId="0219E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2518" w:hRule="atLeast"/>
          <w:jc w:val="center"/>
        </w:trPr>
        <w:tc>
          <w:tcPr>
            <w:tcW w:w="728" w:type="dxa"/>
            <w:vAlign w:val="top"/>
          </w:tcPr>
          <w:p w14:paraId="342F9AD8">
            <w:pPr>
              <w:spacing w:line="288" w:lineRule="auto"/>
              <w:rPr>
                <w:rFonts w:ascii="Arial"/>
                <w:color w:val="auto"/>
                <w:sz w:val="21"/>
                <w:highlight w:val="none"/>
              </w:rPr>
            </w:pPr>
          </w:p>
          <w:p w14:paraId="0FA35762">
            <w:pPr>
              <w:spacing w:line="288" w:lineRule="auto"/>
              <w:rPr>
                <w:rFonts w:ascii="Arial"/>
                <w:color w:val="auto"/>
                <w:sz w:val="21"/>
                <w:highlight w:val="none"/>
              </w:rPr>
            </w:pPr>
          </w:p>
          <w:p w14:paraId="67E2BF70">
            <w:pPr>
              <w:spacing w:line="288" w:lineRule="auto"/>
              <w:rPr>
                <w:rFonts w:ascii="Arial"/>
                <w:color w:val="auto"/>
                <w:sz w:val="21"/>
                <w:highlight w:val="none"/>
              </w:rPr>
            </w:pPr>
          </w:p>
          <w:p w14:paraId="5CD581EA">
            <w:pPr>
              <w:spacing w:line="288" w:lineRule="auto"/>
              <w:rPr>
                <w:rFonts w:ascii="Arial"/>
                <w:color w:val="auto"/>
                <w:sz w:val="21"/>
                <w:highlight w:val="none"/>
              </w:rPr>
            </w:pPr>
          </w:p>
          <w:p w14:paraId="3CC9713D">
            <w:pPr>
              <w:pStyle w:val="17"/>
              <w:spacing w:before="69" w:line="181" w:lineRule="auto"/>
              <w:ind w:left="382"/>
              <w:rPr>
                <w:rFonts w:hint="eastAsia" w:eastAsia="新宋体"/>
                <w:color w:val="auto"/>
                <w:sz w:val="21"/>
                <w:szCs w:val="21"/>
                <w:highlight w:val="none"/>
                <w:lang w:eastAsia="zh-CN"/>
              </w:rPr>
            </w:pPr>
            <w:r>
              <w:rPr>
                <w:color w:val="auto"/>
                <w:spacing w:val="-3"/>
                <w:sz w:val="21"/>
                <w:szCs w:val="21"/>
                <w:highlight w:val="none"/>
              </w:rPr>
              <w:t>3</w:t>
            </w:r>
            <w:r>
              <w:rPr>
                <w:rFonts w:hint="eastAsia"/>
                <w:color w:val="auto"/>
                <w:spacing w:val="-3"/>
                <w:sz w:val="21"/>
                <w:szCs w:val="21"/>
                <w:highlight w:val="none"/>
                <w:lang w:val="en-US" w:eastAsia="zh-CN"/>
              </w:rPr>
              <w:t>7</w:t>
            </w:r>
          </w:p>
        </w:tc>
        <w:tc>
          <w:tcPr>
            <w:tcW w:w="1860" w:type="dxa"/>
            <w:vAlign w:val="top"/>
          </w:tcPr>
          <w:p w14:paraId="14F2D3AE">
            <w:pPr>
              <w:spacing w:line="278" w:lineRule="auto"/>
              <w:rPr>
                <w:rFonts w:ascii="Arial"/>
                <w:color w:val="auto"/>
                <w:sz w:val="21"/>
                <w:highlight w:val="none"/>
              </w:rPr>
            </w:pPr>
          </w:p>
          <w:p w14:paraId="13F8F888">
            <w:pPr>
              <w:spacing w:line="278" w:lineRule="auto"/>
              <w:rPr>
                <w:rFonts w:ascii="Arial"/>
                <w:color w:val="auto"/>
                <w:sz w:val="21"/>
                <w:highlight w:val="none"/>
              </w:rPr>
            </w:pPr>
          </w:p>
          <w:p w14:paraId="4D50CADF">
            <w:pPr>
              <w:spacing w:line="279" w:lineRule="auto"/>
              <w:rPr>
                <w:rFonts w:ascii="Arial"/>
                <w:color w:val="auto"/>
                <w:sz w:val="21"/>
                <w:highlight w:val="none"/>
              </w:rPr>
            </w:pPr>
          </w:p>
          <w:p w14:paraId="2A10FC73">
            <w:pPr>
              <w:spacing w:line="279" w:lineRule="auto"/>
              <w:rPr>
                <w:rFonts w:ascii="Arial"/>
                <w:color w:val="auto"/>
                <w:sz w:val="21"/>
                <w:highlight w:val="none"/>
              </w:rPr>
            </w:pPr>
          </w:p>
          <w:p w14:paraId="1A8CBB1F">
            <w:pPr>
              <w:pStyle w:val="17"/>
              <w:spacing w:before="68" w:line="224" w:lineRule="auto"/>
              <w:ind w:left="456"/>
              <w:rPr>
                <w:color w:val="auto"/>
                <w:sz w:val="21"/>
                <w:szCs w:val="21"/>
                <w:highlight w:val="none"/>
              </w:rPr>
            </w:pPr>
            <w:r>
              <w:rPr>
                <w:color w:val="auto"/>
                <w:spacing w:val="-3"/>
                <w:sz w:val="21"/>
                <w:szCs w:val="21"/>
                <w:highlight w:val="none"/>
              </w:rPr>
              <w:t>特别说明</w:t>
            </w:r>
          </w:p>
        </w:tc>
        <w:tc>
          <w:tcPr>
            <w:tcW w:w="6855" w:type="dxa"/>
            <w:vAlign w:val="top"/>
          </w:tcPr>
          <w:p w14:paraId="35301F68">
            <w:pPr>
              <w:pStyle w:val="17"/>
              <w:spacing w:before="110" w:line="293" w:lineRule="auto"/>
              <w:ind w:left="105" w:right="102" w:firstLine="18"/>
              <w:rPr>
                <w:color w:val="auto"/>
                <w:sz w:val="21"/>
                <w:szCs w:val="21"/>
                <w:highlight w:val="none"/>
              </w:rPr>
            </w:pPr>
            <w:r>
              <w:rPr>
                <w:color w:val="auto"/>
                <w:spacing w:val="10"/>
                <w:sz w:val="21"/>
                <w:szCs w:val="21"/>
                <w:highlight w:val="none"/>
              </w:rPr>
              <w:t>1、投标人务必将加密电子投标文件在投标截止时间之前上传至政采云平台</w:t>
            </w:r>
            <w:r>
              <w:rPr>
                <w:color w:val="auto"/>
                <w:spacing w:val="17"/>
                <w:sz w:val="21"/>
                <w:szCs w:val="21"/>
                <w:highlight w:val="none"/>
              </w:rPr>
              <w:t xml:space="preserve"> </w:t>
            </w:r>
            <w:r>
              <w:rPr>
                <w:color w:val="auto"/>
                <w:highlight w:val="none"/>
              </w:rPr>
              <w:fldChar w:fldCharType="begin"/>
            </w:r>
            <w:r>
              <w:rPr>
                <w:color w:val="auto"/>
                <w:highlight w:val="none"/>
              </w:rPr>
              <w:instrText xml:space="preserve"> HYPERLINK "https://login.zcygov.cn/" </w:instrText>
            </w:r>
            <w:r>
              <w:rPr>
                <w:color w:val="auto"/>
                <w:highlight w:val="none"/>
              </w:rPr>
              <w:fldChar w:fldCharType="separate"/>
            </w:r>
            <w:r>
              <w:rPr>
                <w:color w:val="auto"/>
                <w:spacing w:val="-6"/>
                <w:sz w:val="21"/>
                <w:szCs w:val="21"/>
                <w:highlight w:val="none"/>
              </w:rPr>
              <w:t>https://login.zcygov.c</w:t>
            </w:r>
            <w:r>
              <w:rPr>
                <w:color w:val="auto"/>
                <w:spacing w:val="-7"/>
                <w:sz w:val="21"/>
                <w:szCs w:val="21"/>
                <w:highlight w:val="none"/>
              </w:rPr>
              <w:t>n/</w:t>
            </w:r>
            <w:r>
              <w:rPr>
                <w:color w:val="auto"/>
                <w:spacing w:val="-7"/>
                <w:sz w:val="21"/>
                <w:szCs w:val="21"/>
                <w:highlight w:val="none"/>
              </w:rPr>
              <w:fldChar w:fldCharType="end"/>
            </w:r>
            <w:r>
              <w:rPr>
                <w:color w:val="auto"/>
                <w:spacing w:val="-7"/>
                <w:sz w:val="21"/>
                <w:szCs w:val="21"/>
                <w:highlight w:val="none"/>
              </w:rPr>
              <w:t xml:space="preserve"> 并 在 开 标 当 天 开 标 截 止 时 间 前 登 录 到</w:t>
            </w:r>
            <w:r>
              <w:rPr>
                <w:color w:val="auto"/>
                <w:sz w:val="21"/>
                <w:szCs w:val="21"/>
                <w:highlight w:val="none"/>
              </w:rPr>
              <w:t xml:space="preserve"> </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sz w:val="21"/>
                <w:szCs w:val="21"/>
                <w:highlight w:val="none"/>
              </w:rPr>
              <w:t>https://www.zcygov.cn/</w:t>
            </w:r>
            <w:r>
              <w:rPr>
                <w:color w:val="auto"/>
                <w:sz w:val="21"/>
                <w:szCs w:val="21"/>
                <w:highlight w:val="none"/>
              </w:rPr>
              <w:fldChar w:fldCharType="end"/>
            </w:r>
            <w:r>
              <w:rPr>
                <w:color w:val="auto"/>
                <w:sz w:val="21"/>
                <w:szCs w:val="21"/>
                <w:highlight w:val="none"/>
              </w:rPr>
              <w:t xml:space="preserve"> 政采云电子开标大厅完成签到并等候开标，投</w:t>
            </w:r>
            <w:r>
              <w:rPr>
                <w:color w:val="auto"/>
                <w:spacing w:val="-1"/>
                <w:sz w:val="21"/>
                <w:szCs w:val="21"/>
                <w:highlight w:val="none"/>
              </w:rPr>
              <w:t>标截止</w:t>
            </w:r>
            <w:r>
              <w:rPr>
                <w:color w:val="auto"/>
                <w:sz w:val="21"/>
                <w:szCs w:val="21"/>
                <w:highlight w:val="none"/>
              </w:rPr>
              <w:t xml:space="preserve"> </w:t>
            </w:r>
            <w:r>
              <w:rPr>
                <w:color w:val="auto"/>
                <w:spacing w:val="-1"/>
                <w:sz w:val="21"/>
                <w:szCs w:val="21"/>
                <w:highlight w:val="none"/>
              </w:rPr>
              <w:t>时间以后上传递交的投标文件将被“政府采购云</w:t>
            </w:r>
            <w:r>
              <w:rPr>
                <w:color w:val="auto"/>
                <w:spacing w:val="-2"/>
                <w:sz w:val="21"/>
                <w:szCs w:val="21"/>
                <w:highlight w:val="none"/>
              </w:rPr>
              <w:t>平台”拒收。</w:t>
            </w:r>
          </w:p>
          <w:p w14:paraId="0D308A0E">
            <w:pPr>
              <w:pStyle w:val="17"/>
              <w:spacing w:before="105" w:line="281" w:lineRule="auto"/>
              <w:ind w:left="113" w:hanging="3"/>
              <w:rPr>
                <w:color w:val="auto"/>
                <w:sz w:val="21"/>
                <w:szCs w:val="21"/>
                <w:highlight w:val="none"/>
              </w:rPr>
            </w:pPr>
            <w:r>
              <w:rPr>
                <w:color w:val="auto"/>
                <w:spacing w:val="-2"/>
                <w:sz w:val="21"/>
                <w:szCs w:val="21"/>
                <w:highlight w:val="none"/>
              </w:rPr>
              <w:t>2、投标文件解密时间</w:t>
            </w:r>
            <w:r>
              <w:rPr>
                <w:color w:val="auto"/>
                <w:spacing w:val="-24"/>
                <w:sz w:val="21"/>
                <w:szCs w:val="21"/>
                <w:highlight w:val="none"/>
              </w:rPr>
              <w:t xml:space="preserve"> </w:t>
            </w:r>
            <w:r>
              <w:rPr>
                <w:color w:val="auto"/>
                <w:spacing w:val="-2"/>
                <w:sz w:val="21"/>
                <w:szCs w:val="21"/>
                <w:highlight w:val="none"/>
              </w:rPr>
              <w:t>30</w:t>
            </w:r>
            <w:r>
              <w:rPr>
                <w:color w:val="auto"/>
                <w:spacing w:val="-36"/>
                <w:sz w:val="21"/>
                <w:szCs w:val="21"/>
                <w:highlight w:val="none"/>
              </w:rPr>
              <w:t xml:space="preserve"> </w:t>
            </w:r>
            <w:r>
              <w:rPr>
                <w:color w:val="auto"/>
                <w:spacing w:val="-2"/>
                <w:sz w:val="21"/>
                <w:szCs w:val="21"/>
                <w:highlight w:val="none"/>
              </w:rPr>
              <w:t>分钟，开标前需投标单位用</w:t>
            </w:r>
            <w:r>
              <w:rPr>
                <w:color w:val="auto"/>
                <w:spacing w:val="-47"/>
                <w:sz w:val="21"/>
                <w:szCs w:val="21"/>
                <w:highlight w:val="none"/>
              </w:rPr>
              <w:t xml:space="preserve"> </w:t>
            </w:r>
            <w:r>
              <w:rPr>
                <w:color w:val="auto"/>
                <w:spacing w:val="-2"/>
                <w:sz w:val="21"/>
                <w:szCs w:val="21"/>
                <w:highlight w:val="none"/>
              </w:rPr>
              <w:t>CA</w:t>
            </w:r>
            <w:r>
              <w:rPr>
                <w:color w:val="auto"/>
                <w:spacing w:val="-39"/>
                <w:sz w:val="21"/>
                <w:szCs w:val="21"/>
                <w:highlight w:val="none"/>
              </w:rPr>
              <w:t xml:space="preserve"> </w:t>
            </w:r>
            <w:r>
              <w:rPr>
                <w:color w:val="auto"/>
                <w:spacing w:val="-2"/>
                <w:sz w:val="21"/>
                <w:szCs w:val="21"/>
                <w:highlight w:val="none"/>
              </w:rPr>
              <w:t>证书登录政采云平台开</w:t>
            </w:r>
            <w:r>
              <w:rPr>
                <w:color w:val="auto"/>
                <w:sz w:val="21"/>
                <w:szCs w:val="21"/>
                <w:highlight w:val="none"/>
              </w:rPr>
              <w:t xml:space="preserve">  </w:t>
            </w:r>
            <w:r>
              <w:rPr>
                <w:color w:val="auto"/>
                <w:spacing w:val="-2"/>
                <w:sz w:val="21"/>
                <w:szCs w:val="21"/>
                <w:highlight w:val="none"/>
              </w:rPr>
              <w:t>标大厅签到，在</w:t>
            </w:r>
            <w:r>
              <w:rPr>
                <w:color w:val="auto"/>
                <w:spacing w:val="-41"/>
                <w:sz w:val="21"/>
                <w:szCs w:val="21"/>
                <w:highlight w:val="none"/>
              </w:rPr>
              <w:t xml:space="preserve"> </w:t>
            </w:r>
            <w:r>
              <w:rPr>
                <w:color w:val="auto"/>
                <w:spacing w:val="-2"/>
                <w:sz w:val="21"/>
                <w:szCs w:val="21"/>
                <w:highlight w:val="none"/>
              </w:rPr>
              <w:t>30</w:t>
            </w:r>
            <w:r>
              <w:rPr>
                <w:color w:val="auto"/>
                <w:spacing w:val="-37"/>
                <w:sz w:val="21"/>
                <w:szCs w:val="21"/>
                <w:highlight w:val="none"/>
              </w:rPr>
              <w:t xml:space="preserve"> </w:t>
            </w:r>
            <w:r>
              <w:rPr>
                <w:color w:val="auto"/>
                <w:spacing w:val="-2"/>
                <w:sz w:val="21"/>
                <w:szCs w:val="21"/>
                <w:highlight w:val="none"/>
              </w:rPr>
              <w:t>分钟解密时间内输入</w:t>
            </w:r>
            <w:r>
              <w:rPr>
                <w:color w:val="auto"/>
                <w:spacing w:val="-46"/>
                <w:sz w:val="21"/>
                <w:szCs w:val="21"/>
                <w:highlight w:val="none"/>
              </w:rPr>
              <w:t xml:space="preserve"> </w:t>
            </w:r>
            <w:r>
              <w:rPr>
                <w:color w:val="auto"/>
                <w:spacing w:val="-2"/>
                <w:sz w:val="21"/>
                <w:szCs w:val="21"/>
                <w:highlight w:val="none"/>
              </w:rPr>
              <w:t>CA</w:t>
            </w:r>
            <w:r>
              <w:rPr>
                <w:color w:val="auto"/>
                <w:spacing w:val="-40"/>
                <w:sz w:val="21"/>
                <w:szCs w:val="21"/>
                <w:highlight w:val="none"/>
              </w:rPr>
              <w:t xml:space="preserve"> </w:t>
            </w:r>
            <w:r>
              <w:rPr>
                <w:color w:val="auto"/>
                <w:spacing w:val="-2"/>
                <w:sz w:val="21"/>
                <w:szCs w:val="21"/>
                <w:highlight w:val="none"/>
              </w:rPr>
              <w:t>证书 PIN 码</w:t>
            </w:r>
            <w:r>
              <w:rPr>
                <w:color w:val="auto"/>
                <w:spacing w:val="-3"/>
                <w:sz w:val="21"/>
                <w:szCs w:val="21"/>
                <w:highlight w:val="none"/>
              </w:rPr>
              <w:t>解密投标文件。在</w:t>
            </w:r>
            <w:r>
              <w:rPr>
                <w:color w:val="auto"/>
                <w:spacing w:val="-41"/>
                <w:sz w:val="21"/>
                <w:szCs w:val="21"/>
                <w:highlight w:val="none"/>
              </w:rPr>
              <w:t xml:space="preserve"> </w:t>
            </w:r>
            <w:r>
              <w:rPr>
                <w:color w:val="auto"/>
                <w:spacing w:val="-3"/>
                <w:sz w:val="21"/>
                <w:szCs w:val="21"/>
                <w:highlight w:val="none"/>
              </w:rPr>
              <w:t>30</w:t>
            </w:r>
            <w:r>
              <w:rPr>
                <w:color w:val="auto"/>
                <w:spacing w:val="-36"/>
                <w:sz w:val="21"/>
                <w:szCs w:val="21"/>
                <w:highlight w:val="none"/>
              </w:rPr>
              <w:t xml:space="preserve"> </w:t>
            </w:r>
            <w:r>
              <w:rPr>
                <w:color w:val="auto"/>
                <w:spacing w:val="-3"/>
                <w:sz w:val="21"/>
                <w:szCs w:val="21"/>
                <w:highlight w:val="none"/>
              </w:rPr>
              <w:t>分</w:t>
            </w:r>
            <w:r>
              <w:rPr>
                <w:color w:val="auto"/>
                <w:sz w:val="21"/>
                <w:szCs w:val="21"/>
                <w:highlight w:val="none"/>
              </w:rPr>
              <w:t xml:space="preserve"> </w:t>
            </w:r>
            <w:r>
              <w:rPr>
                <w:color w:val="auto"/>
                <w:spacing w:val="-2"/>
                <w:sz w:val="21"/>
                <w:szCs w:val="21"/>
                <w:highlight w:val="none"/>
              </w:rPr>
              <w:t>钟解密时间内未进行解密的投标单位将导致废标。</w:t>
            </w:r>
          </w:p>
        </w:tc>
      </w:tr>
      <w:tr w14:paraId="1037A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813" w:hRule="atLeast"/>
          <w:jc w:val="center"/>
        </w:trPr>
        <w:tc>
          <w:tcPr>
            <w:tcW w:w="728" w:type="dxa"/>
            <w:vAlign w:val="center"/>
          </w:tcPr>
          <w:p w14:paraId="38554AF4">
            <w:pPr>
              <w:spacing w:line="288" w:lineRule="auto"/>
              <w:jc w:val="center"/>
              <w:rPr>
                <w:rFonts w:hint="default" w:ascii="Arial" w:eastAsia="宋体"/>
                <w:color w:val="auto"/>
                <w:sz w:val="21"/>
                <w:highlight w:val="none"/>
                <w:lang w:val="en-US" w:eastAsia="zh-CN"/>
              </w:rPr>
            </w:pPr>
            <w:r>
              <w:rPr>
                <w:rFonts w:hint="eastAsia" w:eastAsia="宋体"/>
                <w:color w:val="auto"/>
                <w:sz w:val="21"/>
                <w:highlight w:val="none"/>
                <w:lang w:val="en-US" w:eastAsia="zh-CN"/>
              </w:rPr>
              <w:t>38</w:t>
            </w:r>
          </w:p>
        </w:tc>
        <w:tc>
          <w:tcPr>
            <w:tcW w:w="1860" w:type="dxa"/>
            <w:vAlign w:val="center"/>
          </w:tcPr>
          <w:p w14:paraId="749A52E9">
            <w:pPr>
              <w:spacing w:line="288" w:lineRule="auto"/>
              <w:jc w:val="center"/>
              <w:rPr>
                <w:rFonts w:ascii="Arial"/>
                <w:color w:val="auto"/>
                <w:sz w:val="21"/>
                <w:highlight w:val="none"/>
              </w:rPr>
            </w:pPr>
            <w:r>
              <w:rPr>
                <w:rFonts w:hint="eastAsia" w:ascii="Arial"/>
                <w:color w:val="auto"/>
                <w:sz w:val="21"/>
                <w:highlight w:val="none"/>
              </w:rPr>
              <w:t>履约保证金</w:t>
            </w:r>
          </w:p>
        </w:tc>
        <w:tc>
          <w:tcPr>
            <w:tcW w:w="6855" w:type="dxa"/>
            <w:vAlign w:val="center"/>
          </w:tcPr>
          <w:p w14:paraId="27B31BE2">
            <w:pPr>
              <w:spacing w:line="288" w:lineRule="auto"/>
              <w:jc w:val="both"/>
              <w:rPr>
                <w:rFonts w:ascii="Arial"/>
                <w:color w:val="auto"/>
                <w:sz w:val="21"/>
                <w:highlight w:val="none"/>
              </w:rPr>
            </w:pPr>
            <w:r>
              <w:rPr>
                <w:rFonts w:hint="eastAsia" w:ascii="Arial"/>
                <w:color w:val="auto"/>
                <w:sz w:val="21"/>
                <w:highlight w:val="none"/>
              </w:rPr>
              <w:t>本项目不收取履约保证金。</w:t>
            </w:r>
          </w:p>
        </w:tc>
      </w:tr>
      <w:tr w14:paraId="11A9E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813" w:hRule="atLeast"/>
          <w:jc w:val="center"/>
        </w:trPr>
        <w:tc>
          <w:tcPr>
            <w:tcW w:w="728" w:type="dxa"/>
            <w:vAlign w:val="center"/>
          </w:tcPr>
          <w:p w14:paraId="2AF7923D">
            <w:pPr>
              <w:spacing w:line="288" w:lineRule="auto"/>
              <w:jc w:val="center"/>
              <w:rPr>
                <w:rFonts w:hint="default" w:ascii="Arial" w:eastAsia="宋体"/>
                <w:color w:val="auto"/>
                <w:sz w:val="21"/>
                <w:highlight w:val="none"/>
                <w:lang w:val="en-US" w:eastAsia="zh-CN"/>
              </w:rPr>
            </w:pPr>
            <w:r>
              <w:rPr>
                <w:rFonts w:hint="eastAsia" w:eastAsia="宋体"/>
                <w:color w:val="auto"/>
                <w:sz w:val="21"/>
                <w:highlight w:val="none"/>
                <w:lang w:val="en-US" w:eastAsia="zh-CN"/>
              </w:rPr>
              <w:t>39</w:t>
            </w:r>
          </w:p>
        </w:tc>
        <w:tc>
          <w:tcPr>
            <w:tcW w:w="1860" w:type="dxa"/>
            <w:vAlign w:val="center"/>
          </w:tcPr>
          <w:p w14:paraId="5A331122">
            <w:pPr>
              <w:spacing w:line="288" w:lineRule="auto"/>
              <w:jc w:val="center"/>
              <w:rPr>
                <w:rFonts w:ascii="Arial"/>
                <w:color w:val="auto"/>
                <w:sz w:val="21"/>
                <w:highlight w:val="none"/>
                <w:lang w:val="zh-CN"/>
              </w:rPr>
            </w:pPr>
            <w:r>
              <w:rPr>
                <w:rFonts w:hint="eastAsia" w:ascii="Arial"/>
                <w:color w:val="auto"/>
                <w:sz w:val="21"/>
                <w:highlight w:val="none"/>
                <w:lang w:val="zh-CN"/>
              </w:rPr>
              <w:t>是否</w:t>
            </w:r>
            <w:r>
              <w:rPr>
                <w:rFonts w:ascii="Arial"/>
                <w:color w:val="auto"/>
                <w:sz w:val="21"/>
                <w:highlight w:val="none"/>
                <w:lang w:val="zh-CN"/>
              </w:rPr>
              <w:t>允许进口</w:t>
            </w:r>
          </w:p>
          <w:p w14:paraId="15FDE37F">
            <w:pPr>
              <w:spacing w:line="288" w:lineRule="auto"/>
              <w:jc w:val="center"/>
              <w:rPr>
                <w:rFonts w:ascii="Arial"/>
                <w:color w:val="auto"/>
                <w:sz w:val="21"/>
                <w:highlight w:val="none"/>
              </w:rPr>
            </w:pPr>
            <w:r>
              <w:rPr>
                <w:rFonts w:ascii="Arial"/>
                <w:color w:val="auto"/>
                <w:sz w:val="21"/>
                <w:highlight w:val="none"/>
                <w:lang w:val="zh-CN"/>
              </w:rPr>
              <w:t>产品投标</w:t>
            </w:r>
          </w:p>
        </w:tc>
        <w:tc>
          <w:tcPr>
            <w:tcW w:w="6855" w:type="dxa"/>
            <w:vAlign w:val="center"/>
          </w:tcPr>
          <w:p w14:paraId="314E9E9C">
            <w:pPr>
              <w:spacing w:line="288" w:lineRule="auto"/>
              <w:jc w:val="both"/>
              <w:rPr>
                <w:rFonts w:ascii="Arial"/>
                <w:color w:val="auto"/>
                <w:sz w:val="21"/>
                <w:highlight w:val="none"/>
              </w:rPr>
            </w:pPr>
            <w:r>
              <w:rPr>
                <w:rFonts w:hint="eastAsia" w:ascii="Arial"/>
                <w:color w:val="auto"/>
                <w:sz w:val="21"/>
                <w:highlight w:val="none"/>
              </w:rPr>
              <w:t>本项目</w:t>
            </w:r>
            <w:r>
              <w:rPr>
                <w:rFonts w:hint="eastAsia" w:ascii="Arial"/>
                <w:color w:val="auto"/>
                <w:sz w:val="21"/>
                <w:highlight w:val="none"/>
                <w:lang w:eastAsia="zh-CN"/>
              </w:rPr>
              <w:t>不</w:t>
            </w:r>
            <w:r>
              <w:rPr>
                <w:rFonts w:ascii="Arial"/>
                <w:color w:val="auto"/>
                <w:sz w:val="21"/>
                <w:highlight w:val="none"/>
              </w:rPr>
              <w:t>允许。</w:t>
            </w:r>
          </w:p>
        </w:tc>
      </w:tr>
      <w:tr w14:paraId="3C7D9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813" w:hRule="atLeast"/>
          <w:jc w:val="center"/>
        </w:trPr>
        <w:tc>
          <w:tcPr>
            <w:tcW w:w="728" w:type="dxa"/>
            <w:vAlign w:val="center"/>
          </w:tcPr>
          <w:p w14:paraId="0EBB449C">
            <w:pPr>
              <w:spacing w:line="288" w:lineRule="auto"/>
              <w:jc w:val="center"/>
              <w:rPr>
                <w:rFonts w:hint="default" w:ascii="Arial" w:eastAsia="宋体"/>
                <w:color w:val="auto"/>
                <w:sz w:val="21"/>
                <w:highlight w:val="none"/>
                <w:lang w:val="en-US" w:eastAsia="zh-CN"/>
              </w:rPr>
            </w:pPr>
            <w:r>
              <w:rPr>
                <w:rFonts w:hint="eastAsia" w:eastAsia="宋体"/>
                <w:color w:val="auto"/>
                <w:sz w:val="21"/>
                <w:highlight w:val="none"/>
                <w:lang w:val="en-US" w:eastAsia="zh-CN"/>
              </w:rPr>
              <w:t>40</w:t>
            </w:r>
          </w:p>
        </w:tc>
        <w:tc>
          <w:tcPr>
            <w:tcW w:w="1860" w:type="dxa"/>
            <w:vAlign w:val="center"/>
          </w:tcPr>
          <w:p w14:paraId="2A912279">
            <w:pPr>
              <w:spacing w:line="288" w:lineRule="auto"/>
              <w:jc w:val="center"/>
              <w:rPr>
                <w:rFonts w:hint="eastAsia" w:ascii="Arial"/>
                <w:color w:val="auto"/>
                <w:sz w:val="21"/>
                <w:highlight w:val="none"/>
                <w:lang w:val="zh-CN"/>
              </w:rPr>
            </w:pPr>
            <w:r>
              <w:rPr>
                <w:rFonts w:hint="eastAsia" w:ascii="Arial"/>
                <w:color w:val="auto"/>
                <w:sz w:val="21"/>
                <w:highlight w:val="none"/>
              </w:rPr>
              <w:t>对招标文件除资</w:t>
            </w:r>
            <w:r>
              <w:rPr>
                <w:rFonts w:hint="eastAsia" w:eastAsia="宋体"/>
                <w:color w:val="auto"/>
                <w:sz w:val="21"/>
                <w:highlight w:val="none"/>
                <w:lang w:val="en-US" w:eastAsia="zh-CN"/>
              </w:rPr>
              <w:t xml:space="preserve"> </w:t>
            </w:r>
            <w:r>
              <w:rPr>
                <w:rFonts w:hint="eastAsia" w:ascii="Arial"/>
                <w:color w:val="auto"/>
                <w:sz w:val="21"/>
                <w:highlight w:val="none"/>
              </w:rPr>
              <w:t>质要求、技术参</w:t>
            </w:r>
            <w:r>
              <w:rPr>
                <w:rFonts w:hint="eastAsia" w:eastAsia="宋体"/>
                <w:color w:val="auto"/>
                <w:sz w:val="21"/>
                <w:highlight w:val="none"/>
                <w:lang w:val="en-US" w:eastAsia="zh-CN"/>
              </w:rPr>
              <w:t xml:space="preserve"> </w:t>
            </w:r>
            <w:r>
              <w:rPr>
                <w:rFonts w:hint="eastAsia" w:ascii="Arial"/>
                <w:color w:val="auto"/>
                <w:sz w:val="21"/>
                <w:highlight w:val="none"/>
              </w:rPr>
              <w:t>数、商务要求、</w:t>
            </w:r>
            <w:r>
              <w:rPr>
                <w:rFonts w:hint="eastAsia" w:eastAsia="宋体"/>
                <w:color w:val="auto"/>
                <w:sz w:val="21"/>
                <w:highlight w:val="none"/>
                <w:lang w:val="en-US" w:eastAsia="zh-CN"/>
              </w:rPr>
              <w:t xml:space="preserve"> </w:t>
            </w:r>
            <w:r>
              <w:rPr>
                <w:rFonts w:hint="eastAsia" w:ascii="Arial"/>
                <w:color w:val="auto"/>
                <w:sz w:val="21"/>
                <w:highlight w:val="none"/>
              </w:rPr>
              <w:t>评分办法等采购</w:t>
            </w:r>
            <w:r>
              <w:rPr>
                <w:rFonts w:hint="eastAsia" w:eastAsia="宋体"/>
                <w:color w:val="auto"/>
                <w:sz w:val="21"/>
                <w:highlight w:val="none"/>
                <w:lang w:val="en-US" w:eastAsia="zh-CN"/>
              </w:rPr>
              <w:t xml:space="preserve"> </w:t>
            </w:r>
            <w:r>
              <w:rPr>
                <w:rFonts w:hint="eastAsia" w:ascii="Arial"/>
                <w:color w:val="auto"/>
                <w:sz w:val="21"/>
                <w:highlight w:val="none"/>
              </w:rPr>
              <w:t>需求内容以外事项、采购过程和采购结果的询问和质疑</w:t>
            </w:r>
          </w:p>
        </w:tc>
        <w:tc>
          <w:tcPr>
            <w:tcW w:w="6855" w:type="dxa"/>
            <w:vAlign w:val="center"/>
          </w:tcPr>
          <w:p w14:paraId="2EAC4449">
            <w:pPr>
              <w:spacing w:line="288" w:lineRule="auto"/>
              <w:ind w:firstLine="210" w:firstLineChars="100"/>
              <w:jc w:val="both"/>
              <w:rPr>
                <w:rFonts w:hint="eastAsia" w:ascii="Arial"/>
                <w:color w:val="auto"/>
                <w:sz w:val="21"/>
                <w:highlight w:val="none"/>
                <w:lang w:eastAsia="zh-CN"/>
              </w:rPr>
            </w:pPr>
            <w:r>
              <w:rPr>
                <w:rFonts w:hint="eastAsia" w:ascii="Arial"/>
                <w:color w:val="auto"/>
                <w:sz w:val="21"/>
                <w:highlight w:val="none"/>
              </w:rPr>
              <w:t>受理单位：</w:t>
            </w:r>
            <w:r>
              <w:rPr>
                <w:rFonts w:hint="eastAsia" w:ascii="Arial"/>
                <w:color w:val="auto"/>
                <w:sz w:val="21"/>
                <w:highlight w:val="none"/>
                <w:lang w:eastAsia="zh-CN"/>
              </w:rPr>
              <w:t>新疆惠合正德工程管理有限公司</w:t>
            </w:r>
          </w:p>
          <w:p w14:paraId="6BE76C5E">
            <w:pPr>
              <w:spacing w:line="288" w:lineRule="auto"/>
              <w:ind w:firstLine="210" w:firstLineChars="100"/>
              <w:jc w:val="both"/>
              <w:rPr>
                <w:rFonts w:hint="eastAsia" w:ascii="Arial"/>
                <w:color w:val="auto"/>
                <w:sz w:val="21"/>
                <w:highlight w:val="none"/>
                <w:lang w:eastAsia="zh-CN"/>
              </w:rPr>
            </w:pPr>
            <w:r>
              <w:rPr>
                <w:rFonts w:hint="eastAsia" w:ascii="Arial"/>
                <w:color w:val="auto"/>
                <w:sz w:val="21"/>
                <w:highlight w:val="none"/>
              </w:rPr>
              <w:t>联 系 人：</w:t>
            </w:r>
            <w:r>
              <w:rPr>
                <w:rFonts w:hint="eastAsia" w:ascii="Arial"/>
                <w:color w:val="auto"/>
                <w:sz w:val="21"/>
                <w:highlight w:val="none"/>
                <w:lang w:eastAsia="zh-CN"/>
              </w:rPr>
              <w:t>王雪梅</w:t>
            </w:r>
          </w:p>
          <w:p w14:paraId="623800FD">
            <w:pPr>
              <w:spacing w:line="288" w:lineRule="auto"/>
              <w:ind w:firstLine="210" w:firstLineChars="100"/>
              <w:jc w:val="both"/>
              <w:rPr>
                <w:rFonts w:hint="eastAsia" w:ascii="Arial"/>
                <w:color w:val="auto"/>
                <w:sz w:val="21"/>
                <w:highlight w:val="none"/>
                <w:lang w:eastAsia="zh-CN"/>
              </w:rPr>
            </w:pPr>
            <w:r>
              <w:rPr>
                <w:rFonts w:hint="eastAsia" w:ascii="Arial"/>
                <w:color w:val="auto"/>
                <w:sz w:val="21"/>
                <w:highlight w:val="none"/>
              </w:rPr>
              <w:t>联系电话：</w:t>
            </w:r>
            <w:r>
              <w:rPr>
                <w:rFonts w:hint="eastAsia" w:ascii="Arial"/>
                <w:color w:val="auto"/>
                <w:sz w:val="21"/>
                <w:highlight w:val="none"/>
                <w:lang w:eastAsia="zh-CN"/>
              </w:rPr>
              <w:t>15292770229</w:t>
            </w:r>
          </w:p>
          <w:p w14:paraId="1FED9663">
            <w:pPr>
              <w:spacing w:line="288" w:lineRule="auto"/>
              <w:ind w:firstLine="210" w:firstLineChars="100"/>
              <w:jc w:val="both"/>
              <w:rPr>
                <w:rFonts w:hint="eastAsia" w:ascii="Arial" w:eastAsia="宋体"/>
                <w:color w:val="auto"/>
                <w:sz w:val="21"/>
                <w:highlight w:val="none"/>
                <w:lang w:eastAsia="zh-CN"/>
              </w:rPr>
            </w:pPr>
            <w:r>
              <w:rPr>
                <w:rFonts w:hint="eastAsia" w:ascii="Arial"/>
                <w:color w:val="auto"/>
                <w:sz w:val="21"/>
                <w:highlight w:val="none"/>
              </w:rPr>
              <w:t>质疑函接受方式：现场接受或邮寄接受</w:t>
            </w:r>
            <w:r>
              <w:rPr>
                <w:rFonts w:hint="eastAsia" w:eastAsia="宋体"/>
                <w:color w:val="auto"/>
                <w:sz w:val="21"/>
                <w:highlight w:val="none"/>
                <w:lang w:eastAsia="zh-CN"/>
              </w:rPr>
              <w:t>。</w:t>
            </w:r>
          </w:p>
          <w:p w14:paraId="70A5B44C">
            <w:pPr>
              <w:spacing w:line="288" w:lineRule="auto"/>
              <w:ind w:firstLine="210" w:firstLineChars="100"/>
              <w:jc w:val="both"/>
              <w:rPr>
                <w:rFonts w:hint="eastAsia" w:ascii="Arial"/>
                <w:color w:val="auto"/>
                <w:sz w:val="21"/>
                <w:highlight w:val="none"/>
                <w:lang w:eastAsia="zh-CN"/>
              </w:rPr>
            </w:pPr>
            <w:r>
              <w:rPr>
                <w:rFonts w:hint="eastAsia" w:ascii="Arial"/>
                <w:color w:val="auto"/>
                <w:sz w:val="21"/>
                <w:highlight w:val="none"/>
              </w:rPr>
              <w:t>地址：</w:t>
            </w:r>
            <w:r>
              <w:rPr>
                <w:rFonts w:hint="eastAsia" w:ascii="Arial"/>
                <w:color w:val="auto"/>
                <w:sz w:val="21"/>
                <w:highlight w:val="none"/>
                <w:lang w:eastAsia="zh-CN"/>
              </w:rPr>
              <w:t>伊宁市西环路开元新城3号写字楼11层1108室</w:t>
            </w:r>
          </w:p>
          <w:p w14:paraId="709F9579">
            <w:pPr>
              <w:spacing w:line="288" w:lineRule="auto"/>
              <w:ind w:firstLine="210" w:firstLineChars="100"/>
              <w:jc w:val="both"/>
              <w:rPr>
                <w:rFonts w:hint="eastAsia" w:ascii="Arial"/>
                <w:color w:val="auto"/>
                <w:sz w:val="21"/>
                <w:highlight w:val="none"/>
              </w:rPr>
            </w:pPr>
            <w:r>
              <w:rPr>
                <w:rFonts w:hint="eastAsia" w:ascii="Arial"/>
                <w:color w:val="auto"/>
                <w:sz w:val="21"/>
                <w:highlight w:val="none"/>
              </w:rPr>
              <w:t>对采购过程提出质疑时间：为各采购程序环节结束之日起七个工作日内。</w:t>
            </w:r>
          </w:p>
          <w:p w14:paraId="36D49D86">
            <w:pPr>
              <w:spacing w:line="288" w:lineRule="auto"/>
              <w:ind w:firstLine="210" w:firstLineChars="100"/>
              <w:jc w:val="both"/>
              <w:rPr>
                <w:rFonts w:hint="eastAsia" w:ascii="Arial"/>
                <w:color w:val="auto"/>
                <w:sz w:val="21"/>
                <w:highlight w:val="none"/>
              </w:rPr>
            </w:pPr>
            <w:r>
              <w:rPr>
                <w:rFonts w:hint="eastAsia" w:ascii="Arial"/>
                <w:color w:val="auto"/>
                <w:sz w:val="21"/>
                <w:highlight w:val="none"/>
              </w:rPr>
              <w:t>对采购结果提出质疑时间：为中标结果公告发布次日后七个工作日内。</w:t>
            </w:r>
          </w:p>
          <w:p w14:paraId="41CBA51D">
            <w:pPr>
              <w:spacing w:line="288" w:lineRule="auto"/>
              <w:ind w:firstLine="210" w:firstLineChars="100"/>
              <w:jc w:val="both"/>
              <w:rPr>
                <w:rFonts w:hint="eastAsia" w:ascii="Arial"/>
                <w:color w:val="auto"/>
                <w:sz w:val="21"/>
                <w:highlight w:val="none"/>
              </w:rPr>
            </w:pPr>
            <w:r>
              <w:rPr>
                <w:rFonts w:hint="eastAsia" w:ascii="Arial"/>
                <w:color w:val="auto"/>
                <w:sz w:val="21"/>
                <w:highlight w:val="none"/>
              </w:rPr>
              <w:t>备注：</w:t>
            </w:r>
          </w:p>
          <w:p w14:paraId="1DD9FCCE">
            <w:pPr>
              <w:numPr>
                <w:ilvl w:val="0"/>
                <w:numId w:val="2"/>
              </w:numPr>
              <w:spacing w:line="288" w:lineRule="auto"/>
              <w:ind w:firstLine="210" w:firstLineChars="100"/>
              <w:jc w:val="both"/>
              <w:rPr>
                <w:rFonts w:hint="eastAsia" w:ascii="Arial"/>
                <w:color w:val="auto"/>
                <w:sz w:val="21"/>
                <w:highlight w:val="none"/>
              </w:rPr>
            </w:pPr>
            <w:r>
              <w:rPr>
                <w:rFonts w:hint="eastAsia" w:ascii="Arial"/>
                <w:color w:val="auto"/>
                <w:sz w:val="21"/>
                <w:highlight w:val="none"/>
              </w:rPr>
              <w:t>采购单位无正当理由不按照依法推荐的中标候选供应商顺序确定中标供应商，或者在评标委员会依法推荐的中标候选供应商以外确定中标供应商的质疑由采购单位受理。</w:t>
            </w:r>
          </w:p>
          <w:p w14:paraId="2D8999C7">
            <w:pPr>
              <w:spacing w:line="288" w:lineRule="auto"/>
              <w:ind w:firstLine="210" w:firstLineChars="100"/>
              <w:jc w:val="both"/>
              <w:rPr>
                <w:rFonts w:hint="eastAsia" w:ascii="Arial"/>
                <w:color w:val="auto"/>
                <w:sz w:val="21"/>
                <w:highlight w:val="none"/>
              </w:rPr>
            </w:pPr>
            <w:r>
              <w:rPr>
                <w:rFonts w:hint="eastAsia" w:ascii="Arial"/>
                <w:color w:val="auto"/>
                <w:sz w:val="21"/>
                <w:highlight w:val="none"/>
              </w:rPr>
              <w:t>2、供应商应当在法定质疑期内一次性提出针对统一采购程序环节的质疑。</w:t>
            </w:r>
          </w:p>
        </w:tc>
      </w:tr>
      <w:tr w14:paraId="4C406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593" w:hRule="atLeast"/>
          <w:jc w:val="center"/>
        </w:trPr>
        <w:tc>
          <w:tcPr>
            <w:tcW w:w="728" w:type="dxa"/>
            <w:vAlign w:val="center"/>
          </w:tcPr>
          <w:p w14:paraId="4977D8D7">
            <w:pPr>
              <w:spacing w:line="288" w:lineRule="auto"/>
              <w:ind w:firstLine="420" w:firstLineChars="200"/>
              <w:jc w:val="both"/>
              <w:rPr>
                <w:rFonts w:hint="default" w:ascii="Arial" w:eastAsia="宋体"/>
                <w:color w:val="auto"/>
                <w:sz w:val="21"/>
                <w:highlight w:val="none"/>
                <w:lang w:val="en-US" w:eastAsia="zh-CN"/>
              </w:rPr>
            </w:pPr>
            <w:r>
              <w:rPr>
                <w:rFonts w:hint="eastAsia" w:eastAsia="宋体"/>
                <w:color w:val="auto"/>
                <w:sz w:val="21"/>
                <w:highlight w:val="none"/>
                <w:lang w:val="en-US" w:eastAsia="zh-CN"/>
              </w:rPr>
              <w:t>41</w:t>
            </w:r>
          </w:p>
        </w:tc>
        <w:tc>
          <w:tcPr>
            <w:tcW w:w="1860" w:type="dxa"/>
            <w:vAlign w:val="center"/>
          </w:tcPr>
          <w:p w14:paraId="20F350B4">
            <w:pPr>
              <w:spacing w:line="288" w:lineRule="auto"/>
              <w:ind w:firstLine="840" w:firstLineChars="400"/>
              <w:jc w:val="both"/>
              <w:rPr>
                <w:rFonts w:hint="eastAsia" w:ascii="Arial"/>
                <w:color w:val="auto"/>
                <w:sz w:val="21"/>
                <w:highlight w:val="none"/>
              </w:rPr>
            </w:pPr>
            <w:r>
              <w:rPr>
                <w:rFonts w:hint="eastAsia" w:ascii="Arial"/>
                <w:color w:val="auto"/>
                <w:sz w:val="21"/>
                <w:highlight w:val="none"/>
              </w:rPr>
              <w:t>投诉</w:t>
            </w:r>
          </w:p>
        </w:tc>
        <w:tc>
          <w:tcPr>
            <w:tcW w:w="6855" w:type="dxa"/>
            <w:vAlign w:val="center"/>
          </w:tcPr>
          <w:p w14:paraId="060D598F">
            <w:pPr>
              <w:spacing w:line="288" w:lineRule="auto"/>
              <w:ind w:firstLine="210" w:firstLineChars="100"/>
              <w:jc w:val="both"/>
              <w:rPr>
                <w:rFonts w:hint="eastAsia" w:ascii="Arial"/>
                <w:color w:val="auto"/>
                <w:sz w:val="21"/>
                <w:highlight w:val="none"/>
              </w:rPr>
            </w:pPr>
            <w:r>
              <w:rPr>
                <w:rFonts w:hint="eastAsia" w:ascii="Arial"/>
                <w:color w:val="auto"/>
                <w:sz w:val="21"/>
                <w:highlight w:val="none"/>
              </w:rPr>
              <w:t>投诉受理单位：本采购项目同级财政部门</w:t>
            </w:r>
            <w:r>
              <w:rPr>
                <w:rFonts w:hint="eastAsia" w:ascii="Arial"/>
                <w:color w:val="auto"/>
                <w:sz w:val="21"/>
                <w:highlight w:val="none"/>
                <w:lang w:eastAsia="zh-CN"/>
              </w:rPr>
              <w:t>。</w:t>
            </w:r>
          </w:p>
        </w:tc>
      </w:tr>
      <w:tr w14:paraId="1777B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813" w:hRule="atLeast"/>
          <w:jc w:val="center"/>
        </w:trPr>
        <w:tc>
          <w:tcPr>
            <w:tcW w:w="728" w:type="dxa"/>
            <w:shd w:val="clear" w:color="auto" w:fill="auto"/>
            <w:vAlign w:val="center"/>
          </w:tcPr>
          <w:p w14:paraId="74100709">
            <w:pPr>
              <w:numPr>
                <w:ilvl w:val="0"/>
                <w:numId w:val="0"/>
              </w:numPr>
              <w:spacing w:line="276" w:lineRule="auto"/>
              <w:ind w:leftChars="0" w:firstLine="408" w:firstLineChars="200"/>
              <w:jc w:val="both"/>
              <w:rPr>
                <w:rFonts w:hint="default" w:ascii="新宋体" w:hAnsi="新宋体" w:eastAsia="新宋体" w:cs="新宋体"/>
                <w:snapToGrid w:val="0"/>
                <w:color w:val="auto"/>
                <w:spacing w:val="-3"/>
                <w:kern w:val="0"/>
                <w:sz w:val="21"/>
                <w:szCs w:val="21"/>
                <w:highlight w:val="none"/>
                <w:lang w:val="en-US" w:eastAsia="zh-CN" w:bidi="ar-SA"/>
              </w:rPr>
            </w:pPr>
            <w:r>
              <w:rPr>
                <w:rFonts w:hint="eastAsia" w:ascii="新宋体" w:hAnsi="新宋体" w:eastAsia="新宋体" w:cs="新宋体"/>
                <w:snapToGrid w:val="0"/>
                <w:color w:val="auto"/>
                <w:spacing w:val="-3"/>
                <w:kern w:val="0"/>
                <w:sz w:val="21"/>
                <w:szCs w:val="21"/>
                <w:highlight w:val="none"/>
                <w:lang w:val="en-US" w:eastAsia="zh-CN" w:bidi="ar-SA"/>
              </w:rPr>
              <w:t>42</w:t>
            </w:r>
          </w:p>
        </w:tc>
        <w:tc>
          <w:tcPr>
            <w:tcW w:w="1860" w:type="dxa"/>
            <w:shd w:val="clear" w:color="auto" w:fill="auto"/>
            <w:vAlign w:val="center"/>
          </w:tcPr>
          <w:p w14:paraId="11265CE0">
            <w:pPr>
              <w:spacing w:line="276" w:lineRule="auto"/>
              <w:jc w:val="center"/>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中标通知书</w:t>
            </w:r>
          </w:p>
          <w:p w14:paraId="18D24EBA">
            <w:pPr>
              <w:spacing w:line="276" w:lineRule="auto"/>
              <w:jc w:val="center"/>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领取方式</w:t>
            </w:r>
          </w:p>
        </w:tc>
        <w:tc>
          <w:tcPr>
            <w:tcW w:w="6855" w:type="dxa"/>
            <w:shd w:val="clear" w:color="auto" w:fill="auto"/>
            <w:vAlign w:val="center"/>
          </w:tcPr>
          <w:p w14:paraId="03962479">
            <w:pPr>
              <w:spacing w:line="276" w:lineRule="auto"/>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中标公告在新疆政府采购网上公告后，请中标供应商凭有效身份证明证件到</w:t>
            </w:r>
            <w:r>
              <w:rPr>
                <w:rFonts w:hint="eastAsia" w:ascii="新宋体" w:hAnsi="新宋体" w:eastAsia="新宋体" w:cs="新宋体"/>
                <w:snapToGrid w:val="0"/>
                <w:color w:val="auto"/>
                <w:spacing w:val="-3"/>
                <w:kern w:val="0"/>
                <w:sz w:val="21"/>
                <w:szCs w:val="21"/>
                <w:highlight w:val="none"/>
                <w:lang w:val="en-US" w:eastAsia="zh-CN" w:bidi="ar-SA"/>
              </w:rPr>
              <w:t>伊宁市西环路开元新城3号写字楼11层1108室</w:t>
            </w:r>
            <w:r>
              <w:rPr>
                <w:rFonts w:hint="eastAsia" w:ascii="新宋体" w:hAnsi="新宋体" w:eastAsia="新宋体" w:cs="新宋体"/>
                <w:snapToGrid w:val="0"/>
                <w:color w:val="auto"/>
                <w:spacing w:val="-3"/>
                <w:kern w:val="0"/>
                <w:sz w:val="21"/>
                <w:szCs w:val="21"/>
                <w:highlight w:val="none"/>
                <w:lang w:val="en-US" w:eastAsia="en-US" w:bidi="ar-SA"/>
              </w:rPr>
              <w:t>受理处领取中标通知书。</w:t>
            </w:r>
          </w:p>
          <w:p w14:paraId="4CAD1DDC">
            <w:pPr>
              <w:spacing w:line="276" w:lineRule="auto"/>
              <w:rPr>
                <w:rFonts w:hint="eastAsia" w:ascii="新宋体" w:hAnsi="新宋体" w:eastAsia="新宋体" w:cs="新宋体"/>
                <w:snapToGrid w:val="0"/>
                <w:color w:val="auto"/>
                <w:spacing w:val="-3"/>
                <w:kern w:val="0"/>
                <w:sz w:val="21"/>
                <w:szCs w:val="21"/>
                <w:highlight w:val="none"/>
                <w:lang w:val="en-US" w:eastAsia="zh-CN" w:bidi="ar-SA"/>
              </w:rPr>
            </w:pPr>
            <w:r>
              <w:rPr>
                <w:rFonts w:hint="eastAsia" w:ascii="新宋体" w:hAnsi="新宋体" w:eastAsia="新宋体" w:cs="新宋体"/>
                <w:snapToGrid w:val="0"/>
                <w:color w:val="auto"/>
                <w:spacing w:val="-3"/>
                <w:kern w:val="0"/>
                <w:sz w:val="21"/>
                <w:szCs w:val="21"/>
                <w:highlight w:val="none"/>
                <w:lang w:val="en-US" w:eastAsia="en-US" w:bidi="ar-SA"/>
              </w:rPr>
              <w:t>联系电话：</w:t>
            </w:r>
            <w:r>
              <w:rPr>
                <w:rFonts w:hint="eastAsia" w:ascii="新宋体" w:hAnsi="新宋体" w:eastAsia="新宋体" w:cs="新宋体"/>
                <w:snapToGrid w:val="0"/>
                <w:color w:val="auto"/>
                <w:spacing w:val="-3"/>
                <w:kern w:val="0"/>
                <w:sz w:val="21"/>
                <w:szCs w:val="21"/>
                <w:highlight w:val="none"/>
                <w:lang w:val="en-US" w:eastAsia="zh-CN" w:bidi="ar-SA"/>
              </w:rPr>
              <w:t>15292770229</w:t>
            </w:r>
          </w:p>
        </w:tc>
      </w:tr>
      <w:tr w14:paraId="5039D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813" w:hRule="atLeast"/>
          <w:jc w:val="center"/>
        </w:trPr>
        <w:tc>
          <w:tcPr>
            <w:tcW w:w="728" w:type="dxa"/>
            <w:shd w:val="clear" w:color="auto" w:fill="auto"/>
            <w:vAlign w:val="center"/>
          </w:tcPr>
          <w:p w14:paraId="5151C0B1">
            <w:pPr>
              <w:numPr>
                <w:ilvl w:val="0"/>
                <w:numId w:val="0"/>
              </w:numPr>
              <w:spacing w:line="276" w:lineRule="auto"/>
              <w:ind w:leftChars="0" w:firstLine="408" w:firstLineChars="200"/>
              <w:jc w:val="both"/>
              <w:rPr>
                <w:rFonts w:hint="default" w:ascii="新宋体" w:hAnsi="新宋体" w:eastAsia="新宋体" w:cs="新宋体"/>
                <w:snapToGrid w:val="0"/>
                <w:color w:val="auto"/>
                <w:spacing w:val="-3"/>
                <w:kern w:val="0"/>
                <w:sz w:val="21"/>
                <w:szCs w:val="21"/>
                <w:highlight w:val="none"/>
                <w:lang w:val="en-US" w:eastAsia="zh-CN" w:bidi="ar-SA"/>
              </w:rPr>
            </w:pPr>
            <w:r>
              <w:rPr>
                <w:rFonts w:hint="eastAsia" w:ascii="新宋体" w:hAnsi="新宋体" w:eastAsia="新宋体" w:cs="新宋体"/>
                <w:snapToGrid w:val="0"/>
                <w:color w:val="auto"/>
                <w:spacing w:val="-3"/>
                <w:kern w:val="0"/>
                <w:sz w:val="21"/>
                <w:szCs w:val="21"/>
                <w:highlight w:val="none"/>
                <w:lang w:val="en-US" w:eastAsia="zh-CN" w:bidi="ar-SA"/>
              </w:rPr>
              <w:t>43</w:t>
            </w:r>
          </w:p>
        </w:tc>
        <w:tc>
          <w:tcPr>
            <w:tcW w:w="1860" w:type="dxa"/>
            <w:shd w:val="clear" w:color="auto" w:fill="auto"/>
            <w:vAlign w:val="center"/>
          </w:tcPr>
          <w:p w14:paraId="54101C1C">
            <w:pPr>
              <w:spacing w:line="276" w:lineRule="auto"/>
              <w:ind w:firstLine="408" w:firstLineChars="200"/>
              <w:jc w:val="both"/>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政府采购</w:t>
            </w:r>
          </w:p>
          <w:p w14:paraId="58814DC5">
            <w:pPr>
              <w:spacing w:line="276" w:lineRule="auto"/>
              <w:ind w:firstLine="408" w:firstLineChars="200"/>
              <w:jc w:val="both"/>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合同备案</w:t>
            </w:r>
          </w:p>
        </w:tc>
        <w:tc>
          <w:tcPr>
            <w:tcW w:w="6855" w:type="dxa"/>
            <w:shd w:val="clear" w:color="auto" w:fill="auto"/>
            <w:vAlign w:val="center"/>
          </w:tcPr>
          <w:p w14:paraId="107D03C7">
            <w:pPr>
              <w:spacing w:line="276" w:lineRule="auto"/>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政府采购合同签订之日起2个工作日内，采购人应将政府采购合同在新疆政府采购网公告。</w:t>
            </w:r>
          </w:p>
          <w:p w14:paraId="59309C90">
            <w:pPr>
              <w:spacing w:line="276" w:lineRule="auto"/>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政府采购合同签订之日起2个工作日内，成交供应商应将政府采购合同向采购代理机构审核备案。</w:t>
            </w:r>
          </w:p>
        </w:tc>
      </w:tr>
      <w:tr w14:paraId="01617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650" w:hRule="atLeast"/>
          <w:jc w:val="center"/>
        </w:trPr>
        <w:tc>
          <w:tcPr>
            <w:tcW w:w="728" w:type="dxa"/>
            <w:vAlign w:val="top"/>
          </w:tcPr>
          <w:p w14:paraId="0C4F5CD0">
            <w:pPr>
              <w:pStyle w:val="17"/>
              <w:spacing w:before="106" w:line="223" w:lineRule="auto"/>
              <w:ind w:firstLine="408" w:firstLineChars="200"/>
              <w:rPr>
                <w:rFonts w:hint="default"/>
                <w:color w:val="auto"/>
                <w:spacing w:val="-3"/>
                <w:sz w:val="21"/>
                <w:szCs w:val="21"/>
                <w:highlight w:val="none"/>
                <w:lang w:val="en-US" w:eastAsia="zh-CN"/>
              </w:rPr>
            </w:pPr>
            <w:r>
              <w:rPr>
                <w:rFonts w:hint="eastAsia"/>
                <w:color w:val="auto"/>
                <w:spacing w:val="-3"/>
                <w:sz w:val="21"/>
                <w:szCs w:val="21"/>
                <w:highlight w:val="none"/>
                <w:lang w:val="en-US" w:eastAsia="zh-CN"/>
              </w:rPr>
              <w:t>44</w:t>
            </w:r>
          </w:p>
        </w:tc>
        <w:tc>
          <w:tcPr>
            <w:tcW w:w="1860" w:type="dxa"/>
            <w:vAlign w:val="top"/>
          </w:tcPr>
          <w:p w14:paraId="7350891B">
            <w:pPr>
              <w:pStyle w:val="17"/>
              <w:spacing w:before="106" w:line="223" w:lineRule="auto"/>
              <w:ind w:left="114" w:firstLine="204" w:firstLineChars="100"/>
              <w:rPr>
                <w:rFonts w:hint="eastAsia"/>
                <w:color w:val="auto"/>
                <w:spacing w:val="-3"/>
                <w:sz w:val="21"/>
                <w:szCs w:val="21"/>
                <w:highlight w:val="none"/>
              </w:rPr>
            </w:pPr>
            <w:r>
              <w:rPr>
                <w:rFonts w:hint="eastAsia"/>
                <w:color w:val="auto"/>
                <w:spacing w:val="-3"/>
                <w:sz w:val="21"/>
                <w:szCs w:val="21"/>
                <w:highlight w:val="none"/>
              </w:rPr>
              <w:t>文件解释权</w:t>
            </w:r>
          </w:p>
        </w:tc>
        <w:tc>
          <w:tcPr>
            <w:tcW w:w="6855" w:type="dxa"/>
            <w:vAlign w:val="top"/>
          </w:tcPr>
          <w:p w14:paraId="40695FE8">
            <w:pPr>
              <w:pStyle w:val="17"/>
              <w:spacing w:before="106" w:line="223" w:lineRule="auto"/>
              <w:ind w:left="114"/>
              <w:rPr>
                <w:rFonts w:hint="eastAsia"/>
                <w:color w:val="auto"/>
                <w:spacing w:val="-3"/>
                <w:sz w:val="21"/>
                <w:szCs w:val="21"/>
                <w:highlight w:val="none"/>
              </w:rPr>
            </w:pPr>
            <w:r>
              <w:rPr>
                <w:rFonts w:hint="eastAsia"/>
                <w:color w:val="auto"/>
                <w:spacing w:val="-3"/>
                <w:sz w:val="21"/>
                <w:szCs w:val="21"/>
                <w:highlight w:val="none"/>
              </w:rPr>
              <w:t>本招标文件的解释权归</w:t>
            </w:r>
            <w:r>
              <w:rPr>
                <w:rFonts w:hint="eastAsia"/>
                <w:color w:val="auto"/>
                <w:spacing w:val="-3"/>
                <w:sz w:val="21"/>
                <w:szCs w:val="21"/>
                <w:highlight w:val="none"/>
                <w:lang w:eastAsia="zh-CN"/>
              </w:rPr>
              <w:t>伊犁哈萨克自治州纤维检验所</w:t>
            </w:r>
            <w:r>
              <w:rPr>
                <w:rFonts w:hint="eastAsia"/>
                <w:color w:val="auto"/>
                <w:spacing w:val="-3"/>
                <w:sz w:val="21"/>
                <w:szCs w:val="21"/>
                <w:highlight w:val="none"/>
              </w:rPr>
              <w:t>。</w:t>
            </w:r>
          </w:p>
        </w:tc>
      </w:tr>
    </w:tbl>
    <w:p w14:paraId="1091730C">
      <w:pPr>
        <w:spacing w:line="245" w:lineRule="auto"/>
        <w:rPr>
          <w:rFonts w:ascii="Arial"/>
          <w:color w:val="auto"/>
          <w:sz w:val="21"/>
          <w:highlight w:val="none"/>
        </w:rPr>
      </w:pPr>
    </w:p>
    <w:p w14:paraId="06426596">
      <w:pPr>
        <w:spacing w:line="245" w:lineRule="auto"/>
        <w:rPr>
          <w:rFonts w:ascii="Arial"/>
          <w:color w:val="auto"/>
          <w:sz w:val="21"/>
          <w:highlight w:val="none"/>
        </w:rPr>
      </w:pPr>
    </w:p>
    <w:p w14:paraId="4F77B70F">
      <w:pPr>
        <w:pStyle w:val="4"/>
        <w:spacing w:before="120" w:line="188" w:lineRule="auto"/>
        <w:ind w:firstLine="4082" w:firstLineChars="1500"/>
        <w:rPr>
          <w:b/>
          <w:bCs/>
          <w:color w:val="auto"/>
          <w:spacing w:val="-4"/>
          <w:sz w:val="28"/>
          <w:szCs w:val="28"/>
          <w:highlight w:val="none"/>
        </w:rPr>
      </w:pPr>
    </w:p>
    <w:p w14:paraId="19EA56A6">
      <w:pPr>
        <w:pStyle w:val="4"/>
        <w:spacing w:before="120" w:line="188" w:lineRule="auto"/>
        <w:ind w:firstLine="4082" w:firstLineChars="1500"/>
        <w:rPr>
          <w:b/>
          <w:bCs/>
          <w:color w:val="auto"/>
          <w:spacing w:val="-4"/>
          <w:sz w:val="28"/>
          <w:szCs w:val="28"/>
          <w:highlight w:val="none"/>
        </w:rPr>
      </w:pPr>
    </w:p>
    <w:p w14:paraId="24BED84B">
      <w:pPr>
        <w:pStyle w:val="4"/>
        <w:spacing w:before="120" w:line="188" w:lineRule="auto"/>
        <w:ind w:firstLine="4082" w:firstLineChars="1500"/>
        <w:rPr>
          <w:b/>
          <w:bCs/>
          <w:color w:val="auto"/>
          <w:spacing w:val="-4"/>
          <w:sz w:val="28"/>
          <w:szCs w:val="28"/>
          <w:highlight w:val="none"/>
        </w:rPr>
      </w:pPr>
    </w:p>
    <w:p w14:paraId="246FFA6B">
      <w:pPr>
        <w:pStyle w:val="4"/>
        <w:spacing w:before="120" w:line="188" w:lineRule="auto"/>
        <w:ind w:firstLine="4082" w:firstLineChars="1500"/>
        <w:rPr>
          <w:b/>
          <w:bCs/>
          <w:color w:val="auto"/>
          <w:spacing w:val="-4"/>
          <w:sz w:val="28"/>
          <w:szCs w:val="28"/>
          <w:highlight w:val="none"/>
        </w:rPr>
      </w:pPr>
    </w:p>
    <w:p w14:paraId="24F4B668">
      <w:pPr>
        <w:pStyle w:val="4"/>
        <w:spacing w:before="120" w:line="188" w:lineRule="auto"/>
        <w:ind w:firstLine="4082" w:firstLineChars="1500"/>
        <w:rPr>
          <w:b/>
          <w:bCs/>
          <w:color w:val="auto"/>
          <w:spacing w:val="-4"/>
          <w:sz w:val="28"/>
          <w:szCs w:val="28"/>
          <w:highlight w:val="none"/>
        </w:rPr>
      </w:pPr>
    </w:p>
    <w:p w14:paraId="5516B726">
      <w:pPr>
        <w:pStyle w:val="4"/>
        <w:spacing w:before="120" w:line="188" w:lineRule="auto"/>
        <w:ind w:firstLine="4082" w:firstLineChars="1500"/>
        <w:rPr>
          <w:b/>
          <w:bCs/>
          <w:color w:val="auto"/>
          <w:spacing w:val="-4"/>
          <w:sz w:val="28"/>
          <w:szCs w:val="28"/>
          <w:highlight w:val="none"/>
        </w:rPr>
      </w:pPr>
    </w:p>
    <w:p w14:paraId="0B50F97B">
      <w:pPr>
        <w:pStyle w:val="4"/>
        <w:spacing w:before="120" w:line="188" w:lineRule="auto"/>
        <w:ind w:firstLine="4082" w:firstLineChars="1500"/>
        <w:rPr>
          <w:b/>
          <w:bCs/>
          <w:color w:val="auto"/>
          <w:spacing w:val="-4"/>
          <w:sz w:val="28"/>
          <w:szCs w:val="28"/>
          <w:highlight w:val="none"/>
        </w:rPr>
      </w:pPr>
    </w:p>
    <w:p w14:paraId="32D06436">
      <w:pPr>
        <w:pStyle w:val="4"/>
        <w:spacing w:before="120" w:line="188" w:lineRule="auto"/>
        <w:ind w:firstLine="4082" w:firstLineChars="1500"/>
        <w:rPr>
          <w:b/>
          <w:bCs/>
          <w:color w:val="auto"/>
          <w:spacing w:val="-4"/>
          <w:sz w:val="28"/>
          <w:szCs w:val="28"/>
          <w:highlight w:val="none"/>
        </w:rPr>
      </w:pPr>
    </w:p>
    <w:p w14:paraId="4D642093">
      <w:pPr>
        <w:pStyle w:val="4"/>
        <w:spacing w:before="120" w:line="188" w:lineRule="auto"/>
        <w:ind w:firstLine="4082" w:firstLineChars="1500"/>
        <w:rPr>
          <w:b/>
          <w:bCs/>
          <w:color w:val="auto"/>
          <w:spacing w:val="-4"/>
          <w:sz w:val="28"/>
          <w:szCs w:val="28"/>
          <w:highlight w:val="none"/>
        </w:rPr>
      </w:pPr>
    </w:p>
    <w:p w14:paraId="245B3897">
      <w:pPr>
        <w:pStyle w:val="4"/>
        <w:spacing w:before="120" w:line="188" w:lineRule="auto"/>
        <w:ind w:firstLine="4082" w:firstLineChars="1500"/>
        <w:rPr>
          <w:b/>
          <w:bCs/>
          <w:color w:val="auto"/>
          <w:spacing w:val="-4"/>
          <w:sz w:val="28"/>
          <w:szCs w:val="28"/>
          <w:highlight w:val="none"/>
        </w:rPr>
      </w:pPr>
    </w:p>
    <w:p w14:paraId="1C9C8398">
      <w:pPr>
        <w:pStyle w:val="4"/>
        <w:spacing w:before="120" w:line="188" w:lineRule="auto"/>
        <w:ind w:firstLine="4082" w:firstLineChars="1500"/>
        <w:rPr>
          <w:b/>
          <w:bCs/>
          <w:color w:val="auto"/>
          <w:spacing w:val="-4"/>
          <w:sz w:val="28"/>
          <w:szCs w:val="28"/>
          <w:highlight w:val="none"/>
        </w:rPr>
      </w:pPr>
    </w:p>
    <w:p w14:paraId="29CEE1E2">
      <w:pPr>
        <w:pStyle w:val="4"/>
        <w:spacing w:before="120" w:line="188" w:lineRule="auto"/>
        <w:ind w:firstLine="4082" w:firstLineChars="1500"/>
        <w:rPr>
          <w:b/>
          <w:bCs/>
          <w:color w:val="auto"/>
          <w:spacing w:val="-4"/>
          <w:sz w:val="28"/>
          <w:szCs w:val="28"/>
          <w:highlight w:val="none"/>
        </w:rPr>
      </w:pPr>
    </w:p>
    <w:p w14:paraId="5851874F">
      <w:pPr>
        <w:pStyle w:val="4"/>
        <w:spacing w:before="120" w:line="188" w:lineRule="auto"/>
        <w:ind w:firstLine="4082" w:firstLineChars="1500"/>
        <w:rPr>
          <w:b/>
          <w:bCs/>
          <w:color w:val="auto"/>
          <w:spacing w:val="-4"/>
          <w:sz w:val="28"/>
          <w:szCs w:val="28"/>
          <w:highlight w:val="none"/>
        </w:rPr>
      </w:pPr>
    </w:p>
    <w:p w14:paraId="24244D7B">
      <w:pPr>
        <w:pStyle w:val="4"/>
        <w:spacing w:before="120" w:line="188" w:lineRule="auto"/>
        <w:ind w:firstLine="4082" w:firstLineChars="1500"/>
        <w:rPr>
          <w:b/>
          <w:bCs/>
          <w:color w:val="auto"/>
          <w:spacing w:val="-4"/>
          <w:sz w:val="28"/>
          <w:szCs w:val="28"/>
          <w:highlight w:val="none"/>
        </w:rPr>
      </w:pPr>
    </w:p>
    <w:p w14:paraId="77D73526">
      <w:pPr>
        <w:pStyle w:val="4"/>
        <w:spacing w:before="120" w:line="188" w:lineRule="auto"/>
        <w:ind w:firstLine="4082" w:firstLineChars="1500"/>
        <w:rPr>
          <w:b/>
          <w:bCs/>
          <w:color w:val="auto"/>
          <w:spacing w:val="-4"/>
          <w:sz w:val="28"/>
          <w:szCs w:val="28"/>
          <w:highlight w:val="none"/>
        </w:rPr>
      </w:pPr>
    </w:p>
    <w:p w14:paraId="5E6FBE3F">
      <w:pPr>
        <w:pStyle w:val="4"/>
        <w:spacing w:before="120" w:line="188" w:lineRule="auto"/>
        <w:ind w:firstLine="4082" w:firstLineChars="1500"/>
        <w:rPr>
          <w:b/>
          <w:bCs/>
          <w:color w:val="auto"/>
          <w:spacing w:val="-4"/>
          <w:sz w:val="28"/>
          <w:szCs w:val="28"/>
          <w:highlight w:val="none"/>
        </w:rPr>
      </w:pPr>
    </w:p>
    <w:p w14:paraId="17AE716A">
      <w:pPr>
        <w:pStyle w:val="4"/>
        <w:spacing w:before="120" w:line="188" w:lineRule="auto"/>
        <w:rPr>
          <w:b/>
          <w:bCs/>
          <w:color w:val="auto"/>
          <w:spacing w:val="-4"/>
          <w:sz w:val="28"/>
          <w:szCs w:val="28"/>
          <w:highlight w:val="none"/>
        </w:rPr>
      </w:pPr>
    </w:p>
    <w:p w14:paraId="297108A5">
      <w:pPr>
        <w:pStyle w:val="4"/>
        <w:spacing w:before="120" w:line="188" w:lineRule="auto"/>
        <w:ind w:firstLine="4082" w:firstLineChars="1500"/>
        <w:rPr>
          <w:b/>
          <w:bCs/>
          <w:color w:val="auto"/>
          <w:spacing w:val="-4"/>
          <w:sz w:val="28"/>
          <w:szCs w:val="28"/>
          <w:highlight w:val="none"/>
        </w:rPr>
      </w:pPr>
    </w:p>
    <w:p w14:paraId="09369C9B">
      <w:pPr>
        <w:pStyle w:val="4"/>
        <w:pageBreakBefore w:val="0"/>
        <w:wordWrap/>
        <w:overflowPunct/>
        <w:topLinePunct w:val="0"/>
        <w:bidi w:val="0"/>
        <w:adjustRightInd w:val="0"/>
        <w:spacing w:line="360" w:lineRule="auto"/>
        <w:ind w:left="0" w:right="0" w:firstLine="0" w:firstLineChars="0"/>
        <w:jc w:val="center"/>
        <w:textAlignment w:val="baseline"/>
        <w:rPr>
          <w:color w:val="auto"/>
          <w:sz w:val="28"/>
          <w:szCs w:val="28"/>
          <w:highlight w:val="none"/>
        </w:rPr>
      </w:pPr>
      <w:r>
        <w:rPr>
          <w:b/>
          <w:bCs/>
          <w:color w:val="auto"/>
          <w:spacing w:val="-4"/>
          <w:sz w:val="28"/>
          <w:szCs w:val="28"/>
          <w:highlight w:val="none"/>
        </w:rPr>
        <w:t>二、投标人须知</w:t>
      </w:r>
    </w:p>
    <w:p w14:paraId="50917860">
      <w:pPr>
        <w:pStyle w:val="4"/>
        <w:pageBreakBefore w:val="0"/>
        <w:wordWrap/>
        <w:overflowPunct/>
        <w:topLinePunct w:val="0"/>
        <w:bidi w:val="0"/>
        <w:adjustRightInd w:val="0"/>
        <w:spacing w:line="360" w:lineRule="auto"/>
        <w:ind w:left="0" w:right="0" w:firstLine="0" w:firstLineChars="0"/>
        <w:jc w:val="center"/>
        <w:textAlignment w:val="baseline"/>
        <w:rPr>
          <w:color w:val="auto"/>
          <w:sz w:val="28"/>
          <w:szCs w:val="28"/>
          <w:highlight w:val="none"/>
        </w:rPr>
      </w:pPr>
      <w:r>
        <w:rPr>
          <w:b/>
          <w:bCs/>
          <w:color w:val="auto"/>
          <w:spacing w:val="-11"/>
          <w:sz w:val="28"/>
          <w:szCs w:val="28"/>
          <w:highlight w:val="none"/>
        </w:rPr>
        <w:t>（一）总</w:t>
      </w:r>
      <w:r>
        <w:rPr>
          <w:b/>
          <w:bCs/>
          <w:color w:val="auto"/>
          <w:spacing w:val="1"/>
          <w:sz w:val="28"/>
          <w:szCs w:val="28"/>
          <w:highlight w:val="none"/>
        </w:rPr>
        <w:t xml:space="preserve">    </w:t>
      </w:r>
      <w:r>
        <w:rPr>
          <w:b/>
          <w:bCs/>
          <w:color w:val="auto"/>
          <w:spacing w:val="-11"/>
          <w:sz w:val="28"/>
          <w:szCs w:val="28"/>
          <w:highlight w:val="none"/>
        </w:rPr>
        <w:t>则</w:t>
      </w:r>
    </w:p>
    <w:p w14:paraId="7D20A43F">
      <w:pPr>
        <w:pStyle w:val="4"/>
        <w:pageBreakBefore w:val="0"/>
        <w:wordWrap/>
        <w:overflowPunct/>
        <w:topLinePunct w:val="0"/>
        <w:bidi w:val="0"/>
        <w:adjustRightInd w:val="0"/>
        <w:spacing w:line="360" w:lineRule="auto"/>
        <w:ind w:left="0" w:right="0" w:firstLine="468" w:firstLineChars="200"/>
        <w:textAlignment w:val="baseline"/>
        <w:rPr>
          <w:color w:val="auto"/>
          <w:sz w:val="24"/>
          <w:szCs w:val="24"/>
          <w:highlight w:val="none"/>
        </w:rPr>
      </w:pPr>
      <w:r>
        <w:rPr>
          <w:b/>
          <w:bCs/>
          <w:color w:val="auto"/>
          <w:spacing w:val="-3"/>
          <w:sz w:val="24"/>
          <w:szCs w:val="24"/>
          <w:highlight w:val="none"/>
        </w:rPr>
        <w:t>1.</w:t>
      </w:r>
      <w:r>
        <w:rPr>
          <w:b/>
          <w:bCs/>
          <w:color w:val="auto"/>
          <w:spacing w:val="66"/>
          <w:w w:val="101"/>
          <w:sz w:val="24"/>
          <w:szCs w:val="24"/>
          <w:highlight w:val="none"/>
        </w:rPr>
        <w:t xml:space="preserve"> </w:t>
      </w:r>
      <w:r>
        <w:rPr>
          <w:b/>
          <w:bCs/>
          <w:color w:val="auto"/>
          <w:spacing w:val="-3"/>
          <w:sz w:val="24"/>
          <w:szCs w:val="24"/>
          <w:highlight w:val="none"/>
        </w:rPr>
        <w:t>项目概况</w:t>
      </w:r>
    </w:p>
    <w:p w14:paraId="7291C3D2">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1.1 本次招标采购</w:t>
      </w:r>
    </w:p>
    <w:p w14:paraId="5B43D255">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项目名称：</w:t>
      </w:r>
      <w:r>
        <w:rPr>
          <w:rFonts w:hint="eastAsia" w:ascii="新宋体" w:hAnsi="新宋体" w:eastAsia="新宋体" w:cs="新宋体"/>
          <w:color w:val="auto"/>
          <w:spacing w:val="-2"/>
          <w:sz w:val="24"/>
          <w:szCs w:val="24"/>
          <w:highlight w:val="none"/>
          <w:lang w:eastAsia="zh-CN"/>
        </w:rPr>
        <w:t>伊犁哈萨克自治州纤维检验所2025年棉花公证检验及纺织品检验仪器设备购置项目（</w:t>
      </w:r>
      <w:r>
        <w:rPr>
          <w:rFonts w:hint="eastAsia" w:ascii="新宋体" w:hAnsi="新宋体" w:eastAsia="新宋体" w:cs="新宋体"/>
          <w:color w:val="auto"/>
          <w:spacing w:val="-2"/>
          <w:sz w:val="24"/>
          <w:szCs w:val="24"/>
          <w:highlight w:val="none"/>
          <w:lang w:val="en-US" w:eastAsia="zh-CN"/>
        </w:rPr>
        <w:t>二次</w:t>
      </w:r>
      <w:r>
        <w:rPr>
          <w:rFonts w:hint="eastAsia" w:ascii="新宋体" w:hAnsi="新宋体" w:eastAsia="新宋体" w:cs="新宋体"/>
          <w:color w:val="auto"/>
          <w:spacing w:val="-2"/>
          <w:sz w:val="24"/>
          <w:szCs w:val="24"/>
          <w:highlight w:val="none"/>
          <w:lang w:eastAsia="zh-CN"/>
        </w:rPr>
        <w:t>）</w:t>
      </w:r>
      <w:r>
        <w:rPr>
          <w:rFonts w:ascii="新宋体" w:hAnsi="新宋体" w:eastAsia="新宋体" w:cs="新宋体"/>
          <w:color w:val="auto"/>
          <w:spacing w:val="-2"/>
          <w:sz w:val="24"/>
          <w:szCs w:val="24"/>
          <w:highlight w:val="none"/>
        </w:rPr>
        <w:t xml:space="preserve"> </w:t>
      </w:r>
    </w:p>
    <w:p w14:paraId="5C60B4A9">
      <w:pPr>
        <w:pageBreakBefore w:val="0"/>
        <w:wordWrap/>
        <w:overflowPunct/>
        <w:topLinePunct w:val="0"/>
        <w:bidi w:val="0"/>
        <w:adjustRightInd w:val="0"/>
        <w:spacing w:line="360" w:lineRule="auto"/>
        <w:ind w:left="0" w:right="0" w:firstLine="472" w:firstLineChars="200"/>
        <w:textAlignment w:val="baseline"/>
        <w:rPr>
          <w:rFonts w:hint="default" w:ascii="新宋体" w:hAnsi="新宋体" w:eastAsia="新宋体" w:cs="新宋体"/>
          <w:color w:val="auto"/>
          <w:spacing w:val="-2"/>
          <w:sz w:val="24"/>
          <w:szCs w:val="24"/>
          <w:highlight w:val="none"/>
          <w:lang w:val="en-US"/>
        </w:rPr>
      </w:pPr>
      <w:r>
        <w:rPr>
          <w:rFonts w:ascii="新宋体" w:hAnsi="新宋体" w:eastAsia="新宋体" w:cs="新宋体"/>
          <w:color w:val="auto"/>
          <w:spacing w:val="-2"/>
          <w:sz w:val="24"/>
          <w:szCs w:val="24"/>
          <w:highlight w:val="none"/>
        </w:rPr>
        <w:t>项目编号：</w:t>
      </w:r>
      <w:r>
        <w:rPr>
          <w:rFonts w:hint="eastAsia" w:ascii="新宋体" w:hAnsi="新宋体" w:eastAsia="新宋体" w:cs="新宋体"/>
          <w:color w:val="auto"/>
          <w:spacing w:val="-2"/>
          <w:sz w:val="24"/>
          <w:szCs w:val="24"/>
          <w:highlight w:val="none"/>
          <w:lang w:val="en-US" w:eastAsia="zh-CN"/>
        </w:rPr>
        <w:t>XJHHZDYL2025-066</w:t>
      </w:r>
    </w:p>
    <w:p w14:paraId="55C7CB90">
      <w:pPr>
        <w:pageBreakBefore w:val="0"/>
        <w:wordWrap/>
        <w:overflowPunct/>
        <w:topLinePunct w:val="0"/>
        <w:bidi w:val="0"/>
        <w:adjustRightInd w:val="0"/>
        <w:spacing w:line="360" w:lineRule="auto"/>
        <w:ind w:left="0" w:right="0" w:firstLine="472" w:firstLineChars="200"/>
        <w:textAlignment w:val="baseline"/>
        <w:rPr>
          <w:rFonts w:hint="eastAsia" w:ascii="新宋体" w:hAnsi="新宋体" w:eastAsia="新宋体" w:cs="新宋体"/>
          <w:color w:val="auto"/>
          <w:spacing w:val="-2"/>
          <w:sz w:val="24"/>
          <w:szCs w:val="24"/>
          <w:highlight w:val="none"/>
          <w:lang w:eastAsia="zh-CN"/>
        </w:rPr>
      </w:pPr>
      <w:r>
        <w:rPr>
          <w:rFonts w:ascii="新宋体" w:hAnsi="新宋体" w:eastAsia="新宋体" w:cs="新宋体"/>
          <w:color w:val="auto"/>
          <w:spacing w:val="-2"/>
          <w:sz w:val="24"/>
          <w:szCs w:val="24"/>
          <w:highlight w:val="none"/>
        </w:rPr>
        <w:t>招标单位：</w:t>
      </w:r>
      <w:r>
        <w:rPr>
          <w:rFonts w:hint="eastAsia" w:ascii="新宋体" w:hAnsi="新宋体" w:eastAsia="新宋体" w:cs="新宋体"/>
          <w:color w:val="auto"/>
          <w:spacing w:val="-2"/>
          <w:sz w:val="24"/>
          <w:szCs w:val="24"/>
          <w:highlight w:val="none"/>
          <w:lang w:eastAsia="zh-CN"/>
        </w:rPr>
        <w:t>伊犁哈萨克自治州纤维检验所</w:t>
      </w:r>
    </w:p>
    <w:p w14:paraId="3CC477E3">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合同履行期限</w:t>
      </w:r>
      <w:r>
        <w:rPr>
          <w:rFonts w:hint="eastAsia" w:ascii="新宋体" w:hAnsi="新宋体" w:eastAsia="新宋体" w:cs="新宋体"/>
          <w:color w:val="auto"/>
          <w:spacing w:val="-2"/>
          <w:sz w:val="24"/>
          <w:szCs w:val="24"/>
          <w:highlight w:val="none"/>
          <w:lang w:eastAsia="zh-CN"/>
        </w:rPr>
        <w:t>：</w:t>
      </w:r>
      <w:r>
        <w:rPr>
          <w:rFonts w:hint="eastAsia" w:ascii="新宋体" w:hAnsi="新宋体" w:eastAsia="新宋体" w:cs="新宋体"/>
          <w:color w:val="auto"/>
          <w:spacing w:val="-2"/>
          <w:sz w:val="24"/>
          <w:szCs w:val="24"/>
          <w:highlight w:val="none"/>
        </w:rPr>
        <w:t>自合同签订之日起60日历天内完成供货、安装调试及人员培训可达到能够独立操作的水平，如遇不可抗拒因素导致延期另行约定。</w:t>
      </w:r>
    </w:p>
    <w:p w14:paraId="6C4B5DEE">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项目地点：</w:t>
      </w:r>
      <w:r>
        <w:rPr>
          <w:rFonts w:hint="eastAsia"/>
          <w:color w:val="auto"/>
          <w:spacing w:val="-5"/>
          <w:sz w:val="21"/>
          <w:szCs w:val="21"/>
          <w:highlight w:val="none"/>
        </w:rPr>
        <w:t>奎屯市和伊宁市两地</w:t>
      </w:r>
    </w:p>
    <w:p w14:paraId="56D3BD0E">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 xml:space="preserve">1.2 招标单位联系人：曲志勇          联系电话：18009991686 </w:t>
      </w:r>
    </w:p>
    <w:p w14:paraId="0ADA8409">
      <w:pPr>
        <w:pageBreakBefore w:val="0"/>
        <w:wordWrap/>
        <w:overflowPunct/>
        <w:topLinePunct w:val="0"/>
        <w:bidi w:val="0"/>
        <w:adjustRightInd w:val="0"/>
        <w:spacing w:line="360" w:lineRule="auto"/>
        <w:ind w:left="0" w:right="0" w:firstLine="472" w:firstLineChars="200"/>
        <w:textAlignment w:val="baseline"/>
        <w:rPr>
          <w:rFonts w:hint="eastAsia" w:ascii="新宋体" w:hAnsi="新宋体" w:eastAsia="新宋体" w:cs="新宋体"/>
          <w:color w:val="auto"/>
          <w:spacing w:val="-2"/>
          <w:sz w:val="24"/>
          <w:szCs w:val="24"/>
          <w:highlight w:val="none"/>
          <w:lang w:eastAsia="zh-CN"/>
        </w:rPr>
      </w:pPr>
      <w:r>
        <w:rPr>
          <w:rFonts w:ascii="新宋体" w:hAnsi="新宋体" w:eastAsia="新宋体" w:cs="新宋体"/>
          <w:color w:val="auto"/>
          <w:spacing w:val="-2"/>
          <w:sz w:val="24"/>
          <w:szCs w:val="24"/>
          <w:highlight w:val="none"/>
        </w:rPr>
        <w:t>代理机构：</w:t>
      </w:r>
      <w:r>
        <w:rPr>
          <w:rFonts w:hint="eastAsia" w:ascii="新宋体" w:hAnsi="新宋体" w:eastAsia="新宋体" w:cs="新宋体"/>
          <w:color w:val="auto"/>
          <w:spacing w:val="-2"/>
          <w:sz w:val="24"/>
          <w:szCs w:val="24"/>
          <w:highlight w:val="none"/>
          <w:lang w:eastAsia="zh-CN"/>
        </w:rPr>
        <w:t>新疆惠合正德工程管理有限公司</w:t>
      </w:r>
    </w:p>
    <w:p w14:paraId="19B1236F">
      <w:pPr>
        <w:pageBreakBefore w:val="0"/>
        <w:wordWrap/>
        <w:overflowPunct/>
        <w:topLinePunct w:val="0"/>
        <w:bidi w:val="0"/>
        <w:adjustRightInd w:val="0"/>
        <w:spacing w:line="360" w:lineRule="auto"/>
        <w:ind w:left="0" w:right="0" w:firstLine="472" w:firstLineChars="200"/>
        <w:textAlignment w:val="baseline"/>
        <w:rPr>
          <w:rFonts w:hint="eastAsia" w:ascii="新宋体" w:hAnsi="新宋体" w:eastAsia="新宋体" w:cs="新宋体"/>
          <w:color w:val="auto"/>
          <w:spacing w:val="-2"/>
          <w:sz w:val="24"/>
          <w:szCs w:val="24"/>
          <w:highlight w:val="none"/>
          <w:lang w:eastAsia="zh-CN"/>
        </w:rPr>
      </w:pPr>
      <w:r>
        <w:rPr>
          <w:rFonts w:ascii="新宋体" w:hAnsi="新宋体" w:eastAsia="新宋体" w:cs="新宋体"/>
          <w:color w:val="auto"/>
          <w:spacing w:val="-2"/>
          <w:sz w:val="24"/>
          <w:szCs w:val="24"/>
          <w:highlight w:val="none"/>
        </w:rPr>
        <w:t>联系人：</w:t>
      </w:r>
      <w:r>
        <w:rPr>
          <w:rFonts w:hint="eastAsia" w:ascii="新宋体" w:hAnsi="新宋体" w:eastAsia="新宋体" w:cs="新宋体"/>
          <w:color w:val="auto"/>
          <w:spacing w:val="-2"/>
          <w:sz w:val="24"/>
          <w:szCs w:val="24"/>
          <w:highlight w:val="none"/>
          <w:lang w:eastAsia="zh-CN"/>
        </w:rPr>
        <w:t>王雪梅</w:t>
      </w:r>
      <w:r>
        <w:rPr>
          <w:rFonts w:ascii="新宋体" w:hAnsi="新宋体" w:eastAsia="新宋体" w:cs="新宋体"/>
          <w:color w:val="auto"/>
          <w:spacing w:val="-2"/>
          <w:sz w:val="24"/>
          <w:szCs w:val="24"/>
          <w:highlight w:val="none"/>
        </w:rPr>
        <w:t xml:space="preserve">                      联系电话：</w:t>
      </w:r>
      <w:r>
        <w:rPr>
          <w:rFonts w:hint="eastAsia" w:ascii="新宋体" w:hAnsi="新宋体" w:eastAsia="新宋体" w:cs="新宋体"/>
          <w:color w:val="auto"/>
          <w:spacing w:val="-2"/>
          <w:sz w:val="24"/>
          <w:szCs w:val="24"/>
          <w:highlight w:val="none"/>
          <w:lang w:eastAsia="zh-CN"/>
        </w:rPr>
        <w:t>15292770229</w:t>
      </w:r>
    </w:p>
    <w:p w14:paraId="2A29D929">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1.3 资金来源：</w:t>
      </w:r>
      <w:r>
        <w:rPr>
          <w:rFonts w:hint="eastAsia" w:ascii="新宋体" w:hAnsi="新宋体" w:eastAsia="新宋体" w:cs="新宋体"/>
          <w:color w:val="auto"/>
          <w:spacing w:val="-2"/>
          <w:sz w:val="24"/>
          <w:szCs w:val="24"/>
          <w:highlight w:val="none"/>
          <w:lang w:val="en-US" w:eastAsia="zh-CN"/>
        </w:rPr>
        <w:t>2025年度纤维公证检验经费</w:t>
      </w:r>
    </w:p>
    <w:p w14:paraId="0EEA11A7">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1.4 本项目预算：</w:t>
      </w:r>
      <w:r>
        <w:rPr>
          <w:rFonts w:hint="eastAsia" w:ascii="新宋体" w:hAnsi="新宋体" w:eastAsia="新宋体" w:cs="新宋体"/>
          <w:color w:val="auto"/>
          <w:spacing w:val="-2"/>
          <w:sz w:val="24"/>
          <w:szCs w:val="24"/>
          <w:highlight w:val="none"/>
          <w:lang w:val="en-US" w:eastAsia="zh-CN"/>
        </w:rPr>
        <w:t>小写：959万元（大写：玖佰伍拾玖万元整）</w:t>
      </w:r>
      <w:r>
        <w:rPr>
          <w:rFonts w:ascii="新宋体" w:hAnsi="新宋体" w:eastAsia="新宋体" w:cs="新宋体"/>
          <w:color w:val="auto"/>
          <w:spacing w:val="-2"/>
          <w:sz w:val="24"/>
          <w:szCs w:val="24"/>
          <w:highlight w:val="none"/>
        </w:rPr>
        <w:t>投标人报价不得高于预算价。</w:t>
      </w:r>
    </w:p>
    <w:p w14:paraId="0B4648CB">
      <w:pPr>
        <w:pStyle w:val="4"/>
        <w:pageBreakBefore w:val="0"/>
        <w:wordWrap/>
        <w:overflowPunct/>
        <w:topLinePunct w:val="0"/>
        <w:bidi w:val="0"/>
        <w:adjustRightInd w:val="0"/>
        <w:spacing w:line="360" w:lineRule="auto"/>
        <w:ind w:left="0" w:right="0" w:firstLine="480" w:firstLineChars="200"/>
        <w:textAlignment w:val="baseline"/>
        <w:rPr>
          <w:color w:val="auto"/>
          <w:sz w:val="24"/>
          <w:szCs w:val="24"/>
          <w:highlight w:val="none"/>
        </w:rPr>
      </w:pPr>
      <w:r>
        <w:rPr>
          <w:b/>
          <w:bCs/>
          <w:color w:val="auto"/>
          <w:sz w:val="24"/>
          <w:szCs w:val="24"/>
          <w:highlight w:val="none"/>
        </w:rPr>
        <w:t>2.</w:t>
      </w:r>
      <w:r>
        <w:rPr>
          <w:b/>
          <w:bCs/>
          <w:color w:val="auto"/>
          <w:spacing w:val="63"/>
          <w:sz w:val="24"/>
          <w:szCs w:val="24"/>
          <w:highlight w:val="none"/>
        </w:rPr>
        <w:t xml:space="preserve"> </w:t>
      </w:r>
      <w:r>
        <w:rPr>
          <w:b/>
          <w:bCs/>
          <w:color w:val="auto"/>
          <w:sz w:val="24"/>
          <w:szCs w:val="24"/>
          <w:highlight w:val="none"/>
        </w:rPr>
        <w:t>招标范围</w:t>
      </w:r>
    </w:p>
    <w:p w14:paraId="6EB4127C">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2.1</w:t>
      </w:r>
      <w:r>
        <w:rPr>
          <w:rFonts w:ascii="新宋体" w:hAnsi="新宋体" w:eastAsia="新宋体" w:cs="新宋体"/>
          <w:color w:val="auto"/>
          <w:spacing w:val="-31"/>
          <w:sz w:val="24"/>
          <w:szCs w:val="24"/>
          <w:highlight w:val="none"/>
        </w:rPr>
        <w:t xml:space="preserve"> </w:t>
      </w:r>
      <w:r>
        <w:rPr>
          <w:rFonts w:ascii="新宋体" w:hAnsi="新宋体" w:eastAsia="新宋体" w:cs="新宋体"/>
          <w:color w:val="auto"/>
          <w:spacing w:val="-2"/>
          <w:sz w:val="24"/>
          <w:szCs w:val="24"/>
          <w:highlight w:val="none"/>
        </w:rPr>
        <w:t>采购内容：</w:t>
      </w:r>
      <w:r>
        <w:rPr>
          <w:rFonts w:hint="eastAsia" w:ascii="新宋体" w:hAnsi="新宋体" w:eastAsia="新宋体" w:cs="新宋体"/>
          <w:color w:val="auto"/>
          <w:spacing w:val="-2"/>
          <w:sz w:val="24"/>
          <w:szCs w:val="24"/>
          <w:highlight w:val="none"/>
        </w:rPr>
        <w:t>购置棉花和纺织品仪器设备38（台）套。</w:t>
      </w:r>
      <w:r>
        <w:rPr>
          <w:rFonts w:ascii="新宋体" w:hAnsi="新宋体" w:eastAsia="新宋体" w:cs="新宋体"/>
          <w:color w:val="auto"/>
          <w:spacing w:val="-2"/>
          <w:sz w:val="24"/>
          <w:szCs w:val="24"/>
          <w:highlight w:val="none"/>
        </w:rPr>
        <w:t>（详见</w:t>
      </w:r>
      <w:r>
        <w:rPr>
          <w:rFonts w:hint="eastAsia" w:ascii="新宋体" w:hAnsi="新宋体" w:eastAsia="新宋体" w:cs="新宋体"/>
          <w:color w:val="auto"/>
          <w:spacing w:val="-2"/>
          <w:sz w:val="24"/>
          <w:szCs w:val="24"/>
          <w:highlight w:val="none"/>
          <w:lang w:val="en-US" w:eastAsia="zh-CN"/>
        </w:rPr>
        <w:t>采购清单</w:t>
      </w:r>
      <w:r>
        <w:rPr>
          <w:rFonts w:ascii="新宋体" w:hAnsi="新宋体" w:eastAsia="新宋体" w:cs="新宋体"/>
          <w:color w:val="auto"/>
          <w:spacing w:val="-2"/>
          <w:sz w:val="24"/>
          <w:szCs w:val="24"/>
          <w:highlight w:val="none"/>
        </w:rPr>
        <w:t>）。</w:t>
      </w:r>
    </w:p>
    <w:p w14:paraId="37A8808B">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2.2</w:t>
      </w:r>
      <w:r>
        <w:rPr>
          <w:rFonts w:ascii="新宋体" w:hAnsi="新宋体" w:eastAsia="新宋体" w:cs="新宋体"/>
          <w:color w:val="auto"/>
          <w:spacing w:val="-44"/>
          <w:sz w:val="24"/>
          <w:szCs w:val="24"/>
          <w:highlight w:val="none"/>
        </w:rPr>
        <w:t xml:space="preserve"> </w:t>
      </w:r>
      <w:r>
        <w:rPr>
          <w:rFonts w:ascii="新宋体" w:hAnsi="新宋体" w:eastAsia="新宋体" w:cs="新宋体"/>
          <w:color w:val="auto"/>
          <w:spacing w:val="-2"/>
          <w:sz w:val="24"/>
          <w:szCs w:val="24"/>
          <w:highlight w:val="none"/>
        </w:rPr>
        <w:t>技术要求：详见招标文件第四章采购清单及</w:t>
      </w:r>
      <w:r>
        <w:rPr>
          <w:rFonts w:ascii="新宋体" w:hAnsi="新宋体" w:eastAsia="新宋体" w:cs="新宋体"/>
          <w:color w:val="auto"/>
          <w:spacing w:val="-3"/>
          <w:sz w:val="24"/>
          <w:szCs w:val="24"/>
          <w:highlight w:val="none"/>
        </w:rPr>
        <w:t>技术参数。</w:t>
      </w:r>
    </w:p>
    <w:p w14:paraId="5119064E">
      <w:pPr>
        <w:pStyle w:val="4"/>
        <w:pageBreakBefore w:val="0"/>
        <w:wordWrap/>
        <w:overflowPunct/>
        <w:topLinePunct w:val="0"/>
        <w:bidi w:val="0"/>
        <w:adjustRightInd w:val="0"/>
        <w:spacing w:line="360" w:lineRule="auto"/>
        <w:ind w:left="0" w:right="0" w:firstLine="452" w:firstLineChars="200"/>
        <w:textAlignment w:val="baseline"/>
        <w:rPr>
          <w:color w:val="auto"/>
          <w:sz w:val="24"/>
          <w:szCs w:val="24"/>
          <w:highlight w:val="none"/>
        </w:rPr>
      </w:pPr>
      <w:r>
        <w:rPr>
          <w:b/>
          <w:bCs/>
          <w:color w:val="auto"/>
          <w:spacing w:val="-7"/>
          <w:sz w:val="24"/>
          <w:szCs w:val="24"/>
          <w:highlight w:val="none"/>
        </w:rPr>
        <w:t>3.</w:t>
      </w:r>
      <w:r>
        <w:rPr>
          <w:b/>
          <w:bCs/>
          <w:color w:val="auto"/>
          <w:spacing w:val="66"/>
          <w:w w:val="101"/>
          <w:sz w:val="24"/>
          <w:szCs w:val="24"/>
          <w:highlight w:val="none"/>
        </w:rPr>
        <w:t xml:space="preserve"> </w:t>
      </w:r>
      <w:r>
        <w:rPr>
          <w:b/>
          <w:bCs/>
          <w:color w:val="auto"/>
          <w:spacing w:val="-7"/>
          <w:sz w:val="24"/>
          <w:szCs w:val="24"/>
          <w:highlight w:val="none"/>
        </w:rPr>
        <w:t>标段划分：</w:t>
      </w:r>
    </w:p>
    <w:p w14:paraId="3199BA85">
      <w:pPr>
        <w:pageBreakBefore w:val="0"/>
        <w:wordWrap/>
        <w:overflowPunct/>
        <w:topLinePunct w:val="0"/>
        <w:bidi w:val="0"/>
        <w:adjustRightIn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3.1</w:t>
      </w:r>
      <w:r>
        <w:rPr>
          <w:rFonts w:ascii="新宋体" w:hAnsi="新宋体" w:eastAsia="新宋体" w:cs="新宋体"/>
          <w:color w:val="auto"/>
          <w:spacing w:val="-34"/>
          <w:sz w:val="24"/>
          <w:szCs w:val="24"/>
          <w:highlight w:val="none"/>
        </w:rPr>
        <w:t xml:space="preserve"> </w:t>
      </w:r>
      <w:r>
        <w:rPr>
          <w:rFonts w:ascii="新宋体" w:hAnsi="新宋体" w:eastAsia="新宋体" w:cs="新宋体"/>
          <w:color w:val="auto"/>
          <w:spacing w:val="-4"/>
          <w:sz w:val="24"/>
          <w:szCs w:val="24"/>
          <w:highlight w:val="none"/>
        </w:rPr>
        <w:t>本项目划分：1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4"/>
          <w:sz w:val="24"/>
          <w:szCs w:val="24"/>
          <w:highlight w:val="none"/>
        </w:rPr>
        <w:t>个标段</w:t>
      </w:r>
    </w:p>
    <w:p w14:paraId="5BC30232">
      <w:pPr>
        <w:pStyle w:val="4"/>
        <w:pageBreakBefore w:val="0"/>
        <w:wordWrap/>
        <w:overflowPunct/>
        <w:topLinePunct w:val="0"/>
        <w:bidi w:val="0"/>
        <w:adjustRightInd w:val="0"/>
        <w:spacing w:line="360" w:lineRule="auto"/>
        <w:ind w:left="0" w:right="0" w:firstLine="456" w:firstLineChars="200"/>
        <w:textAlignment w:val="baseline"/>
        <w:rPr>
          <w:color w:val="auto"/>
          <w:sz w:val="24"/>
          <w:szCs w:val="24"/>
          <w:highlight w:val="none"/>
        </w:rPr>
      </w:pPr>
      <w:r>
        <w:rPr>
          <w:b/>
          <w:bCs/>
          <w:color w:val="auto"/>
          <w:spacing w:val="-6"/>
          <w:sz w:val="24"/>
          <w:szCs w:val="24"/>
          <w:highlight w:val="none"/>
        </w:rPr>
        <w:t>4.</w:t>
      </w:r>
      <w:r>
        <w:rPr>
          <w:b/>
          <w:bCs/>
          <w:color w:val="auto"/>
          <w:spacing w:val="65"/>
          <w:w w:val="101"/>
          <w:sz w:val="24"/>
          <w:szCs w:val="24"/>
          <w:highlight w:val="none"/>
        </w:rPr>
        <w:t xml:space="preserve"> </w:t>
      </w:r>
      <w:r>
        <w:rPr>
          <w:b/>
          <w:bCs/>
          <w:color w:val="auto"/>
          <w:spacing w:val="-6"/>
          <w:sz w:val="24"/>
          <w:szCs w:val="24"/>
          <w:highlight w:val="none"/>
        </w:rPr>
        <w:t>招标方式：</w:t>
      </w:r>
    </w:p>
    <w:p w14:paraId="644EC60F">
      <w:pPr>
        <w:pageBreakBefore w:val="0"/>
        <w:wordWrap/>
        <w:overflowPunct/>
        <w:topLinePunct w:val="0"/>
        <w:bidi w:val="0"/>
        <w:adjustRightIn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4.1</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4"/>
          <w:sz w:val="24"/>
          <w:szCs w:val="24"/>
          <w:highlight w:val="none"/>
        </w:rPr>
        <w:t>本项目招标方式：公开招标。</w:t>
      </w:r>
    </w:p>
    <w:p w14:paraId="1EDAC188">
      <w:pPr>
        <w:pStyle w:val="4"/>
        <w:pageBreakBefore w:val="0"/>
        <w:wordWrap/>
        <w:overflowPunct/>
        <w:topLinePunct w:val="0"/>
        <w:bidi w:val="0"/>
        <w:adjustRightInd w:val="0"/>
        <w:spacing w:line="360" w:lineRule="auto"/>
        <w:ind w:left="0" w:right="0" w:firstLine="452" w:firstLineChars="200"/>
        <w:textAlignment w:val="baseline"/>
        <w:rPr>
          <w:color w:val="auto"/>
          <w:sz w:val="24"/>
          <w:szCs w:val="24"/>
          <w:highlight w:val="none"/>
        </w:rPr>
      </w:pPr>
      <w:r>
        <w:rPr>
          <w:b/>
          <w:bCs/>
          <w:color w:val="auto"/>
          <w:spacing w:val="-7"/>
          <w:sz w:val="24"/>
          <w:szCs w:val="24"/>
          <w:highlight w:val="none"/>
        </w:rPr>
        <w:t>5.</w:t>
      </w:r>
      <w:r>
        <w:rPr>
          <w:b/>
          <w:bCs/>
          <w:color w:val="auto"/>
          <w:spacing w:val="67"/>
          <w:sz w:val="24"/>
          <w:szCs w:val="24"/>
          <w:highlight w:val="none"/>
        </w:rPr>
        <w:t xml:space="preserve"> </w:t>
      </w:r>
      <w:r>
        <w:rPr>
          <w:b/>
          <w:bCs/>
          <w:color w:val="auto"/>
          <w:spacing w:val="-7"/>
          <w:sz w:val="24"/>
          <w:szCs w:val="24"/>
          <w:highlight w:val="none"/>
        </w:rPr>
        <w:t>计价方式：</w:t>
      </w:r>
    </w:p>
    <w:p w14:paraId="2CAA6389">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5.1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2"/>
          <w:sz w:val="24"/>
          <w:szCs w:val="24"/>
          <w:highlight w:val="none"/>
        </w:rPr>
        <w:t>本次招标项目合同采用</w:t>
      </w:r>
      <w:r>
        <w:rPr>
          <w:rFonts w:hint="eastAsia" w:ascii="新宋体" w:hAnsi="新宋体" w:eastAsia="新宋体" w:cs="新宋体"/>
          <w:color w:val="auto"/>
          <w:spacing w:val="-2"/>
          <w:sz w:val="24"/>
          <w:szCs w:val="24"/>
          <w:highlight w:val="none"/>
          <w:u w:val="single" w:color="auto"/>
        </w:rPr>
        <w:t xml:space="preserve">  固定总价合同  </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2"/>
          <w:sz w:val="24"/>
          <w:szCs w:val="24"/>
          <w:highlight w:val="none"/>
        </w:rPr>
        <w:t>。</w:t>
      </w:r>
    </w:p>
    <w:p w14:paraId="68B76E62">
      <w:pPr>
        <w:pStyle w:val="4"/>
        <w:pageBreakBefore w:val="0"/>
        <w:wordWrap/>
        <w:overflowPunct/>
        <w:topLinePunct w:val="0"/>
        <w:bidi w:val="0"/>
        <w:adjustRightInd w:val="0"/>
        <w:spacing w:line="360" w:lineRule="auto"/>
        <w:ind w:left="0" w:right="0" w:firstLine="452" w:firstLineChars="200"/>
        <w:textAlignment w:val="baseline"/>
        <w:rPr>
          <w:color w:val="auto"/>
          <w:sz w:val="24"/>
          <w:szCs w:val="24"/>
          <w:highlight w:val="none"/>
        </w:rPr>
      </w:pPr>
      <w:r>
        <w:rPr>
          <w:b/>
          <w:bCs/>
          <w:color w:val="auto"/>
          <w:spacing w:val="-7"/>
          <w:sz w:val="24"/>
          <w:szCs w:val="24"/>
          <w:highlight w:val="none"/>
        </w:rPr>
        <w:t>6.</w:t>
      </w:r>
      <w:r>
        <w:rPr>
          <w:b/>
          <w:bCs/>
          <w:color w:val="auto"/>
          <w:spacing w:val="70"/>
          <w:sz w:val="24"/>
          <w:szCs w:val="24"/>
          <w:highlight w:val="none"/>
        </w:rPr>
        <w:t xml:space="preserve"> </w:t>
      </w:r>
      <w:r>
        <w:rPr>
          <w:b/>
          <w:bCs/>
          <w:color w:val="auto"/>
          <w:spacing w:val="-7"/>
          <w:sz w:val="24"/>
          <w:szCs w:val="24"/>
          <w:highlight w:val="none"/>
        </w:rPr>
        <w:t>评标办法：</w:t>
      </w:r>
    </w:p>
    <w:p w14:paraId="06CB4CBF">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6.1</w:t>
      </w:r>
      <w:r>
        <w:rPr>
          <w:rFonts w:ascii="新宋体" w:hAnsi="新宋体" w:eastAsia="新宋体" w:cs="新宋体"/>
          <w:color w:val="auto"/>
          <w:spacing w:val="-26"/>
          <w:sz w:val="24"/>
          <w:szCs w:val="24"/>
          <w:highlight w:val="none"/>
        </w:rPr>
        <w:t xml:space="preserve"> </w:t>
      </w:r>
      <w:r>
        <w:rPr>
          <w:rFonts w:ascii="新宋体" w:hAnsi="新宋体" w:eastAsia="新宋体" w:cs="新宋体"/>
          <w:color w:val="auto"/>
          <w:spacing w:val="-2"/>
          <w:sz w:val="24"/>
          <w:szCs w:val="24"/>
          <w:highlight w:val="none"/>
        </w:rPr>
        <w:t>本次招标评标采用</w:t>
      </w:r>
      <w:r>
        <w:rPr>
          <w:rFonts w:ascii="新宋体" w:hAnsi="新宋体" w:eastAsia="新宋体" w:cs="新宋体"/>
          <w:color w:val="auto"/>
          <w:spacing w:val="-2"/>
          <w:sz w:val="24"/>
          <w:szCs w:val="24"/>
          <w:highlight w:val="none"/>
          <w:u w:val="single" w:color="auto"/>
        </w:rPr>
        <w:t xml:space="preserve">  综合评分法 </w:t>
      </w:r>
      <w:r>
        <w:rPr>
          <w:rFonts w:ascii="新宋体" w:hAnsi="新宋体" w:eastAsia="新宋体" w:cs="新宋体"/>
          <w:color w:val="auto"/>
          <w:spacing w:val="-2"/>
          <w:sz w:val="24"/>
          <w:szCs w:val="24"/>
          <w:highlight w:val="none"/>
        </w:rPr>
        <w:t>（详见第三章评标办法）</w:t>
      </w:r>
    </w:p>
    <w:p w14:paraId="1E106415">
      <w:pPr>
        <w:pStyle w:val="4"/>
        <w:pageBreakBefore w:val="0"/>
        <w:wordWrap/>
        <w:overflowPunct/>
        <w:topLinePunct w:val="0"/>
        <w:bidi w:val="0"/>
        <w:adjustRightInd w:val="0"/>
        <w:spacing w:line="360" w:lineRule="auto"/>
        <w:ind w:left="0" w:right="0" w:firstLine="456" w:firstLineChars="200"/>
        <w:textAlignment w:val="baseline"/>
        <w:rPr>
          <w:color w:val="auto"/>
          <w:sz w:val="24"/>
          <w:szCs w:val="24"/>
          <w:highlight w:val="none"/>
        </w:rPr>
      </w:pPr>
      <w:r>
        <w:rPr>
          <w:b/>
          <w:bCs/>
          <w:color w:val="auto"/>
          <w:spacing w:val="-6"/>
          <w:sz w:val="24"/>
          <w:szCs w:val="24"/>
          <w:highlight w:val="none"/>
        </w:rPr>
        <w:t>7.</w:t>
      </w:r>
      <w:r>
        <w:rPr>
          <w:b/>
          <w:bCs/>
          <w:color w:val="auto"/>
          <w:spacing w:val="63"/>
          <w:sz w:val="24"/>
          <w:szCs w:val="24"/>
          <w:highlight w:val="none"/>
        </w:rPr>
        <w:t xml:space="preserve"> </w:t>
      </w:r>
      <w:r>
        <w:rPr>
          <w:b/>
          <w:bCs/>
          <w:color w:val="auto"/>
          <w:spacing w:val="-6"/>
          <w:sz w:val="24"/>
          <w:szCs w:val="24"/>
          <w:highlight w:val="none"/>
        </w:rPr>
        <w:t>投标人资格：</w:t>
      </w:r>
    </w:p>
    <w:p w14:paraId="29D456FB">
      <w:pPr>
        <w:pageBreakBefore w:val="0"/>
        <w:wordWrap/>
        <w:overflowPunct/>
        <w:topLinePunct w:val="0"/>
        <w:bidi w:val="0"/>
        <w:adjustRightInd w:val="0"/>
        <w:spacing w:line="360" w:lineRule="auto"/>
        <w:ind w:left="0" w:right="0" w:firstLine="47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7.1 见投标人须知前附表</w:t>
      </w:r>
    </w:p>
    <w:p w14:paraId="536FB258">
      <w:pPr>
        <w:pStyle w:val="4"/>
        <w:pageBreakBefore w:val="0"/>
        <w:wordWrap/>
        <w:overflowPunct/>
        <w:topLinePunct w:val="0"/>
        <w:bidi w:val="0"/>
        <w:adjustRightInd w:val="0"/>
        <w:spacing w:line="360" w:lineRule="auto"/>
        <w:ind w:left="0" w:right="0" w:firstLine="480" w:firstLineChars="200"/>
        <w:textAlignment w:val="baseline"/>
        <w:rPr>
          <w:color w:val="auto"/>
          <w:sz w:val="24"/>
          <w:szCs w:val="24"/>
          <w:highlight w:val="none"/>
        </w:rPr>
      </w:pPr>
      <w:r>
        <w:rPr>
          <w:b/>
          <w:bCs/>
          <w:color w:val="auto"/>
          <w:sz w:val="24"/>
          <w:szCs w:val="24"/>
          <w:highlight w:val="none"/>
        </w:rPr>
        <w:t>8.</w:t>
      </w:r>
      <w:r>
        <w:rPr>
          <w:b/>
          <w:bCs/>
          <w:color w:val="auto"/>
          <w:spacing w:val="65"/>
          <w:sz w:val="24"/>
          <w:szCs w:val="24"/>
          <w:highlight w:val="none"/>
        </w:rPr>
        <w:t xml:space="preserve"> </w:t>
      </w:r>
      <w:r>
        <w:rPr>
          <w:b/>
          <w:bCs/>
          <w:color w:val="auto"/>
          <w:sz w:val="24"/>
          <w:szCs w:val="24"/>
          <w:highlight w:val="none"/>
        </w:rPr>
        <w:t>投标费用</w:t>
      </w:r>
    </w:p>
    <w:p w14:paraId="3A191547">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8.1</w:t>
      </w:r>
      <w:r>
        <w:rPr>
          <w:rFonts w:ascii="新宋体" w:hAnsi="新宋体" w:eastAsia="新宋体" w:cs="新宋体"/>
          <w:color w:val="auto"/>
          <w:spacing w:val="-31"/>
          <w:sz w:val="24"/>
          <w:szCs w:val="24"/>
          <w:highlight w:val="none"/>
        </w:rPr>
        <w:t xml:space="preserve"> </w:t>
      </w:r>
      <w:r>
        <w:rPr>
          <w:rFonts w:ascii="新宋体" w:hAnsi="新宋体" w:eastAsia="新宋体" w:cs="新宋体"/>
          <w:color w:val="auto"/>
          <w:spacing w:val="-3"/>
          <w:sz w:val="24"/>
          <w:szCs w:val="24"/>
          <w:highlight w:val="none"/>
        </w:rPr>
        <w:t>投标人准备和参加投标活动发生的费用自理。</w:t>
      </w:r>
    </w:p>
    <w:p w14:paraId="47877874">
      <w:pPr>
        <w:pStyle w:val="4"/>
        <w:pageBreakBefore w:val="0"/>
        <w:wordWrap/>
        <w:overflowPunct/>
        <w:topLinePunct w:val="0"/>
        <w:bidi w:val="0"/>
        <w:adjustRightInd w:val="0"/>
        <w:spacing w:line="360" w:lineRule="auto"/>
        <w:ind w:left="0" w:right="0" w:firstLine="480" w:firstLineChars="200"/>
        <w:textAlignment w:val="baseline"/>
        <w:rPr>
          <w:rFonts w:ascii="Arial"/>
          <w:color w:val="auto"/>
          <w:sz w:val="21"/>
          <w:highlight w:val="none"/>
        </w:rPr>
      </w:pPr>
      <w:r>
        <w:rPr>
          <w:b/>
          <w:bCs/>
          <w:color w:val="auto"/>
          <w:sz w:val="24"/>
          <w:szCs w:val="24"/>
          <w:highlight w:val="none"/>
        </w:rPr>
        <w:t>9.</w:t>
      </w:r>
      <w:r>
        <w:rPr>
          <w:b/>
          <w:bCs/>
          <w:color w:val="auto"/>
          <w:spacing w:val="66"/>
          <w:sz w:val="24"/>
          <w:szCs w:val="24"/>
          <w:highlight w:val="none"/>
        </w:rPr>
        <w:t xml:space="preserve"> </w:t>
      </w:r>
      <w:r>
        <w:rPr>
          <w:b/>
          <w:bCs/>
          <w:color w:val="auto"/>
          <w:sz w:val="24"/>
          <w:szCs w:val="24"/>
          <w:highlight w:val="none"/>
        </w:rPr>
        <w:t>踏勘现场</w:t>
      </w:r>
    </w:p>
    <w:p w14:paraId="3D6EA880">
      <w:pPr>
        <w:pageBreakBefore w:val="0"/>
        <w:wordWrap/>
        <w:overflowPunct/>
        <w:topLinePunct w:val="0"/>
        <w:bidi w:val="0"/>
        <w:adjustRightInd w:val="0"/>
        <w:spacing w:line="360" w:lineRule="auto"/>
        <w:ind w:left="0" w:right="0" w:firstLine="47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9.1</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投标人须知前附表规定组织踏勘现场的，招标人按</w:t>
      </w:r>
      <w:r>
        <w:rPr>
          <w:rFonts w:ascii="新宋体" w:hAnsi="新宋体" w:eastAsia="新宋体" w:cs="新宋体"/>
          <w:color w:val="auto"/>
          <w:spacing w:val="-2"/>
          <w:sz w:val="24"/>
          <w:szCs w:val="24"/>
          <w:highlight w:val="none"/>
        </w:rPr>
        <w:t>投标人须知前附表规定的时间、地</w:t>
      </w:r>
      <w:r>
        <w:rPr>
          <w:rFonts w:ascii="新宋体" w:hAnsi="新宋体" w:eastAsia="新宋体" w:cs="新宋体"/>
          <w:color w:val="auto"/>
          <w:spacing w:val="-5"/>
          <w:sz w:val="24"/>
          <w:szCs w:val="24"/>
          <w:highlight w:val="none"/>
        </w:rPr>
        <w:t>点组织投标人踏勘项目现场。</w:t>
      </w:r>
    </w:p>
    <w:p w14:paraId="0208F808">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9.2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3"/>
          <w:sz w:val="24"/>
          <w:szCs w:val="24"/>
          <w:highlight w:val="none"/>
        </w:rPr>
        <w:t>投标人踏勘现场发生的费用自理。</w:t>
      </w:r>
    </w:p>
    <w:p w14:paraId="2DFD1460">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9.3</w:t>
      </w:r>
      <w:r>
        <w:rPr>
          <w:rFonts w:ascii="新宋体" w:hAnsi="新宋体" w:eastAsia="新宋体" w:cs="新宋体"/>
          <w:color w:val="auto"/>
          <w:spacing w:val="-23"/>
          <w:sz w:val="24"/>
          <w:szCs w:val="24"/>
          <w:highlight w:val="none"/>
        </w:rPr>
        <w:t xml:space="preserve"> </w:t>
      </w:r>
      <w:r>
        <w:rPr>
          <w:rFonts w:ascii="新宋体" w:hAnsi="新宋体" w:eastAsia="新宋体" w:cs="新宋体"/>
          <w:color w:val="auto"/>
          <w:spacing w:val="-2"/>
          <w:sz w:val="24"/>
          <w:szCs w:val="24"/>
          <w:highlight w:val="none"/>
        </w:rPr>
        <w:t>除招标人的原因外，投标人自行负责在踏勘现场中所发生的人员伤亡和财产损失。</w:t>
      </w:r>
    </w:p>
    <w:p w14:paraId="0494BC39">
      <w:pPr>
        <w:pageBreakBefore w:val="0"/>
        <w:wordWrap/>
        <w:overflowPunct/>
        <w:topLinePunct w:val="0"/>
        <w:bidi w:val="0"/>
        <w:adjustRightInd w:val="0"/>
        <w:spacing w:line="360" w:lineRule="auto"/>
        <w:ind w:left="0" w:right="0" w:firstLine="47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9.4</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招标人在踏勘现场中介绍的场地和相关的周边环境</w:t>
      </w:r>
      <w:r>
        <w:rPr>
          <w:rFonts w:ascii="新宋体" w:hAnsi="新宋体" w:eastAsia="新宋体" w:cs="新宋体"/>
          <w:color w:val="auto"/>
          <w:spacing w:val="-2"/>
          <w:sz w:val="24"/>
          <w:szCs w:val="24"/>
          <w:highlight w:val="none"/>
        </w:rPr>
        <w:t>情况，供投标人在编制投标文件时参考，招标人不对投标人据此作出的判断和决策</w:t>
      </w:r>
      <w:r>
        <w:rPr>
          <w:rFonts w:ascii="新宋体" w:hAnsi="新宋体" w:eastAsia="新宋体" w:cs="新宋体"/>
          <w:color w:val="auto"/>
          <w:spacing w:val="-3"/>
          <w:sz w:val="24"/>
          <w:szCs w:val="24"/>
          <w:highlight w:val="none"/>
        </w:rPr>
        <w:t>负责。</w:t>
      </w:r>
    </w:p>
    <w:p w14:paraId="4D627067">
      <w:pPr>
        <w:pStyle w:val="4"/>
        <w:pageBreakBefore w:val="0"/>
        <w:wordWrap/>
        <w:overflowPunct/>
        <w:topLinePunct w:val="0"/>
        <w:bidi w:val="0"/>
        <w:adjustRightInd w:val="0"/>
        <w:spacing w:line="360" w:lineRule="auto"/>
        <w:ind w:left="0" w:right="0" w:firstLine="456" w:firstLineChars="200"/>
        <w:textAlignment w:val="baseline"/>
        <w:rPr>
          <w:color w:val="auto"/>
          <w:sz w:val="24"/>
          <w:szCs w:val="24"/>
          <w:highlight w:val="none"/>
        </w:rPr>
      </w:pPr>
      <w:r>
        <w:rPr>
          <w:b/>
          <w:bCs/>
          <w:color w:val="auto"/>
          <w:spacing w:val="-6"/>
          <w:sz w:val="24"/>
          <w:szCs w:val="24"/>
          <w:highlight w:val="none"/>
        </w:rPr>
        <w:t>10.</w:t>
      </w:r>
      <w:r>
        <w:rPr>
          <w:b/>
          <w:bCs/>
          <w:color w:val="auto"/>
          <w:spacing w:val="67"/>
          <w:w w:val="101"/>
          <w:sz w:val="24"/>
          <w:szCs w:val="24"/>
          <w:highlight w:val="none"/>
        </w:rPr>
        <w:t xml:space="preserve"> </w:t>
      </w:r>
      <w:r>
        <w:rPr>
          <w:b/>
          <w:bCs/>
          <w:color w:val="auto"/>
          <w:spacing w:val="-6"/>
          <w:sz w:val="24"/>
          <w:szCs w:val="24"/>
          <w:highlight w:val="none"/>
        </w:rPr>
        <w:t>投标预备会</w:t>
      </w:r>
    </w:p>
    <w:p w14:paraId="4CA73D20">
      <w:pPr>
        <w:pageBreakBefore w:val="0"/>
        <w:wordWrap/>
        <w:overflowPunct/>
        <w:topLinePunct w:val="0"/>
        <w:bidi w:val="0"/>
        <w:adjustRightInd w:val="0"/>
        <w:spacing w:line="360" w:lineRule="auto"/>
        <w:ind w:left="0" w:right="0" w:firstLine="48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10.1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投标人须知前附表规定召开投标预备会的，招标人按投标人须知前附表规定的时间</w:t>
      </w:r>
      <w:r>
        <w:rPr>
          <w:rFonts w:ascii="新宋体" w:hAnsi="新宋体" w:eastAsia="新宋体" w:cs="新宋体"/>
          <w:color w:val="auto"/>
          <w:spacing w:val="-2"/>
          <w:sz w:val="24"/>
          <w:szCs w:val="24"/>
          <w:highlight w:val="none"/>
        </w:rPr>
        <w:t>和地点召开投标预备会，澄清投标人提出的</w:t>
      </w:r>
      <w:r>
        <w:rPr>
          <w:rFonts w:ascii="新宋体" w:hAnsi="新宋体" w:eastAsia="新宋体" w:cs="新宋体"/>
          <w:color w:val="auto"/>
          <w:spacing w:val="-3"/>
          <w:sz w:val="24"/>
          <w:szCs w:val="24"/>
          <w:highlight w:val="none"/>
        </w:rPr>
        <w:t>问题。</w:t>
      </w:r>
    </w:p>
    <w:p w14:paraId="6DF12D8E">
      <w:pPr>
        <w:pageBreakBefore w:val="0"/>
        <w:wordWrap/>
        <w:overflowPunct/>
        <w:topLinePunct w:val="0"/>
        <w:bidi w:val="0"/>
        <w:adjustRightInd w:val="0"/>
        <w:spacing w:line="360" w:lineRule="auto"/>
        <w:ind w:left="0" w:right="0" w:firstLine="48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10.2</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投标人应在投标人须知前附表规定的时间前，将提出的问题送达招标人，以便招标</w:t>
      </w:r>
      <w:r>
        <w:rPr>
          <w:rFonts w:ascii="新宋体" w:hAnsi="新宋体" w:eastAsia="新宋体" w:cs="新宋体"/>
          <w:color w:val="auto"/>
          <w:spacing w:val="-10"/>
          <w:sz w:val="24"/>
          <w:szCs w:val="24"/>
          <w:highlight w:val="none"/>
        </w:rPr>
        <w:t>人澄清。</w:t>
      </w:r>
    </w:p>
    <w:p w14:paraId="2284FA81">
      <w:pPr>
        <w:pageBreakBefore w:val="0"/>
        <w:wordWrap/>
        <w:overflowPunct/>
        <w:topLinePunct w:val="0"/>
        <w:bidi w:val="0"/>
        <w:adjustRightInd w:val="0"/>
        <w:spacing w:line="360" w:lineRule="auto"/>
        <w:ind w:left="0" w:right="0" w:firstLine="48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10.3</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招标人在投标人须知前附表规定的时间，将对投标人所提的问题进行澄清。该澄清</w:t>
      </w:r>
      <w:r>
        <w:rPr>
          <w:rFonts w:ascii="新宋体" w:hAnsi="新宋体" w:eastAsia="新宋体" w:cs="新宋体"/>
          <w:color w:val="auto"/>
          <w:spacing w:val="-6"/>
          <w:sz w:val="24"/>
          <w:szCs w:val="24"/>
          <w:highlight w:val="none"/>
        </w:rPr>
        <w:t>内容为招标文件的组成部分。</w:t>
      </w:r>
    </w:p>
    <w:p w14:paraId="319E146C">
      <w:pPr>
        <w:pStyle w:val="4"/>
        <w:pageBreakBefore w:val="0"/>
        <w:wordWrap/>
        <w:overflowPunct/>
        <w:topLinePunct w:val="0"/>
        <w:bidi w:val="0"/>
        <w:adjustRightInd w:val="0"/>
        <w:spacing w:line="360" w:lineRule="auto"/>
        <w:ind w:left="0" w:right="0" w:firstLine="464" w:firstLineChars="200"/>
        <w:textAlignment w:val="baseline"/>
        <w:rPr>
          <w:color w:val="auto"/>
          <w:sz w:val="24"/>
          <w:szCs w:val="24"/>
          <w:highlight w:val="none"/>
        </w:rPr>
      </w:pPr>
      <w:r>
        <w:rPr>
          <w:b/>
          <w:bCs/>
          <w:color w:val="auto"/>
          <w:spacing w:val="-4"/>
          <w:sz w:val="24"/>
          <w:szCs w:val="24"/>
          <w:highlight w:val="none"/>
        </w:rPr>
        <w:t>11.</w:t>
      </w:r>
      <w:r>
        <w:rPr>
          <w:b/>
          <w:bCs/>
          <w:color w:val="auto"/>
          <w:spacing w:val="67"/>
          <w:sz w:val="24"/>
          <w:szCs w:val="24"/>
          <w:highlight w:val="none"/>
        </w:rPr>
        <w:t xml:space="preserve"> </w:t>
      </w:r>
      <w:r>
        <w:rPr>
          <w:b/>
          <w:bCs/>
          <w:color w:val="auto"/>
          <w:spacing w:val="-4"/>
          <w:sz w:val="24"/>
          <w:szCs w:val="24"/>
          <w:highlight w:val="none"/>
        </w:rPr>
        <w:t>联合投标：本项目不接受联合体投标。</w:t>
      </w:r>
    </w:p>
    <w:p w14:paraId="7117EA02">
      <w:pPr>
        <w:pStyle w:val="4"/>
        <w:pageBreakBefore w:val="0"/>
        <w:wordWrap/>
        <w:overflowPunct/>
        <w:topLinePunct w:val="0"/>
        <w:bidi w:val="0"/>
        <w:adjustRightInd w:val="0"/>
        <w:spacing w:line="360" w:lineRule="auto"/>
        <w:ind w:left="0" w:right="0" w:firstLine="456" w:firstLineChars="200"/>
        <w:textAlignment w:val="baseline"/>
        <w:rPr>
          <w:color w:val="auto"/>
          <w:sz w:val="24"/>
          <w:szCs w:val="24"/>
          <w:highlight w:val="none"/>
        </w:rPr>
      </w:pPr>
      <w:r>
        <w:rPr>
          <w:b/>
          <w:bCs/>
          <w:color w:val="auto"/>
          <w:spacing w:val="-6"/>
          <w:sz w:val="24"/>
          <w:szCs w:val="24"/>
          <w:highlight w:val="none"/>
        </w:rPr>
        <w:t>12.</w:t>
      </w:r>
      <w:r>
        <w:rPr>
          <w:b/>
          <w:bCs/>
          <w:color w:val="auto"/>
          <w:spacing w:val="67"/>
          <w:w w:val="101"/>
          <w:sz w:val="24"/>
          <w:szCs w:val="24"/>
          <w:highlight w:val="none"/>
        </w:rPr>
        <w:t xml:space="preserve"> </w:t>
      </w:r>
      <w:r>
        <w:rPr>
          <w:b/>
          <w:bCs/>
          <w:color w:val="auto"/>
          <w:spacing w:val="-6"/>
          <w:sz w:val="24"/>
          <w:szCs w:val="24"/>
          <w:highlight w:val="none"/>
        </w:rPr>
        <w:t>招标代理费</w:t>
      </w:r>
    </w:p>
    <w:p w14:paraId="55D9B507">
      <w:pPr>
        <w:pageBreakBefore w:val="0"/>
        <w:wordWrap/>
        <w:overflowPunct/>
        <w:topLinePunct w:val="0"/>
        <w:bidi w:val="0"/>
        <w:adjustRightIn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12.1</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5"/>
          <w:sz w:val="24"/>
          <w:szCs w:val="24"/>
          <w:highlight w:val="none"/>
        </w:rPr>
        <w:t>招标代理费由中标方支付。</w:t>
      </w:r>
    </w:p>
    <w:p w14:paraId="5E84F251">
      <w:pPr>
        <w:pStyle w:val="4"/>
        <w:pageBreakBefore w:val="0"/>
        <w:wordWrap/>
        <w:overflowPunct/>
        <w:topLinePunct w:val="0"/>
        <w:bidi w:val="0"/>
        <w:adjustRightInd w:val="0"/>
        <w:spacing w:line="360" w:lineRule="auto"/>
        <w:ind w:left="0" w:right="0" w:firstLine="464" w:firstLineChars="200"/>
        <w:textAlignment w:val="baseline"/>
        <w:rPr>
          <w:color w:val="auto"/>
          <w:sz w:val="24"/>
          <w:szCs w:val="24"/>
          <w:highlight w:val="none"/>
        </w:rPr>
      </w:pPr>
      <w:r>
        <w:rPr>
          <w:b/>
          <w:bCs/>
          <w:color w:val="auto"/>
          <w:spacing w:val="-4"/>
          <w:sz w:val="24"/>
          <w:szCs w:val="24"/>
          <w:highlight w:val="none"/>
        </w:rPr>
        <w:t>13.</w:t>
      </w:r>
      <w:r>
        <w:rPr>
          <w:b/>
          <w:bCs/>
          <w:color w:val="auto"/>
          <w:spacing w:val="66"/>
          <w:sz w:val="24"/>
          <w:szCs w:val="24"/>
          <w:highlight w:val="none"/>
        </w:rPr>
        <w:t xml:space="preserve"> </w:t>
      </w:r>
      <w:r>
        <w:rPr>
          <w:b/>
          <w:bCs/>
          <w:color w:val="auto"/>
          <w:spacing w:val="-4"/>
          <w:sz w:val="24"/>
          <w:szCs w:val="24"/>
          <w:highlight w:val="none"/>
        </w:rPr>
        <w:t>投标人应注意的事项</w:t>
      </w:r>
    </w:p>
    <w:p w14:paraId="5CF645D4">
      <w:pPr>
        <w:pageBreakBefore w:val="0"/>
        <w:wordWrap/>
        <w:overflowPunct/>
        <w:topLinePunct w:val="0"/>
        <w:bidi w:val="0"/>
        <w:adjustRightInd w:val="0"/>
        <w:spacing w:line="360" w:lineRule="auto"/>
        <w:ind w:left="0" w:right="0" w:firstLine="48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13.1</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1"/>
          <w:sz w:val="24"/>
          <w:szCs w:val="24"/>
          <w:highlight w:val="none"/>
        </w:rPr>
        <w:t>投标人一旦下载本招标文件并参加投标，即被认为接受了本招标文件中的所有条件</w:t>
      </w:r>
      <w:r>
        <w:rPr>
          <w:rFonts w:ascii="新宋体" w:hAnsi="新宋体" w:eastAsia="新宋体" w:cs="新宋体"/>
          <w:color w:val="auto"/>
          <w:spacing w:val="-6"/>
          <w:sz w:val="24"/>
          <w:szCs w:val="24"/>
          <w:highlight w:val="none"/>
        </w:rPr>
        <w:t>和规定。投标人必须严格按招标文件的要求编制投标文件，投标文件宜编制页码和目录，以便</w:t>
      </w:r>
      <w:r>
        <w:rPr>
          <w:rFonts w:ascii="新宋体" w:hAnsi="新宋体" w:eastAsia="新宋体" w:cs="新宋体"/>
          <w:color w:val="auto"/>
          <w:spacing w:val="14"/>
          <w:sz w:val="24"/>
          <w:szCs w:val="24"/>
          <w:highlight w:val="none"/>
        </w:rPr>
        <w:t xml:space="preserve"> </w:t>
      </w:r>
      <w:r>
        <w:rPr>
          <w:rFonts w:ascii="新宋体" w:hAnsi="新宋体" w:eastAsia="新宋体" w:cs="新宋体"/>
          <w:color w:val="auto"/>
          <w:spacing w:val="-8"/>
          <w:sz w:val="24"/>
          <w:szCs w:val="24"/>
          <w:highlight w:val="none"/>
        </w:rPr>
        <w:t>评委审核。</w:t>
      </w:r>
    </w:p>
    <w:p w14:paraId="232FF80C">
      <w:pPr>
        <w:pageBreakBefore w:val="0"/>
        <w:wordWrap/>
        <w:overflowPunct/>
        <w:topLinePunct w:val="0"/>
        <w:bidi w:val="0"/>
        <w:adjustRightInd w:val="0"/>
        <w:spacing w:line="360" w:lineRule="auto"/>
        <w:ind w:left="0" w:right="0" w:firstLine="48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13.2</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1"/>
          <w:sz w:val="24"/>
          <w:szCs w:val="24"/>
          <w:highlight w:val="none"/>
        </w:rPr>
        <w:t>投标人对采购内容中规定的技术参数、规格、数量和要求等最大限度的满足招标文</w:t>
      </w:r>
      <w:r>
        <w:rPr>
          <w:rFonts w:ascii="新宋体" w:hAnsi="新宋体" w:eastAsia="新宋体" w:cs="新宋体"/>
          <w:color w:val="auto"/>
          <w:spacing w:val="-8"/>
          <w:sz w:val="24"/>
          <w:szCs w:val="24"/>
          <w:highlight w:val="none"/>
        </w:rPr>
        <w:t>件的要求。</w:t>
      </w:r>
    </w:p>
    <w:p w14:paraId="19D92A62">
      <w:pPr>
        <w:pageBreakBefore w:val="0"/>
        <w:wordWrap/>
        <w:overflowPunct/>
        <w:topLinePunct w:val="0"/>
        <w:bidi w:val="0"/>
        <w:adjustRightInd w:val="0"/>
        <w:spacing w:line="360" w:lineRule="auto"/>
        <w:ind w:left="0" w:right="0" w:firstLine="48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13.3</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z w:val="24"/>
          <w:szCs w:val="24"/>
          <w:highlight w:val="none"/>
        </w:rPr>
        <w:t>所有投标人的投标保证金都应在投标文件规定的投标保证金缴纳截止</w:t>
      </w:r>
      <w:r>
        <w:rPr>
          <w:rFonts w:ascii="新宋体" w:hAnsi="新宋体" w:eastAsia="新宋体" w:cs="新宋体"/>
          <w:color w:val="auto"/>
          <w:spacing w:val="-1"/>
          <w:sz w:val="24"/>
          <w:szCs w:val="24"/>
          <w:highlight w:val="none"/>
        </w:rPr>
        <w:t>日期前缴纳，</w:t>
      </w:r>
      <w:r>
        <w:rPr>
          <w:rFonts w:ascii="新宋体" w:hAnsi="新宋体" w:eastAsia="新宋体" w:cs="新宋体"/>
          <w:color w:val="auto"/>
          <w:spacing w:val="-7"/>
          <w:sz w:val="24"/>
          <w:szCs w:val="24"/>
          <w:highlight w:val="none"/>
        </w:rPr>
        <w:t>以资金到账时间为准。</w:t>
      </w:r>
    </w:p>
    <w:p w14:paraId="28C74C0B">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13.4</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3"/>
          <w:sz w:val="24"/>
          <w:szCs w:val="24"/>
          <w:highlight w:val="none"/>
        </w:rPr>
        <w:t>法定代表人为同一个人的两个及两个以上法人，母公司、全资子公司</w:t>
      </w:r>
      <w:r>
        <w:rPr>
          <w:rFonts w:ascii="新宋体" w:hAnsi="新宋体" w:eastAsia="新宋体" w:cs="新宋体"/>
          <w:color w:val="auto"/>
          <w:spacing w:val="-4"/>
          <w:sz w:val="24"/>
          <w:szCs w:val="24"/>
          <w:highlight w:val="none"/>
        </w:rPr>
        <w:t>及其控股公司，均不得同时参加本项目的投标。</w:t>
      </w:r>
    </w:p>
    <w:p w14:paraId="565D09CB">
      <w:pPr>
        <w:pStyle w:val="4"/>
        <w:pageBreakBefore w:val="0"/>
        <w:wordWrap/>
        <w:overflowPunct/>
        <w:topLinePunct w:val="0"/>
        <w:bidi w:val="0"/>
        <w:adjustRightInd w:val="0"/>
        <w:spacing w:line="360" w:lineRule="auto"/>
        <w:ind w:left="0" w:right="0" w:firstLine="464" w:firstLineChars="200"/>
        <w:textAlignment w:val="baseline"/>
        <w:rPr>
          <w:b/>
          <w:bCs/>
          <w:color w:val="auto"/>
          <w:spacing w:val="-4"/>
          <w:sz w:val="24"/>
          <w:szCs w:val="24"/>
          <w:highlight w:val="none"/>
        </w:rPr>
      </w:pPr>
      <w:r>
        <w:rPr>
          <w:b/>
          <w:bCs/>
          <w:color w:val="auto"/>
          <w:spacing w:val="-4"/>
          <w:sz w:val="24"/>
          <w:szCs w:val="24"/>
          <w:highlight w:val="none"/>
        </w:rPr>
        <w:t>本招标文件不再对上述情况进行描述。</w:t>
      </w:r>
    </w:p>
    <w:p w14:paraId="769FD8D7">
      <w:pPr>
        <w:pStyle w:val="4"/>
        <w:pageBreakBefore w:val="0"/>
        <w:wordWrap/>
        <w:overflowPunct/>
        <w:topLinePunct w:val="0"/>
        <w:bidi w:val="0"/>
        <w:adjustRightInd w:val="0"/>
        <w:spacing w:line="360" w:lineRule="auto"/>
        <w:ind w:left="0" w:right="0" w:firstLine="460" w:firstLineChars="200"/>
        <w:textAlignment w:val="baseline"/>
        <w:rPr>
          <w:color w:val="auto"/>
          <w:sz w:val="24"/>
          <w:szCs w:val="24"/>
          <w:highlight w:val="none"/>
        </w:rPr>
      </w:pPr>
      <w:r>
        <w:rPr>
          <w:rFonts w:hint="eastAsia"/>
          <w:b/>
          <w:bCs/>
          <w:color w:val="auto"/>
          <w:spacing w:val="-5"/>
          <w:sz w:val="24"/>
          <w:szCs w:val="24"/>
          <w:highlight w:val="none"/>
          <w:lang w:val="en-US" w:eastAsia="zh-CN"/>
        </w:rPr>
        <w:t>14.</w:t>
      </w:r>
      <w:r>
        <w:rPr>
          <w:b/>
          <w:bCs/>
          <w:color w:val="auto"/>
          <w:spacing w:val="-5"/>
          <w:sz w:val="24"/>
          <w:szCs w:val="24"/>
          <w:highlight w:val="none"/>
        </w:rPr>
        <w:t>需要补充的其它内容</w:t>
      </w:r>
    </w:p>
    <w:p w14:paraId="395A8D44">
      <w:pPr>
        <w:pageBreakBefore w:val="0"/>
        <w:wordWrap/>
        <w:overflowPunct/>
        <w:topLinePunct w:val="0"/>
        <w:bidi w:val="0"/>
        <w:adjustRightInd w:val="0"/>
        <w:spacing w:line="360" w:lineRule="auto"/>
        <w:ind w:left="0" w:right="0" w:firstLine="480" w:firstLineChars="200"/>
        <w:textAlignment w:val="baseline"/>
        <w:rPr>
          <w:rFonts w:hint="eastAsia" w:cs="宋体"/>
          <w:bCs w:val="0"/>
          <w:color w:val="auto"/>
          <w:sz w:val="24"/>
          <w:szCs w:val="24"/>
          <w:highlight w:val="none"/>
        </w:rPr>
      </w:pPr>
      <w:r>
        <w:rPr>
          <w:rFonts w:ascii="新宋体" w:hAnsi="新宋体" w:eastAsia="新宋体" w:cs="新宋体"/>
          <w:color w:val="auto"/>
          <w:sz w:val="24"/>
          <w:szCs w:val="24"/>
          <w:highlight w:val="none"/>
        </w:rPr>
        <w:t>本招标文件前后条款若有不一致之处，在澄清答疑时又未作出明确规定时，各投标</w:t>
      </w:r>
      <w:r>
        <w:rPr>
          <w:rFonts w:ascii="新宋体" w:hAnsi="新宋体" w:eastAsia="新宋体" w:cs="新宋体"/>
          <w:color w:val="auto"/>
          <w:spacing w:val="-2"/>
          <w:sz w:val="24"/>
          <w:szCs w:val="24"/>
          <w:highlight w:val="none"/>
        </w:rPr>
        <w:t>人的投标文件只要满足其中任一条款，均视为对本招标文件的响应。</w:t>
      </w:r>
      <w:r>
        <w:rPr>
          <w:rFonts w:ascii="新宋体" w:hAnsi="新宋体" w:eastAsia="新宋体" w:cs="新宋体"/>
          <w:color w:val="auto"/>
          <w:sz w:val="24"/>
          <w:szCs w:val="24"/>
          <w:highlight w:val="none"/>
        </w:rPr>
        <w:t>投标企业被行业行政主管部门或招投标综合监</w:t>
      </w:r>
      <w:r>
        <w:rPr>
          <w:rFonts w:ascii="新宋体" w:hAnsi="新宋体" w:eastAsia="新宋体" w:cs="新宋体"/>
          <w:color w:val="auto"/>
          <w:spacing w:val="-1"/>
          <w:sz w:val="24"/>
          <w:szCs w:val="24"/>
          <w:highlight w:val="none"/>
        </w:rPr>
        <w:t>督管理部门暂停投标资格且开标日在处罚期限内的，一律限制投标资格，不得参加本项目招投标活动，</w:t>
      </w:r>
      <w:r>
        <w:rPr>
          <w:rFonts w:ascii="新宋体" w:hAnsi="新宋体" w:eastAsia="新宋体" w:cs="新宋体"/>
          <w:color w:val="auto"/>
          <w:spacing w:val="-2"/>
          <w:sz w:val="24"/>
          <w:szCs w:val="24"/>
          <w:highlight w:val="none"/>
        </w:rPr>
        <w:t>若中标取消中标资格。</w:t>
      </w:r>
    </w:p>
    <w:p w14:paraId="6E15EF10">
      <w:pPr>
        <w:pageBreakBefore w:val="0"/>
        <w:wordWrap/>
        <w:overflowPunct/>
        <w:topLinePunct w:val="0"/>
        <w:bidi w:val="0"/>
        <w:adjustRightInd w:val="0"/>
        <w:spacing w:line="360" w:lineRule="auto"/>
        <w:ind w:left="0" w:right="0" w:firstLine="464" w:firstLineChars="200"/>
        <w:jc w:val="both"/>
        <w:textAlignment w:val="baseline"/>
        <w:rPr>
          <w:rFonts w:hint="eastAsia" w:ascii="微软雅黑" w:hAnsi="微软雅黑" w:eastAsia="微软雅黑" w:cs="微软雅黑"/>
          <w:b/>
          <w:bCs/>
          <w:snapToGrid w:val="0"/>
          <w:color w:val="auto"/>
          <w:spacing w:val="-4"/>
          <w:kern w:val="0"/>
          <w:sz w:val="24"/>
          <w:szCs w:val="24"/>
          <w:highlight w:val="none"/>
          <w:lang w:val="en-US" w:eastAsia="en-US" w:bidi="ar-SA"/>
        </w:rPr>
      </w:pPr>
      <w:r>
        <w:rPr>
          <w:rFonts w:hint="eastAsia" w:ascii="微软雅黑" w:hAnsi="微软雅黑" w:eastAsia="微软雅黑" w:cs="微软雅黑"/>
          <w:b/>
          <w:bCs/>
          <w:snapToGrid w:val="0"/>
          <w:color w:val="auto"/>
          <w:spacing w:val="-4"/>
          <w:kern w:val="0"/>
          <w:sz w:val="24"/>
          <w:szCs w:val="24"/>
          <w:highlight w:val="none"/>
          <w:lang w:val="en-US" w:eastAsia="zh-CN" w:bidi="ar-SA"/>
        </w:rPr>
        <w:t>14.1</w:t>
      </w:r>
      <w:r>
        <w:rPr>
          <w:rFonts w:hint="eastAsia" w:ascii="微软雅黑" w:hAnsi="微软雅黑" w:eastAsia="微软雅黑" w:cs="微软雅黑"/>
          <w:b/>
          <w:bCs/>
          <w:snapToGrid w:val="0"/>
          <w:color w:val="auto"/>
          <w:spacing w:val="-4"/>
          <w:kern w:val="0"/>
          <w:sz w:val="24"/>
          <w:szCs w:val="24"/>
          <w:highlight w:val="none"/>
          <w:lang w:val="en-US" w:eastAsia="en-US" w:bidi="ar-SA"/>
        </w:rPr>
        <w:t>知识产权</w:t>
      </w:r>
    </w:p>
    <w:p w14:paraId="7FF1AC96">
      <w:pPr>
        <w:pageBreakBefore w:val="0"/>
        <w:wordWrap/>
        <w:overflowPunct/>
        <w:topLinePunct w:val="0"/>
        <w:bidi w:val="0"/>
        <w:adjustRightInd w:val="0"/>
        <w:spacing w:line="360" w:lineRule="auto"/>
        <w:ind w:left="0" w:right="0" w:firstLine="468" w:firstLineChars="200"/>
        <w:jc w:val="both"/>
        <w:textAlignment w:val="baseline"/>
        <w:rPr>
          <w:rFonts w:hint="eastAsia" w:ascii="新宋体" w:hAnsi="新宋体" w:eastAsia="新宋体" w:cs="新宋体"/>
          <w:color w:val="auto"/>
          <w:spacing w:val="-3"/>
          <w:sz w:val="24"/>
          <w:szCs w:val="24"/>
          <w:highlight w:val="none"/>
          <w:lang w:val="en-US" w:eastAsia="en-US"/>
        </w:rPr>
      </w:pPr>
      <w:r>
        <w:rPr>
          <w:rFonts w:hint="eastAsia" w:ascii="新宋体" w:hAnsi="新宋体" w:eastAsia="新宋体" w:cs="新宋体"/>
          <w:color w:val="auto"/>
          <w:spacing w:val="-3"/>
          <w:sz w:val="24"/>
          <w:szCs w:val="24"/>
          <w:highlight w:val="none"/>
          <w:lang w:val="en-US" w:eastAsia="en-US"/>
        </w:rPr>
        <w:t>14.1</w:t>
      </w:r>
      <w:r>
        <w:rPr>
          <w:rFonts w:hint="eastAsia" w:ascii="新宋体" w:hAnsi="新宋体" w:eastAsia="新宋体" w:cs="新宋体"/>
          <w:color w:val="auto"/>
          <w:spacing w:val="-3"/>
          <w:sz w:val="24"/>
          <w:szCs w:val="24"/>
          <w:highlight w:val="none"/>
          <w:lang w:val="en-US" w:eastAsia="zh-CN"/>
        </w:rPr>
        <w:t>.1</w:t>
      </w:r>
      <w:r>
        <w:rPr>
          <w:rFonts w:hint="eastAsia" w:ascii="新宋体" w:hAnsi="新宋体" w:eastAsia="新宋体" w:cs="新宋体"/>
          <w:color w:val="auto"/>
          <w:spacing w:val="-3"/>
          <w:sz w:val="24"/>
          <w:szCs w:val="24"/>
          <w:highlight w:val="none"/>
          <w:lang w:val="en-US" w:eastAsia="en-US"/>
        </w:rPr>
        <w:t xml:space="preserve">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09921674">
      <w:pPr>
        <w:pageBreakBefore w:val="0"/>
        <w:wordWrap/>
        <w:overflowPunct/>
        <w:topLinePunct w:val="0"/>
        <w:bidi w:val="0"/>
        <w:adjustRightInd w:val="0"/>
        <w:spacing w:line="360" w:lineRule="auto"/>
        <w:ind w:left="0" w:right="0" w:firstLine="468" w:firstLineChars="200"/>
        <w:jc w:val="both"/>
        <w:textAlignment w:val="baseline"/>
        <w:rPr>
          <w:rFonts w:hint="eastAsia" w:ascii="新宋体" w:hAnsi="新宋体" w:eastAsia="新宋体" w:cs="新宋体"/>
          <w:color w:val="auto"/>
          <w:spacing w:val="-3"/>
          <w:sz w:val="24"/>
          <w:szCs w:val="24"/>
          <w:highlight w:val="none"/>
          <w:lang w:val="en-US" w:eastAsia="en-US"/>
        </w:rPr>
      </w:pPr>
      <w:r>
        <w:rPr>
          <w:rFonts w:hint="eastAsia" w:ascii="新宋体" w:hAnsi="新宋体" w:eastAsia="新宋体" w:cs="新宋体"/>
          <w:color w:val="auto"/>
          <w:spacing w:val="-3"/>
          <w:sz w:val="24"/>
          <w:szCs w:val="24"/>
          <w:highlight w:val="none"/>
          <w:lang w:val="en-US" w:eastAsia="en-US"/>
        </w:rPr>
        <w:t>14.</w:t>
      </w:r>
      <w:r>
        <w:rPr>
          <w:rFonts w:hint="eastAsia" w:ascii="新宋体" w:hAnsi="新宋体" w:eastAsia="新宋体" w:cs="新宋体"/>
          <w:color w:val="auto"/>
          <w:spacing w:val="-3"/>
          <w:sz w:val="24"/>
          <w:szCs w:val="24"/>
          <w:highlight w:val="none"/>
          <w:lang w:val="en-US" w:eastAsia="zh-CN"/>
        </w:rPr>
        <w:t>1.</w:t>
      </w:r>
      <w:r>
        <w:rPr>
          <w:rFonts w:hint="eastAsia" w:ascii="新宋体" w:hAnsi="新宋体" w:eastAsia="新宋体" w:cs="新宋体"/>
          <w:color w:val="auto"/>
          <w:spacing w:val="-3"/>
          <w:sz w:val="24"/>
          <w:szCs w:val="24"/>
          <w:highlight w:val="none"/>
          <w:lang w:val="en-US" w:eastAsia="en-US"/>
        </w:rPr>
        <w:t>2 采购人享有本项目实施过程中产生的知识成果及知识产权。</w:t>
      </w:r>
    </w:p>
    <w:p w14:paraId="2A7F1F1B">
      <w:pPr>
        <w:pageBreakBefore w:val="0"/>
        <w:wordWrap/>
        <w:overflowPunct/>
        <w:topLinePunct w:val="0"/>
        <w:bidi w:val="0"/>
        <w:adjustRightInd w:val="0"/>
        <w:spacing w:line="360" w:lineRule="auto"/>
        <w:ind w:left="0" w:right="0" w:firstLine="468" w:firstLineChars="200"/>
        <w:jc w:val="both"/>
        <w:textAlignment w:val="baseline"/>
        <w:rPr>
          <w:rFonts w:hint="eastAsia" w:ascii="新宋体" w:hAnsi="新宋体" w:eastAsia="新宋体" w:cs="新宋体"/>
          <w:color w:val="auto"/>
          <w:spacing w:val="-3"/>
          <w:sz w:val="24"/>
          <w:szCs w:val="24"/>
          <w:highlight w:val="none"/>
        </w:rPr>
      </w:pPr>
      <w:r>
        <w:rPr>
          <w:rFonts w:hint="eastAsia" w:ascii="新宋体" w:hAnsi="新宋体" w:eastAsia="新宋体" w:cs="新宋体"/>
          <w:color w:val="auto"/>
          <w:spacing w:val="-3"/>
          <w:sz w:val="24"/>
          <w:szCs w:val="24"/>
          <w:highlight w:val="none"/>
        </w:rPr>
        <w:t>14.</w:t>
      </w:r>
      <w:r>
        <w:rPr>
          <w:rFonts w:hint="eastAsia" w:ascii="新宋体" w:hAnsi="新宋体" w:eastAsia="新宋体" w:cs="新宋体"/>
          <w:color w:val="auto"/>
          <w:spacing w:val="-3"/>
          <w:sz w:val="24"/>
          <w:szCs w:val="24"/>
          <w:highlight w:val="none"/>
          <w:lang w:val="en-US" w:eastAsia="zh-CN"/>
        </w:rPr>
        <w:t>1.</w:t>
      </w:r>
      <w:r>
        <w:rPr>
          <w:rFonts w:hint="eastAsia" w:ascii="新宋体" w:hAnsi="新宋体" w:eastAsia="新宋体" w:cs="新宋体"/>
          <w:color w:val="auto"/>
          <w:spacing w:val="-3"/>
          <w:sz w:val="24"/>
          <w:szCs w:val="24"/>
          <w:highlight w:val="none"/>
        </w:rPr>
        <w:t>3 投标人如欲在项目实施过程中采用自有知识成果，使用该知识成果后，投标人需提供开发接口和开发手册等技术文档，并承诺提供无限期技术支持，采购人享有永久使用权（含采购人委托第三方在该项目后续开发的使用权）。</w:t>
      </w:r>
    </w:p>
    <w:p w14:paraId="2B3A0399">
      <w:pPr>
        <w:pageBreakBefore w:val="0"/>
        <w:wordWrap/>
        <w:overflowPunct/>
        <w:topLinePunct w:val="0"/>
        <w:bidi w:val="0"/>
        <w:adjustRightInd w:val="0"/>
        <w:spacing w:line="360" w:lineRule="auto"/>
        <w:ind w:left="0" w:right="0" w:firstLine="468" w:firstLineChars="200"/>
        <w:jc w:val="both"/>
        <w:textAlignment w:val="baseline"/>
        <w:rPr>
          <w:rFonts w:ascii="新宋体" w:hAnsi="新宋体" w:eastAsia="新宋体" w:cs="新宋体"/>
          <w:color w:val="auto"/>
          <w:spacing w:val="-3"/>
          <w:sz w:val="24"/>
          <w:szCs w:val="24"/>
          <w:highlight w:val="none"/>
        </w:rPr>
      </w:pPr>
      <w:r>
        <w:rPr>
          <w:rFonts w:hint="eastAsia" w:ascii="新宋体" w:hAnsi="新宋体" w:eastAsia="新宋体" w:cs="新宋体"/>
          <w:color w:val="auto"/>
          <w:spacing w:val="-3"/>
          <w:sz w:val="24"/>
          <w:szCs w:val="24"/>
          <w:highlight w:val="none"/>
        </w:rPr>
        <w:t>14.</w:t>
      </w:r>
      <w:r>
        <w:rPr>
          <w:rFonts w:hint="eastAsia" w:ascii="新宋体" w:hAnsi="新宋体" w:eastAsia="新宋体" w:cs="新宋体"/>
          <w:color w:val="auto"/>
          <w:spacing w:val="-3"/>
          <w:sz w:val="24"/>
          <w:szCs w:val="24"/>
          <w:highlight w:val="none"/>
          <w:lang w:val="en-US" w:eastAsia="zh-CN"/>
        </w:rPr>
        <w:t>1.</w:t>
      </w:r>
      <w:r>
        <w:rPr>
          <w:rFonts w:hint="eastAsia" w:ascii="新宋体" w:hAnsi="新宋体" w:eastAsia="新宋体" w:cs="新宋体"/>
          <w:color w:val="auto"/>
          <w:spacing w:val="-3"/>
          <w:sz w:val="24"/>
          <w:szCs w:val="24"/>
          <w:highlight w:val="none"/>
        </w:rPr>
        <w:t>4 如采用投标人所不拥有的知识产权，则在投标报价中必须包括合法获取该知识产权的相关费用。</w:t>
      </w:r>
    </w:p>
    <w:p w14:paraId="051A8A3F">
      <w:pPr>
        <w:pStyle w:val="4"/>
        <w:pageBreakBefore w:val="0"/>
        <w:wordWrap/>
        <w:overflowPunct/>
        <w:topLinePunct w:val="0"/>
        <w:bidi w:val="0"/>
        <w:adjustRightInd w:val="0"/>
        <w:spacing w:line="360" w:lineRule="auto"/>
        <w:ind w:left="0" w:right="0" w:firstLine="464" w:firstLineChars="200"/>
        <w:textAlignment w:val="baseline"/>
        <w:rPr>
          <w:rFonts w:hint="eastAsia"/>
          <w:b/>
          <w:bCs/>
          <w:color w:val="auto"/>
          <w:spacing w:val="-4"/>
          <w:sz w:val="24"/>
          <w:szCs w:val="24"/>
          <w:highlight w:val="none"/>
        </w:rPr>
      </w:pPr>
      <w:r>
        <w:rPr>
          <w:b/>
          <w:bCs/>
          <w:color w:val="auto"/>
          <w:spacing w:val="-4"/>
          <w:sz w:val="24"/>
          <w:szCs w:val="24"/>
          <w:highlight w:val="none"/>
        </w:rPr>
        <w:t>1</w:t>
      </w:r>
      <w:r>
        <w:rPr>
          <w:rFonts w:hint="eastAsia"/>
          <w:b/>
          <w:bCs/>
          <w:color w:val="auto"/>
          <w:spacing w:val="-4"/>
          <w:sz w:val="24"/>
          <w:szCs w:val="24"/>
          <w:highlight w:val="none"/>
          <w:lang w:val="en-US" w:eastAsia="zh-CN"/>
        </w:rPr>
        <w:t>4</w:t>
      </w:r>
      <w:r>
        <w:rPr>
          <w:b/>
          <w:bCs/>
          <w:color w:val="auto"/>
          <w:spacing w:val="-4"/>
          <w:sz w:val="24"/>
          <w:szCs w:val="24"/>
          <w:highlight w:val="none"/>
        </w:rPr>
        <w:t>.</w:t>
      </w:r>
      <w:r>
        <w:rPr>
          <w:rFonts w:hint="eastAsia"/>
          <w:b/>
          <w:bCs/>
          <w:color w:val="auto"/>
          <w:spacing w:val="-4"/>
          <w:sz w:val="24"/>
          <w:szCs w:val="24"/>
          <w:highlight w:val="none"/>
          <w:lang w:val="en-US" w:eastAsia="zh-CN"/>
        </w:rPr>
        <w:t>2</w:t>
      </w:r>
      <w:r>
        <w:rPr>
          <w:b/>
          <w:bCs/>
          <w:color w:val="auto"/>
          <w:spacing w:val="-4"/>
          <w:sz w:val="24"/>
          <w:szCs w:val="24"/>
          <w:highlight w:val="none"/>
        </w:rPr>
        <w:t xml:space="preserve"> </w:t>
      </w:r>
      <w:r>
        <w:rPr>
          <w:rFonts w:hint="eastAsia"/>
          <w:b/>
          <w:bCs/>
          <w:color w:val="auto"/>
          <w:spacing w:val="-4"/>
          <w:sz w:val="24"/>
          <w:szCs w:val="24"/>
          <w:highlight w:val="none"/>
        </w:rPr>
        <w:t>合格的投标产品</w:t>
      </w:r>
    </w:p>
    <w:p w14:paraId="17FA9288">
      <w:pPr>
        <w:pStyle w:val="4"/>
        <w:pageBreakBefore w:val="0"/>
        <w:wordWrap/>
        <w:overflowPunct/>
        <w:topLinePunct w:val="0"/>
        <w:bidi w:val="0"/>
        <w:adjustRightInd w:val="0"/>
        <w:spacing w:line="360" w:lineRule="auto"/>
        <w:ind w:left="0" w:right="0" w:firstLine="480" w:firstLineChars="200"/>
        <w:textAlignment w:val="baseline"/>
        <w:rPr>
          <w:rFonts w:hint="eastAsia" w:ascii="新宋体" w:hAnsi="新宋体" w:eastAsia="新宋体" w:cs="新宋体"/>
          <w:snapToGrid w:val="0"/>
          <w:color w:val="auto"/>
          <w:kern w:val="0"/>
          <w:sz w:val="24"/>
          <w:szCs w:val="24"/>
          <w:highlight w:val="none"/>
          <w:lang w:val="en-US" w:eastAsia="zh-CN" w:bidi="ar-SA"/>
        </w:rPr>
      </w:pPr>
      <w:r>
        <w:rPr>
          <w:rFonts w:hint="eastAsia" w:ascii="新宋体" w:hAnsi="新宋体" w:eastAsia="新宋体" w:cs="新宋体"/>
          <w:snapToGrid w:val="0"/>
          <w:color w:val="auto"/>
          <w:kern w:val="0"/>
          <w:sz w:val="24"/>
          <w:szCs w:val="24"/>
          <w:highlight w:val="none"/>
          <w:lang w:val="en-US" w:eastAsia="zh-CN" w:bidi="ar-SA"/>
        </w:rPr>
        <w:t>14.2.1</w:t>
      </w:r>
      <w:r>
        <w:rPr>
          <w:rFonts w:hint="eastAsia" w:ascii="新宋体" w:hAnsi="新宋体" w:eastAsia="新宋体" w:cs="新宋体"/>
          <w:snapToGrid w:val="0"/>
          <w:color w:val="auto"/>
          <w:kern w:val="0"/>
          <w:sz w:val="24"/>
          <w:szCs w:val="24"/>
          <w:highlight w:val="none"/>
          <w:lang w:val="en-US" w:eastAsia="en-US" w:bidi="ar-SA"/>
        </w:rPr>
        <w:t xml:space="preserve"> 参加政府采购所投标的产品，必须是合法生产厂家生产的合格产品，产品涉及到第三方知识产权的，必须是已依法获得了该知识产权，不得存在侵犯知识产权的问题。</w:t>
      </w:r>
    </w:p>
    <w:p w14:paraId="3FDB054C">
      <w:pPr>
        <w:pStyle w:val="4"/>
        <w:pageBreakBefore w:val="0"/>
        <w:wordWrap/>
        <w:overflowPunct/>
        <w:topLinePunct w:val="0"/>
        <w:bidi w:val="0"/>
        <w:adjustRightInd w:val="0"/>
        <w:spacing w:line="360" w:lineRule="auto"/>
        <w:ind w:left="0" w:right="0" w:firstLine="480" w:firstLineChars="200"/>
        <w:textAlignment w:val="baseline"/>
        <w:rPr>
          <w:rFonts w:hint="eastAsia" w:ascii="新宋体" w:hAnsi="新宋体" w:eastAsia="新宋体" w:cs="新宋体"/>
          <w:snapToGrid w:val="0"/>
          <w:color w:val="auto"/>
          <w:kern w:val="0"/>
          <w:sz w:val="24"/>
          <w:szCs w:val="24"/>
          <w:highlight w:val="none"/>
          <w:lang w:val="en-US" w:eastAsia="en-US" w:bidi="ar-SA"/>
        </w:rPr>
      </w:pPr>
      <w:r>
        <w:rPr>
          <w:rFonts w:hint="eastAsia" w:ascii="新宋体" w:hAnsi="新宋体" w:eastAsia="新宋体" w:cs="新宋体"/>
          <w:snapToGrid w:val="0"/>
          <w:color w:val="auto"/>
          <w:kern w:val="0"/>
          <w:sz w:val="24"/>
          <w:szCs w:val="24"/>
          <w:highlight w:val="none"/>
          <w:lang w:val="en-US" w:eastAsia="zh-CN" w:bidi="ar-SA"/>
        </w:rPr>
        <w:t>14.2.2</w:t>
      </w:r>
      <w:r>
        <w:rPr>
          <w:rFonts w:hint="eastAsia" w:ascii="新宋体" w:hAnsi="新宋体" w:eastAsia="新宋体" w:cs="新宋体"/>
          <w:snapToGrid w:val="0"/>
          <w:color w:val="auto"/>
          <w:kern w:val="0"/>
          <w:sz w:val="24"/>
          <w:szCs w:val="24"/>
          <w:highlight w:val="none"/>
          <w:lang w:val="en-US" w:eastAsia="en-US" w:bidi="ar-SA"/>
        </w:rPr>
        <w:t xml:space="preserve"> 若投标产品为需要安装软件才能正常工作的，投标人必须提供正版软件安装使用，不得安装使用盗版软件。</w:t>
      </w:r>
    </w:p>
    <w:p w14:paraId="00C84806">
      <w:pPr>
        <w:pStyle w:val="4"/>
        <w:pageBreakBefore w:val="0"/>
        <w:wordWrap/>
        <w:overflowPunct/>
        <w:topLinePunct w:val="0"/>
        <w:bidi w:val="0"/>
        <w:adjustRightInd w:val="0"/>
        <w:spacing w:line="360" w:lineRule="auto"/>
        <w:ind w:left="0" w:right="0" w:firstLine="480" w:firstLineChars="200"/>
        <w:textAlignment w:val="baseline"/>
        <w:rPr>
          <w:rFonts w:hint="eastAsia" w:ascii="新宋体" w:hAnsi="新宋体" w:eastAsia="新宋体" w:cs="新宋体"/>
          <w:snapToGrid w:val="0"/>
          <w:color w:val="auto"/>
          <w:kern w:val="0"/>
          <w:sz w:val="24"/>
          <w:szCs w:val="24"/>
          <w:highlight w:val="none"/>
          <w:lang w:val="en-US" w:eastAsia="en-US" w:bidi="ar-SA"/>
        </w:rPr>
      </w:pPr>
      <w:r>
        <w:rPr>
          <w:rFonts w:hint="eastAsia" w:ascii="新宋体" w:hAnsi="新宋体" w:eastAsia="新宋体" w:cs="新宋体"/>
          <w:snapToGrid w:val="0"/>
          <w:color w:val="auto"/>
          <w:kern w:val="0"/>
          <w:sz w:val="24"/>
          <w:szCs w:val="24"/>
          <w:highlight w:val="none"/>
          <w:lang w:val="en-US" w:eastAsia="zh-CN" w:bidi="ar-SA"/>
        </w:rPr>
        <w:t>14.2</w:t>
      </w:r>
      <w:r>
        <w:rPr>
          <w:rFonts w:hint="eastAsia" w:ascii="新宋体" w:hAnsi="新宋体" w:eastAsia="新宋体" w:cs="新宋体"/>
          <w:snapToGrid w:val="0"/>
          <w:color w:val="auto"/>
          <w:kern w:val="0"/>
          <w:sz w:val="24"/>
          <w:szCs w:val="24"/>
          <w:highlight w:val="none"/>
          <w:lang w:val="en-US" w:eastAsia="en-US" w:bidi="ar-SA"/>
        </w:rPr>
        <w:t>.3 除非招标文件要求采购进口设备，否则只能用国内产品投标报价；招标文件中明确规定可以采购进口产品的，若因信息不对称等原因， 国内产品的质量、技术和服务均能满足需求，按照公平竞争原则，可以参与采购竞争。</w:t>
      </w:r>
    </w:p>
    <w:p w14:paraId="637E5C99">
      <w:pPr>
        <w:pStyle w:val="3"/>
        <w:pageBreakBefore w:val="0"/>
        <w:wordWrap/>
        <w:overflowPunct/>
        <w:topLinePunct w:val="0"/>
        <w:bidi w:val="0"/>
        <w:adjustRightInd w:val="0"/>
        <w:spacing w:before="0" w:after="0" w:line="360" w:lineRule="auto"/>
        <w:ind w:left="0" w:right="0" w:firstLine="460" w:firstLineChars="200"/>
        <w:textAlignment w:val="baseline"/>
        <w:rPr>
          <w:rFonts w:hint="eastAsia" w:cs="宋体"/>
          <w:color w:val="auto"/>
          <w:sz w:val="24"/>
          <w:szCs w:val="24"/>
          <w:highlight w:val="none"/>
        </w:rPr>
      </w:pPr>
      <w:bookmarkStart w:id="6" w:name="_Toc13065"/>
      <w:r>
        <w:rPr>
          <w:rFonts w:hint="eastAsia"/>
          <w:b/>
          <w:bCs/>
          <w:color w:val="auto"/>
          <w:spacing w:val="-5"/>
          <w:sz w:val="24"/>
          <w:szCs w:val="24"/>
          <w:highlight w:val="none"/>
          <w:lang w:val="en-US" w:eastAsia="zh-CN"/>
        </w:rPr>
        <w:t>14.3</w:t>
      </w:r>
      <w:r>
        <w:rPr>
          <w:rFonts w:hint="eastAsia" w:cs="宋体"/>
          <w:color w:val="auto"/>
          <w:sz w:val="24"/>
          <w:szCs w:val="24"/>
          <w:highlight w:val="none"/>
        </w:rPr>
        <w:t>投标费用</w:t>
      </w:r>
      <w:bookmarkEnd w:id="6"/>
    </w:p>
    <w:p w14:paraId="24C5205D">
      <w:pPr>
        <w:pageBreakBefore w:val="0"/>
        <w:tabs>
          <w:tab w:val="left" w:pos="7665"/>
        </w:tabs>
        <w:wordWrap/>
        <w:overflowPunct/>
        <w:topLinePunct w:val="0"/>
        <w:bidi w:val="0"/>
        <w:adjustRightInd w:val="0"/>
        <w:spacing w:line="360" w:lineRule="auto"/>
        <w:ind w:left="0" w:right="0" w:firstLine="480" w:firstLineChars="200"/>
        <w:textAlignment w:val="baseline"/>
        <w:rPr>
          <w:rFonts w:hint="eastAsia" w:hAnsi="宋体" w:cs="宋体"/>
          <w:color w:val="auto"/>
          <w:sz w:val="24"/>
          <w:highlight w:val="none"/>
        </w:rPr>
      </w:pPr>
      <w:r>
        <w:rPr>
          <w:rFonts w:hint="eastAsia" w:hAnsi="宋体" w:cs="宋体"/>
          <w:color w:val="auto"/>
          <w:sz w:val="24"/>
          <w:highlight w:val="none"/>
        </w:rPr>
        <w:t>投标人参加投标的有关费用由投标人自行承担。</w:t>
      </w:r>
    </w:p>
    <w:p w14:paraId="2A74B3B2">
      <w:pPr>
        <w:pStyle w:val="22"/>
        <w:pageBreakBefore w:val="0"/>
        <w:wordWrap/>
        <w:overflowPunct/>
        <w:topLinePunct w:val="0"/>
        <w:bidi w:val="0"/>
        <w:adjustRightInd w:val="0"/>
        <w:spacing w:before="0" w:after="0" w:line="360" w:lineRule="auto"/>
        <w:ind w:left="0" w:right="0" w:firstLine="460" w:firstLineChars="200"/>
        <w:textAlignment w:val="baseline"/>
        <w:rPr>
          <w:rFonts w:hint="eastAsia" w:ascii="Arial" w:hAnsi="宋体" w:eastAsia="Arial" w:cs="Arial"/>
          <w:b/>
          <w:bCs/>
          <w:snapToGrid w:val="0"/>
          <w:color w:val="auto"/>
          <w:spacing w:val="-5"/>
          <w:kern w:val="0"/>
          <w:sz w:val="24"/>
          <w:szCs w:val="24"/>
          <w:highlight w:val="none"/>
          <w:lang w:val="en-US" w:eastAsia="zh-CN" w:bidi="ar-SA"/>
        </w:rPr>
      </w:pPr>
      <w:bookmarkStart w:id="7" w:name="_Toc6907"/>
      <w:bookmarkStart w:id="8" w:name="_Toc21165"/>
      <w:bookmarkStart w:id="9" w:name="_Toc472604586"/>
      <w:bookmarkStart w:id="10" w:name="_Toc160"/>
      <w:bookmarkStart w:id="11" w:name="_Toc465085340"/>
      <w:bookmarkStart w:id="12" w:name="_Toc466298038"/>
      <w:bookmarkStart w:id="13" w:name="_Toc472599541"/>
      <w:bookmarkStart w:id="14" w:name="_Toc8193"/>
      <w:r>
        <w:rPr>
          <w:rFonts w:hint="eastAsia" w:ascii="Arial" w:hAnsi="宋体" w:eastAsia="Arial" w:cs="Arial"/>
          <w:b/>
          <w:bCs/>
          <w:snapToGrid w:val="0"/>
          <w:color w:val="auto"/>
          <w:spacing w:val="-5"/>
          <w:kern w:val="0"/>
          <w:sz w:val="24"/>
          <w:szCs w:val="24"/>
          <w:highlight w:val="none"/>
          <w:lang w:val="en-US" w:eastAsia="zh-CN" w:bidi="ar-SA"/>
        </w:rPr>
        <w:t>14.4.充分、公平竞争保障措施</w:t>
      </w:r>
      <w:bookmarkEnd w:id="7"/>
      <w:bookmarkEnd w:id="8"/>
      <w:bookmarkEnd w:id="9"/>
      <w:bookmarkEnd w:id="10"/>
      <w:bookmarkEnd w:id="11"/>
      <w:bookmarkEnd w:id="12"/>
      <w:bookmarkEnd w:id="13"/>
      <w:bookmarkEnd w:id="14"/>
    </w:p>
    <w:p w14:paraId="5C53A377">
      <w:pPr>
        <w:pStyle w:val="23"/>
        <w:pageBreakBefore w:val="0"/>
        <w:wordWrap/>
        <w:overflowPunct/>
        <w:topLinePunct w:val="0"/>
        <w:bidi w:val="0"/>
        <w:adjustRightInd w:val="0"/>
        <w:spacing w:line="360" w:lineRule="auto"/>
        <w:ind w:left="0" w:right="0" w:firstLine="482" w:firstLineChars="200"/>
        <w:textAlignment w:val="baseline"/>
        <w:rPr>
          <w:rFonts w:hint="eastAsia" w:hAnsi="宋体" w:cs="宋体"/>
          <w:b/>
          <w:color w:val="auto"/>
          <w:sz w:val="24"/>
          <w:szCs w:val="24"/>
          <w:highlight w:val="none"/>
        </w:rPr>
      </w:pPr>
      <w:bookmarkStart w:id="15" w:name="_Toc466298039"/>
      <w:bookmarkStart w:id="16" w:name="_Toc465085341"/>
      <w:r>
        <w:rPr>
          <w:rFonts w:hint="eastAsia" w:hAnsi="宋体" w:cs="宋体"/>
          <w:b/>
          <w:color w:val="auto"/>
          <w:sz w:val="24"/>
          <w:highlight w:val="none"/>
          <w:lang w:val="en-US" w:eastAsia="zh-CN"/>
        </w:rPr>
        <w:t>14.4</w:t>
      </w:r>
      <w:r>
        <w:rPr>
          <w:rFonts w:hint="eastAsia" w:hAnsi="宋体" w:cs="宋体"/>
          <w:b/>
          <w:color w:val="auto"/>
          <w:sz w:val="24"/>
          <w:highlight w:val="none"/>
        </w:rPr>
        <w:t>.1提供相同品牌产品处理</w:t>
      </w:r>
      <w:r>
        <w:rPr>
          <w:rFonts w:hint="eastAsia" w:hAnsi="宋体" w:cs="宋体"/>
          <w:b/>
          <w:color w:val="auto"/>
          <w:sz w:val="24"/>
          <w:szCs w:val="24"/>
          <w:highlight w:val="none"/>
        </w:rPr>
        <w:t>。</w:t>
      </w:r>
    </w:p>
    <w:p w14:paraId="6A706C5F">
      <w:pPr>
        <w:pStyle w:val="23"/>
        <w:pageBreakBefore w:val="0"/>
        <w:wordWrap/>
        <w:overflowPunct/>
        <w:topLinePunct w:val="0"/>
        <w:bidi w:val="0"/>
        <w:adjustRightInd w:val="0"/>
        <w:spacing w:line="360" w:lineRule="auto"/>
        <w:ind w:right="0" w:firstLine="480" w:firstLineChars="200"/>
        <w:textAlignment w:val="baseline"/>
        <w:rPr>
          <w:rFonts w:hint="eastAsia" w:hAnsi="宋体" w:cs="宋体"/>
          <w:color w:val="auto"/>
          <w:sz w:val="24"/>
          <w:szCs w:val="24"/>
          <w:highlight w:val="none"/>
        </w:rPr>
      </w:pPr>
      <w:r>
        <w:rPr>
          <w:rFonts w:hint="eastAsia" w:hAnsi="宋体" w:cs="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158013">
      <w:pPr>
        <w:pStyle w:val="23"/>
        <w:pageBreakBefore w:val="0"/>
        <w:wordWrap/>
        <w:overflowPunct/>
        <w:topLinePunct w:val="0"/>
        <w:bidi w:val="0"/>
        <w:adjustRightInd w:val="0"/>
        <w:spacing w:line="360" w:lineRule="auto"/>
        <w:ind w:left="0" w:right="0" w:firstLine="480" w:firstLineChars="200"/>
        <w:textAlignment w:val="baseline"/>
        <w:rPr>
          <w:rFonts w:hint="eastAsia" w:hAnsi="宋体" w:cs="宋体"/>
          <w:b/>
          <w:bCs/>
          <w:color w:val="auto"/>
          <w:sz w:val="24"/>
          <w:szCs w:val="24"/>
          <w:highlight w:val="none"/>
        </w:rPr>
      </w:pPr>
      <w:r>
        <w:rPr>
          <w:rFonts w:hint="eastAsia" w:hAnsi="宋体" w:cs="宋体"/>
          <w:color w:val="auto"/>
          <w:sz w:val="24"/>
          <w:szCs w:val="24"/>
          <w:highlight w:val="none"/>
        </w:rPr>
        <w:t>非单一产品采购项目中，多家投标人提供核心产品品牌相同的，视为提供相同品牌产品。</w:t>
      </w:r>
    </w:p>
    <w:p w14:paraId="0D30F9CB">
      <w:pPr>
        <w:pStyle w:val="23"/>
        <w:pageBreakBefore w:val="0"/>
        <w:wordWrap/>
        <w:overflowPunct/>
        <w:topLinePunct w:val="0"/>
        <w:bidi w:val="0"/>
        <w:adjustRightInd w:val="0"/>
        <w:spacing w:line="360" w:lineRule="auto"/>
        <w:ind w:left="0" w:right="0" w:firstLine="482" w:firstLineChars="200"/>
        <w:textAlignment w:val="baseline"/>
        <w:rPr>
          <w:rFonts w:hint="eastAsia" w:hAnsi="宋体" w:cs="宋体"/>
          <w:color w:val="auto"/>
          <w:sz w:val="24"/>
          <w:highlight w:val="none"/>
        </w:rPr>
      </w:pPr>
      <w:r>
        <w:rPr>
          <w:rFonts w:hint="eastAsia" w:hAnsi="宋体" w:cs="宋体"/>
          <w:b/>
          <w:color w:val="auto"/>
          <w:sz w:val="24"/>
          <w:highlight w:val="none"/>
          <w:lang w:val="en-US" w:eastAsia="zh-CN"/>
        </w:rPr>
        <w:t>14.4</w:t>
      </w:r>
      <w:r>
        <w:rPr>
          <w:rFonts w:hint="eastAsia" w:hAnsi="宋体" w:cs="宋体"/>
          <w:b/>
          <w:color w:val="auto"/>
          <w:sz w:val="24"/>
          <w:highlight w:val="none"/>
        </w:rPr>
        <w:t>.2利害关系供应商处理。</w:t>
      </w:r>
      <w:r>
        <w:rPr>
          <w:rFonts w:hint="eastAsia" w:hAnsi="宋体" w:cs="宋体"/>
          <w:color w:val="auto"/>
          <w:sz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14:paraId="275596D0">
      <w:pPr>
        <w:pStyle w:val="23"/>
        <w:pageBreakBefore w:val="0"/>
        <w:wordWrap/>
        <w:overflowPunct/>
        <w:topLinePunct w:val="0"/>
        <w:bidi w:val="0"/>
        <w:adjustRightInd w:val="0"/>
        <w:spacing w:line="360" w:lineRule="auto"/>
        <w:ind w:left="0" w:right="0" w:firstLine="482" w:firstLineChars="200"/>
        <w:textAlignment w:val="baseline"/>
        <w:rPr>
          <w:rFonts w:hint="eastAsia" w:hAnsi="宋体" w:cs="宋体"/>
          <w:color w:val="auto"/>
          <w:sz w:val="24"/>
          <w:highlight w:val="none"/>
        </w:rPr>
      </w:pPr>
      <w:r>
        <w:rPr>
          <w:rFonts w:hint="eastAsia" w:hAnsi="宋体" w:cs="宋体"/>
          <w:b/>
          <w:color w:val="auto"/>
          <w:sz w:val="24"/>
          <w:highlight w:val="none"/>
          <w:lang w:val="en-US" w:eastAsia="zh-CN"/>
        </w:rPr>
        <w:t>14.4</w:t>
      </w:r>
      <w:r>
        <w:rPr>
          <w:rFonts w:hint="eastAsia" w:hAnsi="宋体" w:cs="宋体"/>
          <w:b/>
          <w:color w:val="auto"/>
          <w:sz w:val="24"/>
          <w:highlight w:val="none"/>
        </w:rPr>
        <w:t>.3前期参与供应商处理。</w:t>
      </w:r>
      <w:r>
        <w:rPr>
          <w:rFonts w:hint="eastAsia" w:hAnsi="宋体" w:cs="宋体"/>
          <w:color w:val="auto"/>
          <w:sz w:val="24"/>
          <w:highlight w:val="none"/>
        </w:rPr>
        <w:t>除单一来源采购项目外，为采购项目提供整体设计、规范编制或者项目管理、监理、检测等服务的供应商，不得再参加该采购项目的其他采购活动；</w:t>
      </w:r>
    </w:p>
    <w:p w14:paraId="0687416C">
      <w:pPr>
        <w:pStyle w:val="23"/>
        <w:pageBreakBefore w:val="0"/>
        <w:wordWrap/>
        <w:overflowPunct/>
        <w:topLinePunct w:val="0"/>
        <w:bidi w:val="0"/>
        <w:adjustRightInd w:val="0"/>
        <w:spacing w:line="360" w:lineRule="auto"/>
        <w:ind w:left="0" w:right="0" w:firstLine="482" w:firstLineChars="200"/>
        <w:textAlignment w:val="baseline"/>
        <w:rPr>
          <w:b/>
          <w:bCs/>
          <w:color w:val="auto"/>
          <w:spacing w:val="-5"/>
          <w:sz w:val="28"/>
          <w:szCs w:val="28"/>
          <w:highlight w:val="none"/>
        </w:rPr>
      </w:pPr>
      <w:r>
        <w:rPr>
          <w:rFonts w:hint="eastAsia" w:hAnsi="宋体" w:cs="宋体"/>
          <w:b/>
          <w:color w:val="auto"/>
          <w:sz w:val="24"/>
          <w:highlight w:val="none"/>
          <w:lang w:val="en-US" w:eastAsia="zh-CN"/>
        </w:rPr>
        <w:t>14.4</w:t>
      </w:r>
      <w:r>
        <w:rPr>
          <w:rFonts w:hint="eastAsia" w:hAnsi="宋体" w:cs="宋体"/>
          <w:b/>
          <w:color w:val="auto"/>
          <w:sz w:val="24"/>
          <w:highlight w:val="none"/>
        </w:rPr>
        <w:t>.4利害关系代理人处理。</w:t>
      </w:r>
      <w:r>
        <w:rPr>
          <w:rFonts w:hint="eastAsia" w:hAnsi="宋体" w:cs="宋体"/>
          <w:color w:val="auto"/>
          <w:sz w:val="24"/>
          <w:highlight w:val="none"/>
        </w:rPr>
        <w:t>2家以上的供应商不得在同一合同项下的采购项目中，同时委托同一个自然人、同一家庭的人员、同一单位的人员作为其代理人，否则，其投标文件作为无效处理。</w:t>
      </w:r>
      <w:bookmarkEnd w:id="15"/>
      <w:bookmarkEnd w:id="16"/>
    </w:p>
    <w:p w14:paraId="50F6A61D">
      <w:pPr>
        <w:pStyle w:val="4"/>
        <w:pageBreakBefore w:val="0"/>
        <w:wordWrap/>
        <w:overflowPunct/>
        <w:topLinePunct w:val="0"/>
        <w:bidi w:val="0"/>
        <w:adjustRightInd w:val="0"/>
        <w:spacing w:line="360" w:lineRule="auto"/>
        <w:ind w:left="0" w:right="0" w:firstLine="0" w:firstLineChars="0"/>
        <w:jc w:val="center"/>
        <w:textAlignment w:val="baseline"/>
        <w:rPr>
          <w:b/>
          <w:bCs/>
          <w:color w:val="auto"/>
          <w:spacing w:val="-5"/>
          <w:sz w:val="28"/>
          <w:szCs w:val="28"/>
          <w:highlight w:val="none"/>
        </w:rPr>
      </w:pPr>
    </w:p>
    <w:p w14:paraId="46649D98">
      <w:pPr>
        <w:pStyle w:val="4"/>
        <w:pageBreakBefore w:val="0"/>
        <w:wordWrap/>
        <w:overflowPunct/>
        <w:topLinePunct w:val="0"/>
        <w:bidi w:val="0"/>
        <w:adjustRightInd w:val="0"/>
        <w:spacing w:line="360" w:lineRule="auto"/>
        <w:ind w:left="0" w:right="0" w:firstLine="0" w:firstLineChars="0"/>
        <w:jc w:val="center"/>
        <w:textAlignment w:val="baseline"/>
        <w:rPr>
          <w:color w:val="auto"/>
          <w:sz w:val="28"/>
          <w:szCs w:val="28"/>
          <w:highlight w:val="none"/>
        </w:rPr>
      </w:pPr>
      <w:r>
        <w:rPr>
          <w:b/>
          <w:bCs/>
          <w:color w:val="auto"/>
          <w:spacing w:val="-5"/>
          <w:sz w:val="28"/>
          <w:szCs w:val="28"/>
          <w:highlight w:val="none"/>
        </w:rPr>
        <w:t>（二）招标文件</w:t>
      </w:r>
    </w:p>
    <w:p w14:paraId="46A6640C">
      <w:pPr>
        <w:pStyle w:val="4"/>
        <w:pageBreakBefore w:val="0"/>
        <w:wordWrap/>
        <w:overflowPunct/>
        <w:topLinePunct w:val="0"/>
        <w:bidi w:val="0"/>
        <w:adjustRightInd w:val="0"/>
        <w:spacing w:line="360" w:lineRule="auto"/>
        <w:ind w:left="0" w:right="0" w:firstLine="464" w:firstLineChars="200"/>
        <w:textAlignment w:val="baseline"/>
        <w:rPr>
          <w:color w:val="auto"/>
          <w:sz w:val="24"/>
          <w:szCs w:val="24"/>
          <w:highlight w:val="none"/>
        </w:rPr>
      </w:pPr>
      <w:r>
        <w:rPr>
          <w:b/>
          <w:bCs/>
          <w:color w:val="auto"/>
          <w:spacing w:val="-4"/>
          <w:sz w:val="24"/>
          <w:szCs w:val="24"/>
          <w:highlight w:val="none"/>
        </w:rPr>
        <w:t>15.</w:t>
      </w:r>
      <w:r>
        <w:rPr>
          <w:b/>
          <w:bCs/>
          <w:color w:val="auto"/>
          <w:spacing w:val="66"/>
          <w:sz w:val="24"/>
          <w:szCs w:val="24"/>
          <w:highlight w:val="none"/>
        </w:rPr>
        <w:t xml:space="preserve"> </w:t>
      </w:r>
      <w:r>
        <w:rPr>
          <w:b/>
          <w:bCs/>
          <w:color w:val="auto"/>
          <w:spacing w:val="-4"/>
          <w:sz w:val="24"/>
          <w:szCs w:val="24"/>
          <w:highlight w:val="none"/>
        </w:rPr>
        <w:t>招标文件的编制依据</w:t>
      </w:r>
    </w:p>
    <w:p w14:paraId="41BB1077">
      <w:pPr>
        <w:pageBreakBefore w:val="0"/>
        <w:wordWrap/>
        <w:overflowPunct/>
        <w:topLinePunct w:val="0"/>
        <w:bidi w:val="0"/>
        <w:adjustRightInd w:val="0"/>
        <w:spacing w:line="360" w:lineRule="auto"/>
        <w:ind w:left="0" w:right="0" w:firstLine="468" w:firstLineChars="20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根据《中华人</w:t>
      </w:r>
      <w:r>
        <w:rPr>
          <w:rFonts w:ascii="新宋体" w:hAnsi="新宋体" w:eastAsia="新宋体" w:cs="新宋体"/>
          <w:color w:val="auto"/>
          <w:spacing w:val="-4"/>
          <w:sz w:val="24"/>
          <w:szCs w:val="24"/>
          <w:highlight w:val="none"/>
        </w:rPr>
        <w:t>民共和国政府采购法及其实</w:t>
      </w:r>
      <w:r>
        <w:rPr>
          <w:rFonts w:ascii="新宋体" w:hAnsi="新宋体" w:eastAsia="新宋体" w:cs="新宋体"/>
          <w:color w:val="auto"/>
          <w:spacing w:val="-3"/>
          <w:sz w:val="24"/>
          <w:szCs w:val="24"/>
          <w:highlight w:val="none"/>
        </w:rPr>
        <w:t>施条例》、《政府采购货物和服务招标投标管理办法》和《中华人民共和国</w:t>
      </w:r>
      <w:r>
        <w:rPr>
          <w:rFonts w:hint="eastAsia" w:ascii="新宋体" w:hAnsi="新宋体" w:eastAsia="新宋体" w:cs="新宋体"/>
          <w:color w:val="auto"/>
          <w:spacing w:val="-3"/>
          <w:sz w:val="24"/>
          <w:szCs w:val="24"/>
          <w:highlight w:val="none"/>
          <w:lang w:eastAsia="zh-CN"/>
        </w:rPr>
        <w:t>民法典</w:t>
      </w:r>
      <w:r>
        <w:rPr>
          <w:rFonts w:ascii="新宋体" w:hAnsi="新宋体" w:eastAsia="新宋体" w:cs="新宋体"/>
          <w:color w:val="auto"/>
          <w:spacing w:val="-3"/>
          <w:sz w:val="24"/>
          <w:szCs w:val="24"/>
          <w:highlight w:val="none"/>
        </w:rPr>
        <w:t>》等相关法</w:t>
      </w:r>
      <w:r>
        <w:rPr>
          <w:rFonts w:ascii="新宋体" w:hAnsi="新宋体" w:eastAsia="新宋体" w:cs="新宋体"/>
          <w:color w:val="auto"/>
          <w:spacing w:val="-2"/>
          <w:sz w:val="24"/>
          <w:szCs w:val="24"/>
          <w:highlight w:val="none"/>
        </w:rPr>
        <w:t>律法规和规章及部、自治区、市级规范性文件的规定，编制本招标文件。</w:t>
      </w:r>
    </w:p>
    <w:p w14:paraId="7EE4DD89">
      <w:pPr>
        <w:pStyle w:val="4"/>
        <w:pageBreakBefore w:val="0"/>
        <w:wordWrap/>
        <w:overflowPunct/>
        <w:topLinePunct w:val="0"/>
        <w:bidi w:val="0"/>
        <w:adjustRightInd w:val="0"/>
        <w:spacing w:line="360" w:lineRule="auto"/>
        <w:ind w:left="0" w:right="0" w:firstLine="460" w:firstLineChars="200"/>
        <w:textAlignment w:val="baseline"/>
        <w:rPr>
          <w:color w:val="auto"/>
          <w:sz w:val="24"/>
          <w:szCs w:val="24"/>
          <w:highlight w:val="none"/>
        </w:rPr>
      </w:pPr>
      <w:r>
        <w:rPr>
          <w:b/>
          <w:bCs/>
          <w:color w:val="auto"/>
          <w:spacing w:val="-5"/>
          <w:sz w:val="24"/>
          <w:szCs w:val="24"/>
          <w:highlight w:val="none"/>
        </w:rPr>
        <w:t>16.</w:t>
      </w:r>
      <w:r>
        <w:rPr>
          <w:b/>
          <w:bCs/>
          <w:color w:val="auto"/>
          <w:spacing w:val="68"/>
          <w:w w:val="101"/>
          <w:sz w:val="24"/>
          <w:szCs w:val="24"/>
          <w:highlight w:val="none"/>
        </w:rPr>
        <w:t xml:space="preserve"> </w:t>
      </w:r>
      <w:r>
        <w:rPr>
          <w:b/>
          <w:bCs/>
          <w:color w:val="auto"/>
          <w:spacing w:val="-5"/>
          <w:sz w:val="24"/>
          <w:szCs w:val="24"/>
          <w:highlight w:val="none"/>
        </w:rPr>
        <w:t>招标文件的组成</w:t>
      </w:r>
    </w:p>
    <w:p w14:paraId="553DC4B8">
      <w:pPr>
        <w:pageBreakBefore w:val="0"/>
        <w:wordWrap/>
        <w:overflowPunct/>
        <w:topLinePunct w:val="0"/>
        <w:bidi w:val="0"/>
        <w:adjustRightInd w:val="0"/>
        <w:spacing w:line="360" w:lineRule="auto"/>
        <w:ind w:left="0" w:right="0" w:firstLine="448" w:firstLineChars="200"/>
        <w:textAlignment w:val="baseline"/>
        <w:rPr>
          <w:rFonts w:ascii="新宋体" w:hAnsi="新宋体" w:eastAsia="新宋体" w:cs="新宋体"/>
          <w:color w:val="auto"/>
          <w:spacing w:val="-8"/>
          <w:sz w:val="24"/>
          <w:szCs w:val="24"/>
          <w:highlight w:val="none"/>
        </w:rPr>
      </w:pPr>
      <w:r>
        <w:rPr>
          <w:rFonts w:ascii="新宋体" w:hAnsi="新宋体" w:eastAsia="新宋体" w:cs="新宋体"/>
          <w:color w:val="auto"/>
          <w:spacing w:val="-8"/>
          <w:sz w:val="24"/>
          <w:szCs w:val="24"/>
          <w:highlight w:val="none"/>
        </w:rPr>
        <w:t>16.1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8"/>
          <w:sz w:val="24"/>
          <w:szCs w:val="24"/>
          <w:highlight w:val="none"/>
        </w:rPr>
        <w:t>招标文件包括内容：</w:t>
      </w:r>
    </w:p>
    <w:p w14:paraId="4B0C3B76">
      <w:pPr>
        <w:pageBreakBefore w:val="0"/>
        <w:wordWrap/>
        <w:overflowPunct/>
        <w:topLinePunct w:val="0"/>
        <w:bidi w:val="0"/>
        <w:adjustRightIn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第一章</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6"/>
          <w:sz w:val="24"/>
          <w:szCs w:val="24"/>
          <w:highlight w:val="none"/>
        </w:rPr>
        <w:t>招标公告</w:t>
      </w:r>
    </w:p>
    <w:p w14:paraId="730AD299">
      <w:pPr>
        <w:pageBreakBefore w:val="0"/>
        <w:wordWrap/>
        <w:overflowPunct/>
        <w:topLinePunct w:val="0"/>
        <w:bidi w:val="0"/>
        <w:adjustRightInd w:val="0"/>
        <w:spacing w:line="360" w:lineRule="auto"/>
        <w:ind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第二章</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6"/>
          <w:sz w:val="24"/>
          <w:szCs w:val="24"/>
          <w:highlight w:val="none"/>
        </w:rPr>
        <w:t>投标须知</w:t>
      </w:r>
    </w:p>
    <w:p w14:paraId="5C8C5BAD">
      <w:pPr>
        <w:pageBreakBefore w:val="0"/>
        <w:wordWrap/>
        <w:overflowPunct/>
        <w:topLinePunct w:val="0"/>
        <w:bidi w:val="0"/>
        <w:adjustRightIn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第三章</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6"/>
          <w:sz w:val="24"/>
          <w:szCs w:val="24"/>
          <w:highlight w:val="none"/>
        </w:rPr>
        <w:t>评标办法</w:t>
      </w:r>
    </w:p>
    <w:p w14:paraId="25F7D8D5">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第四章  采购清单及技术参数</w:t>
      </w:r>
    </w:p>
    <w:p w14:paraId="704B1F8D">
      <w:pPr>
        <w:pageBreakBefore w:val="0"/>
        <w:wordWrap/>
        <w:overflowPunct/>
        <w:topLinePunct w:val="0"/>
        <w:bidi w:val="0"/>
        <w:adjustRightIn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第五章</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5"/>
          <w:sz w:val="24"/>
          <w:szCs w:val="24"/>
          <w:highlight w:val="none"/>
        </w:rPr>
        <w:t>合同条款及格式</w:t>
      </w:r>
    </w:p>
    <w:p w14:paraId="4F579D29">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第六章  投标文件格式文本</w:t>
      </w:r>
    </w:p>
    <w:p w14:paraId="2D5B7443">
      <w:pPr>
        <w:pageBreakBefore w:val="0"/>
        <w:wordWrap/>
        <w:overflowPunct/>
        <w:topLinePunct w:val="0"/>
        <w:bidi w:val="0"/>
        <w:adjustRightInd w:val="0"/>
        <w:spacing w:line="360" w:lineRule="auto"/>
        <w:ind w:left="0" w:right="0" w:firstLine="452" w:firstLineChars="20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16.2</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7"/>
          <w:sz w:val="24"/>
          <w:szCs w:val="24"/>
          <w:highlight w:val="none"/>
        </w:rPr>
        <w:t>除</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7"/>
          <w:sz w:val="24"/>
          <w:szCs w:val="24"/>
          <w:highlight w:val="none"/>
        </w:rPr>
        <w:t>16.1 内容外，招标答疑亦为招标文件的组成部分，对招标人和投标人</w:t>
      </w:r>
      <w:r>
        <w:rPr>
          <w:rFonts w:ascii="新宋体" w:hAnsi="新宋体" w:eastAsia="新宋体" w:cs="新宋体"/>
          <w:color w:val="auto"/>
          <w:spacing w:val="-8"/>
          <w:sz w:val="24"/>
          <w:szCs w:val="24"/>
          <w:highlight w:val="none"/>
        </w:rPr>
        <w:t>起约束作用。</w:t>
      </w:r>
    </w:p>
    <w:p w14:paraId="0551437D">
      <w:pPr>
        <w:pageBreakBefore w:val="0"/>
        <w:wordWrap/>
        <w:overflowPunct/>
        <w:topLinePunct w:val="0"/>
        <w:bidi w:val="0"/>
        <w:adjustRightInd w:val="0"/>
        <w:spacing w:line="360" w:lineRule="auto"/>
        <w:ind w:left="0" w:right="0" w:firstLine="48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16.3</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1"/>
          <w:sz w:val="24"/>
          <w:szCs w:val="24"/>
          <w:highlight w:val="none"/>
        </w:rPr>
        <w:t>投标人应仔细阅读和检查招标文件的全部内容。如发现缺页或附件不全，应及时向</w:t>
      </w:r>
      <w:r>
        <w:rPr>
          <w:rFonts w:ascii="新宋体" w:hAnsi="新宋体" w:eastAsia="新宋体" w:cs="新宋体"/>
          <w:color w:val="auto"/>
          <w:spacing w:val="-6"/>
          <w:sz w:val="24"/>
          <w:szCs w:val="24"/>
          <w:highlight w:val="none"/>
        </w:rPr>
        <w:t>招标人提出，以便补齐。如有疑问，应在投标人须知前附表规定的时间前，要求招标人对招标文件予以澄清。</w:t>
      </w:r>
    </w:p>
    <w:p w14:paraId="29BE311F">
      <w:pPr>
        <w:pageBreakBefore w:val="0"/>
        <w:wordWrap/>
        <w:overflowPunct/>
        <w:topLinePunct w:val="0"/>
        <w:bidi w:val="0"/>
        <w:adjustRightInd w:val="0"/>
        <w:spacing w:line="360" w:lineRule="auto"/>
        <w:ind w:left="0" w:right="0" w:firstLine="48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16.4</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z w:val="24"/>
          <w:szCs w:val="24"/>
          <w:highlight w:val="none"/>
        </w:rPr>
        <w:t>招标文件的澄清，但不指明澄清问题的来源。如果澄清内容影响投标文件编制的，</w:t>
      </w:r>
      <w:r>
        <w:rPr>
          <w:rFonts w:ascii="新宋体" w:hAnsi="新宋体" w:eastAsia="新宋体" w:cs="新宋体"/>
          <w:color w:val="auto"/>
          <w:spacing w:val="-4"/>
          <w:sz w:val="24"/>
          <w:szCs w:val="24"/>
          <w:highlight w:val="none"/>
        </w:rPr>
        <w:t>将相应延长投标截止时间。</w:t>
      </w:r>
    </w:p>
    <w:p w14:paraId="49C508D6">
      <w:pPr>
        <w:pStyle w:val="4"/>
        <w:pageBreakBefore w:val="0"/>
        <w:wordWrap/>
        <w:overflowPunct/>
        <w:topLinePunct w:val="0"/>
        <w:bidi w:val="0"/>
        <w:adjustRightInd w:val="0"/>
        <w:spacing w:line="360" w:lineRule="auto"/>
        <w:ind w:left="0" w:right="0" w:firstLine="468" w:firstLineChars="200"/>
        <w:textAlignment w:val="baseline"/>
        <w:rPr>
          <w:color w:val="auto"/>
          <w:sz w:val="24"/>
          <w:szCs w:val="24"/>
          <w:highlight w:val="none"/>
        </w:rPr>
      </w:pPr>
      <w:r>
        <w:rPr>
          <w:b/>
          <w:bCs/>
          <w:color w:val="auto"/>
          <w:spacing w:val="-3"/>
          <w:sz w:val="24"/>
          <w:szCs w:val="24"/>
          <w:highlight w:val="none"/>
        </w:rPr>
        <w:t>17.</w:t>
      </w:r>
      <w:r>
        <w:rPr>
          <w:b/>
          <w:bCs/>
          <w:color w:val="auto"/>
          <w:spacing w:val="65"/>
          <w:w w:val="101"/>
          <w:sz w:val="24"/>
          <w:szCs w:val="24"/>
          <w:highlight w:val="none"/>
        </w:rPr>
        <w:t xml:space="preserve"> </w:t>
      </w:r>
      <w:r>
        <w:rPr>
          <w:b/>
          <w:bCs/>
          <w:color w:val="auto"/>
          <w:spacing w:val="-3"/>
          <w:sz w:val="24"/>
          <w:szCs w:val="24"/>
          <w:highlight w:val="none"/>
        </w:rPr>
        <w:t>招标文件的修改、补充、解释</w:t>
      </w:r>
    </w:p>
    <w:p w14:paraId="0C76F9D7">
      <w:pPr>
        <w:pageBreakBefore w:val="0"/>
        <w:wordWrap/>
        <w:overflowPunct/>
        <w:topLinePunct w:val="0"/>
        <w:bidi w:val="0"/>
        <w:adjustRightInd w:val="0"/>
        <w:spacing w:line="360" w:lineRule="auto"/>
        <w:ind w:left="0" w:right="0" w:firstLine="48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17.1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招标文件发出后，招标人在规定的投标截止时间前可对招标文件进行必要的修改和</w:t>
      </w:r>
      <w:r>
        <w:rPr>
          <w:rFonts w:ascii="新宋体" w:hAnsi="新宋体" w:eastAsia="新宋体" w:cs="新宋体"/>
          <w:color w:val="auto"/>
          <w:spacing w:val="-3"/>
          <w:sz w:val="24"/>
          <w:szCs w:val="24"/>
          <w:highlight w:val="none"/>
        </w:rPr>
        <w:t>补充，请各位投标人注意查看有关澄清内容，如不及时查看造成后果由投标人自负。招标文件</w:t>
      </w:r>
      <w:r>
        <w:rPr>
          <w:rFonts w:ascii="新宋体" w:hAnsi="新宋体" w:eastAsia="新宋体" w:cs="新宋体"/>
          <w:color w:val="auto"/>
          <w:spacing w:val="-2"/>
          <w:sz w:val="24"/>
          <w:szCs w:val="24"/>
          <w:highlight w:val="none"/>
        </w:rPr>
        <w:t>的修改、补充等内容作为招标文件的组成部分，具有约束作用。</w:t>
      </w:r>
    </w:p>
    <w:p w14:paraId="0CBC1425">
      <w:pPr>
        <w:pageBreakBefore w:val="0"/>
        <w:wordWrap/>
        <w:overflowPunct/>
        <w:topLinePunct w:val="0"/>
        <w:bidi w:val="0"/>
        <w:adjustRightIn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17.2</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4"/>
          <w:sz w:val="24"/>
          <w:szCs w:val="24"/>
          <w:highlight w:val="none"/>
        </w:rPr>
        <w:t>招标文件的解释</w:t>
      </w:r>
    </w:p>
    <w:p w14:paraId="43861E4F">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本招标文件由招标人（或其委托的招标代理机构）负责解释。</w:t>
      </w:r>
    </w:p>
    <w:p w14:paraId="24B86309">
      <w:pPr>
        <w:pStyle w:val="4"/>
        <w:pageBreakBefore w:val="0"/>
        <w:wordWrap/>
        <w:overflowPunct/>
        <w:topLinePunct w:val="0"/>
        <w:bidi w:val="0"/>
        <w:adjustRightInd w:val="0"/>
        <w:spacing w:line="360" w:lineRule="auto"/>
        <w:ind w:left="0" w:right="0" w:firstLine="460" w:firstLineChars="200"/>
        <w:textAlignment w:val="baseline"/>
        <w:rPr>
          <w:color w:val="auto"/>
          <w:sz w:val="24"/>
          <w:szCs w:val="24"/>
          <w:highlight w:val="none"/>
        </w:rPr>
      </w:pPr>
      <w:r>
        <w:rPr>
          <w:b/>
          <w:bCs/>
          <w:color w:val="auto"/>
          <w:spacing w:val="-5"/>
          <w:sz w:val="24"/>
          <w:szCs w:val="24"/>
          <w:highlight w:val="none"/>
        </w:rPr>
        <w:t>18.</w:t>
      </w:r>
      <w:r>
        <w:rPr>
          <w:b/>
          <w:bCs/>
          <w:color w:val="auto"/>
          <w:spacing w:val="68"/>
          <w:w w:val="101"/>
          <w:sz w:val="24"/>
          <w:szCs w:val="24"/>
          <w:highlight w:val="none"/>
        </w:rPr>
        <w:t xml:space="preserve"> </w:t>
      </w:r>
      <w:r>
        <w:rPr>
          <w:b/>
          <w:bCs/>
          <w:color w:val="auto"/>
          <w:spacing w:val="-5"/>
          <w:sz w:val="24"/>
          <w:szCs w:val="24"/>
          <w:highlight w:val="none"/>
        </w:rPr>
        <w:t>招标文件的发出</w:t>
      </w:r>
    </w:p>
    <w:p w14:paraId="53CE2916">
      <w:pPr>
        <w:pageBreakBefore w:val="0"/>
        <w:wordWrap/>
        <w:overflowPunct/>
        <w:topLinePunct w:val="0"/>
        <w:bidi w:val="0"/>
        <w:adjustRightInd w:val="0"/>
        <w:spacing w:line="360" w:lineRule="auto"/>
        <w:ind w:left="0" w:right="0" w:firstLine="484" w:firstLineChars="200"/>
        <w:textAlignment w:val="baseline"/>
        <w:rPr>
          <w:rFonts w:ascii="Arial"/>
          <w:color w:val="auto"/>
          <w:sz w:val="21"/>
          <w:highlight w:val="none"/>
        </w:rPr>
      </w:pPr>
      <w:r>
        <w:rPr>
          <w:rFonts w:ascii="新宋体" w:hAnsi="新宋体" w:eastAsia="新宋体" w:cs="新宋体"/>
          <w:color w:val="auto"/>
          <w:spacing w:val="1"/>
          <w:sz w:val="24"/>
          <w:szCs w:val="24"/>
          <w:highlight w:val="none"/>
        </w:rPr>
        <w:t>18.1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招标文件、招标文件的澄清、修改、补充及招标答疑等均应报招投标监督管理机构</w:t>
      </w:r>
      <w:r>
        <w:rPr>
          <w:rFonts w:ascii="新宋体" w:hAnsi="新宋体" w:eastAsia="新宋体" w:cs="新宋体"/>
          <w:color w:val="auto"/>
          <w:spacing w:val="-5"/>
          <w:sz w:val="24"/>
          <w:szCs w:val="24"/>
          <w:highlight w:val="none"/>
        </w:rPr>
        <w:t>备案后，方可发出。</w:t>
      </w:r>
    </w:p>
    <w:p w14:paraId="4FFEF465">
      <w:pPr>
        <w:pStyle w:val="4"/>
        <w:pageBreakBefore w:val="0"/>
        <w:wordWrap/>
        <w:overflowPunct/>
        <w:topLinePunct w:val="0"/>
        <w:bidi w:val="0"/>
        <w:adjustRightInd w:val="0"/>
        <w:spacing w:line="360" w:lineRule="auto"/>
        <w:ind w:left="0" w:right="0" w:firstLine="468" w:firstLineChars="200"/>
        <w:textAlignment w:val="baseline"/>
        <w:rPr>
          <w:color w:val="auto"/>
          <w:sz w:val="24"/>
          <w:szCs w:val="24"/>
          <w:highlight w:val="none"/>
        </w:rPr>
      </w:pPr>
      <w:r>
        <w:rPr>
          <w:b/>
          <w:bCs/>
          <w:color w:val="auto"/>
          <w:spacing w:val="-3"/>
          <w:sz w:val="24"/>
          <w:szCs w:val="24"/>
          <w:highlight w:val="none"/>
        </w:rPr>
        <w:t>19.最高限价的作用和说明</w:t>
      </w:r>
    </w:p>
    <w:p w14:paraId="10DF930D">
      <w:pPr>
        <w:pageBreakBefore w:val="0"/>
        <w:wordWrap/>
        <w:overflowPunct/>
        <w:topLinePunct w:val="0"/>
        <w:bidi w:val="0"/>
        <w:adjustRightIn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19.1</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4"/>
          <w:sz w:val="24"/>
          <w:szCs w:val="24"/>
          <w:highlight w:val="none"/>
        </w:rPr>
        <w:t>本项目最高限价见投标人须知前附表。</w:t>
      </w:r>
    </w:p>
    <w:p w14:paraId="0FBE3D92">
      <w:pPr>
        <w:pStyle w:val="4"/>
        <w:pageBreakBefore w:val="0"/>
        <w:wordWrap/>
        <w:overflowPunct/>
        <w:topLinePunct w:val="0"/>
        <w:bidi w:val="0"/>
        <w:adjustRightInd w:val="0"/>
        <w:spacing w:line="360" w:lineRule="auto"/>
        <w:ind w:left="0" w:right="0" w:firstLine="0" w:firstLineChars="0"/>
        <w:jc w:val="center"/>
        <w:textAlignment w:val="baseline"/>
        <w:rPr>
          <w:b/>
          <w:bCs/>
          <w:color w:val="auto"/>
          <w:spacing w:val="-5"/>
          <w:sz w:val="28"/>
          <w:szCs w:val="28"/>
          <w:highlight w:val="none"/>
        </w:rPr>
      </w:pPr>
    </w:p>
    <w:p w14:paraId="355D4BF3">
      <w:pPr>
        <w:pStyle w:val="4"/>
        <w:pageBreakBefore w:val="0"/>
        <w:wordWrap/>
        <w:overflowPunct/>
        <w:topLinePunct w:val="0"/>
        <w:bidi w:val="0"/>
        <w:adjustRightInd w:val="0"/>
        <w:spacing w:line="360" w:lineRule="auto"/>
        <w:ind w:left="0" w:right="0" w:firstLine="0" w:firstLineChars="0"/>
        <w:jc w:val="center"/>
        <w:textAlignment w:val="baseline"/>
        <w:rPr>
          <w:color w:val="auto"/>
          <w:sz w:val="28"/>
          <w:szCs w:val="28"/>
          <w:highlight w:val="none"/>
        </w:rPr>
      </w:pPr>
      <w:r>
        <w:rPr>
          <w:b/>
          <w:bCs/>
          <w:color w:val="auto"/>
          <w:spacing w:val="-5"/>
          <w:sz w:val="28"/>
          <w:szCs w:val="28"/>
          <w:highlight w:val="none"/>
        </w:rPr>
        <w:t>（三）投标文件的编制</w:t>
      </w:r>
    </w:p>
    <w:p w14:paraId="4FA38704">
      <w:pPr>
        <w:pStyle w:val="4"/>
        <w:pageBreakBefore w:val="0"/>
        <w:wordWrap/>
        <w:overflowPunct/>
        <w:topLinePunct w:val="0"/>
        <w:bidi w:val="0"/>
        <w:adjustRightInd w:val="0"/>
        <w:spacing w:line="360" w:lineRule="auto"/>
        <w:ind w:left="0" w:right="0" w:firstLine="468" w:firstLineChars="200"/>
        <w:textAlignment w:val="baseline"/>
        <w:rPr>
          <w:color w:val="auto"/>
          <w:sz w:val="24"/>
          <w:szCs w:val="24"/>
          <w:highlight w:val="none"/>
        </w:rPr>
      </w:pPr>
      <w:r>
        <w:rPr>
          <w:b/>
          <w:bCs/>
          <w:color w:val="auto"/>
          <w:spacing w:val="-3"/>
          <w:sz w:val="24"/>
          <w:szCs w:val="24"/>
          <w:highlight w:val="none"/>
        </w:rPr>
        <w:t>20.</w:t>
      </w:r>
      <w:r>
        <w:rPr>
          <w:b/>
          <w:bCs/>
          <w:color w:val="auto"/>
          <w:spacing w:val="75"/>
          <w:sz w:val="24"/>
          <w:szCs w:val="24"/>
          <w:highlight w:val="none"/>
        </w:rPr>
        <w:t xml:space="preserve"> </w:t>
      </w:r>
      <w:r>
        <w:rPr>
          <w:b/>
          <w:bCs/>
          <w:color w:val="auto"/>
          <w:spacing w:val="-3"/>
          <w:sz w:val="24"/>
          <w:szCs w:val="24"/>
          <w:highlight w:val="none"/>
        </w:rPr>
        <w:t>投标的语言及度量衡单位</w:t>
      </w:r>
    </w:p>
    <w:p w14:paraId="0EF91C9C">
      <w:pPr>
        <w:pageBreakBefore w:val="0"/>
        <w:wordWrap/>
        <w:overflowPunct/>
        <w:topLinePunct w:val="0"/>
        <w:bidi w:val="0"/>
        <w:adjustRightInd w:val="0"/>
        <w:spacing w:line="360" w:lineRule="auto"/>
        <w:ind w:left="0" w:right="0" w:firstLine="48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20.1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投标人的投标文件、以及投标人与招</w:t>
      </w:r>
      <w:r>
        <w:rPr>
          <w:rFonts w:ascii="新宋体" w:hAnsi="新宋体" w:eastAsia="新宋体" w:cs="新宋体"/>
          <w:color w:val="auto"/>
          <w:spacing w:val="1"/>
          <w:sz w:val="24"/>
          <w:szCs w:val="24"/>
          <w:highlight w:val="none"/>
        </w:rPr>
        <w:t>标人就投标的所有往来函电，均须使用简体中</w:t>
      </w:r>
      <w:r>
        <w:rPr>
          <w:rFonts w:ascii="新宋体" w:hAnsi="新宋体" w:eastAsia="新宋体" w:cs="新宋体"/>
          <w:color w:val="auto"/>
          <w:spacing w:val="-12"/>
          <w:sz w:val="24"/>
          <w:szCs w:val="24"/>
          <w:highlight w:val="none"/>
        </w:rPr>
        <w:t>文。</w:t>
      </w:r>
    </w:p>
    <w:p w14:paraId="751F01BD">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20.2</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2"/>
          <w:sz w:val="24"/>
          <w:szCs w:val="24"/>
          <w:highlight w:val="none"/>
        </w:rPr>
        <w:t>除招标文件中另有规定外，投标书所使用的度量衡均须采用法定计量单位。</w:t>
      </w:r>
    </w:p>
    <w:p w14:paraId="48319D84">
      <w:pPr>
        <w:pStyle w:val="4"/>
        <w:pageBreakBefore w:val="0"/>
        <w:wordWrap/>
        <w:overflowPunct/>
        <w:topLinePunct w:val="0"/>
        <w:bidi w:val="0"/>
        <w:adjustRightInd w:val="0"/>
        <w:spacing w:line="360" w:lineRule="auto"/>
        <w:ind w:left="0" w:right="0" w:firstLine="468" w:firstLineChars="200"/>
        <w:textAlignment w:val="baseline"/>
        <w:rPr>
          <w:color w:val="auto"/>
          <w:sz w:val="24"/>
          <w:szCs w:val="24"/>
          <w:highlight w:val="none"/>
        </w:rPr>
      </w:pPr>
      <w:r>
        <w:rPr>
          <w:b/>
          <w:bCs/>
          <w:color w:val="auto"/>
          <w:spacing w:val="-3"/>
          <w:sz w:val="24"/>
          <w:szCs w:val="24"/>
          <w:highlight w:val="none"/>
        </w:rPr>
        <w:t>21.</w:t>
      </w:r>
      <w:r>
        <w:rPr>
          <w:b/>
          <w:bCs/>
          <w:color w:val="auto"/>
          <w:spacing w:val="63"/>
          <w:w w:val="101"/>
          <w:sz w:val="24"/>
          <w:szCs w:val="24"/>
          <w:highlight w:val="none"/>
        </w:rPr>
        <w:t xml:space="preserve"> </w:t>
      </w:r>
      <w:r>
        <w:rPr>
          <w:b/>
          <w:bCs/>
          <w:color w:val="auto"/>
          <w:spacing w:val="-3"/>
          <w:sz w:val="24"/>
          <w:szCs w:val="24"/>
          <w:highlight w:val="none"/>
        </w:rPr>
        <w:t>投标文件的组成</w:t>
      </w:r>
    </w:p>
    <w:p w14:paraId="624F8F55">
      <w:pPr>
        <w:pageBreakBefore w:val="0"/>
        <w:wordWrap/>
        <w:overflowPunct/>
        <w:topLinePunct w:val="0"/>
        <w:bidi w:val="0"/>
        <w:adjustRightInd w:val="0"/>
        <w:spacing w:line="360" w:lineRule="auto"/>
        <w:ind w:left="0" w:right="0" w:firstLine="45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投标文件由商务标、技术标、经济标，按以下顺序编制</w:t>
      </w:r>
      <w:r>
        <w:rPr>
          <w:rFonts w:ascii="新宋体" w:hAnsi="新宋体" w:eastAsia="新宋体" w:cs="新宋体"/>
          <w:color w:val="auto"/>
          <w:spacing w:val="-8"/>
          <w:sz w:val="24"/>
          <w:szCs w:val="24"/>
          <w:highlight w:val="none"/>
        </w:rPr>
        <w:t>并提交电子投标文件（务必按以下</w:t>
      </w:r>
      <w:r>
        <w:rPr>
          <w:rFonts w:ascii="新宋体" w:hAnsi="新宋体" w:eastAsia="新宋体" w:cs="新宋体"/>
          <w:color w:val="auto"/>
          <w:spacing w:val="-3"/>
          <w:sz w:val="24"/>
          <w:szCs w:val="24"/>
          <w:highlight w:val="none"/>
        </w:rPr>
        <w:t>顺序编制，每页加盖公章）</w:t>
      </w:r>
    </w:p>
    <w:p w14:paraId="51C2B3C1">
      <w:pPr>
        <w:pStyle w:val="4"/>
        <w:pageBreakBefore w:val="0"/>
        <w:wordWrap/>
        <w:overflowPunct/>
        <w:topLinePunct w:val="0"/>
        <w:bidi w:val="0"/>
        <w:adjustRightInd w:val="0"/>
        <w:spacing w:line="360" w:lineRule="auto"/>
        <w:ind w:left="0" w:right="0" w:firstLine="444" w:firstLineChars="200"/>
        <w:textAlignment w:val="baseline"/>
        <w:rPr>
          <w:color w:val="auto"/>
          <w:sz w:val="24"/>
          <w:szCs w:val="24"/>
          <w:highlight w:val="none"/>
        </w:rPr>
      </w:pPr>
      <w:r>
        <w:rPr>
          <w:b/>
          <w:bCs/>
          <w:color w:val="auto"/>
          <w:spacing w:val="-9"/>
          <w:sz w:val="24"/>
          <w:szCs w:val="24"/>
          <w:highlight w:val="none"/>
        </w:rPr>
        <w:t>21.1</w:t>
      </w:r>
      <w:r>
        <w:rPr>
          <w:b/>
          <w:bCs/>
          <w:color w:val="auto"/>
          <w:spacing w:val="14"/>
          <w:sz w:val="24"/>
          <w:szCs w:val="24"/>
          <w:highlight w:val="none"/>
        </w:rPr>
        <w:t xml:space="preserve"> </w:t>
      </w:r>
      <w:r>
        <w:rPr>
          <w:b/>
          <w:bCs/>
          <w:color w:val="auto"/>
          <w:spacing w:val="-9"/>
          <w:sz w:val="24"/>
          <w:szCs w:val="24"/>
          <w:highlight w:val="none"/>
        </w:rPr>
        <w:t>商务标</w:t>
      </w:r>
    </w:p>
    <w:p w14:paraId="59C678E4">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（1）法定代表人身份证明及其有效身份证复印件或授权委托书及其有效身份证复印件；</w:t>
      </w:r>
    </w:p>
    <w:p w14:paraId="7FE5FC0F">
      <w:pPr>
        <w:pageBreakBefore w:val="0"/>
        <w:wordWrap/>
        <w:overflowPunct/>
        <w:topLinePunct w:val="0"/>
        <w:bidi w:val="0"/>
        <w:adjustRightIn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（2）投标单位基本情况；</w:t>
      </w:r>
    </w:p>
    <w:p w14:paraId="66859E33">
      <w:pPr>
        <w:pageBreakBefore w:val="0"/>
        <w:wordWrap/>
        <w:overflowPunct/>
        <w:topLinePunct w:val="0"/>
        <w:bidi w:val="0"/>
        <w:adjustRightIn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（3）投标保证金打款凭证或投标保函；</w:t>
      </w:r>
    </w:p>
    <w:p w14:paraId="17B4F8BD">
      <w:pPr>
        <w:pageBreakBefore w:val="0"/>
        <w:wordWrap/>
        <w:overflowPunct/>
        <w:topLinePunct w:val="0"/>
        <w:bidi w:val="0"/>
        <w:adjustRightIn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（4）商务条款响应/偏离表；</w:t>
      </w:r>
    </w:p>
    <w:p w14:paraId="04782A20">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（5）在经营活动中没有重大违法记录的书面声明；</w:t>
      </w:r>
    </w:p>
    <w:p w14:paraId="1A431161">
      <w:pPr>
        <w:pageBreakBefore w:val="0"/>
        <w:wordWrap/>
        <w:overflowPunct/>
        <w:topLinePunct w:val="0"/>
        <w:bidi w:val="0"/>
        <w:adjustRightIn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（6）社会法人无失信被执行行为承诺书；</w:t>
      </w:r>
    </w:p>
    <w:p w14:paraId="5627CD5A">
      <w:pPr>
        <w:pageBreakBefore w:val="0"/>
        <w:wordWrap/>
        <w:overflowPunct/>
        <w:topLinePunct w:val="0"/>
        <w:bidi w:val="0"/>
        <w:adjustRightIn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（7）无重大税收违法行为承诺书；</w:t>
      </w:r>
    </w:p>
    <w:p w14:paraId="58F339A4">
      <w:pPr>
        <w:pageBreakBefore w:val="0"/>
        <w:wordWrap/>
        <w:overflowPunct/>
        <w:topLinePunct w:val="0"/>
        <w:bidi w:val="0"/>
        <w:adjustRightIn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（8）中标服务费承诺书；</w:t>
      </w:r>
    </w:p>
    <w:p w14:paraId="28ED1CCB">
      <w:pPr>
        <w:pageBreakBefore w:val="0"/>
        <w:wordWrap/>
        <w:overflowPunct/>
        <w:topLinePunct w:val="0"/>
        <w:bidi w:val="0"/>
        <w:adjustRightInd w:val="0"/>
        <w:spacing w:line="360" w:lineRule="auto"/>
        <w:ind w:left="0" w:right="0" w:firstLine="44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（9）售后服务；</w:t>
      </w:r>
    </w:p>
    <w:p w14:paraId="63E05CC2">
      <w:pPr>
        <w:pageBreakBefore w:val="0"/>
        <w:wordWrap/>
        <w:overflowPunct/>
        <w:topLinePunct w:val="0"/>
        <w:bidi w:val="0"/>
        <w:adjustRightIn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（10）投标人认为需要提供的其他材料；</w:t>
      </w:r>
    </w:p>
    <w:p w14:paraId="08FDB175">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（11）商务部分评分细则里需要提供的相关材料及方案；</w:t>
      </w:r>
    </w:p>
    <w:p w14:paraId="1658526B">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注：凡提供复印件的资料需加盖投标人印章，提供营业执照加盖印章复印件的，投标企业自行承担复印件二维码不清晰可能导致投标人证件审查不通过的后果。</w:t>
      </w:r>
    </w:p>
    <w:p w14:paraId="372FB199">
      <w:pPr>
        <w:pStyle w:val="4"/>
        <w:pageBreakBefore w:val="0"/>
        <w:wordWrap/>
        <w:overflowPunct/>
        <w:topLinePunct w:val="0"/>
        <w:bidi w:val="0"/>
        <w:adjustRightInd w:val="0"/>
        <w:spacing w:line="360" w:lineRule="auto"/>
        <w:ind w:left="0" w:right="0" w:firstLine="452" w:firstLineChars="200"/>
        <w:textAlignment w:val="baseline"/>
        <w:rPr>
          <w:color w:val="auto"/>
          <w:sz w:val="24"/>
          <w:szCs w:val="24"/>
          <w:highlight w:val="none"/>
        </w:rPr>
      </w:pPr>
      <w:r>
        <w:rPr>
          <w:b/>
          <w:bCs/>
          <w:color w:val="auto"/>
          <w:spacing w:val="-7"/>
          <w:sz w:val="24"/>
          <w:szCs w:val="24"/>
          <w:highlight w:val="none"/>
        </w:rPr>
        <w:t>21.2 技术标</w:t>
      </w:r>
    </w:p>
    <w:p w14:paraId="7E3A645B">
      <w:pPr>
        <w:pageBreakBefore w:val="0"/>
        <w:wordWrap/>
        <w:overflowPunct/>
        <w:topLinePunct w:val="0"/>
        <w:bidi w:val="0"/>
        <w:adjustRightIn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（1）技术要求响应/偏离表；</w:t>
      </w:r>
    </w:p>
    <w:p w14:paraId="05DFB147">
      <w:pPr>
        <w:pageBreakBefore w:val="0"/>
        <w:wordWrap/>
        <w:overflowPunct/>
        <w:topLinePunct w:val="0"/>
        <w:bidi w:val="0"/>
        <w:adjustRightIn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（2）货物的详细配置清单；</w:t>
      </w:r>
    </w:p>
    <w:p w14:paraId="6DAB5BD4">
      <w:pPr>
        <w:pageBreakBefore w:val="0"/>
        <w:wordWrap/>
        <w:overflowPunct/>
        <w:topLinePunct w:val="0"/>
        <w:bidi w:val="0"/>
        <w:adjustRightInd w:val="0"/>
        <w:spacing w:line="360" w:lineRule="auto"/>
        <w:ind w:left="0" w:right="0" w:firstLine="45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（3）项目实施方案；</w:t>
      </w:r>
    </w:p>
    <w:p w14:paraId="4038CD70">
      <w:pPr>
        <w:pageBreakBefore w:val="0"/>
        <w:wordWrap/>
        <w:overflowPunct/>
        <w:topLinePunct w:val="0"/>
        <w:bidi w:val="0"/>
        <w:adjustRightInd w:val="0"/>
        <w:spacing w:line="360" w:lineRule="auto"/>
        <w:ind w:left="0" w:right="0" w:firstLine="45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（4）服务承诺书；</w:t>
      </w:r>
    </w:p>
    <w:p w14:paraId="0FB9A0EE">
      <w:pPr>
        <w:pageBreakBefore w:val="0"/>
        <w:wordWrap/>
        <w:overflowPunct/>
        <w:topLinePunct w:val="0"/>
        <w:bidi w:val="0"/>
        <w:adjustRightIn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（5）招标文件规定的其它材料；</w:t>
      </w:r>
    </w:p>
    <w:p w14:paraId="068C91D9">
      <w:pPr>
        <w:pageBreakBefore w:val="0"/>
        <w:wordWrap/>
        <w:overflowPunct/>
        <w:topLinePunct w:val="0"/>
        <w:bidi w:val="0"/>
        <w:adjustRightInd w:val="0"/>
        <w:spacing w:line="360" w:lineRule="auto"/>
        <w:ind w:left="0" w:right="0" w:firstLine="47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注：投标人应提交其货物和服务符合招标文件规定的证明，作为投</w:t>
      </w:r>
      <w:r>
        <w:rPr>
          <w:rFonts w:ascii="新宋体" w:hAnsi="新宋体" w:eastAsia="新宋体" w:cs="新宋体"/>
          <w:color w:val="auto"/>
          <w:spacing w:val="-2"/>
          <w:sz w:val="24"/>
          <w:szCs w:val="24"/>
          <w:highlight w:val="none"/>
        </w:rPr>
        <w:t>标文件的一部分。</w:t>
      </w:r>
    </w:p>
    <w:p w14:paraId="2B9990DE">
      <w:pPr>
        <w:pageBreakBefore w:val="0"/>
        <w:wordWrap/>
        <w:overflowPunct/>
        <w:topLinePunct w:val="0"/>
        <w:bidi w:val="0"/>
        <w:adjustRightInd w:val="0"/>
        <w:spacing w:line="360" w:lineRule="auto"/>
        <w:ind w:left="0" w:right="0" w:firstLine="45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货物和服务与招标文件的要求相一致的证明，可以是文字资料、图纸、数据、检测报告等，</w:t>
      </w:r>
      <w:r>
        <w:rPr>
          <w:rFonts w:ascii="新宋体" w:hAnsi="新宋体" w:eastAsia="新宋体" w:cs="新宋体"/>
          <w:color w:val="auto"/>
          <w:spacing w:val="-18"/>
          <w:sz w:val="24"/>
          <w:szCs w:val="24"/>
          <w:highlight w:val="none"/>
        </w:rPr>
        <w:t>包括：</w:t>
      </w:r>
    </w:p>
    <w:p w14:paraId="4EDF8D84">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1、所投货物主要技术指标和性能的详细说明。</w:t>
      </w:r>
    </w:p>
    <w:p w14:paraId="2305A421">
      <w:pPr>
        <w:pageBreakBefore w:val="0"/>
        <w:wordWrap/>
        <w:overflowPunct/>
        <w:topLinePunct w:val="0"/>
        <w:bidi w:val="0"/>
        <w:adjustRightInd w:val="0"/>
        <w:spacing w:line="360" w:lineRule="auto"/>
        <w:ind w:left="0" w:right="0" w:firstLine="48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2、对照招标文件技术规范要求，逐条说明所提供货物和服务已对招标文件的技术规范要</w:t>
      </w:r>
      <w:r>
        <w:rPr>
          <w:rFonts w:ascii="新宋体" w:hAnsi="新宋体" w:eastAsia="新宋体" w:cs="新宋体"/>
          <w:color w:val="auto"/>
          <w:spacing w:val="-7"/>
          <w:sz w:val="24"/>
          <w:szCs w:val="24"/>
          <w:highlight w:val="none"/>
        </w:rPr>
        <w:t>求作出了实质性响应，或申明与技术规范要求的偏差和例外。特别对于有具体参数要求的指标，</w:t>
      </w:r>
      <w:r>
        <w:rPr>
          <w:rFonts w:ascii="新宋体" w:hAnsi="新宋体" w:eastAsia="新宋体" w:cs="新宋体"/>
          <w:color w:val="auto"/>
          <w:spacing w:val="7"/>
          <w:sz w:val="24"/>
          <w:szCs w:val="24"/>
          <w:highlight w:val="none"/>
        </w:rPr>
        <w:t xml:space="preserve"> </w:t>
      </w:r>
      <w:r>
        <w:rPr>
          <w:rFonts w:ascii="新宋体" w:hAnsi="新宋体" w:eastAsia="新宋体" w:cs="新宋体"/>
          <w:color w:val="auto"/>
          <w:spacing w:val="-3"/>
          <w:sz w:val="24"/>
          <w:szCs w:val="24"/>
          <w:highlight w:val="none"/>
        </w:rPr>
        <w:t>投标人必须提供所投货物的具体参数。</w:t>
      </w:r>
    </w:p>
    <w:p w14:paraId="3DBAD2FE">
      <w:pPr>
        <w:pageBreakBefore w:val="0"/>
        <w:wordWrap/>
        <w:overflowPunct/>
        <w:topLinePunct w:val="0"/>
        <w:bidi w:val="0"/>
        <w:adjustRightIn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3、商务条款的偏差和例外。</w:t>
      </w:r>
    </w:p>
    <w:p w14:paraId="60572739">
      <w:pPr>
        <w:pageBreakBefore w:val="0"/>
        <w:wordWrap/>
        <w:overflowPunct/>
        <w:topLinePunct w:val="0"/>
        <w:bidi w:val="0"/>
        <w:adjustRightInd w:val="0"/>
        <w:spacing w:line="360" w:lineRule="auto"/>
        <w:ind w:left="0" w:right="0" w:firstLine="48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4、投标人的技术规范应符合招标文件设备清单的</w:t>
      </w:r>
      <w:r>
        <w:rPr>
          <w:rFonts w:ascii="新宋体" w:hAnsi="新宋体" w:eastAsia="新宋体" w:cs="新宋体"/>
          <w:color w:val="auto"/>
          <w:sz w:val="24"/>
          <w:szCs w:val="24"/>
          <w:highlight w:val="none"/>
        </w:rPr>
        <w:t>要求，投标人可提出改进建议，但该建</w:t>
      </w:r>
      <w:r>
        <w:rPr>
          <w:rFonts w:ascii="新宋体" w:hAnsi="新宋体" w:eastAsia="新宋体" w:cs="新宋体"/>
          <w:color w:val="auto"/>
          <w:spacing w:val="-3"/>
          <w:sz w:val="24"/>
          <w:szCs w:val="24"/>
          <w:highlight w:val="none"/>
        </w:rPr>
        <w:t>议应相当于或优于招标文件设备清单的技术规范要求的规定，以使招标人满意并得到招标人的</w:t>
      </w:r>
      <w:r>
        <w:rPr>
          <w:rFonts w:ascii="新宋体" w:hAnsi="新宋体" w:eastAsia="新宋体" w:cs="新宋体"/>
          <w:color w:val="auto"/>
          <w:spacing w:val="-11"/>
          <w:sz w:val="24"/>
          <w:szCs w:val="24"/>
          <w:highlight w:val="none"/>
        </w:rPr>
        <w:t>同意。</w:t>
      </w:r>
    </w:p>
    <w:p w14:paraId="17ED4C13">
      <w:pPr>
        <w:pStyle w:val="4"/>
        <w:pageBreakBefore w:val="0"/>
        <w:wordWrap/>
        <w:overflowPunct/>
        <w:topLinePunct w:val="0"/>
        <w:bidi w:val="0"/>
        <w:adjustRightInd w:val="0"/>
        <w:spacing w:line="360" w:lineRule="auto"/>
        <w:ind w:left="0" w:right="0" w:firstLine="452" w:firstLineChars="200"/>
        <w:textAlignment w:val="baseline"/>
        <w:rPr>
          <w:color w:val="auto"/>
          <w:sz w:val="24"/>
          <w:szCs w:val="24"/>
          <w:highlight w:val="none"/>
        </w:rPr>
      </w:pPr>
      <w:r>
        <w:rPr>
          <w:b/>
          <w:bCs/>
          <w:color w:val="auto"/>
          <w:spacing w:val="-7"/>
          <w:sz w:val="24"/>
          <w:szCs w:val="24"/>
          <w:highlight w:val="none"/>
        </w:rPr>
        <w:t>21.3 经济标</w:t>
      </w:r>
    </w:p>
    <w:p w14:paraId="519AA198">
      <w:pPr>
        <w:pageBreakBefore w:val="0"/>
        <w:wordWrap/>
        <w:overflowPunct/>
        <w:topLinePunct w:val="0"/>
        <w:bidi w:val="0"/>
        <w:adjustRightInd w:val="0"/>
        <w:spacing w:line="360" w:lineRule="auto"/>
        <w:ind w:left="0" w:right="0" w:firstLine="45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（1）投标承诺书；</w:t>
      </w:r>
    </w:p>
    <w:p w14:paraId="09399F51">
      <w:pPr>
        <w:pageBreakBefore w:val="0"/>
        <w:wordWrap/>
        <w:overflowPunct/>
        <w:topLinePunct w:val="0"/>
        <w:bidi w:val="0"/>
        <w:adjustRightIn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（2）开标一览表；</w:t>
      </w:r>
    </w:p>
    <w:p w14:paraId="15821F14">
      <w:pPr>
        <w:pageBreakBefore w:val="0"/>
        <w:wordWrap/>
        <w:overflowPunct/>
        <w:topLinePunct w:val="0"/>
        <w:bidi w:val="0"/>
        <w:adjustRightInd w:val="0"/>
        <w:spacing w:line="360" w:lineRule="auto"/>
        <w:ind w:left="0" w:right="0" w:firstLine="45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（3）报价明细表；</w:t>
      </w:r>
    </w:p>
    <w:p w14:paraId="1E3127FA">
      <w:pPr>
        <w:pageBreakBefore w:val="0"/>
        <w:wordWrap/>
        <w:overflowPunct/>
        <w:topLinePunct w:val="0"/>
        <w:bidi w:val="0"/>
        <w:adjustRightIn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（4）诚信投标承诺书；</w:t>
      </w:r>
    </w:p>
    <w:p w14:paraId="16EF8AC7">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（5）投标人认为需要提供的其他材料。</w:t>
      </w:r>
    </w:p>
    <w:p w14:paraId="0142D8EB">
      <w:pPr>
        <w:pStyle w:val="4"/>
        <w:pageBreakBefore w:val="0"/>
        <w:wordWrap/>
        <w:overflowPunct/>
        <w:topLinePunct w:val="0"/>
        <w:bidi w:val="0"/>
        <w:adjustRightInd w:val="0"/>
        <w:spacing w:line="360" w:lineRule="auto"/>
        <w:ind w:left="0" w:right="0" w:firstLine="464" w:firstLineChars="200"/>
        <w:textAlignment w:val="baseline"/>
        <w:rPr>
          <w:color w:val="auto"/>
          <w:sz w:val="24"/>
          <w:szCs w:val="24"/>
          <w:highlight w:val="none"/>
        </w:rPr>
      </w:pPr>
      <w:r>
        <w:rPr>
          <w:b/>
          <w:bCs/>
          <w:color w:val="auto"/>
          <w:spacing w:val="-4"/>
          <w:sz w:val="24"/>
          <w:szCs w:val="24"/>
          <w:highlight w:val="none"/>
        </w:rPr>
        <w:t>22.</w:t>
      </w:r>
      <w:r>
        <w:rPr>
          <w:b/>
          <w:bCs/>
          <w:color w:val="auto"/>
          <w:spacing w:val="63"/>
          <w:sz w:val="24"/>
          <w:szCs w:val="24"/>
          <w:highlight w:val="none"/>
        </w:rPr>
        <w:t xml:space="preserve"> </w:t>
      </w:r>
      <w:r>
        <w:rPr>
          <w:b/>
          <w:bCs/>
          <w:color w:val="auto"/>
          <w:spacing w:val="-4"/>
          <w:sz w:val="24"/>
          <w:szCs w:val="24"/>
          <w:highlight w:val="none"/>
        </w:rPr>
        <w:t>投标报价</w:t>
      </w:r>
    </w:p>
    <w:p w14:paraId="04634851">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22.1</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投标报价文件中的单价和总价全部采用人民</w:t>
      </w:r>
      <w:r>
        <w:rPr>
          <w:rFonts w:ascii="新宋体" w:hAnsi="新宋体" w:eastAsia="新宋体" w:cs="新宋体"/>
          <w:color w:val="auto"/>
          <w:spacing w:val="-3"/>
          <w:sz w:val="24"/>
          <w:szCs w:val="24"/>
          <w:highlight w:val="none"/>
        </w:rPr>
        <w:t>币表示。</w:t>
      </w:r>
    </w:p>
    <w:p w14:paraId="462FE652">
      <w:pPr>
        <w:pageBreakBefore w:val="0"/>
        <w:wordWrap/>
        <w:overflowPunct/>
        <w:topLinePunct w:val="0"/>
        <w:bidi w:val="0"/>
        <w:adjustRightInd w:val="0"/>
        <w:spacing w:line="360" w:lineRule="auto"/>
        <w:ind w:left="0" w:right="0" w:firstLine="48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22.2</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投标报价表上应清楚地标明投标人拟</w:t>
      </w:r>
      <w:r>
        <w:rPr>
          <w:rFonts w:ascii="新宋体" w:hAnsi="新宋体" w:eastAsia="新宋体" w:cs="新宋体"/>
          <w:color w:val="auto"/>
          <w:spacing w:val="1"/>
          <w:sz w:val="24"/>
          <w:szCs w:val="24"/>
          <w:highlight w:val="none"/>
        </w:rPr>
        <w:t>提供货物的名称、型号、生产厂家、数量、单</w:t>
      </w:r>
      <w:r>
        <w:rPr>
          <w:rFonts w:ascii="新宋体" w:hAnsi="新宋体" w:eastAsia="新宋体" w:cs="新宋体"/>
          <w:color w:val="auto"/>
          <w:spacing w:val="-7"/>
          <w:sz w:val="24"/>
          <w:szCs w:val="24"/>
          <w:highlight w:val="none"/>
        </w:rPr>
        <w:t>价和总价等。</w:t>
      </w:r>
    </w:p>
    <w:p w14:paraId="0EE74F98">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22.3</w:t>
      </w:r>
      <w:r>
        <w:rPr>
          <w:rFonts w:ascii="新宋体" w:hAnsi="新宋体" w:eastAsia="新宋体" w:cs="新宋体"/>
          <w:color w:val="auto"/>
          <w:spacing w:val="-34"/>
          <w:sz w:val="24"/>
          <w:szCs w:val="24"/>
          <w:highlight w:val="none"/>
        </w:rPr>
        <w:t xml:space="preserve"> </w:t>
      </w:r>
      <w:r>
        <w:rPr>
          <w:rFonts w:ascii="新宋体" w:hAnsi="新宋体" w:eastAsia="新宋体" w:cs="新宋体"/>
          <w:color w:val="auto"/>
          <w:spacing w:val="-3"/>
          <w:sz w:val="24"/>
          <w:szCs w:val="24"/>
          <w:highlight w:val="none"/>
        </w:rPr>
        <w:t>投标人只允许有一个方案、一个报价。</w:t>
      </w:r>
    </w:p>
    <w:p w14:paraId="512789A0">
      <w:pPr>
        <w:pageBreakBefore w:val="0"/>
        <w:wordWrap/>
        <w:overflowPunct/>
        <w:topLinePunct w:val="0"/>
        <w:bidi w:val="0"/>
        <w:adjustRightInd w:val="0"/>
        <w:spacing w:line="360" w:lineRule="auto"/>
        <w:ind w:left="0" w:right="0" w:firstLine="48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22.4</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1"/>
          <w:sz w:val="24"/>
          <w:szCs w:val="24"/>
          <w:highlight w:val="none"/>
        </w:rPr>
        <w:t>投标人应按“采购清单及技术参数</w:t>
      </w:r>
      <w:r>
        <w:rPr>
          <w:rFonts w:ascii="新宋体" w:hAnsi="新宋体" w:eastAsia="新宋体" w:cs="新宋体"/>
          <w:color w:val="auto"/>
          <w:spacing w:val="-86"/>
          <w:sz w:val="24"/>
          <w:szCs w:val="24"/>
          <w:highlight w:val="none"/>
        </w:rPr>
        <w:t xml:space="preserve"> </w:t>
      </w:r>
      <w:r>
        <w:rPr>
          <w:rFonts w:ascii="新宋体" w:hAnsi="新宋体" w:eastAsia="新宋体" w:cs="新宋体"/>
          <w:color w:val="auto"/>
          <w:spacing w:val="1"/>
          <w:sz w:val="24"/>
          <w:szCs w:val="24"/>
          <w:highlight w:val="none"/>
        </w:rPr>
        <w:t>”所列货物逐项</w:t>
      </w:r>
      <w:r>
        <w:rPr>
          <w:rFonts w:ascii="新宋体" w:hAnsi="新宋体" w:eastAsia="新宋体" w:cs="新宋体"/>
          <w:color w:val="auto"/>
          <w:sz w:val="24"/>
          <w:szCs w:val="24"/>
          <w:highlight w:val="none"/>
        </w:rPr>
        <w:t>进行报价，并最终按货物总量乘</w:t>
      </w:r>
      <w:r>
        <w:rPr>
          <w:rFonts w:ascii="新宋体" w:hAnsi="新宋体" w:eastAsia="新宋体" w:cs="新宋体"/>
          <w:color w:val="auto"/>
          <w:spacing w:val="-3"/>
          <w:sz w:val="24"/>
          <w:szCs w:val="24"/>
          <w:highlight w:val="none"/>
        </w:rPr>
        <w:t>以货物单价报总价，不得采用总价下浮的方式进行报价。</w:t>
      </w:r>
    </w:p>
    <w:p w14:paraId="3D82B75C">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22.5</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2"/>
          <w:sz w:val="24"/>
          <w:szCs w:val="24"/>
          <w:highlight w:val="none"/>
        </w:rPr>
        <w:t>投标报价的价格是货物交货地验收价格，其总价即为履行合同的固定总价。</w:t>
      </w:r>
    </w:p>
    <w:p w14:paraId="029FE45B">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22.6</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3"/>
          <w:sz w:val="24"/>
          <w:szCs w:val="24"/>
          <w:highlight w:val="none"/>
        </w:rPr>
        <w:t>投标报价应由法定代表人或被授权人签署。</w:t>
      </w:r>
    </w:p>
    <w:p w14:paraId="13C92590">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22.7</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3"/>
          <w:sz w:val="24"/>
          <w:szCs w:val="24"/>
          <w:highlight w:val="none"/>
        </w:rPr>
        <w:t>投标人的报价不得高于本次招标最高限价。</w:t>
      </w:r>
    </w:p>
    <w:p w14:paraId="15D535D7">
      <w:pPr>
        <w:pageBreakBefore w:val="0"/>
        <w:wordWrap/>
        <w:overflowPunct/>
        <w:topLinePunct w:val="0"/>
        <w:bidi w:val="0"/>
        <w:adjustRightInd w:val="0"/>
        <w:spacing w:line="360" w:lineRule="auto"/>
        <w:ind w:left="0" w:right="0" w:firstLine="48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22.8</w:t>
      </w:r>
      <w:r>
        <w:rPr>
          <w:rFonts w:ascii="新宋体" w:hAnsi="新宋体" w:eastAsia="新宋体" w:cs="新宋体"/>
          <w:color w:val="auto"/>
          <w:spacing w:val="-22"/>
          <w:sz w:val="24"/>
          <w:szCs w:val="24"/>
          <w:highlight w:val="none"/>
        </w:rPr>
        <w:t xml:space="preserve"> </w:t>
      </w:r>
      <w:r>
        <w:rPr>
          <w:rFonts w:ascii="新宋体" w:hAnsi="新宋体" w:eastAsia="新宋体" w:cs="新宋体"/>
          <w:color w:val="auto"/>
          <w:spacing w:val="1"/>
          <w:sz w:val="24"/>
          <w:szCs w:val="24"/>
          <w:highlight w:val="none"/>
        </w:rPr>
        <w:t>总投标价中不得包含招标文件要求以外的内容，否则，在评标时不予核减，但在授</w:t>
      </w:r>
      <w:r>
        <w:rPr>
          <w:rFonts w:ascii="新宋体" w:hAnsi="新宋体" w:eastAsia="新宋体" w:cs="新宋体"/>
          <w:color w:val="auto"/>
          <w:spacing w:val="-2"/>
          <w:sz w:val="24"/>
          <w:szCs w:val="24"/>
          <w:highlight w:val="none"/>
        </w:rPr>
        <w:t>予合同时，招标人有权将这部分价格从其中标价格</w:t>
      </w:r>
      <w:r>
        <w:rPr>
          <w:rFonts w:ascii="新宋体" w:hAnsi="新宋体" w:eastAsia="新宋体" w:cs="新宋体"/>
          <w:color w:val="auto"/>
          <w:spacing w:val="-3"/>
          <w:sz w:val="24"/>
          <w:szCs w:val="24"/>
          <w:highlight w:val="none"/>
        </w:rPr>
        <w:t>中扣除。</w:t>
      </w:r>
    </w:p>
    <w:p w14:paraId="6555130C">
      <w:pPr>
        <w:pStyle w:val="4"/>
        <w:pageBreakBefore w:val="0"/>
        <w:wordWrap/>
        <w:overflowPunct/>
        <w:topLinePunct w:val="0"/>
        <w:bidi w:val="0"/>
        <w:adjustRightInd w:val="0"/>
        <w:spacing w:line="360" w:lineRule="auto"/>
        <w:ind w:left="0" w:right="0" w:firstLine="464" w:firstLineChars="200"/>
        <w:textAlignment w:val="baseline"/>
        <w:rPr>
          <w:color w:val="auto"/>
          <w:sz w:val="24"/>
          <w:szCs w:val="24"/>
          <w:highlight w:val="none"/>
        </w:rPr>
      </w:pPr>
      <w:r>
        <w:rPr>
          <w:b/>
          <w:bCs/>
          <w:color w:val="auto"/>
          <w:spacing w:val="-4"/>
          <w:sz w:val="24"/>
          <w:szCs w:val="24"/>
          <w:highlight w:val="none"/>
        </w:rPr>
        <w:t>23.</w:t>
      </w:r>
      <w:r>
        <w:rPr>
          <w:b/>
          <w:bCs/>
          <w:color w:val="auto"/>
          <w:spacing w:val="66"/>
          <w:sz w:val="24"/>
          <w:szCs w:val="24"/>
          <w:highlight w:val="none"/>
        </w:rPr>
        <w:t xml:space="preserve"> </w:t>
      </w:r>
      <w:r>
        <w:rPr>
          <w:b/>
          <w:bCs/>
          <w:color w:val="auto"/>
          <w:spacing w:val="-4"/>
          <w:sz w:val="24"/>
          <w:szCs w:val="24"/>
          <w:highlight w:val="none"/>
        </w:rPr>
        <w:t>投标有效期</w:t>
      </w:r>
    </w:p>
    <w:p w14:paraId="3078EC17">
      <w:pPr>
        <w:pageBreakBefore w:val="0"/>
        <w:wordWrap/>
        <w:overflowPunct/>
        <w:topLinePunct w:val="0"/>
        <w:bidi w:val="0"/>
        <w:adjustRightIn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23.1</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4"/>
          <w:sz w:val="24"/>
          <w:szCs w:val="24"/>
          <w:highlight w:val="none"/>
        </w:rPr>
        <w:t>除投标人须知前附表另有规定外，投标有效期为</w:t>
      </w:r>
      <w:r>
        <w:rPr>
          <w:rFonts w:hint="eastAsia" w:ascii="新宋体" w:hAnsi="新宋体" w:eastAsia="新宋体" w:cs="新宋体"/>
          <w:color w:val="auto"/>
          <w:spacing w:val="-4"/>
          <w:sz w:val="24"/>
          <w:szCs w:val="24"/>
          <w:highlight w:val="none"/>
          <w:lang w:val="en-US" w:eastAsia="zh-CN"/>
        </w:rPr>
        <w:t>90</w:t>
      </w:r>
      <w:r>
        <w:rPr>
          <w:rFonts w:ascii="新宋体" w:hAnsi="新宋体" w:eastAsia="新宋体" w:cs="新宋体"/>
          <w:color w:val="auto"/>
          <w:spacing w:val="-4"/>
          <w:sz w:val="24"/>
          <w:szCs w:val="24"/>
          <w:highlight w:val="none"/>
        </w:rPr>
        <w:t>日历日（自投标截止时间起开始</w:t>
      </w:r>
      <w:r>
        <w:rPr>
          <w:rFonts w:ascii="新宋体" w:hAnsi="新宋体" w:eastAsia="新宋体" w:cs="新宋体"/>
          <w:color w:val="auto"/>
          <w:spacing w:val="-9"/>
          <w:sz w:val="24"/>
          <w:szCs w:val="24"/>
          <w:highlight w:val="none"/>
        </w:rPr>
        <w:t>计算）。</w:t>
      </w:r>
    </w:p>
    <w:p w14:paraId="1CB90F5A">
      <w:pPr>
        <w:pageBreakBefore w:val="0"/>
        <w:wordWrap/>
        <w:overflowPunct/>
        <w:topLinePunct w:val="0"/>
        <w:bidi w:val="0"/>
        <w:adjustRightInd w:val="0"/>
        <w:spacing w:line="360" w:lineRule="auto"/>
        <w:ind w:left="0" w:right="0" w:firstLine="48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23.2</w:t>
      </w:r>
      <w:r>
        <w:rPr>
          <w:rFonts w:ascii="新宋体" w:hAnsi="新宋体" w:eastAsia="新宋体" w:cs="新宋体"/>
          <w:color w:val="auto"/>
          <w:spacing w:val="-22"/>
          <w:sz w:val="24"/>
          <w:szCs w:val="24"/>
          <w:highlight w:val="none"/>
        </w:rPr>
        <w:t xml:space="preserve"> </w:t>
      </w:r>
      <w:r>
        <w:rPr>
          <w:rFonts w:ascii="新宋体" w:hAnsi="新宋体" w:eastAsia="新宋体" w:cs="新宋体"/>
          <w:color w:val="auto"/>
          <w:spacing w:val="1"/>
          <w:sz w:val="24"/>
          <w:szCs w:val="24"/>
          <w:highlight w:val="none"/>
        </w:rPr>
        <w:t>在投标有效期内，投标人撤销或修改其投标文件的，应承担招标文件和法律规定的</w:t>
      </w:r>
      <w:r>
        <w:rPr>
          <w:rFonts w:ascii="新宋体" w:hAnsi="新宋体" w:eastAsia="新宋体" w:cs="新宋体"/>
          <w:color w:val="auto"/>
          <w:spacing w:val="-12"/>
          <w:sz w:val="24"/>
          <w:szCs w:val="24"/>
          <w:highlight w:val="none"/>
        </w:rPr>
        <w:t>责任。</w:t>
      </w:r>
    </w:p>
    <w:p w14:paraId="2CC96BBF">
      <w:pPr>
        <w:pageBreakBefore w:val="0"/>
        <w:wordWrap/>
        <w:overflowPunct/>
        <w:topLinePunct w:val="0"/>
        <w:bidi w:val="0"/>
        <w:adjustRightInd w:val="0"/>
        <w:spacing w:line="360" w:lineRule="auto"/>
        <w:ind w:left="0" w:right="0" w:firstLine="48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23.3 出现特殊情况需要延长投标有效期的，招标人以书面形式通知所有投标人延长投标</w:t>
      </w:r>
      <w:r>
        <w:rPr>
          <w:rFonts w:ascii="新宋体" w:hAnsi="新宋体" w:eastAsia="新宋体" w:cs="新宋体"/>
          <w:color w:val="auto"/>
          <w:spacing w:val="-6"/>
          <w:sz w:val="24"/>
          <w:szCs w:val="24"/>
          <w:highlight w:val="none"/>
        </w:rPr>
        <w:t>有效期。投标人同意延长的， 应相应延长其投标保证金的有效期，但不得要求或被允许修改或</w:t>
      </w:r>
      <w:r>
        <w:rPr>
          <w:rFonts w:ascii="新宋体" w:hAnsi="新宋体" w:eastAsia="新宋体" w:cs="新宋体"/>
          <w:color w:val="auto"/>
          <w:spacing w:val="-1"/>
          <w:sz w:val="24"/>
          <w:szCs w:val="24"/>
          <w:highlight w:val="none"/>
        </w:rPr>
        <w:t>撤销其投标文件；投标人拒绝延长的，其投标失效，但投标人有权收回</w:t>
      </w:r>
      <w:r>
        <w:rPr>
          <w:rFonts w:ascii="新宋体" w:hAnsi="新宋体" w:eastAsia="新宋体" w:cs="新宋体"/>
          <w:color w:val="auto"/>
          <w:spacing w:val="-2"/>
          <w:sz w:val="24"/>
          <w:szCs w:val="24"/>
          <w:highlight w:val="none"/>
        </w:rPr>
        <w:t>其投标保证金。</w:t>
      </w:r>
    </w:p>
    <w:p w14:paraId="02B9EA7B">
      <w:pPr>
        <w:pStyle w:val="4"/>
        <w:pageBreakBefore w:val="0"/>
        <w:wordWrap/>
        <w:overflowPunct/>
        <w:topLinePunct w:val="0"/>
        <w:bidi w:val="0"/>
        <w:adjustRightInd w:val="0"/>
        <w:spacing w:line="360" w:lineRule="auto"/>
        <w:ind w:left="0" w:right="0" w:firstLine="464" w:firstLineChars="200"/>
        <w:textAlignment w:val="baseline"/>
        <w:rPr>
          <w:color w:val="auto"/>
          <w:sz w:val="24"/>
          <w:szCs w:val="24"/>
          <w:highlight w:val="none"/>
        </w:rPr>
      </w:pPr>
      <w:r>
        <w:rPr>
          <w:b/>
          <w:bCs/>
          <w:color w:val="auto"/>
          <w:spacing w:val="-4"/>
          <w:sz w:val="24"/>
          <w:szCs w:val="24"/>
          <w:highlight w:val="none"/>
        </w:rPr>
        <w:t>24.</w:t>
      </w:r>
      <w:r>
        <w:rPr>
          <w:b/>
          <w:bCs/>
          <w:color w:val="auto"/>
          <w:spacing w:val="66"/>
          <w:sz w:val="24"/>
          <w:szCs w:val="24"/>
          <w:highlight w:val="none"/>
        </w:rPr>
        <w:t xml:space="preserve"> </w:t>
      </w:r>
      <w:r>
        <w:rPr>
          <w:b/>
          <w:bCs/>
          <w:color w:val="auto"/>
          <w:spacing w:val="-4"/>
          <w:sz w:val="24"/>
          <w:szCs w:val="24"/>
          <w:highlight w:val="none"/>
        </w:rPr>
        <w:t>投标保证金</w:t>
      </w:r>
    </w:p>
    <w:p w14:paraId="418B6BE2">
      <w:pPr>
        <w:pageBreakBefore w:val="0"/>
        <w:wordWrap/>
        <w:overflowPunct/>
        <w:topLinePunct w:val="0"/>
        <w:bidi w:val="0"/>
        <w:adjustRightInd w:val="0"/>
        <w:spacing w:line="360" w:lineRule="auto"/>
        <w:ind w:left="0" w:right="0" w:firstLine="48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24.1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投标人须知前附表规定递交投标保证</w:t>
      </w:r>
      <w:r>
        <w:rPr>
          <w:rFonts w:ascii="新宋体" w:hAnsi="新宋体" w:eastAsia="新宋体" w:cs="新宋体"/>
          <w:color w:val="auto"/>
          <w:spacing w:val="1"/>
          <w:sz w:val="24"/>
          <w:szCs w:val="24"/>
          <w:highlight w:val="none"/>
        </w:rPr>
        <w:t>金的，投标人在递交投标文件的同时，应按投</w:t>
      </w:r>
      <w:r>
        <w:rPr>
          <w:rFonts w:ascii="新宋体" w:hAnsi="新宋体" w:eastAsia="新宋体" w:cs="新宋体"/>
          <w:color w:val="auto"/>
          <w:spacing w:val="-3"/>
          <w:sz w:val="24"/>
          <w:szCs w:val="24"/>
          <w:highlight w:val="none"/>
        </w:rPr>
        <w:t>标人须知前附表规定的金额、担保形式和第六章“投标文件格式”规定的或者事先经过招标人</w:t>
      </w:r>
      <w:r>
        <w:rPr>
          <w:rFonts w:ascii="新宋体" w:hAnsi="新宋体" w:eastAsia="新宋体" w:cs="新宋体"/>
          <w:color w:val="auto"/>
          <w:spacing w:val="-2"/>
          <w:sz w:val="24"/>
          <w:szCs w:val="24"/>
          <w:highlight w:val="none"/>
        </w:rPr>
        <w:t>认可的投标保证金格式递交投标保证金，并作为其投标文件的组成部分。</w:t>
      </w:r>
    </w:p>
    <w:p w14:paraId="01CFB414">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24.2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投标人不按本章</w:t>
      </w:r>
      <w:r>
        <w:rPr>
          <w:rFonts w:ascii="新宋体" w:hAnsi="新宋体" w:eastAsia="新宋体" w:cs="新宋体"/>
          <w:color w:val="auto"/>
          <w:spacing w:val="-48"/>
          <w:sz w:val="24"/>
          <w:szCs w:val="24"/>
          <w:highlight w:val="none"/>
        </w:rPr>
        <w:t xml:space="preserve"> </w:t>
      </w:r>
      <w:r>
        <w:rPr>
          <w:rFonts w:ascii="新宋体" w:hAnsi="新宋体" w:eastAsia="新宋体" w:cs="新宋体"/>
          <w:color w:val="auto"/>
          <w:spacing w:val="-2"/>
          <w:sz w:val="24"/>
          <w:szCs w:val="24"/>
          <w:highlight w:val="none"/>
        </w:rPr>
        <w:t>24.1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2"/>
          <w:sz w:val="24"/>
          <w:szCs w:val="24"/>
          <w:highlight w:val="none"/>
        </w:rPr>
        <w:t>项要求提交保证金的，</w:t>
      </w:r>
      <w:r>
        <w:rPr>
          <w:rFonts w:ascii="新宋体" w:hAnsi="新宋体" w:eastAsia="新宋体" w:cs="新宋体"/>
          <w:color w:val="auto"/>
          <w:spacing w:val="-3"/>
          <w:sz w:val="24"/>
          <w:szCs w:val="24"/>
          <w:highlight w:val="none"/>
        </w:rPr>
        <w:t>评标委员会按无效标处理。</w:t>
      </w:r>
    </w:p>
    <w:p w14:paraId="5EA0BEFD">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24.3 中标通知书发出之日起</w:t>
      </w:r>
      <w:r>
        <w:rPr>
          <w:rFonts w:ascii="新宋体" w:hAnsi="新宋体" w:eastAsia="新宋体" w:cs="新宋体"/>
          <w:color w:val="auto"/>
          <w:spacing w:val="-31"/>
          <w:sz w:val="24"/>
          <w:szCs w:val="24"/>
          <w:highlight w:val="none"/>
        </w:rPr>
        <w:t xml:space="preserve"> </w:t>
      </w:r>
      <w:r>
        <w:rPr>
          <w:rFonts w:ascii="新宋体" w:hAnsi="新宋体" w:eastAsia="新宋体" w:cs="新宋体"/>
          <w:color w:val="auto"/>
          <w:spacing w:val="-2"/>
          <w:sz w:val="24"/>
          <w:szCs w:val="24"/>
          <w:highlight w:val="none"/>
        </w:rPr>
        <w:t>5</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2"/>
          <w:sz w:val="24"/>
          <w:szCs w:val="24"/>
          <w:highlight w:val="none"/>
        </w:rPr>
        <w:t>个工作日内，</w:t>
      </w:r>
      <w:r>
        <w:rPr>
          <w:rFonts w:ascii="新宋体" w:hAnsi="新宋体" w:eastAsia="新宋体" w:cs="新宋体"/>
          <w:color w:val="auto"/>
          <w:spacing w:val="-68"/>
          <w:sz w:val="24"/>
          <w:szCs w:val="24"/>
          <w:highlight w:val="none"/>
        </w:rPr>
        <w:t xml:space="preserve"> </w:t>
      </w:r>
      <w:r>
        <w:rPr>
          <w:rFonts w:ascii="新宋体" w:hAnsi="新宋体" w:eastAsia="新宋体" w:cs="新宋体"/>
          <w:color w:val="auto"/>
          <w:spacing w:val="-2"/>
          <w:sz w:val="24"/>
          <w:szCs w:val="24"/>
          <w:highlight w:val="none"/>
        </w:rPr>
        <w:t>向未中标的投标人退还投标保证金；招标人</w:t>
      </w:r>
      <w:r>
        <w:rPr>
          <w:rFonts w:ascii="新宋体" w:hAnsi="新宋体" w:eastAsia="新宋体" w:cs="新宋体"/>
          <w:color w:val="auto"/>
          <w:spacing w:val="-3"/>
          <w:sz w:val="24"/>
          <w:szCs w:val="24"/>
          <w:highlight w:val="none"/>
        </w:rPr>
        <w:t>与中标人签订合同后</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3"/>
          <w:sz w:val="24"/>
          <w:szCs w:val="24"/>
          <w:highlight w:val="none"/>
        </w:rPr>
        <w:t>5</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3"/>
          <w:sz w:val="24"/>
          <w:szCs w:val="24"/>
          <w:highlight w:val="none"/>
        </w:rPr>
        <w:t>个工作日内，向中标人退还投标保证</w:t>
      </w:r>
      <w:r>
        <w:rPr>
          <w:rFonts w:ascii="新宋体" w:hAnsi="新宋体" w:eastAsia="新宋体" w:cs="新宋体"/>
          <w:color w:val="auto"/>
          <w:spacing w:val="-4"/>
          <w:sz w:val="24"/>
          <w:szCs w:val="24"/>
          <w:highlight w:val="none"/>
        </w:rPr>
        <w:t>金。</w:t>
      </w:r>
    </w:p>
    <w:p w14:paraId="15F128C8">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24.4</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3"/>
          <w:sz w:val="24"/>
          <w:szCs w:val="24"/>
          <w:highlight w:val="none"/>
        </w:rPr>
        <w:t>有下列情形之一的，投标保证金将不予</w:t>
      </w:r>
      <w:r>
        <w:rPr>
          <w:rFonts w:ascii="新宋体" w:hAnsi="新宋体" w:eastAsia="新宋体" w:cs="新宋体"/>
          <w:color w:val="auto"/>
          <w:spacing w:val="-4"/>
          <w:sz w:val="24"/>
          <w:szCs w:val="24"/>
          <w:highlight w:val="none"/>
        </w:rPr>
        <w:t>退还：</w:t>
      </w:r>
    </w:p>
    <w:p w14:paraId="00430E43">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（1）投标人在规定的投标有效期内撤销或修改其投标文件；</w:t>
      </w:r>
    </w:p>
    <w:p w14:paraId="2C3B4450">
      <w:pPr>
        <w:pageBreakBefore w:val="0"/>
        <w:wordWrap/>
        <w:overflowPunct/>
        <w:topLinePunct w:val="0"/>
        <w:bidi w:val="0"/>
        <w:adjustRightInd w:val="0"/>
        <w:spacing w:line="360" w:lineRule="auto"/>
        <w:ind w:left="0" w:right="0" w:firstLine="47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（2）中标人无正当理由拒签合同协议书或未按招</w:t>
      </w:r>
      <w:r>
        <w:rPr>
          <w:rFonts w:ascii="新宋体" w:hAnsi="新宋体" w:eastAsia="新宋体" w:cs="新宋体"/>
          <w:color w:val="auto"/>
          <w:spacing w:val="-2"/>
          <w:sz w:val="24"/>
          <w:szCs w:val="24"/>
          <w:highlight w:val="none"/>
        </w:rPr>
        <w:t>标文件规定提交履约保证金。</w:t>
      </w:r>
    </w:p>
    <w:p w14:paraId="52375486">
      <w:pPr>
        <w:pStyle w:val="4"/>
        <w:pageBreakBefore w:val="0"/>
        <w:wordWrap/>
        <w:overflowPunct/>
        <w:topLinePunct w:val="0"/>
        <w:bidi w:val="0"/>
        <w:adjustRightInd w:val="0"/>
        <w:spacing w:line="360" w:lineRule="auto"/>
        <w:ind w:left="0" w:right="0" w:firstLine="0" w:firstLineChars="0"/>
        <w:jc w:val="center"/>
        <w:textAlignment w:val="baseline"/>
        <w:rPr>
          <w:b/>
          <w:bCs/>
          <w:color w:val="auto"/>
          <w:spacing w:val="-4"/>
          <w:sz w:val="28"/>
          <w:szCs w:val="28"/>
          <w:highlight w:val="none"/>
        </w:rPr>
      </w:pPr>
    </w:p>
    <w:p w14:paraId="1CE6CE3A">
      <w:pPr>
        <w:pStyle w:val="4"/>
        <w:pageBreakBefore w:val="0"/>
        <w:wordWrap/>
        <w:overflowPunct/>
        <w:topLinePunct w:val="0"/>
        <w:bidi w:val="0"/>
        <w:adjustRightInd w:val="0"/>
        <w:spacing w:line="360" w:lineRule="auto"/>
        <w:ind w:left="0" w:right="0" w:firstLine="0" w:firstLineChars="0"/>
        <w:jc w:val="center"/>
        <w:textAlignment w:val="baseline"/>
        <w:rPr>
          <w:color w:val="auto"/>
          <w:sz w:val="28"/>
          <w:szCs w:val="28"/>
          <w:highlight w:val="none"/>
        </w:rPr>
      </w:pPr>
      <w:r>
        <w:rPr>
          <w:b/>
          <w:bCs/>
          <w:color w:val="auto"/>
          <w:spacing w:val="-4"/>
          <w:sz w:val="28"/>
          <w:szCs w:val="28"/>
          <w:highlight w:val="none"/>
        </w:rPr>
        <w:t>（四）投标文件的密封和递交</w:t>
      </w:r>
    </w:p>
    <w:p w14:paraId="7EBCEB35">
      <w:pPr>
        <w:pStyle w:val="4"/>
        <w:pageBreakBefore w:val="0"/>
        <w:wordWrap/>
        <w:overflowPunct/>
        <w:topLinePunct w:val="0"/>
        <w:bidi w:val="0"/>
        <w:adjustRightInd w:val="0"/>
        <w:spacing w:line="360" w:lineRule="auto"/>
        <w:ind w:left="0" w:right="0" w:firstLine="468" w:firstLineChars="200"/>
        <w:textAlignment w:val="baseline"/>
        <w:rPr>
          <w:color w:val="auto"/>
          <w:sz w:val="24"/>
          <w:szCs w:val="24"/>
          <w:highlight w:val="none"/>
        </w:rPr>
      </w:pPr>
      <w:r>
        <w:rPr>
          <w:b/>
          <w:bCs/>
          <w:color w:val="auto"/>
          <w:spacing w:val="-3"/>
          <w:sz w:val="24"/>
          <w:szCs w:val="24"/>
          <w:highlight w:val="none"/>
        </w:rPr>
        <w:t>25.</w:t>
      </w:r>
      <w:r>
        <w:rPr>
          <w:b/>
          <w:bCs/>
          <w:color w:val="auto"/>
          <w:spacing w:val="72"/>
          <w:sz w:val="24"/>
          <w:szCs w:val="24"/>
          <w:highlight w:val="none"/>
        </w:rPr>
        <w:t xml:space="preserve"> </w:t>
      </w:r>
      <w:r>
        <w:rPr>
          <w:b/>
          <w:bCs/>
          <w:color w:val="auto"/>
          <w:spacing w:val="-3"/>
          <w:sz w:val="24"/>
          <w:szCs w:val="24"/>
          <w:highlight w:val="none"/>
        </w:rPr>
        <w:t>投标文件的份数和签署</w:t>
      </w:r>
    </w:p>
    <w:p w14:paraId="591AE675">
      <w:pPr>
        <w:pageBreakBefore w:val="0"/>
        <w:wordWrap/>
        <w:overflowPunct/>
        <w:topLinePunct w:val="0"/>
        <w:bidi w:val="0"/>
        <w:adjustRightInd w:val="0"/>
        <w:spacing w:line="360" w:lineRule="auto"/>
        <w:ind w:left="0" w:right="0" w:firstLine="48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25.1</w:t>
      </w:r>
      <w:r>
        <w:rPr>
          <w:rFonts w:ascii="新宋体" w:hAnsi="新宋体" w:eastAsia="新宋体" w:cs="新宋体"/>
          <w:color w:val="auto"/>
          <w:spacing w:val="-32"/>
          <w:sz w:val="24"/>
          <w:szCs w:val="24"/>
          <w:highlight w:val="none"/>
        </w:rPr>
        <w:t xml:space="preserve"> </w:t>
      </w:r>
      <w:r>
        <w:rPr>
          <w:rFonts w:ascii="新宋体" w:hAnsi="新宋体" w:eastAsia="新宋体" w:cs="新宋体"/>
          <w:color w:val="auto"/>
          <w:sz w:val="24"/>
          <w:szCs w:val="24"/>
          <w:highlight w:val="none"/>
        </w:rPr>
        <w:t>加密电子版投标文件（一份）在投标截止时间前通过政采云平台上传到指定位置，</w:t>
      </w:r>
      <w:r>
        <w:rPr>
          <w:rFonts w:ascii="新宋体" w:hAnsi="新宋体" w:eastAsia="新宋体" w:cs="新宋体"/>
          <w:color w:val="auto"/>
          <w:spacing w:val="-3"/>
          <w:sz w:val="24"/>
          <w:szCs w:val="24"/>
          <w:highlight w:val="none"/>
        </w:rPr>
        <w:t>否则视为无效，投标文件须按招标文件要求签署。</w:t>
      </w:r>
    </w:p>
    <w:p w14:paraId="4BCF3F13">
      <w:pPr>
        <w:pageBreakBefore w:val="0"/>
        <w:wordWrap/>
        <w:overflowPunct/>
        <w:topLinePunct w:val="0"/>
        <w:bidi w:val="0"/>
        <w:adjustRightInd w:val="0"/>
        <w:spacing w:line="360" w:lineRule="auto"/>
        <w:ind w:left="0" w:right="0" w:firstLine="48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25.2</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投标文件中的授权书、投标承诺书及</w:t>
      </w:r>
      <w:r>
        <w:rPr>
          <w:rFonts w:ascii="新宋体" w:hAnsi="新宋体" w:eastAsia="新宋体" w:cs="新宋体"/>
          <w:color w:val="auto"/>
          <w:spacing w:val="1"/>
          <w:sz w:val="24"/>
          <w:szCs w:val="24"/>
          <w:highlight w:val="none"/>
        </w:rPr>
        <w:t>开标一览表等应当在格式文本要求的相应位置</w:t>
      </w:r>
      <w:r>
        <w:rPr>
          <w:rFonts w:ascii="新宋体" w:hAnsi="新宋体" w:eastAsia="新宋体" w:cs="新宋体"/>
          <w:color w:val="auto"/>
          <w:spacing w:val="-8"/>
          <w:sz w:val="24"/>
          <w:szCs w:val="24"/>
          <w:highlight w:val="none"/>
        </w:rPr>
        <w:t>签字和盖章。</w:t>
      </w:r>
    </w:p>
    <w:p w14:paraId="6C7317FC">
      <w:pPr>
        <w:pageBreakBefore w:val="0"/>
        <w:wordWrap/>
        <w:overflowPunct/>
        <w:topLinePunct w:val="0"/>
        <w:bidi w:val="0"/>
        <w:adjustRightInd w:val="0"/>
        <w:spacing w:line="360" w:lineRule="auto"/>
        <w:ind w:left="0" w:right="0" w:firstLine="48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25.3</w:t>
      </w:r>
      <w:r>
        <w:rPr>
          <w:rFonts w:ascii="新宋体" w:hAnsi="新宋体" w:eastAsia="新宋体" w:cs="新宋体"/>
          <w:color w:val="auto"/>
          <w:spacing w:val="-22"/>
          <w:sz w:val="24"/>
          <w:szCs w:val="24"/>
          <w:highlight w:val="none"/>
        </w:rPr>
        <w:t xml:space="preserve"> </w:t>
      </w:r>
      <w:r>
        <w:rPr>
          <w:rFonts w:ascii="新宋体" w:hAnsi="新宋体" w:eastAsia="新宋体" w:cs="新宋体"/>
          <w:color w:val="auto"/>
          <w:spacing w:val="1"/>
          <w:sz w:val="24"/>
          <w:szCs w:val="24"/>
          <w:highlight w:val="none"/>
        </w:rPr>
        <w:t>全套投标文件应无修改和行间插字。如有修改，须在修改处加盖投标单位法定代表</w:t>
      </w:r>
      <w:r>
        <w:rPr>
          <w:rFonts w:ascii="新宋体" w:hAnsi="新宋体" w:eastAsia="新宋体" w:cs="新宋体"/>
          <w:color w:val="auto"/>
          <w:spacing w:val="-4"/>
          <w:sz w:val="24"/>
          <w:szCs w:val="24"/>
          <w:highlight w:val="none"/>
        </w:rPr>
        <w:t>人或其委托代理人的印鉴。</w:t>
      </w:r>
    </w:p>
    <w:p w14:paraId="4FDC01B9">
      <w:pPr>
        <w:pStyle w:val="4"/>
        <w:pageBreakBefore w:val="0"/>
        <w:wordWrap/>
        <w:overflowPunct/>
        <w:topLinePunct w:val="0"/>
        <w:bidi w:val="0"/>
        <w:adjustRightInd w:val="0"/>
        <w:spacing w:line="360" w:lineRule="auto"/>
        <w:ind w:left="0" w:right="0" w:firstLine="472" w:firstLineChars="200"/>
        <w:textAlignment w:val="baseline"/>
        <w:rPr>
          <w:color w:val="auto"/>
          <w:sz w:val="24"/>
          <w:szCs w:val="24"/>
          <w:highlight w:val="none"/>
        </w:rPr>
      </w:pPr>
      <w:r>
        <w:rPr>
          <w:b/>
          <w:bCs/>
          <w:color w:val="auto"/>
          <w:spacing w:val="-2"/>
          <w:sz w:val="24"/>
          <w:szCs w:val="24"/>
          <w:highlight w:val="none"/>
        </w:rPr>
        <w:t>26.</w:t>
      </w:r>
      <w:r>
        <w:rPr>
          <w:b/>
          <w:bCs/>
          <w:color w:val="auto"/>
          <w:spacing w:val="65"/>
          <w:sz w:val="24"/>
          <w:szCs w:val="24"/>
          <w:highlight w:val="none"/>
        </w:rPr>
        <w:t xml:space="preserve"> </w:t>
      </w:r>
      <w:r>
        <w:rPr>
          <w:b/>
          <w:bCs/>
          <w:color w:val="auto"/>
          <w:spacing w:val="-2"/>
          <w:sz w:val="24"/>
          <w:szCs w:val="24"/>
          <w:highlight w:val="none"/>
        </w:rPr>
        <w:t>投标文件的装订、密封和标记（本项目不适用）</w:t>
      </w:r>
    </w:p>
    <w:p w14:paraId="0C9FBF45">
      <w:pPr>
        <w:pStyle w:val="4"/>
        <w:pageBreakBefore w:val="0"/>
        <w:wordWrap/>
        <w:overflowPunct/>
        <w:topLinePunct w:val="0"/>
        <w:bidi w:val="0"/>
        <w:adjustRightInd w:val="0"/>
        <w:spacing w:line="360" w:lineRule="auto"/>
        <w:ind w:left="0" w:right="0" w:firstLine="468" w:firstLineChars="200"/>
        <w:textAlignment w:val="baseline"/>
        <w:rPr>
          <w:color w:val="auto"/>
          <w:sz w:val="24"/>
          <w:szCs w:val="24"/>
          <w:highlight w:val="none"/>
        </w:rPr>
      </w:pPr>
      <w:r>
        <w:rPr>
          <w:b/>
          <w:bCs/>
          <w:color w:val="auto"/>
          <w:spacing w:val="-3"/>
          <w:sz w:val="24"/>
          <w:szCs w:val="24"/>
          <w:highlight w:val="none"/>
        </w:rPr>
        <w:t>27.</w:t>
      </w:r>
      <w:r>
        <w:rPr>
          <w:b/>
          <w:bCs/>
          <w:color w:val="auto"/>
          <w:spacing w:val="63"/>
          <w:w w:val="101"/>
          <w:sz w:val="24"/>
          <w:szCs w:val="24"/>
          <w:highlight w:val="none"/>
        </w:rPr>
        <w:t xml:space="preserve"> </w:t>
      </w:r>
      <w:r>
        <w:rPr>
          <w:b/>
          <w:bCs/>
          <w:color w:val="auto"/>
          <w:spacing w:val="-3"/>
          <w:sz w:val="24"/>
          <w:szCs w:val="24"/>
          <w:highlight w:val="none"/>
        </w:rPr>
        <w:t>投标文件的提交</w:t>
      </w:r>
    </w:p>
    <w:p w14:paraId="42E381D5">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27.1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2"/>
          <w:sz w:val="24"/>
          <w:szCs w:val="24"/>
          <w:highlight w:val="none"/>
        </w:rPr>
        <w:t>投标人应在投标人须知前附表规定的投标截止时间前递交投标文件。</w:t>
      </w:r>
    </w:p>
    <w:p w14:paraId="06D55906">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27.2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投标人递交投标文件的地点：见投标人须知</w:t>
      </w:r>
      <w:r>
        <w:rPr>
          <w:rFonts w:ascii="新宋体" w:hAnsi="新宋体" w:eastAsia="新宋体" w:cs="新宋体"/>
          <w:color w:val="auto"/>
          <w:spacing w:val="-3"/>
          <w:sz w:val="24"/>
          <w:szCs w:val="24"/>
          <w:highlight w:val="none"/>
        </w:rPr>
        <w:t>前附表。</w:t>
      </w:r>
    </w:p>
    <w:p w14:paraId="0E9EE4E8">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27.3</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2"/>
          <w:sz w:val="24"/>
          <w:szCs w:val="24"/>
          <w:highlight w:val="none"/>
        </w:rPr>
        <w:t>除投标人须知前附表另有规定外，投标人所递交的投标文件不予退还。</w:t>
      </w:r>
    </w:p>
    <w:p w14:paraId="4E94ACBA">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27.4</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招标人收到投标文件后，向投标人出</w:t>
      </w:r>
      <w:r>
        <w:rPr>
          <w:rFonts w:ascii="新宋体" w:hAnsi="新宋体" w:eastAsia="新宋体" w:cs="新宋体"/>
          <w:color w:val="auto"/>
          <w:spacing w:val="-3"/>
          <w:sz w:val="24"/>
          <w:szCs w:val="24"/>
          <w:highlight w:val="none"/>
        </w:rPr>
        <w:t>具签收凭证。</w:t>
      </w:r>
    </w:p>
    <w:p w14:paraId="2FC9DB6E">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27.5</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2"/>
          <w:sz w:val="24"/>
          <w:szCs w:val="24"/>
          <w:highlight w:val="none"/>
        </w:rPr>
        <w:t>逾期送达的或者未送达指定地点的投标文件，招标人不予受理。</w:t>
      </w:r>
    </w:p>
    <w:p w14:paraId="571E4CA6">
      <w:pPr>
        <w:pStyle w:val="4"/>
        <w:pageBreakBefore w:val="0"/>
        <w:wordWrap/>
        <w:overflowPunct/>
        <w:topLinePunct w:val="0"/>
        <w:bidi w:val="0"/>
        <w:adjustRightInd w:val="0"/>
        <w:spacing w:line="360" w:lineRule="auto"/>
        <w:ind w:left="0" w:right="0" w:firstLine="472" w:firstLineChars="200"/>
        <w:textAlignment w:val="baseline"/>
        <w:rPr>
          <w:color w:val="auto"/>
          <w:sz w:val="24"/>
          <w:szCs w:val="24"/>
          <w:highlight w:val="none"/>
        </w:rPr>
      </w:pPr>
      <w:r>
        <w:rPr>
          <w:b/>
          <w:bCs/>
          <w:color w:val="auto"/>
          <w:spacing w:val="-2"/>
          <w:sz w:val="24"/>
          <w:szCs w:val="24"/>
          <w:highlight w:val="none"/>
        </w:rPr>
        <w:t>28.</w:t>
      </w:r>
      <w:r>
        <w:rPr>
          <w:b/>
          <w:bCs/>
          <w:color w:val="auto"/>
          <w:spacing w:val="64"/>
          <w:w w:val="101"/>
          <w:sz w:val="24"/>
          <w:szCs w:val="24"/>
          <w:highlight w:val="none"/>
        </w:rPr>
        <w:t xml:space="preserve"> </w:t>
      </w:r>
      <w:r>
        <w:rPr>
          <w:b/>
          <w:bCs/>
          <w:color w:val="auto"/>
          <w:spacing w:val="-2"/>
          <w:sz w:val="24"/>
          <w:szCs w:val="24"/>
          <w:highlight w:val="none"/>
        </w:rPr>
        <w:t>投标文件的补充、修改与撤回</w:t>
      </w:r>
    </w:p>
    <w:p w14:paraId="0ABFA628">
      <w:pPr>
        <w:pageBreakBefore w:val="0"/>
        <w:wordWrap/>
        <w:overflowPunct/>
        <w:topLinePunct w:val="0"/>
        <w:bidi w:val="0"/>
        <w:adjustRightInd w:val="0"/>
        <w:spacing w:line="360" w:lineRule="auto"/>
        <w:ind w:left="0" w:right="0" w:firstLine="48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28.1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投标人在提交投标文件以后，在规定</w:t>
      </w:r>
      <w:r>
        <w:rPr>
          <w:rFonts w:ascii="新宋体" w:hAnsi="新宋体" w:eastAsia="新宋体" w:cs="新宋体"/>
          <w:color w:val="auto"/>
          <w:spacing w:val="1"/>
          <w:sz w:val="24"/>
          <w:szCs w:val="24"/>
          <w:highlight w:val="none"/>
        </w:rPr>
        <w:t>的投标截止时间之前，可以补充、修改或撤回</w:t>
      </w:r>
      <w:r>
        <w:rPr>
          <w:rFonts w:ascii="新宋体" w:hAnsi="新宋体" w:eastAsia="新宋体" w:cs="新宋体"/>
          <w:color w:val="auto"/>
          <w:spacing w:val="-3"/>
          <w:sz w:val="24"/>
          <w:szCs w:val="24"/>
          <w:highlight w:val="none"/>
        </w:rPr>
        <w:t>已提交的投标文件。补充、修改的内容为投标文件的组成部分。</w:t>
      </w:r>
    </w:p>
    <w:p w14:paraId="33521403">
      <w:pPr>
        <w:pageBreakBefore w:val="0"/>
        <w:wordWrap/>
        <w:overflowPunct/>
        <w:topLinePunct w:val="0"/>
        <w:bidi w:val="0"/>
        <w:adjustRightInd w:val="0"/>
        <w:spacing w:line="360" w:lineRule="auto"/>
        <w:ind w:left="0" w:right="0" w:firstLine="44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28.2</w:t>
      </w:r>
      <w:r>
        <w:rPr>
          <w:rFonts w:ascii="新宋体" w:hAnsi="新宋体" w:eastAsia="新宋体" w:cs="新宋体"/>
          <w:color w:val="auto"/>
          <w:spacing w:val="-32"/>
          <w:sz w:val="24"/>
          <w:szCs w:val="24"/>
          <w:highlight w:val="none"/>
        </w:rPr>
        <w:t xml:space="preserve"> </w:t>
      </w:r>
      <w:r>
        <w:rPr>
          <w:rFonts w:ascii="新宋体" w:hAnsi="新宋体" w:eastAsia="新宋体" w:cs="新宋体"/>
          <w:color w:val="auto"/>
          <w:spacing w:val="-8"/>
          <w:sz w:val="24"/>
          <w:szCs w:val="24"/>
          <w:highlight w:val="none"/>
        </w:rPr>
        <w:t>投标人对投标文件的补充、修改，</w:t>
      </w:r>
      <w:r>
        <w:rPr>
          <w:rFonts w:ascii="新宋体" w:hAnsi="新宋体" w:eastAsia="新宋体" w:cs="新宋体"/>
          <w:color w:val="auto"/>
          <w:spacing w:val="56"/>
          <w:sz w:val="24"/>
          <w:szCs w:val="24"/>
          <w:highlight w:val="none"/>
        </w:rPr>
        <w:t xml:space="preserve"> </w:t>
      </w:r>
      <w:r>
        <w:rPr>
          <w:rFonts w:ascii="新宋体" w:hAnsi="新宋体" w:eastAsia="新宋体" w:cs="新宋体"/>
          <w:color w:val="auto"/>
          <w:spacing w:val="-8"/>
          <w:sz w:val="24"/>
          <w:szCs w:val="24"/>
          <w:highlight w:val="none"/>
        </w:rPr>
        <w:t>应按本须知第</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8"/>
          <w:sz w:val="24"/>
          <w:szCs w:val="24"/>
          <w:highlight w:val="none"/>
        </w:rPr>
        <w:t>25</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8"/>
          <w:sz w:val="24"/>
          <w:szCs w:val="24"/>
          <w:highlight w:val="none"/>
        </w:rPr>
        <w:t>条、第</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8"/>
          <w:sz w:val="24"/>
          <w:szCs w:val="24"/>
          <w:highlight w:val="none"/>
        </w:rPr>
        <w:t>26</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8"/>
          <w:sz w:val="24"/>
          <w:szCs w:val="24"/>
          <w:highlight w:val="none"/>
        </w:rPr>
        <w:t>条和第</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8"/>
          <w:sz w:val="24"/>
          <w:szCs w:val="24"/>
          <w:highlight w:val="none"/>
        </w:rPr>
        <w:t>27</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8"/>
          <w:sz w:val="24"/>
          <w:szCs w:val="24"/>
          <w:highlight w:val="none"/>
        </w:rPr>
        <w:t>条有关规定</w:t>
      </w:r>
      <w:r>
        <w:rPr>
          <w:rFonts w:ascii="新宋体" w:hAnsi="新宋体" w:eastAsia="新宋体" w:cs="新宋体"/>
          <w:color w:val="auto"/>
          <w:spacing w:val="-6"/>
          <w:sz w:val="24"/>
          <w:szCs w:val="24"/>
          <w:highlight w:val="none"/>
        </w:rPr>
        <w:t>密封、标记和提交。</w:t>
      </w:r>
    </w:p>
    <w:p w14:paraId="1899E56A">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28.3</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2"/>
          <w:sz w:val="24"/>
          <w:szCs w:val="24"/>
          <w:highlight w:val="none"/>
        </w:rPr>
        <w:t>在投标截止时间之后，投标人不得补充、修改投标文</w:t>
      </w:r>
      <w:r>
        <w:rPr>
          <w:rFonts w:ascii="新宋体" w:hAnsi="新宋体" w:eastAsia="新宋体" w:cs="新宋体"/>
          <w:color w:val="auto"/>
          <w:spacing w:val="-3"/>
          <w:sz w:val="24"/>
          <w:szCs w:val="24"/>
          <w:highlight w:val="none"/>
        </w:rPr>
        <w:t>件。</w:t>
      </w:r>
    </w:p>
    <w:p w14:paraId="20A06936">
      <w:pPr>
        <w:pStyle w:val="4"/>
        <w:pageBreakBefore w:val="0"/>
        <w:wordWrap/>
        <w:overflowPunct/>
        <w:topLinePunct w:val="0"/>
        <w:bidi w:val="0"/>
        <w:adjustRightInd w:val="0"/>
        <w:spacing w:line="360" w:lineRule="auto"/>
        <w:ind w:left="0" w:right="0" w:firstLine="0" w:firstLineChars="0"/>
        <w:jc w:val="center"/>
        <w:textAlignment w:val="baseline"/>
        <w:rPr>
          <w:b/>
          <w:bCs/>
          <w:color w:val="auto"/>
          <w:spacing w:val="-3"/>
          <w:sz w:val="28"/>
          <w:szCs w:val="28"/>
          <w:highlight w:val="none"/>
        </w:rPr>
      </w:pPr>
    </w:p>
    <w:p w14:paraId="0B28BF6C">
      <w:pPr>
        <w:pStyle w:val="4"/>
        <w:pageBreakBefore w:val="0"/>
        <w:wordWrap/>
        <w:overflowPunct/>
        <w:topLinePunct w:val="0"/>
        <w:bidi w:val="0"/>
        <w:adjustRightInd w:val="0"/>
        <w:spacing w:line="360" w:lineRule="auto"/>
        <w:ind w:left="0" w:right="0" w:firstLine="0" w:firstLineChars="0"/>
        <w:jc w:val="center"/>
        <w:textAlignment w:val="baseline"/>
        <w:rPr>
          <w:color w:val="auto"/>
          <w:sz w:val="28"/>
          <w:szCs w:val="28"/>
          <w:highlight w:val="none"/>
        </w:rPr>
      </w:pPr>
      <w:r>
        <w:rPr>
          <w:b/>
          <w:bCs/>
          <w:color w:val="auto"/>
          <w:spacing w:val="-3"/>
          <w:sz w:val="28"/>
          <w:szCs w:val="28"/>
          <w:highlight w:val="none"/>
        </w:rPr>
        <w:t>（五）开标、评标和定标</w:t>
      </w:r>
    </w:p>
    <w:p w14:paraId="1D772B5E">
      <w:pPr>
        <w:pStyle w:val="4"/>
        <w:pageBreakBefore w:val="0"/>
        <w:wordWrap/>
        <w:overflowPunct/>
        <w:topLinePunct w:val="0"/>
        <w:bidi w:val="0"/>
        <w:adjustRightInd w:val="0"/>
        <w:spacing w:line="360" w:lineRule="auto"/>
        <w:ind w:left="0" w:right="0" w:firstLine="460" w:firstLineChars="200"/>
        <w:textAlignment w:val="baseline"/>
        <w:rPr>
          <w:color w:val="auto"/>
          <w:sz w:val="24"/>
          <w:szCs w:val="24"/>
          <w:highlight w:val="none"/>
        </w:rPr>
      </w:pPr>
      <w:r>
        <w:rPr>
          <w:b/>
          <w:bCs/>
          <w:color w:val="auto"/>
          <w:spacing w:val="-5"/>
          <w:sz w:val="24"/>
          <w:szCs w:val="24"/>
          <w:highlight w:val="none"/>
        </w:rPr>
        <w:t>29.</w:t>
      </w:r>
      <w:r>
        <w:rPr>
          <w:b/>
          <w:bCs/>
          <w:color w:val="auto"/>
          <w:spacing w:val="64"/>
          <w:sz w:val="24"/>
          <w:szCs w:val="24"/>
          <w:highlight w:val="none"/>
        </w:rPr>
        <w:t xml:space="preserve"> </w:t>
      </w:r>
      <w:r>
        <w:rPr>
          <w:b/>
          <w:bCs/>
          <w:color w:val="auto"/>
          <w:spacing w:val="-5"/>
          <w:sz w:val="24"/>
          <w:szCs w:val="24"/>
          <w:highlight w:val="none"/>
        </w:rPr>
        <w:t>开标</w:t>
      </w:r>
    </w:p>
    <w:p w14:paraId="75C65DE9">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29.1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3"/>
          <w:sz w:val="24"/>
          <w:szCs w:val="24"/>
          <w:highlight w:val="none"/>
        </w:rPr>
        <w:t>开标的时间和地点</w:t>
      </w:r>
    </w:p>
    <w:p w14:paraId="29C13727">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29.1.1</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招标人按本须知第</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2"/>
          <w:sz w:val="24"/>
          <w:szCs w:val="24"/>
          <w:highlight w:val="none"/>
        </w:rPr>
        <w:t>27</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2"/>
          <w:sz w:val="24"/>
          <w:szCs w:val="24"/>
          <w:highlight w:val="none"/>
        </w:rPr>
        <w:t>条提交投标文件的</w:t>
      </w:r>
      <w:r>
        <w:rPr>
          <w:rFonts w:ascii="新宋体" w:hAnsi="新宋体" w:eastAsia="新宋体" w:cs="新宋体"/>
          <w:color w:val="auto"/>
          <w:spacing w:val="-3"/>
          <w:sz w:val="24"/>
          <w:szCs w:val="24"/>
          <w:highlight w:val="none"/>
        </w:rPr>
        <w:t>截止时间和地点，按时参加。</w:t>
      </w:r>
    </w:p>
    <w:p w14:paraId="7C70BF07">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29.2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3"/>
          <w:sz w:val="24"/>
          <w:szCs w:val="24"/>
          <w:highlight w:val="none"/>
        </w:rPr>
        <w:t>开标程序</w:t>
      </w:r>
    </w:p>
    <w:p w14:paraId="57F68C6A">
      <w:pPr>
        <w:pageBreakBefore w:val="0"/>
        <w:wordWrap/>
        <w:overflowPunct/>
        <w:topLinePunct w:val="0"/>
        <w:bidi w:val="0"/>
        <w:adjustRightIn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本项目采用不见面开标：</w:t>
      </w:r>
    </w:p>
    <w:p w14:paraId="0724D86A">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（1）到投标截止时间后，主持人主持开标会议；</w:t>
      </w:r>
    </w:p>
    <w:p w14:paraId="02010587">
      <w:pPr>
        <w:pageBreakBefore w:val="0"/>
        <w:wordWrap/>
        <w:overflowPunct/>
        <w:topLinePunct w:val="0"/>
        <w:bidi w:val="0"/>
        <w:adjustRightIn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（2）公布投标人，投标文件解密；</w:t>
      </w:r>
    </w:p>
    <w:p w14:paraId="7C20D916">
      <w:pPr>
        <w:pageBreakBefore w:val="0"/>
        <w:wordWrap/>
        <w:overflowPunct/>
        <w:topLinePunct w:val="0"/>
        <w:bidi w:val="0"/>
        <w:adjustRightIn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（3）评标专家进入评审阶段；</w:t>
      </w:r>
    </w:p>
    <w:p w14:paraId="1A2D42E7">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（4）评标结束后，有关人员在开标记录表签字确认。</w:t>
      </w:r>
    </w:p>
    <w:p w14:paraId="64C71B82">
      <w:pPr>
        <w:pStyle w:val="4"/>
        <w:pageBreakBefore w:val="0"/>
        <w:wordWrap/>
        <w:overflowPunct/>
        <w:topLinePunct w:val="0"/>
        <w:bidi w:val="0"/>
        <w:adjustRightInd w:val="0"/>
        <w:spacing w:line="360" w:lineRule="auto"/>
        <w:ind w:left="0" w:right="0" w:firstLine="464" w:firstLineChars="200"/>
        <w:textAlignment w:val="baseline"/>
        <w:rPr>
          <w:color w:val="auto"/>
          <w:sz w:val="24"/>
          <w:szCs w:val="24"/>
          <w:highlight w:val="none"/>
        </w:rPr>
      </w:pPr>
      <w:r>
        <w:rPr>
          <w:b/>
          <w:bCs/>
          <w:color w:val="auto"/>
          <w:spacing w:val="-4"/>
          <w:sz w:val="24"/>
          <w:szCs w:val="24"/>
          <w:highlight w:val="none"/>
        </w:rPr>
        <w:t>30.</w:t>
      </w:r>
      <w:r>
        <w:rPr>
          <w:b/>
          <w:bCs/>
          <w:color w:val="auto"/>
          <w:spacing w:val="65"/>
          <w:sz w:val="24"/>
          <w:szCs w:val="24"/>
          <w:highlight w:val="none"/>
        </w:rPr>
        <w:t xml:space="preserve"> </w:t>
      </w:r>
      <w:r>
        <w:rPr>
          <w:b/>
          <w:bCs/>
          <w:color w:val="auto"/>
          <w:spacing w:val="-4"/>
          <w:sz w:val="24"/>
          <w:szCs w:val="24"/>
          <w:highlight w:val="none"/>
        </w:rPr>
        <w:t>评标委员会</w:t>
      </w:r>
    </w:p>
    <w:p w14:paraId="1E326992">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30.1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3"/>
          <w:sz w:val="24"/>
          <w:szCs w:val="24"/>
          <w:highlight w:val="none"/>
        </w:rPr>
        <w:t>评标委员会的组成</w:t>
      </w:r>
    </w:p>
    <w:p w14:paraId="476C2125">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30.1.1</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3"/>
          <w:sz w:val="24"/>
          <w:szCs w:val="24"/>
          <w:highlight w:val="none"/>
        </w:rPr>
        <w:t>评标由招标人依法组建的评标委员会负责。</w:t>
      </w:r>
    </w:p>
    <w:p w14:paraId="3370DC73">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30.1.2</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3"/>
          <w:sz w:val="24"/>
          <w:szCs w:val="24"/>
          <w:highlight w:val="none"/>
        </w:rPr>
        <w:t>评标委员会负责人依法推荐或确定。</w:t>
      </w:r>
    </w:p>
    <w:p w14:paraId="1AD53161">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30.2</w:t>
      </w:r>
      <w:r>
        <w:rPr>
          <w:rFonts w:ascii="新宋体" w:hAnsi="新宋体" w:eastAsia="新宋体" w:cs="新宋体"/>
          <w:color w:val="auto"/>
          <w:spacing w:val="-26"/>
          <w:sz w:val="24"/>
          <w:szCs w:val="24"/>
          <w:highlight w:val="none"/>
        </w:rPr>
        <w:t xml:space="preserve"> </w:t>
      </w:r>
      <w:r>
        <w:rPr>
          <w:rFonts w:ascii="新宋体" w:hAnsi="新宋体" w:eastAsia="新宋体" w:cs="新宋体"/>
          <w:color w:val="auto"/>
          <w:spacing w:val="-3"/>
          <w:sz w:val="24"/>
          <w:szCs w:val="24"/>
          <w:highlight w:val="none"/>
        </w:rPr>
        <w:t>评标委员会成员名单在中标结果确定前应当保密。</w:t>
      </w:r>
    </w:p>
    <w:p w14:paraId="44C573BA">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30.3</w:t>
      </w:r>
      <w:r>
        <w:rPr>
          <w:rFonts w:ascii="新宋体" w:hAnsi="新宋体" w:eastAsia="新宋体" w:cs="新宋体"/>
          <w:color w:val="auto"/>
          <w:spacing w:val="-44"/>
          <w:sz w:val="24"/>
          <w:szCs w:val="24"/>
          <w:highlight w:val="none"/>
        </w:rPr>
        <w:t xml:space="preserve"> </w:t>
      </w:r>
      <w:r>
        <w:rPr>
          <w:rFonts w:ascii="新宋体" w:hAnsi="新宋体" w:eastAsia="新宋体" w:cs="新宋体"/>
          <w:color w:val="auto"/>
          <w:spacing w:val="-3"/>
          <w:sz w:val="24"/>
          <w:szCs w:val="24"/>
          <w:highlight w:val="none"/>
        </w:rPr>
        <w:t>评标委员会成员有下述情形的，应当主动提出回避：</w:t>
      </w:r>
    </w:p>
    <w:p w14:paraId="2B6819CC">
      <w:pPr>
        <w:pageBreakBefore w:val="0"/>
        <w:wordWrap/>
        <w:overflowPunct/>
        <w:topLinePunct w:val="0"/>
        <w:bidi w:val="0"/>
        <w:adjustRightIn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（1）投标人或投标人主要负责人的近亲属；</w:t>
      </w:r>
    </w:p>
    <w:p w14:paraId="1D7D06CC">
      <w:pPr>
        <w:pageBreakBefore w:val="0"/>
        <w:wordWrap/>
        <w:overflowPunct/>
        <w:topLinePunct w:val="0"/>
        <w:bidi w:val="0"/>
        <w:adjustRightIn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（2）项目主管部门或者行政监督部门的人员；</w:t>
      </w:r>
    </w:p>
    <w:p w14:paraId="0DAD4001">
      <w:pPr>
        <w:pageBreakBefore w:val="0"/>
        <w:wordWrap/>
        <w:overflowPunct/>
        <w:topLinePunct w:val="0"/>
        <w:bidi w:val="0"/>
        <w:adjustRightIn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（3）与投标人有经济利益关系；</w:t>
      </w:r>
    </w:p>
    <w:p w14:paraId="7E87E6BC">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w:t>
      </w:r>
      <w:r>
        <w:rPr>
          <w:rFonts w:ascii="新宋体" w:hAnsi="新宋体" w:eastAsia="新宋体" w:cs="新宋体"/>
          <w:color w:val="auto"/>
          <w:spacing w:val="-50"/>
          <w:sz w:val="24"/>
          <w:szCs w:val="24"/>
          <w:highlight w:val="none"/>
        </w:rPr>
        <w:t xml:space="preserve"> </w:t>
      </w:r>
      <w:r>
        <w:rPr>
          <w:rFonts w:ascii="新宋体" w:hAnsi="新宋体" w:eastAsia="新宋体" w:cs="新宋体"/>
          <w:color w:val="auto"/>
          <w:spacing w:val="-2"/>
          <w:sz w:val="24"/>
          <w:szCs w:val="24"/>
          <w:highlight w:val="none"/>
        </w:rPr>
        <w:t>曾因在招标、评标以及其他与招标投标有关活动中从事违法行为而受过行政处罚或</w:t>
      </w:r>
      <w:r>
        <w:rPr>
          <w:rFonts w:ascii="新宋体" w:hAnsi="新宋体" w:eastAsia="新宋体" w:cs="新宋体"/>
          <w:color w:val="auto"/>
          <w:spacing w:val="-11"/>
          <w:sz w:val="24"/>
          <w:szCs w:val="24"/>
          <w:highlight w:val="none"/>
        </w:rPr>
        <w:t>刑事处罚的；</w:t>
      </w:r>
    </w:p>
    <w:p w14:paraId="74F7B4A6">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（5）与投标人有其他利害关系。</w:t>
      </w:r>
    </w:p>
    <w:p w14:paraId="482044D0">
      <w:pPr>
        <w:pageBreakBefore w:val="0"/>
        <w:wordWrap/>
        <w:overflowPunct/>
        <w:topLinePunct w:val="0"/>
        <w:bidi w:val="0"/>
        <w:adjustRightInd w:val="0"/>
        <w:spacing w:line="360" w:lineRule="auto"/>
        <w:ind w:left="0" w:right="0" w:firstLine="0" w:firstLineChars="0"/>
        <w:textAlignment w:val="baseline"/>
        <w:rPr>
          <w:rFonts w:ascii="新宋体" w:hAnsi="新宋体" w:eastAsia="新宋体" w:cs="新宋体"/>
          <w:color w:val="auto"/>
          <w:sz w:val="24"/>
          <w:szCs w:val="24"/>
          <w:highlight w:val="none"/>
        </w:rPr>
        <w:sectPr>
          <w:footerReference r:id="rId7" w:type="default"/>
          <w:pgSz w:w="11905" w:h="16839"/>
          <w:pgMar w:top="1440" w:right="1800" w:bottom="1440" w:left="1800" w:header="0" w:footer="1090" w:gutter="0"/>
          <w:pgNumType w:fmt="decimal" w:start="1"/>
          <w:cols w:space="720" w:num="1"/>
        </w:sectPr>
      </w:pPr>
    </w:p>
    <w:p w14:paraId="2B121FFD">
      <w:pPr>
        <w:pageBreakBefore w:val="0"/>
        <w:wordWrap/>
        <w:overflowPunct/>
        <w:topLinePunct w:val="0"/>
        <w:bidi w:val="0"/>
        <w:adjustRightInd w:val="0"/>
        <w:spacing w:line="360" w:lineRule="auto"/>
        <w:ind w:left="0" w:right="0" w:firstLine="48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30.4</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评标委员会应当向招标人提出书面评标报告，并抄送有关行政监督部门。评标报告</w:t>
      </w:r>
      <w:r>
        <w:rPr>
          <w:rFonts w:ascii="新宋体" w:hAnsi="新宋体" w:eastAsia="新宋体" w:cs="新宋体"/>
          <w:color w:val="auto"/>
          <w:spacing w:val="-6"/>
          <w:sz w:val="24"/>
          <w:szCs w:val="24"/>
          <w:highlight w:val="none"/>
        </w:rPr>
        <w:t>应当如实记载以下内容：</w:t>
      </w:r>
    </w:p>
    <w:p w14:paraId="40859307">
      <w:pPr>
        <w:pageBreakBefore w:val="0"/>
        <w:wordWrap/>
        <w:overflowPunct/>
        <w:topLinePunct w:val="0"/>
        <w:bidi w:val="0"/>
        <w:adjustRightIn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（1）基本情况和数据表；</w:t>
      </w:r>
    </w:p>
    <w:p w14:paraId="30AA746B">
      <w:pPr>
        <w:pageBreakBefore w:val="0"/>
        <w:wordWrap/>
        <w:overflowPunct/>
        <w:topLinePunct w:val="0"/>
        <w:bidi w:val="0"/>
        <w:adjustRightIn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（2）评标委员会成员名单；</w:t>
      </w:r>
    </w:p>
    <w:p w14:paraId="178E6AA5">
      <w:pPr>
        <w:pageBreakBefore w:val="0"/>
        <w:wordWrap/>
        <w:overflowPunct/>
        <w:topLinePunct w:val="0"/>
        <w:bidi w:val="0"/>
        <w:adjustRightInd w:val="0"/>
        <w:spacing w:line="360" w:lineRule="auto"/>
        <w:ind w:left="0" w:right="0" w:firstLine="44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（3）开标记录；</w:t>
      </w:r>
    </w:p>
    <w:p w14:paraId="4ED220F6">
      <w:pPr>
        <w:pageBreakBefore w:val="0"/>
        <w:wordWrap/>
        <w:overflowPunct/>
        <w:topLinePunct w:val="0"/>
        <w:bidi w:val="0"/>
        <w:adjustRightIn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（4）符合要求的投标人一览表；</w:t>
      </w:r>
    </w:p>
    <w:p w14:paraId="790251F9">
      <w:pPr>
        <w:pageBreakBefore w:val="0"/>
        <w:wordWrap/>
        <w:overflowPunct/>
        <w:topLinePunct w:val="0"/>
        <w:bidi w:val="0"/>
        <w:adjustRightIn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（5）无效标情况说明；</w:t>
      </w:r>
    </w:p>
    <w:p w14:paraId="11B59196">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（6）评标标准、评标方法或者评标因素一览表；</w:t>
      </w:r>
    </w:p>
    <w:p w14:paraId="35226915">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（7）经评审的价格或者评分比较一览表；</w:t>
      </w:r>
    </w:p>
    <w:p w14:paraId="4BE0B0F1">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（8）投标人串标、围标等违规行为的确认报告；</w:t>
      </w:r>
    </w:p>
    <w:p w14:paraId="3DA8BBE9">
      <w:pPr>
        <w:pageBreakBefore w:val="0"/>
        <w:wordWrap/>
        <w:overflowPunct/>
        <w:topLinePunct w:val="0"/>
        <w:bidi w:val="0"/>
        <w:adjustRightIn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（9）经评审的投标人排序；</w:t>
      </w:r>
    </w:p>
    <w:p w14:paraId="0CC5CC96">
      <w:pPr>
        <w:pageBreakBefore w:val="0"/>
        <w:wordWrap/>
        <w:overflowPunct/>
        <w:topLinePunct w:val="0"/>
        <w:bidi w:val="0"/>
        <w:adjustRightIn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（10）推荐的中标候选人名单；</w:t>
      </w:r>
    </w:p>
    <w:p w14:paraId="57EA381E">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（11）澄清、说明、补正事项纪要。</w:t>
      </w:r>
    </w:p>
    <w:p w14:paraId="739E58FC">
      <w:pPr>
        <w:pageBreakBefore w:val="0"/>
        <w:wordWrap/>
        <w:overflowPunct/>
        <w:topLinePunct w:val="0"/>
        <w:bidi w:val="0"/>
        <w:adjustRightInd w:val="0"/>
        <w:spacing w:line="360" w:lineRule="auto"/>
        <w:ind w:left="0" w:right="0" w:firstLine="48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30.5</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评标委员会应自觉接受有关监督管理部门的现场监督，评标委员会成员与评标活动</w:t>
      </w:r>
      <w:r>
        <w:rPr>
          <w:rFonts w:ascii="新宋体" w:hAnsi="新宋体" w:eastAsia="新宋体" w:cs="新宋体"/>
          <w:color w:val="auto"/>
          <w:spacing w:val="-3"/>
          <w:sz w:val="24"/>
          <w:szCs w:val="24"/>
          <w:highlight w:val="none"/>
        </w:rPr>
        <w:t>有关的工作人员和监督人员不得向他人透露对投标文件的评审和比较、中标候选人的推荐以及</w:t>
      </w:r>
      <w:r>
        <w:rPr>
          <w:rFonts w:ascii="新宋体" w:hAnsi="新宋体" w:eastAsia="新宋体" w:cs="新宋体"/>
          <w:color w:val="auto"/>
          <w:spacing w:val="-2"/>
          <w:sz w:val="24"/>
          <w:szCs w:val="24"/>
          <w:highlight w:val="none"/>
        </w:rPr>
        <w:t>与评标有关的其他情况。投标文件及与评标有关的资料应当保密。</w:t>
      </w:r>
    </w:p>
    <w:p w14:paraId="40BAFA0D">
      <w:pPr>
        <w:pStyle w:val="4"/>
        <w:pageBreakBefore w:val="0"/>
        <w:wordWrap/>
        <w:overflowPunct/>
        <w:topLinePunct w:val="0"/>
        <w:bidi w:val="0"/>
        <w:adjustRightInd w:val="0"/>
        <w:spacing w:line="360" w:lineRule="auto"/>
        <w:ind w:left="0" w:right="0" w:firstLine="456" w:firstLineChars="200"/>
        <w:textAlignment w:val="baseline"/>
        <w:rPr>
          <w:color w:val="auto"/>
          <w:sz w:val="24"/>
          <w:szCs w:val="24"/>
          <w:highlight w:val="none"/>
        </w:rPr>
      </w:pPr>
      <w:r>
        <w:rPr>
          <w:b/>
          <w:bCs/>
          <w:color w:val="auto"/>
          <w:spacing w:val="-6"/>
          <w:sz w:val="24"/>
          <w:szCs w:val="24"/>
          <w:highlight w:val="none"/>
        </w:rPr>
        <w:t>31.</w:t>
      </w:r>
      <w:r>
        <w:rPr>
          <w:b/>
          <w:bCs/>
          <w:color w:val="auto"/>
          <w:spacing w:val="68"/>
          <w:sz w:val="24"/>
          <w:szCs w:val="24"/>
          <w:highlight w:val="none"/>
        </w:rPr>
        <w:t xml:space="preserve"> </w:t>
      </w:r>
      <w:r>
        <w:rPr>
          <w:b/>
          <w:bCs/>
          <w:color w:val="auto"/>
          <w:spacing w:val="-6"/>
          <w:sz w:val="24"/>
          <w:szCs w:val="24"/>
          <w:highlight w:val="none"/>
        </w:rPr>
        <w:t>评标</w:t>
      </w:r>
    </w:p>
    <w:p w14:paraId="498AB358">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3"/>
          <w:sz w:val="24"/>
          <w:szCs w:val="24"/>
          <w:highlight w:val="none"/>
        </w:rPr>
        <w:t>评标准备工作</w:t>
      </w:r>
    </w:p>
    <w:p w14:paraId="5C5E89F1">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31.1.1</w:t>
      </w:r>
      <w:r>
        <w:rPr>
          <w:rFonts w:ascii="新宋体" w:hAnsi="新宋体" w:eastAsia="新宋体" w:cs="新宋体"/>
          <w:color w:val="auto"/>
          <w:spacing w:val="-22"/>
          <w:sz w:val="24"/>
          <w:szCs w:val="24"/>
          <w:highlight w:val="none"/>
        </w:rPr>
        <w:t xml:space="preserve"> </w:t>
      </w:r>
      <w:r>
        <w:rPr>
          <w:rFonts w:ascii="新宋体" w:hAnsi="新宋体" w:eastAsia="新宋体" w:cs="新宋体"/>
          <w:color w:val="auto"/>
          <w:spacing w:val="-3"/>
          <w:sz w:val="24"/>
          <w:szCs w:val="24"/>
          <w:highlight w:val="none"/>
        </w:rPr>
        <w:t>阅读由招标人或招标代理单位编写的招标项目情况的说明材料；</w:t>
      </w:r>
    </w:p>
    <w:p w14:paraId="3219EF92">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31.1.2</w:t>
      </w:r>
      <w:r>
        <w:rPr>
          <w:rFonts w:ascii="新宋体" w:hAnsi="新宋体" w:eastAsia="新宋体" w:cs="新宋体"/>
          <w:color w:val="auto"/>
          <w:spacing w:val="-8"/>
          <w:sz w:val="24"/>
          <w:szCs w:val="24"/>
          <w:highlight w:val="none"/>
        </w:rPr>
        <w:t xml:space="preserve"> </w:t>
      </w:r>
      <w:r>
        <w:rPr>
          <w:rFonts w:ascii="新宋体" w:hAnsi="新宋体" w:eastAsia="新宋体" w:cs="新宋体"/>
          <w:color w:val="auto"/>
          <w:spacing w:val="-3"/>
          <w:sz w:val="24"/>
          <w:szCs w:val="24"/>
          <w:highlight w:val="none"/>
        </w:rPr>
        <w:t>阅读、研究招标文件和相关评标资料，获取评标所需要的重要信息和数据；</w:t>
      </w:r>
    </w:p>
    <w:p w14:paraId="579B32E0">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31.1.3</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2"/>
          <w:sz w:val="24"/>
          <w:szCs w:val="24"/>
          <w:highlight w:val="none"/>
        </w:rPr>
        <w:t>熟悉招标文件规定的评标方法及在</w:t>
      </w:r>
      <w:r>
        <w:rPr>
          <w:rFonts w:ascii="新宋体" w:hAnsi="新宋体" w:eastAsia="新宋体" w:cs="新宋体"/>
          <w:color w:val="auto"/>
          <w:spacing w:val="-3"/>
          <w:sz w:val="24"/>
          <w:szCs w:val="24"/>
          <w:highlight w:val="none"/>
        </w:rPr>
        <w:t>评标过程中需要考虑的相关因素；</w:t>
      </w:r>
    </w:p>
    <w:p w14:paraId="363C2EA9">
      <w:pPr>
        <w:pageBreakBefore w:val="0"/>
        <w:wordWrap/>
        <w:overflowPunct/>
        <w:topLinePunct w:val="0"/>
        <w:bidi w:val="0"/>
        <w:adjustRightIn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31.1.4</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4"/>
          <w:sz w:val="24"/>
          <w:szCs w:val="24"/>
          <w:highlight w:val="none"/>
        </w:rPr>
        <w:t>核对评标工作用表。</w:t>
      </w:r>
    </w:p>
    <w:p w14:paraId="4E599222">
      <w:pPr>
        <w:pageBreakBefore w:val="0"/>
        <w:wordWrap/>
        <w:overflowPunct/>
        <w:topLinePunct w:val="0"/>
        <w:bidi w:val="0"/>
        <w:adjustRightIn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31.2</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4"/>
          <w:sz w:val="24"/>
          <w:szCs w:val="24"/>
          <w:highlight w:val="none"/>
        </w:rPr>
        <w:t>评标办法</w:t>
      </w:r>
    </w:p>
    <w:p w14:paraId="7A282A6D">
      <w:pPr>
        <w:pageBreakBefore w:val="0"/>
        <w:wordWrap/>
        <w:overflowPunct/>
        <w:topLinePunct w:val="0"/>
        <w:bidi w:val="0"/>
        <w:adjustRightInd w:val="0"/>
        <w:spacing w:line="360" w:lineRule="auto"/>
        <w:ind w:left="0" w:right="0" w:firstLine="48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31.2.1</w:t>
      </w:r>
      <w:r>
        <w:rPr>
          <w:rFonts w:ascii="新宋体" w:hAnsi="新宋体" w:eastAsia="新宋体" w:cs="新宋体"/>
          <w:color w:val="auto"/>
          <w:spacing w:val="-40"/>
          <w:sz w:val="24"/>
          <w:szCs w:val="24"/>
          <w:highlight w:val="none"/>
        </w:rPr>
        <w:t xml:space="preserve"> </w:t>
      </w:r>
      <w:r>
        <w:rPr>
          <w:rFonts w:ascii="新宋体" w:hAnsi="新宋体" w:eastAsia="新宋体" w:cs="新宋体"/>
          <w:color w:val="auto"/>
          <w:spacing w:val="1"/>
          <w:sz w:val="24"/>
          <w:szCs w:val="24"/>
          <w:highlight w:val="none"/>
        </w:rPr>
        <w:t>评标委员会按照第三章“评标办法</w:t>
      </w:r>
      <w:r>
        <w:rPr>
          <w:rFonts w:ascii="新宋体" w:hAnsi="新宋体" w:eastAsia="新宋体" w:cs="新宋体"/>
          <w:color w:val="auto"/>
          <w:spacing w:val="-86"/>
          <w:sz w:val="24"/>
          <w:szCs w:val="24"/>
          <w:highlight w:val="none"/>
        </w:rPr>
        <w:t xml:space="preserve"> </w:t>
      </w:r>
      <w:r>
        <w:rPr>
          <w:rFonts w:ascii="新宋体" w:hAnsi="新宋体" w:eastAsia="新宋体" w:cs="新宋体"/>
          <w:color w:val="auto"/>
          <w:spacing w:val="1"/>
          <w:sz w:val="24"/>
          <w:szCs w:val="24"/>
          <w:highlight w:val="none"/>
        </w:rPr>
        <w:t>”</w:t>
      </w:r>
      <w:r>
        <w:rPr>
          <w:rFonts w:ascii="新宋体" w:hAnsi="新宋体" w:eastAsia="新宋体" w:cs="新宋体"/>
          <w:color w:val="auto"/>
          <w:sz w:val="24"/>
          <w:szCs w:val="24"/>
          <w:highlight w:val="none"/>
        </w:rPr>
        <w:t>规定的方法、评审因素、标准和程序对投标</w:t>
      </w:r>
      <w:r>
        <w:rPr>
          <w:rFonts w:ascii="新宋体" w:hAnsi="新宋体" w:eastAsia="新宋体" w:cs="新宋体"/>
          <w:color w:val="auto"/>
          <w:spacing w:val="-1"/>
          <w:sz w:val="24"/>
          <w:szCs w:val="24"/>
          <w:highlight w:val="none"/>
        </w:rPr>
        <w:t>文件进行评审。第三章“评标办法”没有规定的方法、评审因素和标准，</w:t>
      </w:r>
      <w:r>
        <w:rPr>
          <w:rFonts w:ascii="新宋体" w:hAnsi="新宋体" w:eastAsia="新宋体" w:cs="新宋体"/>
          <w:color w:val="auto"/>
          <w:spacing w:val="-2"/>
          <w:sz w:val="24"/>
          <w:szCs w:val="24"/>
          <w:highlight w:val="none"/>
        </w:rPr>
        <w:t>不作为评标依据。</w:t>
      </w:r>
    </w:p>
    <w:p w14:paraId="33B59E5A">
      <w:pPr>
        <w:pageBreakBefore w:val="0"/>
        <w:wordWrap/>
        <w:overflowPunct/>
        <w:topLinePunct w:val="0"/>
        <w:bidi w:val="0"/>
        <w:adjustRightInd w:val="0"/>
        <w:spacing w:line="360" w:lineRule="auto"/>
        <w:ind w:left="0" w:right="0" w:firstLine="44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31.3</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8"/>
          <w:sz w:val="24"/>
          <w:szCs w:val="24"/>
          <w:highlight w:val="none"/>
        </w:rPr>
        <w:t>评标原则：</w:t>
      </w:r>
    </w:p>
    <w:p w14:paraId="2F26862F">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31.3.1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3"/>
          <w:sz w:val="24"/>
          <w:szCs w:val="24"/>
          <w:highlight w:val="none"/>
        </w:rPr>
        <w:t>遵循公平、公正、科学和择优的原则。</w:t>
      </w:r>
    </w:p>
    <w:p w14:paraId="542E9B1C">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31.4</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3"/>
          <w:sz w:val="24"/>
          <w:szCs w:val="24"/>
          <w:highlight w:val="none"/>
        </w:rPr>
        <w:t>评标报告的签署</w:t>
      </w:r>
    </w:p>
    <w:p w14:paraId="23E996CB">
      <w:pPr>
        <w:pageBreakBefore w:val="0"/>
        <w:wordWrap/>
        <w:overflowPunct/>
        <w:topLinePunct w:val="0"/>
        <w:bidi w:val="0"/>
        <w:adjustRightInd w:val="0"/>
        <w:spacing w:line="360" w:lineRule="auto"/>
        <w:ind w:left="0" w:right="0" w:firstLine="48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31.4.1</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评标委员会应当编制书面评标报告，所有成员应签字确认。对评标结论持有异议</w:t>
      </w:r>
      <w:r>
        <w:rPr>
          <w:rFonts w:ascii="新宋体" w:hAnsi="新宋体" w:eastAsia="新宋体" w:cs="新宋体"/>
          <w:color w:val="auto"/>
          <w:spacing w:val="-3"/>
          <w:sz w:val="24"/>
          <w:szCs w:val="24"/>
          <w:highlight w:val="none"/>
        </w:rPr>
        <w:t>的评标委员会成员可以书面方式阐述其不同意见和理由。评标委员会成员拒绝在评</w:t>
      </w:r>
      <w:r>
        <w:rPr>
          <w:rFonts w:ascii="新宋体" w:hAnsi="新宋体" w:eastAsia="新宋体" w:cs="新宋体"/>
          <w:color w:val="auto"/>
          <w:spacing w:val="-4"/>
          <w:sz w:val="24"/>
          <w:szCs w:val="24"/>
          <w:highlight w:val="none"/>
        </w:rPr>
        <w:t>标报告上签</w:t>
      </w:r>
      <w:r>
        <w:rPr>
          <w:rFonts w:ascii="新宋体" w:hAnsi="新宋体" w:eastAsia="新宋体" w:cs="新宋体"/>
          <w:color w:val="auto"/>
          <w:spacing w:val="-3"/>
          <w:sz w:val="24"/>
          <w:szCs w:val="24"/>
          <w:highlight w:val="none"/>
        </w:rPr>
        <w:t>字且不陈述其不同意见和理由的，视为同意评标结论。</w:t>
      </w:r>
    </w:p>
    <w:p w14:paraId="4F2B2E3B">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31.5</w:t>
      </w:r>
      <w:r>
        <w:rPr>
          <w:rFonts w:ascii="新宋体" w:hAnsi="新宋体" w:eastAsia="新宋体" w:cs="新宋体"/>
          <w:color w:val="auto"/>
          <w:spacing w:val="-40"/>
          <w:sz w:val="24"/>
          <w:szCs w:val="24"/>
          <w:highlight w:val="none"/>
        </w:rPr>
        <w:t xml:space="preserve"> </w:t>
      </w:r>
      <w:r>
        <w:rPr>
          <w:rFonts w:ascii="新宋体" w:hAnsi="新宋体" w:eastAsia="新宋体" w:cs="新宋体"/>
          <w:color w:val="auto"/>
          <w:spacing w:val="-3"/>
          <w:sz w:val="24"/>
          <w:szCs w:val="24"/>
          <w:highlight w:val="none"/>
        </w:rPr>
        <w:t>投标文件的澄清</w:t>
      </w:r>
    </w:p>
    <w:p w14:paraId="3A7C35F2">
      <w:pPr>
        <w:pageBreakBefore w:val="0"/>
        <w:wordWrap/>
        <w:overflowPunct/>
        <w:topLinePunct w:val="0"/>
        <w:bidi w:val="0"/>
        <w:adjustRightInd w:val="0"/>
        <w:spacing w:line="360" w:lineRule="auto"/>
        <w:ind w:left="0" w:right="0" w:firstLine="48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31.5.1</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在评标过程中，评标委员会认为需要，在招投标监督管理部门的监督下，可要求</w:t>
      </w:r>
      <w:r>
        <w:rPr>
          <w:rFonts w:ascii="新宋体" w:hAnsi="新宋体" w:eastAsia="新宋体" w:cs="新宋体"/>
          <w:color w:val="auto"/>
          <w:spacing w:val="-4"/>
          <w:sz w:val="24"/>
          <w:szCs w:val="24"/>
          <w:highlight w:val="none"/>
        </w:rPr>
        <w:t>投标人对投标文件中的有关问题进行澄清或提供补充说明及有关资料，投标人应做出书面答复。</w:t>
      </w:r>
    </w:p>
    <w:p w14:paraId="7C952435">
      <w:pPr>
        <w:pageBreakBefore w:val="0"/>
        <w:wordWrap/>
        <w:overflowPunct/>
        <w:topLinePunct w:val="0"/>
        <w:bidi w:val="0"/>
        <w:adjustRightInd w:val="0"/>
        <w:spacing w:line="360" w:lineRule="auto"/>
        <w:ind w:left="0" w:right="0" w:firstLine="48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31.5.2</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书面答复须经投标人法定代表人或其委托代理人签字或盖章，签字或盖章的书面</w:t>
      </w:r>
      <w:r>
        <w:rPr>
          <w:rFonts w:ascii="新宋体" w:hAnsi="新宋体" w:eastAsia="新宋体" w:cs="新宋体"/>
          <w:color w:val="auto"/>
          <w:spacing w:val="-3"/>
          <w:sz w:val="24"/>
          <w:szCs w:val="24"/>
          <w:highlight w:val="none"/>
        </w:rPr>
        <w:t>答复将被视为投标文件的组成部分。</w:t>
      </w:r>
    </w:p>
    <w:p w14:paraId="18879757">
      <w:pPr>
        <w:pageBreakBefore w:val="0"/>
        <w:wordWrap/>
        <w:overflowPunct/>
        <w:topLinePunct w:val="0"/>
        <w:bidi w:val="0"/>
        <w:adjustRightIn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31.6</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5"/>
          <w:sz w:val="24"/>
          <w:szCs w:val="24"/>
          <w:highlight w:val="none"/>
        </w:rPr>
        <w:t>评审意见分歧的处理办法：</w:t>
      </w:r>
    </w:p>
    <w:p w14:paraId="6122B35C">
      <w:pPr>
        <w:pageBreakBefore w:val="0"/>
        <w:wordWrap/>
        <w:overflowPunct/>
        <w:topLinePunct w:val="0"/>
        <w:bidi w:val="0"/>
        <w:adjustRightInd w:val="0"/>
        <w:spacing w:line="360" w:lineRule="auto"/>
        <w:ind w:left="0" w:right="0" w:firstLine="48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（1）评标委员会应当对投标人提供的报告、证明材料及详细说明认真</w:t>
      </w:r>
      <w:r>
        <w:rPr>
          <w:rFonts w:ascii="新宋体" w:hAnsi="新宋体" w:eastAsia="新宋体" w:cs="新宋体"/>
          <w:color w:val="auto"/>
          <w:spacing w:val="-1"/>
          <w:sz w:val="24"/>
          <w:szCs w:val="24"/>
          <w:highlight w:val="none"/>
        </w:rPr>
        <w:t>研究。对存在意见</w:t>
      </w:r>
      <w:r>
        <w:rPr>
          <w:rFonts w:ascii="新宋体" w:hAnsi="新宋体" w:eastAsia="新宋体" w:cs="新宋体"/>
          <w:color w:val="auto"/>
          <w:spacing w:val="-3"/>
          <w:sz w:val="24"/>
          <w:szCs w:val="24"/>
          <w:highlight w:val="none"/>
        </w:rPr>
        <w:t>分歧的，可采用投票方式表决决定（按多数评委意见为准</w:t>
      </w:r>
      <w:r>
        <w:rPr>
          <w:rFonts w:ascii="新宋体" w:hAnsi="新宋体" w:eastAsia="新宋体" w:cs="新宋体"/>
          <w:color w:val="auto"/>
          <w:spacing w:val="2"/>
          <w:sz w:val="24"/>
          <w:szCs w:val="24"/>
          <w:highlight w:val="none"/>
        </w:rPr>
        <w:t>）；</w:t>
      </w:r>
    </w:p>
    <w:p w14:paraId="4F9A7FD1">
      <w:pPr>
        <w:pageBreakBefore w:val="0"/>
        <w:wordWrap/>
        <w:overflowPunct/>
        <w:topLinePunct w:val="0"/>
        <w:bidi w:val="0"/>
        <w:adjustRightInd w:val="0"/>
        <w:spacing w:line="360" w:lineRule="auto"/>
        <w:ind w:left="0" w:right="0" w:firstLine="48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（2）招标投标当事人对评标结果提出异议或者投诉，招投标监督机构认为需要</w:t>
      </w:r>
      <w:r>
        <w:rPr>
          <w:rFonts w:ascii="新宋体" w:hAnsi="新宋体" w:eastAsia="新宋体" w:cs="新宋体"/>
          <w:color w:val="auto"/>
          <w:spacing w:val="-1"/>
          <w:sz w:val="24"/>
          <w:szCs w:val="24"/>
          <w:highlight w:val="none"/>
        </w:rPr>
        <w:t>重新进行</w:t>
      </w:r>
      <w:r>
        <w:rPr>
          <w:rFonts w:ascii="新宋体" w:hAnsi="新宋体" w:eastAsia="新宋体" w:cs="新宋体"/>
          <w:color w:val="auto"/>
          <w:spacing w:val="-2"/>
          <w:sz w:val="24"/>
          <w:szCs w:val="24"/>
          <w:highlight w:val="none"/>
        </w:rPr>
        <w:t>评标的，评标委员会成员应当按照招投标监督机构要求重新评标。</w:t>
      </w:r>
    </w:p>
    <w:p w14:paraId="68CAC2F5">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31.7</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3"/>
          <w:sz w:val="24"/>
          <w:szCs w:val="24"/>
          <w:highlight w:val="none"/>
        </w:rPr>
        <w:t>评标过程的保密</w:t>
      </w:r>
    </w:p>
    <w:p w14:paraId="5B7E0921">
      <w:pPr>
        <w:pageBreakBefore w:val="0"/>
        <w:wordWrap/>
        <w:overflowPunct/>
        <w:topLinePunct w:val="0"/>
        <w:bidi w:val="0"/>
        <w:adjustRightInd w:val="0"/>
        <w:spacing w:line="360" w:lineRule="auto"/>
        <w:ind w:left="0" w:right="0" w:firstLine="48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31.7.1 开标后，直至授予中标人合同为止，凡属于对投标文件的审查、澄清、评价和比</w:t>
      </w:r>
      <w:r>
        <w:rPr>
          <w:rFonts w:ascii="新宋体" w:hAnsi="新宋体" w:eastAsia="新宋体" w:cs="新宋体"/>
          <w:color w:val="auto"/>
          <w:spacing w:val="-1"/>
          <w:sz w:val="24"/>
          <w:szCs w:val="24"/>
          <w:highlight w:val="none"/>
        </w:rPr>
        <w:t>较有关的资料以及中标候选人的推荐情况及与评标有关的其他</w:t>
      </w:r>
      <w:r>
        <w:rPr>
          <w:rFonts w:ascii="新宋体" w:hAnsi="新宋体" w:eastAsia="新宋体" w:cs="新宋体"/>
          <w:color w:val="auto"/>
          <w:spacing w:val="-2"/>
          <w:sz w:val="24"/>
          <w:szCs w:val="24"/>
          <w:highlight w:val="none"/>
        </w:rPr>
        <w:t>任何情况均须严格保密。</w:t>
      </w:r>
    </w:p>
    <w:p w14:paraId="0CD54882">
      <w:pPr>
        <w:pStyle w:val="4"/>
        <w:pageBreakBefore w:val="0"/>
        <w:wordWrap/>
        <w:overflowPunct/>
        <w:topLinePunct w:val="0"/>
        <w:bidi w:val="0"/>
        <w:adjustRightInd w:val="0"/>
        <w:spacing w:line="360" w:lineRule="auto"/>
        <w:ind w:left="0" w:right="0" w:firstLine="460" w:firstLineChars="200"/>
        <w:textAlignment w:val="baseline"/>
        <w:rPr>
          <w:color w:val="auto"/>
          <w:sz w:val="24"/>
          <w:szCs w:val="24"/>
          <w:highlight w:val="none"/>
        </w:rPr>
      </w:pPr>
      <w:r>
        <w:rPr>
          <w:b/>
          <w:bCs/>
          <w:color w:val="auto"/>
          <w:spacing w:val="-5"/>
          <w:sz w:val="24"/>
          <w:szCs w:val="24"/>
          <w:highlight w:val="none"/>
        </w:rPr>
        <w:t>32.  定标</w:t>
      </w:r>
    </w:p>
    <w:p w14:paraId="3830DAE4">
      <w:pPr>
        <w:pageBreakBefore w:val="0"/>
        <w:wordWrap/>
        <w:overflowPunct/>
        <w:topLinePunct w:val="0"/>
        <w:bidi w:val="0"/>
        <w:adjustRightIn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32.1</w:t>
      </w:r>
      <w:r>
        <w:rPr>
          <w:rFonts w:ascii="新宋体" w:hAnsi="新宋体" w:eastAsia="新宋体" w:cs="新宋体"/>
          <w:color w:val="auto"/>
          <w:spacing w:val="51"/>
          <w:sz w:val="24"/>
          <w:szCs w:val="24"/>
          <w:highlight w:val="none"/>
        </w:rPr>
        <w:t xml:space="preserve"> </w:t>
      </w:r>
      <w:r>
        <w:rPr>
          <w:rFonts w:ascii="新宋体" w:hAnsi="新宋体" w:eastAsia="新宋体" w:cs="新宋体"/>
          <w:color w:val="auto"/>
          <w:spacing w:val="-5"/>
          <w:sz w:val="24"/>
          <w:szCs w:val="24"/>
          <w:highlight w:val="none"/>
        </w:rPr>
        <w:t>中标候选人的确定</w:t>
      </w:r>
    </w:p>
    <w:p w14:paraId="64F250BC">
      <w:pPr>
        <w:pageBreakBefore w:val="0"/>
        <w:wordWrap/>
        <w:overflowPunct/>
        <w:topLinePunct w:val="0"/>
        <w:bidi w:val="0"/>
        <w:adjustRightInd w:val="0"/>
        <w:spacing w:line="360" w:lineRule="auto"/>
        <w:ind w:left="0" w:right="0" w:firstLine="48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32.1.1</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除投标人须知前附表规定评标委员会直接确定中标人外，招标人依据评标委员会</w:t>
      </w:r>
      <w:r>
        <w:rPr>
          <w:rFonts w:ascii="新宋体" w:hAnsi="新宋体" w:eastAsia="新宋体" w:cs="新宋体"/>
          <w:color w:val="auto"/>
          <w:spacing w:val="-3"/>
          <w:sz w:val="24"/>
          <w:szCs w:val="24"/>
          <w:highlight w:val="none"/>
        </w:rPr>
        <w:t>推荐的中标候选人确定中标人，评标委员会推荐中标候选人的人数见投标人须知前附表。评审结束后，根据评标委员会评审初步结论，招标人（或代理公司）将对推荐的中标候选人及其法</w:t>
      </w:r>
      <w:r>
        <w:rPr>
          <w:rFonts w:ascii="新宋体" w:hAnsi="新宋体" w:eastAsia="新宋体" w:cs="新宋体"/>
          <w:color w:val="auto"/>
          <w:spacing w:val="-5"/>
          <w:sz w:val="24"/>
          <w:szCs w:val="24"/>
          <w:highlight w:val="none"/>
        </w:rPr>
        <w:t>定代表人、项目负责人是否是人民法院公布的失信被执行人进行网上核查，</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5"/>
          <w:sz w:val="24"/>
          <w:szCs w:val="24"/>
          <w:highlight w:val="none"/>
        </w:rPr>
        <w:t>若核查结果与投标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人承诺不一致，则提交评标委员会取消其预中标候选人资格，依次替补，并再次对替补单位进</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10"/>
          <w:sz w:val="24"/>
          <w:szCs w:val="24"/>
          <w:highlight w:val="none"/>
        </w:rPr>
        <w:t>行核查。</w:t>
      </w:r>
    </w:p>
    <w:p w14:paraId="342DBA4F">
      <w:pPr>
        <w:pageBreakBefore w:val="0"/>
        <w:wordWrap/>
        <w:overflowPunct/>
        <w:topLinePunct w:val="0"/>
        <w:bidi w:val="0"/>
        <w:adjustRightInd w:val="0"/>
        <w:spacing w:line="360" w:lineRule="auto"/>
        <w:ind w:left="0" w:right="0" w:firstLine="48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32.1.2 中标人确定后，招标人应将中标结果在新疆政府采购网上、伊犁州公共资源交易</w:t>
      </w:r>
      <w:r>
        <w:rPr>
          <w:rFonts w:ascii="新宋体" w:hAnsi="新宋体" w:eastAsia="新宋体" w:cs="新宋体"/>
          <w:color w:val="auto"/>
          <w:spacing w:val="-12"/>
          <w:sz w:val="24"/>
          <w:szCs w:val="24"/>
          <w:highlight w:val="none"/>
        </w:rPr>
        <w:t>网公示</w:t>
      </w:r>
      <w:r>
        <w:rPr>
          <w:rFonts w:ascii="新宋体" w:hAnsi="新宋体" w:eastAsia="新宋体" w:cs="新宋体"/>
          <w:color w:val="auto"/>
          <w:spacing w:val="-34"/>
          <w:sz w:val="24"/>
          <w:szCs w:val="24"/>
          <w:highlight w:val="none"/>
        </w:rPr>
        <w:t xml:space="preserve"> </w:t>
      </w:r>
      <w:r>
        <w:rPr>
          <w:rFonts w:ascii="新宋体" w:hAnsi="新宋体" w:eastAsia="新宋体" w:cs="新宋体"/>
          <w:color w:val="auto"/>
          <w:spacing w:val="-12"/>
          <w:sz w:val="24"/>
          <w:szCs w:val="24"/>
          <w:highlight w:val="none"/>
        </w:rPr>
        <w:t>1</w:t>
      </w:r>
      <w:r>
        <w:rPr>
          <w:rFonts w:ascii="新宋体" w:hAnsi="新宋体" w:eastAsia="新宋体" w:cs="新宋体"/>
          <w:color w:val="auto"/>
          <w:spacing w:val="-44"/>
          <w:sz w:val="24"/>
          <w:szCs w:val="24"/>
          <w:highlight w:val="none"/>
        </w:rPr>
        <w:t xml:space="preserve"> </w:t>
      </w:r>
      <w:r>
        <w:rPr>
          <w:rFonts w:ascii="新宋体" w:hAnsi="新宋体" w:eastAsia="新宋体" w:cs="新宋体"/>
          <w:color w:val="auto"/>
          <w:spacing w:val="-12"/>
          <w:sz w:val="24"/>
          <w:szCs w:val="24"/>
          <w:highlight w:val="none"/>
        </w:rPr>
        <w:t>个工作日。</w:t>
      </w:r>
    </w:p>
    <w:p w14:paraId="18ACDE28">
      <w:pPr>
        <w:pageBreakBefore w:val="0"/>
        <w:wordWrap/>
        <w:overflowPunct/>
        <w:topLinePunct w:val="0"/>
        <w:bidi w:val="0"/>
        <w:adjustRightIn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32.2</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6"/>
          <w:sz w:val="24"/>
          <w:szCs w:val="24"/>
          <w:highlight w:val="none"/>
        </w:rPr>
        <w:t>中标人的确定</w:t>
      </w:r>
    </w:p>
    <w:p w14:paraId="28C93755">
      <w:pPr>
        <w:pageBreakBefore w:val="0"/>
        <w:wordWrap/>
        <w:overflowPunct/>
        <w:topLinePunct w:val="0"/>
        <w:bidi w:val="0"/>
        <w:adjustRightInd w:val="0"/>
        <w:spacing w:line="360" w:lineRule="auto"/>
        <w:ind w:left="0" w:right="0" w:firstLine="48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32.2.1</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若招标人未接到投诉或公共资源监督管理部门未通知招标人中标候选人在招标投</w:t>
      </w:r>
      <w:r>
        <w:rPr>
          <w:rFonts w:ascii="新宋体" w:hAnsi="新宋体" w:eastAsia="新宋体" w:cs="新宋体"/>
          <w:color w:val="auto"/>
          <w:spacing w:val="-3"/>
          <w:sz w:val="24"/>
          <w:szCs w:val="24"/>
          <w:highlight w:val="none"/>
        </w:rPr>
        <w:t>标活动中有违法行为的，招标人应当确定排名第一的中标候选人为中标人，排名第一的中标候</w:t>
      </w:r>
      <w:r>
        <w:rPr>
          <w:rFonts w:ascii="新宋体" w:hAnsi="新宋体" w:eastAsia="新宋体" w:cs="新宋体"/>
          <w:color w:val="auto"/>
          <w:spacing w:val="-5"/>
          <w:sz w:val="24"/>
          <w:szCs w:val="24"/>
          <w:highlight w:val="none"/>
        </w:rPr>
        <w:t>选人放弃中标、因不可抗力提出不能履行合同，</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5"/>
          <w:sz w:val="24"/>
          <w:szCs w:val="24"/>
          <w:highlight w:val="none"/>
        </w:rPr>
        <w:t>或者招标文件规定应当提交履约保证金而在规</w:t>
      </w:r>
      <w:r>
        <w:rPr>
          <w:rFonts w:ascii="新宋体" w:hAnsi="新宋体" w:eastAsia="新宋体" w:cs="新宋体"/>
          <w:color w:val="auto"/>
          <w:spacing w:val="-3"/>
          <w:sz w:val="24"/>
          <w:szCs w:val="24"/>
          <w:highlight w:val="none"/>
        </w:rPr>
        <w:t>定的期限内未能提交的，招标人可以确定排名第二的中标候选人为中标人或重新组织招标。排</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名第二的中标候选人因前款规定的同样原因不能签订合同的，招标人可以确定排名第三的中标</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候选人为中标人或重新组织招标。</w:t>
      </w:r>
    </w:p>
    <w:p w14:paraId="46417C04">
      <w:pPr>
        <w:pageBreakBefore w:val="0"/>
        <w:wordWrap/>
        <w:overflowPunct/>
        <w:topLinePunct w:val="0"/>
        <w:bidi w:val="0"/>
        <w:adjustRightIn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32.3</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6"/>
          <w:sz w:val="24"/>
          <w:szCs w:val="24"/>
          <w:highlight w:val="none"/>
        </w:rPr>
        <w:t>中标通知书</w:t>
      </w:r>
    </w:p>
    <w:p w14:paraId="7985D151">
      <w:pPr>
        <w:pageBreakBefore w:val="0"/>
        <w:wordWrap/>
        <w:overflowPunct/>
        <w:topLinePunct w:val="0"/>
        <w:bidi w:val="0"/>
        <w:adjustRightIn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32.3.1 中标人确定后，招标人将向中标人发出中标通知书。</w:t>
      </w:r>
    </w:p>
    <w:p w14:paraId="76F5C48B">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32.3.2 中标通知书须加盖招标人、招标代理机构公章，</w:t>
      </w:r>
      <w:r>
        <w:rPr>
          <w:rFonts w:ascii="新宋体" w:hAnsi="新宋体" w:eastAsia="新宋体" w:cs="新宋体"/>
          <w:color w:val="auto"/>
          <w:spacing w:val="-4"/>
          <w:sz w:val="24"/>
          <w:szCs w:val="24"/>
          <w:highlight w:val="none"/>
        </w:rPr>
        <w:t>方可发出。</w:t>
      </w:r>
    </w:p>
    <w:p w14:paraId="537C96B0">
      <w:pPr>
        <w:pStyle w:val="4"/>
        <w:pageBreakBefore w:val="0"/>
        <w:wordWrap/>
        <w:overflowPunct/>
        <w:topLinePunct w:val="0"/>
        <w:bidi w:val="0"/>
        <w:adjustRightInd w:val="0"/>
        <w:spacing w:line="360" w:lineRule="auto"/>
        <w:ind w:left="0" w:right="0" w:firstLine="468" w:firstLineChars="200"/>
        <w:textAlignment w:val="baseline"/>
        <w:rPr>
          <w:color w:val="auto"/>
          <w:sz w:val="24"/>
          <w:szCs w:val="24"/>
          <w:highlight w:val="none"/>
        </w:rPr>
      </w:pPr>
      <w:r>
        <w:rPr>
          <w:b/>
          <w:bCs/>
          <w:color w:val="auto"/>
          <w:spacing w:val="-3"/>
          <w:sz w:val="24"/>
          <w:szCs w:val="24"/>
          <w:highlight w:val="none"/>
        </w:rPr>
        <w:t>33.</w:t>
      </w:r>
      <w:r>
        <w:rPr>
          <w:b/>
          <w:bCs/>
          <w:color w:val="auto"/>
          <w:spacing w:val="67"/>
          <w:sz w:val="24"/>
          <w:szCs w:val="24"/>
          <w:highlight w:val="none"/>
        </w:rPr>
        <w:t xml:space="preserve"> </w:t>
      </w:r>
      <w:r>
        <w:rPr>
          <w:b/>
          <w:bCs/>
          <w:color w:val="auto"/>
          <w:spacing w:val="-3"/>
          <w:sz w:val="24"/>
          <w:szCs w:val="24"/>
          <w:highlight w:val="none"/>
        </w:rPr>
        <w:t>开评标异常情况处理</w:t>
      </w:r>
    </w:p>
    <w:p w14:paraId="5EC3F47A">
      <w:pPr>
        <w:pageBreakBefore w:val="0"/>
        <w:wordWrap/>
        <w:overflowPunct/>
        <w:topLinePunct w:val="0"/>
        <w:bidi w:val="0"/>
        <w:adjustRightIn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33.1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4"/>
          <w:sz w:val="24"/>
          <w:szCs w:val="24"/>
          <w:highlight w:val="none"/>
        </w:rPr>
        <w:t>重新招标</w:t>
      </w:r>
    </w:p>
    <w:p w14:paraId="5B7EA27F">
      <w:pPr>
        <w:pageBreakBefore w:val="0"/>
        <w:wordWrap/>
        <w:overflowPunct/>
        <w:topLinePunct w:val="0"/>
        <w:bidi w:val="0"/>
        <w:adjustRightIn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有下列情形之一的，招标人将重新招标：</w:t>
      </w:r>
    </w:p>
    <w:p w14:paraId="39421E8F">
      <w:pPr>
        <w:pageBreakBefore w:val="0"/>
        <w:wordWrap/>
        <w:overflowPunct/>
        <w:topLinePunct w:val="0"/>
        <w:bidi w:val="0"/>
        <w:adjustRightIn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（1）经评标委员会评审后否决所有投标的；</w:t>
      </w:r>
    </w:p>
    <w:p w14:paraId="7730B5A3">
      <w:pPr>
        <w:pageBreakBefore w:val="0"/>
        <w:wordWrap/>
        <w:overflowPunct/>
        <w:topLinePunct w:val="0"/>
        <w:bidi w:val="0"/>
        <w:adjustRightIn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（2）出现影响采购公正的违法、违规行为的；</w:t>
      </w:r>
    </w:p>
    <w:p w14:paraId="660BDD7A">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（3）投标人的报价均脱离实际且无充分证据的；</w:t>
      </w:r>
    </w:p>
    <w:p w14:paraId="4033AF0C">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（4）因重大变故，采购任务取消的。</w:t>
      </w:r>
    </w:p>
    <w:p w14:paraId="2043786B">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（5）法律、法规规定的其他情形。</w:t>
      </w:r>
    </w:p>
    <w:p w14:paraId="0D543E75">
      <w:pPr>
        <w:pStyle w:val="4"/>
        <w:pageBreakBefore w:val="0"/>
        <w:wordWrap/>
        <w:overflowPunct/>
        <w:topLinePunct w:val="0"/>
        <w:bidi w:val="0"/>
        <w:adjustRightInd w:val="0"/>
        <w:spacing w:line="360" w:lineRule="auto"/>
        <w:ind w:left="0" w:right="0" w:firstLine="0" w:firstLineChars="0"/>
        <w:jc w:val="center"/>
        <w:textAlignment w:val="baseline"/>
        <w:rPr>
          <w:b/>
          <w:bCs/>
          <w:color w:val="auto"/>
          <w:spacing w:val="-6"/>
          <w:sz w:val="28"/>
          <w:szCs w:val="28"/>
          <w:highlight w:val="none"/>
        </w:rPr>
      </w:pPr>
    </w:p>
    <w:p w14:paraId="616328B9">
      <w:pPr>
        <w:pStyle w:val="4"/>
        <w:pageBreakBefore w:val="0"/>
        <w:wordWrap/>
        <w:overflowPunct/>
        <w:topLinePunct w:val="0"/>
        <w:bidi w:val="0"/>
        <w:adjustRightInd w:val="0"/>
        <w:spacing w:line="360" w:lineRule="auto"/>
        <w:ind w:left="0" w:right="0" w:firstLine="0" w:firstLineChars="0"/>
        <w:jc w:val="center"/>
        <w:textAlignment w:val="baseline"/>
        <w:rPr>
          <w:color w:val="auto"/>
          <w:sz w:val="28"/>
          <w:szCs w:val="28"/>
          <w:highlight w:val="none"/>
        </w:rPr>
      </w:pPr>
      <w:r>
        <w:rPr>
          <w:b/>
          <w:bCs/>
          <w:color w:val="auto"/>
          <w:spacing w:val="-6"/>
          <w:sz w:val="28"/>
          <w:szCs w:val="28"/>
          <w:highlight w:val="none"/>
        </w:rPr>
        <w:t>（六）合同的授予</w:t>
      </w:r>
    </w:p>
    <w:p w14:paraId="1202294A">
      <w:pPr>
        <w:pStyle w:val="4"/>
        <w:pageBreakBefore w:val="0"/>
        <w:wordWrap/>
        <w:overflowPunct/>
        <w:topLinePunct w:val="0"/>
        <w:bidi w:val="0"/>
        <w:adjustRightInd w:val="0"/>
        <w:spacing w:line="360" w:lineRule="auto"/>
        <w:ind w:left="0" w:right="0" w:firstLine="460" w:firstLineChars="200"/>
        <w:textAlignment w:val="baseline"/>
        <w:rPr>
          <w:color w:val="auto"/>
          <w:sz w:val="24"/>
          <w:szCs w:val="24"/>
          <w:highlight w:val="none"/>
        </w:rPr>
      </w:pPr>
      <w:r>
        <w:rPr>
          <w:b/>
          <w:bCs/>
          <w:color w:val="auto"/>
          <w:spacing w:val="-5"/>
          <w:sz w:val="24"/>
          <w:szCs w:val="24"/>
          <w:highlight w:val="none"/>
        </w:rPr>
        <w:t>34.  合同</w:t>
      </w:r>
    </w:p>
    <w:p w14:paraId="234A9CBE">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34.1</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3"/>
          <w:sz w:val="24"/>
          <w:szCs w:val="24"/>
          <w:highlight w:val="none"/>
        </w:rPr>
        <w:t>招标人与中标人将于中标通知书发出之日起</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3"/>
          <w:sz w:val="24"/>
          <w:szCs w:val="24"/>
          <w:highlight w:val="none"/>
        </w:rPr>
        <w:t>30 日内，按照招标文件和</w:t>
      </w:r>
      <w:r>
        <w:rPr>
          <w:rFonts w:ascii="新宋体" w:hAnsi="新宋体" w:eastAsia="新宋体" w:cs="新宋体"/>
          <w:color w:val="auto"/>
          <w:spacing w:val="-4"/>
          <w:sz w:val="24"/>
          <w:szCs w:val="24"/>
          <w:highlight w:val="none"/>
        </w:rPr>
        <w:t>投标文件和中</w:t>
      </w:r>
      <w:r>
        <w:rPr>
          <w:rFonts w:ascii="新宋体" w:hAnsi="新宋体" w:eastAsia="新宋体" w:cs="新宋体"/>
          <w:color w:val="auto"/>
          <w:spacing w:val="-3"/>
          <w:sz w:val="24"/>
          <w:szCs w:val="24"/>
          <w:highlight w:val="none"/>
        </w:rPr>
        <w:t>标人订立书面采购合同。合同双方不得再行订立背离合同实质性内容的其他协议。合同价款按</w:t>
      </w:r>
      <w:r>
        <w:rPr>
          <w:rFonts w:ascii="新宋体" w:hAnsi="新宋体" w:eastAsia="新宋体" w:cs="新宋体"/>
          <w:color w:val="auto"/>
          <w:spacing w:val="-5"/>
          <w:sz w:val="24"/>
          <w:szCs w:val="24"/>
          <w:highlight w:val="none"/>
        </w:rPr>
        <w:t>招标文件前附表规定。</w:t>
      </w:r>
    </w:p>
    <w:p w14:paraId="746B852A">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34.2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招标人如不按招标文件第</w:t>
      </w:r>
      <w:r>
        <w:rPr>
          <w:rFonts w:ascii="新宋体" w:hAnsi="新宋体" w:eastAsia="新宋体" w:cs="新宋体"/>
          <w:color w:val="auto"/>
          <w:spacing w:val="-46"/>
          <w:sz w:val="24"/>
          <w:szCs w:val="24"/>
          <w:highlight w:val="none"/>
        </w:rPr>
        <w:t xml:space="preserve"> </w:t>
      </w:r>
      <w:r>
        <w:rPr>
          <w:rFonts w:ascii="新宋体" w:hAnsi="新宋体" w:eastAsia="新宋体" w:cs="新宋体"/>
          <w:color w:val="auto"/>
          <w:spacing w:val="-2"/>
          <w:sz w:val="24"/>
          <w:szCs w:val="24"/>
          <w:highlight w:val="none"/>
        </w:rPr>
        <w:t>34.1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条的规定与中标人订立合同，或者招</w:t>
      </w:r>
      <w:r>
        <w:rPr>
          <w:rFonts w:ascii="新宋体" w:hAnsi="新宋体" w:eastAsia="新宋体" w:cs="新宋体"/>
          <w:color w:val="auto"/>
          <w:spacing w:val="-3"/>
          <w:sz w:val="24"/>
          <w:szCs w:val="24"/>
          <w:highlight w:val="none"/>
        </w:rPr>
        <w:t>标人、中标人订立背离合同实质性内容的协议，招标人应当按投标保证金的数额对投标人进行赔偿，给投标人</w:t>
      </w:r>
      <w:r>
        <w:rPr>
          <w:rFonts w:ascii="新宋体" w:hAnsi="新宋体" w:eastAsia="新宋体" w:cs="新宋体"/>
          <w:color w:val="auto"/>
          <w:spacing w:val="-6"/>
          <w:sz w:val="24"/>
          <w:szCs w:val="24"/>
          <w:highlight w:val="none"/>
        </w:rPr>
        <w:t>造成的损失超过投标保证金数额的，还应当对超过部分</w:t>
      </w:r>
      <w:r>
        <w:rPr>
          <w:rFonts w:ascii="新宋体" w:hAnsi="新宋体" w:eastAsia="新宋体" w:cs="新宋体"/>
          <w:color w:val="auto"/>
          <w:spacing w:val="-7"/>
          <w:sz w:val="24"/>
          <w:szCs w:val="24"/>
          <w:highlight w:val="none"/>
        </w:rPr>
        <w:t>予以赔偿，同时依法承担相应法律责任。</w:t>
      </w:r>
    </w:p>
    <w:p w14:paraId="41888CD1">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34.3</w:t>
      </w:r>
      <w:r>
        <w:rPr>
          <w:rFonts w:ascii="新宋体" w:hAnsi="新宋体" w:eastAsia="新宋体" w:cs="新宋体"/>
          <w:color w:val="auto"/>
          <w:spacing w:val="50"/>
          <w:sz w:val="24"/>
          <w:szCs w:val="24"/>
          <w:highlight w:val="none"/>
        </w:rPr>
        <w:t xml:space="preserve"> </w:t>
      </w:r>
      <w:r>
        <w:rPr>
          <w:rFonts w:ascii="新宋体" w:hAnsi="新宋体" w:eastAsia="新宋体" w:cs="新宋体"/>
          <w:color w:val="auto"/>
          <w:spacing w:val="-3"/>
          <w:sz w:val="24"/>
          <w:szCs w:val="24"/>
          <w:highlight w:val="none"/>
        </w:rPr>
        <w:t>中标人如不按本投标须知第</w:t>
      </w:r>
      <w:r>
        <w:rPr>
          <w:rFonts w:ascii="新宋体" w:hAnsi="新宋体" w:eastAsia="新宋体" w:cs="新宋体"/>
          <w:color w:val="auto"/>
          <w:spacing w:val="-46"/>
          <w:sz w:val="24"/>
          <w:szCs w:val="24"/>
          <w:highlight w:val="none"/>
        </w:rPr>
        <w:t xml:space="preserve"> </w:t>
      </w:r>
      <w:r>
        <w:rPr>
          <w:rFonts w:ascii="新宋体" w:hAnsi="新宋体" w:eastAsia="新宋体" w:cs="新宋体"/>
          <w:color w:val="auto"/>
          <w:spacing w:val="-3"/>
          <w:sz w:val="24"/>
          <w:szCs w:val="24"/>
          <w:highlight w:val="none"/>
        </w:rPr>
        <w:t>34.1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3"/>
          <w:sz w:val="24"/>
          <w:szCs w:val="24"/>
          <w:highlight w:val="none"/>
        </w:rPr>
        <w:t>条的规定与招标人订立合同，招标人将取消其中标资格，投标保证金不予退还，给招标人造成的损失超过投标保证金数额的，还应当对</w:t>
      </w:r>
      <w:r>
        <w:rPr>
          <w:rFonts w:ascii="新宋体" w:hAnsi="新宋体" w:eastAsia="新宋体" w:cs="新宋体"/>
          <w:color w:val="auto"/>
          <w:spacing w:val="-4"/>
          <w:sz w:val="24"/>
          <w:szCs w:val="24"/>
          <w:highlight w:val="none"/>
        </w:rPr>
        <w:t>超过部分</w:t>
      </w:r>
      <w:r>
        <w:rPr>
          <w:rFonts w:ascii="新宋体" w:hAnsi="新宋体" w:eastAsia="新宋体" w:cs="新宋体"/>
          <w:color w:val="auto"/>
          <w:spacing w:val="-3"/>
          <w:sz w:val="24"/>
          <w:szCs w:val="24"/>
          <w:highlight w:val="none"/>
        </w:rPr>
        <w:t>予以赔偿，同时依法承担相应法律责任。</w:t>
      </w:r>
    </w:p>
    <w:p w14:paraId="2F989216">
      <w:pPr>
        <w:pageBreakBefore w:val="0"/>
        <w:wordWrap/>
        <w:overflowPunct/>
        <w:topLinePunct w:val="0"/>
        <w:bidi w:val="0"/>
        <w:adjustRightInd w:val="0"/>
        <w:spacing w:line="360" w:lineRule="auto"/>
        <w:ind w:left="0" w:right="0" w:firstLine="48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34.4 中标人应当按照合同约定履行义务，完成中标项目，不得将中标项目转让（转包）</w:t>
      </w:r>
      <w:r>
        <w:rPr>
          <w:rFonts w:ascii="新宋体" w:hAnsi="新宋体" w:eastAsia="新宋体" w:cs="新宋体"/>
          <w:color w:val="auto"/>
          <w:spacing w:val="-10"/>
          <w:sz w:val="24"/>
          <w:szCs w:val="24"/>
          <w:highlight w:val="none"/>
        </w:rPr>
        <w:t>给他人。</w:t>
      </w:r>
    </w:p>
    <w:p w14:paraId="7CE8314B">
      <w:pPr>
        <w:pStyle w:val="4"/>
        <w:pageBreakBefore w:val="0"/>
        <w:wordWrap/>
        <w:overflowPunct/>
        <w:topLinePunct w:val="0"/>
        <w:bidi w:val="0"/>
        <w:adjustRightInd w:val="0"/>
        <w:spacing w:line="360" w:lineRule="auto"/>
        <w:ind w:left="0" w:right="0" w:firstLine="464" w:firstLineChars="200"/>
        <w:textAlignment w:val="baseline"/>
        <w:rPr>
          <w:rFonts w:hint="eastAsia" w:eastAsia="微软雅黑"/>
          <w:color w:val="auto"/>
          <w:sz w:val="24"/>
          <w:szCs w:val="24"/>
          <w:highlight w:val="none"/>
          <w:lang w:eastAsia="zh-CN"/>
        </w:rPr>
      </w:pPr>
      <w:r>
        <w:rPr>
          <w:b/>
          <w:bCs/>
          <w:color w:val="auto"/>
          <w:spacing w:val="-4"/>
          <w:sz w:val="24"/>
          <w:szCs w:val="24"/>
          <w:highlight w:val="none"/>
        </w:rPr>
        <w:t>35.  履约保证金</w:t>
      </w:r>
      <w:r>
        <w:rPr>
          <w:rFonts w:hint="eastAsia"/>
          <w:b/>
          <w:bCs/>
          <w:color w:val="auto"/>
          <w:spacing w:val="-4"/>
          <w:sz w:val="24"/>
          <w:szCs w:val="24"/>
          <w:highlight w:val="none"/>
          <w:lang w:eastAsia="zh-CN"/>
        </w:rPr>
        <w:t>（</w:t>
      </w:r>
      <w:r>
        <w:rPr>
          <w:rFonts w:hint="eastAsia"/>
          <w:b/>
          <w:bCs/>
          <w:color w:val="auto"/>
          <w:spacing w:val="-4"/>
          <w:sz w:val="24"/>
          <w:szCs w:val="24"/>
          <w:highlight w:val="none"/>
          <w:lang w:val="en-US" w:eastAsia="zh-CN"/>
        </w:rPr>
        <w:t>本项目不适用</w:t>
      </w:r>
      <w:r>
        <w:rPr>
          <w:rFonts w:hint="eastAsia"/>
          <w:b/>
          <w:bCs/>
          <w:color w:val="auto"/>
          <w:spacing w:val="-4"/>
          <w:sz w:val="24"/>
          <w:szCs w:val="24"/>
          <w:highlight w:val="none"/>
          <w:lang w:eastAsia="zh-CN"/>
        </w:rPr>
        <w:t>）</w:t>
      </w:r>
    </w:p>
    <w:p w14:paraId="7CA24505">
      <w:pPr>
        <w:pageBreakBefore w:val="0"/>
        <w:wordWrap/>
        <w:overflowPunct/>
        <w:topLinePunct w:val="0"/>
        <w:bidi w:val="0"/>
        <w:adjustRightInd w:val="0"/>
        <w:spacing w:line="360" w:lineRule="auto"/>
        <w:ind w:left="0" w:right="0" w:firstLine="480" w:firstLineChars="200"/>
        <w:textAlignment w:val="baseline"/>
        <w:rPr>
          <w:rFonts w:ascii="Arial"/>
          <w:color w:val="auto"/>
          <w:sz w:val="21"/>
          <w:highlight w:val="none"/>
        </w:rPr>
      </w:pPr>
      <w:r>
        <w:rPr>
          <w:rFonts w:ascii="新宋体" w:hAnsi="新宋体" w:eastAsia="新宋体" w:cs="新宋体"/>
          <w:color w:val="auto"/>
          <w:sz w:val="24"/>
          <w:szCs w:val="24"/>
          <w:highlight w:val="none"/>
        </w:rPr>
        <w:t>35.1</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z w:val="24"/>
          <w:szCs w:val="24"/>
          <w:highlight w:val="none"/>
        </w:rPr>
        <w:t>在签订合同后五日内，</w:t>
      </w:r>
      <w:r>
        <w:rPr>
          <w:rFonts w:ascii="新宋体" w:hAnsi="新宋体" w:eastAsia="新宋体" w:cs="新宋体"/>
          <w:color w:val="auto"/>
          <w:spacing w:val="-68"/>
          <w:sz w:val="24"/>
          <w:szCs w:val="24"/>
          <w:highlight w:val="none"/>
        </w:rPr>
        <w:t xml:space="preserve"> </w:t>
      </w:r>
      <w:r>
        <w:rPr>
          <w:rFonts w:ascii="新宋体" w:hAnsi="新宋体" w:eastAsia="新宋体" w:cs="新宋体"/>
          <w:color w:val="auto"/>
          <w:sz w:val="24"/>
          <w:szCs w:val="24"/>
          <w:highlight w:val="none"/>
        </w:rPr>
        <w:t>中标人应按投标人须知前附表规定的金额、担保形式向招标</w:t>
      </w:r>
      <w:r>
        <w:rPr>
          <w:rFonts w:ascii="新宋体" w:hAnsi="新宋体" w:eastAsia="新宋体" w:cs="新宋体"/>
          <w:color w:val="auto"/>
          <w:spacing w:val="-6"/>
          <w:sz w:val="24"/>
          <w:szCs w:val="24"/>
          <w:highlight w:val="none"/>
        </w:rPr>
        <w:t>人提交履约保证金。</w:t>
      </w:r>
    </w:p>
    <w:p w14:paraId="5049108B">
      <w:pPr>
        <w:pageBreakBefore w:val="0"/>
        <w:wordWrap/>
        <w:overflowPunct/>
        <w:topLinePunct w:val="0"/>
        <w:bidi w:val="0"/>
        <w:adjustRightIn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35.2 中标人不能按本章第</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3"/>
          <w:sz w:val="24"/>
          <w:szCs w:val="24"/>
          <w:highlight w:val="none"/>
        </w:rPr>
        <w:t>35.1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3"/>
          <w:sz w:val="24"/>
          <w:szCs w:val="24"/>
          <w:highlight w:val="none"/>
        </w:rPr>
        <w:t>项要求提交履约保证金的，视为放弃中标，其</w:t>
      </w:r>
      <w:r>
        <w:rPr>
          <w:rFonts w:ascii="新宋体" w:hAnsi="新宋体" w:eastAsia="新宋体" w:cs="新宋体"/>
          <w:color w:val="auto"/>
          <w:spacing w:val="-4"/>
          <w:sz w:val="24"/>
          <w:szCs w:val="24"/>
          <w:highlight w:val="none"/>
        </w:rPr>
        <w:t>投标保证金</w:t>
      </w:r>
      <w:r>
        <w:rPr>
          <w:rFonts w:ascii="新宋体" w:hAnsi="新宋体" w:eastAsia="新宋体" w:cs="新宋体"/>
          <w:color w:val="auto"/>
          <w:spacing w:val="-1"/>
          <w:sz w:val="24"/>
          <w:szCs w:val="24"/>
          <w:highlight w:val="none"/>
        </w:rPr>
        <w:t>不予退还，给招标人造成的损失超过投标保证金数额的，中标</w:t>
      </w:r>
      <w:r>
        <w:rPr>
          <w:rFonts w:ascii="新宋体" w:hAnsi="新宋体" w:eastAsia="新宋体" w:cs="新宋体"/>
          <w:color w:val="auto"/>
          <w:spacing w:val="-2"/>
          <w:sz w:val="24"/>
          <w:szCs w:val="24"/>
          <w:highlight w:val="none"/>
        </w:rPr>
        <w:t>人还应当对超过部分予以赔偿。</w:t>
      </w:r>
    </w:p>
    <w:p w14:paraId="0A4D426A">
      <w:pPr>
        <w:pStyle w:val="4"/>
        <w:pageBreakBefore w:val="0"/>
        <w:wordWrap/>
        <w:overflowPunct/>
        <w:topLinePunct w:val="0"/>
        <w:bidi w:val="0"/>
        <w:adjustRightInd w:val="0"/>
        <w:spacing w:line="360" w:lineRule="auto"/>
        <w:ind w:left="0" w:right="0" w:firstLine="0" w:firstLineChars="0"/>
        <w:jc w:val="center"/>
        <w:textAlignment w:val="baseline"/>
        <w:rPr>
          <w:b/>
          <w:bCs/>
          <w:color w:val="auto"/>
          <w:spacing w:val="-5"/>
          <w:sz w:val="28"/>
          <w:szCs w:val="28"/>
          <w:highlight w:val="none"/>
        </w:rPr>
      </w:pPr>
    </w:p>
    <w:p w14:paraId="2668BBC0">
      <w:pPr>
        <w:pStyle w:val="4"/>
        <w:pageBreakBefore w:val="0"/>
        <w:wordWrap/>
        <w:overflowPunct/>
        <w:topLinePunct w:val="0"/>
        <w:bidi w:val="0"/>
        <w:adjustRightInd w:val="0"/>
        <w:spacing w:line="360" w:lineRule="auto"/>
        <w:ind w:left="0" w:right="0" w:firstLine="0" w:firstLineChars="0"/>
        <w:jc w:val="center"/>
        <w:textAlignment w:val="baseline"/>
        <w:rPr>
          <w:color w:val="auto"/>
          <w:sz w:val="28"/>
          <w:szCs w:val="28"/>
          <w:highlight w:val="none"/>
        </w:rPr>
      </w:pPr>
      <w:r>
        <w:rPr>
          <w:b/>
          <w:bCs/>
          <w:color w:val="auto"/>
          <w:spacing w:val="-5"/>
          <w:sz w:val="28"/>
          <w:szCs w:val="28"/>
          <w:highlight w:val="none"/>
        </w:rPr>
        <w:t>（七）纪律和监督</w:t>
      </w:r>
    </w:p>
    <w:p w14:paraId="15DC7989">
      <w:pPr>
        <w:pStyle w:val="4"/>
        <w:pageBreakBefore w:val="0"/>
        <w:wordWrap/>
        <w:overflowPunct/>
        <w:topLinePunct w:val="0"/>
        <w:bidi w:val="0"/>
        <w:adjustRightInd w:val="0"/>
        <w:spacing w:line="360" w:lineRule="auto"/>
        <w:ind w:left="0" w:right="0" w:firstLine="468" w:firstLineChars="200"/>
        <w:textAlignment w:val="baseline"/>
        <w:rPr>
          <w:color w:val="auto"/>
          <w:sz w:val="24"/>
          <w:szCs w:val="24"/>
          <w:highlight w:val="none"/>
        </w:rPr>
      </w:pPr>
      <w:r>
        <w:rPr>
          <w:b/>
          <w:bCs/>
          <w:color w:val="auto"/>
          <w:spacing w:val="-3"/>
          <w:sz w:val="24"/>
          <w:szCs w:val="24"/>
          <w:highlight w:val="none"/>
        </w:rPr>
        <w:t>36.</w:t>
      </w:r>
      <w:r>
        <w:rPr>
          <w:b/>
          <w:bCs/>
          <w:color w:val="auto"/>
          <w:spacing w:val="67"/>
          <w:w w:val="101"/>
          <w:sz w:val="24"/>
          <w:szCs w:val="24"/>
          <w:highlight w:val="none"/>
        </w:rPr>
        <w:t xml:space="preserve"> </w:t>
      </w:r>
      <w:r>
        <w:rPr>
          <w:b/>
          <w:bCs/>
          <w:color w:val="auto"/>
          <w:spacing w:val="-3"/>
          <w:sz w:val="24"/>
          <w:szCs w:val="24"/>
          <w:highlight w:val="none"/>
        </w:rPr>
        <w:t>对招标人的纪律要求</w:t>
      </w:r>
    </w:p>
    <w:p w14:paraId="468C0AF2">
      <w:pPr>
        <w:pageBreakBefore w:val="0"/>
        <w:wordWrap/>
        <w:overflowPunct/>
        <w:topLinePunct w:val="0"/>
        <w:bidi w:val="0"/>
        <w:adjustRightInd w:val="0"/>
        <w:spacing w:line="360" w:lineRule="auto"/>
        <w:ind w:left="0" w:right="0" w:firstLine="0" w:firstLineChars="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36.1</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招标人不得泄漏招标投标活动中应当保密的情况和资料，不得与投标人串通损害国</w:t>
      </w:r>
      <w:r>
        <w:rPr>
          <w:rFonts w:ascii="新宋体" w:hAnsi="新宋体" w:eastAsia="新宋体" w:cs="新宋体"/>
          <w:color w:val="auto"/>
          <w:spacing w:val="-3"/>
          <w:sz w:val="24"/>
          <w:szCs w:val="24"/>
          <w:highlight w:val="none"/>
        </w:rPr>
        <w:t>家利益，社会公共利益或者他人合法权益。</w:t>
      </w:r>
    </w:p>
    <w:p w14:paraId="06EBAF5C">
      <w:pPr>
        <w:pStyle w:val="4"/>
        <w:pageBreakBefore w:val="0"/>
        <w:wordWrap/>
        <w:overflowPunct/>
        <w:topLinePunct w:val="0"/>
        <w:bidi w:val="0"/>
        <w:adjustRightInd w:val="0"/>
        <w:spacing w:line="360" w:lineRule="auto"/>
        <w:ind w:left="0" w:right="0" w:firstLine="468" w:firstLineChars="200"/>
        <w:textAlignment w:val="baseline"/>
        <w:rPr>
          <w:color w:val="auto"/>
          <w:sz w:val="24"/>
          <w:szCs w:val="24"/>
          <w:highlight w:val="none"/>
        </w:rPr>
      </w:pPr>
      <w:r>
        <w:rPr>
          <w:b/>
          <w:bCs/>
          <w:color w:val="auto"/>
          <w:spacing w:val="-3"/>
          <w:sz w:val="24"/>
          <w:szCs w:val="24"/>
          <w:highlight w:val="none"/>
        </w:rPr>
        <w:t>37.</w:t>
      </w:r>
      <w:r>
        <w:rPr>
          <w:b/>
          <w:bCs/>
          <w:color w:val="auto"/>
          <w:spacing w:val="67"/>
          <w:w w:val="101"/>
          <w:sz w:val="24"/>
          <w:szCs w:val="24"/>
          <w:highlight w:val="none"/>
        </w:rPr>
        <w:t xml:space="preserve"> </w:t>
      </w:r>
      <w:r>
        <w:rPr>
          <w:b/>
          <w:bCs/>
          <w:color w:val="auto"/>
          <w:spacing w:val="-3"/>
          <w:sz w:val="24"/>
          <w:szCs w:val="24"/>
          <w:highlight w:val="none"/>
        </w:rPr>
        <w:t>对投标人的纪律要求</w:t>
      </w:r>
    </w:p>
    <w:p w14:paraId="1387FEF4">
      <w:pPr>
        <w:pageBreakBefore w:val="0"/>
        <w:wordWrap/>
        <w:overflowPunct/>
        <w:topLinePunct w:val="0"/>
        <w:bidi w:val="0"/>
        <w:adjustRightInd w:val="0"/>
        <w:spacing w:line="360" w:lineRule="auto"/>
        <w:ind w:left="0" w:right="0" w:firstLine="484" w:firstLineChars="20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37.1</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投标人不得相互串通投标或者与招标人串通投标，不得向招标人或者评标委员会成</w:t>
      </w:r>
      <w:r>
        <w:rPr>
          <w:rFonts w:ascii="新宋体" w:hAnsi="新宋体" w:eastAsia="新宋体" w:cs="新宋体"/>
          <w:color w:val="auto"/>
          <w:spacing w:val="-3"/>
          <w:sz w:val="24"/>
          <w:szCs w:val="24"/>
          <w:highlight w:val="none"/>
        </w:rPr>
        <w:t>员行贿谋取中标，不得以他人名义投标或者以其他方式弄虚作假骗取中标；投标人不得以任何</w:t>
      </w:r>
      <w:r>
        <w:rPr>
          <w:rFonts w:ascii="新宋体" w:hAnsi="新宋体" w:eastAsia="新宋体" w:cs="新宋体"/>
          <w:color w:val="auto"/>
          <w:spacing w:val="-5"/>
          <w:sz w:val="24"/>
          <w:szCs w:val="24"/>
          <w:highlight w:val="none"/>
        </w:rPr>
        <w:t>方式干扰、影响评标工作。</w:t>
      </w:r>
    </w:p>
    <w:p w14:paraId="065BD3B8">
      <w:pPr>
        <w:pStyle w:val="4"/>
        <w:pageBreakBefore w:val="0"/>
        <w:wordWrap/>
        <w:overflowPunct/>
        <w:topLinePunct w:val="0"/>
        <w:bidi w:val="0"/>
        <w:adjustRightInd w:val="0"/>
        <w:spacing w:line="360" w:lineRule="auto"/>
        <w:ind w:left="0" w:right="0" w:firstLine="468" w:firstLineChars="200"/>
        <w:textAlignment w:val="baseline"/>
        <w:rPr>
          <w:color w:val="auto"/>
          <w:sz w:val="24"/>
          <w:szCs w:val="24"/>
          <w:highlight w:val="none"/>
        </w:rPr>
      </w:pPr>
      <w:r>
        <w:rPr>
          <w:b/>
          <w:bCs/>
          <w:color w:val="auto"/>
          <w:spacing w:val="-3"/>
          <w:sz w:val="24"/>
          <w:szCs w:val="24"/>
          <w:highlight w:val="none"/>
        </w:rPr>
        <w:t>38.</w:t>
      </w:r>
      <w:r>
        <w:rPr>
          <w:b/>
          <w:bCs/>
          <w:color w:val="auto"/>
          <w:spacing w:val="79"/>
          <w:sz w:val="24"/>
          <w:szCs w:val="24"/>
          <w:highlight w:val="none"/>
        </w:rPr>
        <w:t xml:space="preserve"> </w:t>
      </w:r>
      <w:r>
        <w:rPr>
          <w:b/>
          <w:bCs/>
          <w:color w:val="auto"/>
          <w:spacing w:val="-3"/>
          <w:sz w:val="24"/>
          <w:szCs w:val="24"/>
          <w:highlight w:val="none"/>
        </w:rPr>
        <w:t>对评标委员会成员的纪律要求</w:t>
      </w:r>
    </w:p>
    <w:p w14:paraId="12CCFC64">
      <w:pPr>
        <w:pageBreakBefore w:val="0"/>
        <w:wordWrap/>
        <w:overflowPunct/>
        <w:topLinePunct w:val="0"/>
        <w:bidi w:val="0"/>
        <w:adjustRightInd w:val="0"/>
        <w:spacing w:line="360" w:lineRule="auto"/>
        <w:ind w:left="0" w:right="0" w:firstLine="48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38.1</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标委员会成员不得收受他人的财物或者其他好处，不得向他人透漏对投标文件的评</w:t>
      </w:r>
      <w:r>
        <w:rPr>
          <w:rFonts w:ascii="新宋体" w:hAnsi="新宋体" w:eastAsia="新宋体" w:cs="新宋体"/>
          <w:color w:val="auto"/>
          <w:spacing w:val="-3"/>
          <w:sz w:val="24"/>
          <w:szCs w:val="24"/>
          <w:highlight w:val="none"/>
        </w:rPr>
        <w:t>审和比较、中标候选人的推荐情况以及评标有关的其他情况。</w:t>
      </w:r>
    </w:p>
    <w:p w14:paraId="6B213BF9">
      <w:pPr>
        <w:pageBreakBefore w:val="0"/>
        <w:wordWrap/>
        <w:overflowPunct/>
        <w:topLinePunct w:val="0"/>
        <w:bidi w:val="0"/>
        <w:adjustRightInd w:val="0"/>
        <w:spacing w:line="360" w:lineRule="auto"/>
        <w:ind w:left="0" w:right="0" w:firstLine="48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38.2</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在评标活动中，评标委员会成员不得擅离职守，影响评标程序正常进行，不得使用</w:t>
      </w:r>
      <w:r>
        <w:rPr>
          <w:rFonts w:ascii="新宋体" w:hAnsi="新宋体" w:eastAsia="新宋体" w:cs="新宋体"/>
          <w:color w:val="auto"/>
          <w:spacing w:val="-2"/>
          <w:sz w:val="24"/>
          <w:szCs w:val="24"/>
          <w:highlight w:val="none"/>
        </w:rPr>
        <w:t>第三章“评标办法”没有规定的评审因素和标准</w:t>
      </w:r>
      <w:r>
        <w:rPr>
          <w:rFonts w:ascii="新宋体" w:hAnsi="新宋体" w:eastAsia="新宋体" w:cs="新宋体"/>
          <w:color w:val="auto"/>
          <w:spacing w:val="-3"/>
          <w:sz w:val="24"/>
          <w:szCs w:val="24"/>
          <w:highlight w:val="none"/>
        </w:rPr>
        <w:t>进行评标。</w:t>
      </w:r>
    </w:p>
    <w:p w14:paraId="1C68DA34">
      <w:pPr>
        <w:pStyle w:val="4"/>
        <w:pageBreakBefore w:val="0"/>
        <w:wordWrap/>
        <w:overflowPunct/>
        <w:topLinePunct w:val="0"/>
        <w:bidi w:val="0"/>
        <w:adjustRightInd w:val="0"/>
        <w:spacing w:line="360" w:lineRule="auto"/>
        <w:ind w:left="0" w:right="0" w:firstLine="472" w:firstLineChars="200"/>
        <w:textAlignment w:val="baseline"/>
        <w:rPr>
          <w:color w:val="auto"/>
          <w:sz w:val="24"/>
          <w:szCs w:val="24"/>
          <w:highlight w:val="none"/>
        </w:rPr>
      </w:pPr>
      <w:r>
        <w:rPr>
          <w:b/>
          <w:bCs/>
          <w:color w:val="auto"/>
          <w:spacing w:val="-2"/>
          <w:sz w:val="24"/>
          <w:szCs w:val="24"/>
          <w:highlight w:val="none"/>
        </w:rPr>
        <w:t>39.</w:t>
      </w:r>
      <w:r>
        <w:rPr>
          <w:b/>
          <w:bCs/>
          <w:color w:val="auto"/>
          <w:spacing w:val="72"/>
          <w:w w:val="101"/>
          <w:sz w:val="24"/>
          <w:szCs w:val="24"/>
          <w:highlight w:val="none"/>
        </w:rPr>
        <w:t xml:space="preserve"> </w:t>
      </w:r>
      <w:r>
        <w:rPr>
          <w:b/>
          <w:bCs/>
          <w:color w:val="auto"/>
          <w:spacing w:val="-2"/>
          <w:sz w:val="24"/>
          <w:szCs w:val="24"/>
          <w:highlight w:val="none"/>
        </w:rPr>
        <w:t>对与评标活动有关的工作人员的纪律要求</w:t>
      </w:r>
    </w:p>
    <w:p w14:paraId="0A393C9B">
      <w:pPr>
        <w:pageBreakBefore w:val="0"/>
        <w:wordWrap/>
        <w:overflowPunct/>
        <w:topLinePunct w:val="0"/>
        <w:bidi w:val="0"/>
        <w:adjustRightInd w:val="0"/>
        <w:spacing w:line="360" w:lineRule="auto"/>
        <w:ind w:left="0" w:right="0" w:firstLine="484" w:firstLineChars="20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39.1</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与评标活动有关的工作人员不得收受他人的财物或者其他好处，不得向他人透漏对</w:t>
      </w:r>
      <w:r>
        <w:rPr>
          <w:rFonts w:ascii="新宋体" w:hAnsi="新宋体" w:eastAsia="新宋体" w:cs="新宋体"/>
          <w:color w:val="auto"/>
          <w:spacing w:val="-6"/>
          <w:sz w:val="24"/>
          <w:szCs w:val="24"/>
          <w:highlight w:val="none"/>
        </w:rPr>
        <w:t>投标文件的评审和比较、中标候选人的推荐情况以及评标有关的其他情况。在评标活动中， 与</w:t>
      </w:r>
      <w:r>
        <w:rPr>
          <w:rFonts w:ascii="新宋体" w:hAnsi="新宋体" w:eastAsia="新宋体" w:cs="新宋体"/>
          <w:color w:val="auto"/>
          <w:spacing w:val="-2"/>
          <w:sz w:val="24"/>
          <w:szCs w:val="24"/>
          <w:highlight w:val="none"/>
        </w:rPr>
        <w:t>评标活动有关的工作人员不得擅离职守，影响评标程序正常进行。</w:t>
      </w:r>
    </w:p>
    <w:p w14:paraId="520C0F4A">
      <w:pPr>
        <w:pStyle w:val="4"/>
        <w:pageBreakBefore w:val="0"/>
        <w:wordWrap/>
        <w:overflowPunct/>
        <w:topLinePunct w:val="0"/>
        <w:bidi w:val="0"/>
        <w:adjustRightInd w:val="0"/>
        <w:spacing w:line="360" w:lineRule="auto"/>
        <w:ind w:left="0" w:right="0" w:firstLine="0" w:firstLineChars="0"/>
        <w:jc w:val="center"/>
        <w:textAlignment w:val="baseline"/>
        <w:rPr>
          <w:b/>
          <w:bCs/>
          <w:color w:val="auto"/>
          <w:spacing w:val="-5"/>
          <w:sz w:val="28"/>
          <w:szCs w:val="28"/>
          <w:highlight w:val="none"/>
        </w:rPr>
      </w:pPr>
    </w:p>
    <w:p w14:paraId="3C9D317A">
      <w:pPr>
        <w:pStyle w:val="4"/>
        <w:pageBreakBefore w:val="0"/>
        <w:wordWrap/>
        <w:overflowPunct/>
        <w:topLinePunct w:val="0"/>
        <w:bidi w:val="0"/>
        <w:adjustRightInd w:val="0"/>
        <w:spacing w:line="360" w:lineRule="auto"/>
        <w:ind w:left="0" w:right="0" w:firstLine="0" w:firstLineChars="0"/>
        <w:jc w:val="center"/>
        <w:textAlignment w:val="baseline"/>
        <w:rPr>
          <w:color w:val="auto"/>
          <w:sz w:val="28"/>
          <w:szCs w:val="28"/>
          <w:highlight w:val="none"/>
        </w:rPr>
      </w:pPr>
      <w:r>
        <w:rPr>
          <w:b/>
          <w:bCs/>
          <w:color w:val="auto"/>
          <w:spacing w:val="-5"/>
          <w:sz w:val="28"/>
          <w:szCs w:val="28"/>
          <w:highlight w:val="none"/>
        </w:rPr>
        <w:t>（八）质疑与投诉</w:t>
      </w:r>
    </w:p>
    <w:p w14:paraId="766A4654">
      <w:pPr>
        <w:pStyle w:val="4"/>
        <w:pageBreakBefore w:val="0"/>
        <w:wordWrap/>
        <w:overflowPunct/>
        <w:topLinePunct w:val="0"/>
        <w:bidi w:val="0"/>
        <w:adjustRightInd w:val="0"/>
        <w:spacing w:line="360" w:lineRule="auto"/>
        <w:ind w:left="0" w:right="0" w:firstLine="464" w:firstLineChars="200"/>
        <w:textAlignment w:val="baseline"/>
        <w:rPr>
          <w:color w:val="auto"/>
          <w:sz w:val="24"/>
          <w:szCs w:val="24"/>
          <w:highlight w:val="none"/>
        </w:rPr>
      </w:pPr>
      <w:r>
        <w:rPr>
          <w:b/>
          <w:bCs/>
          <w:color w:val="auto"/>
          <w:spacing w:val="-4"/>
          <w:sz w:val="24"/>
          <w:szCs w:val="24"/>
          <w:highlight w:val="none"/>
        </w:rPr>
        <w:t>40.  质疑</w:t>
      </w:r>
    </w:p>
    <w:p w14:paraId="1DCF2421">
      <w:pPr>
        <w:pageBreakBefore w:val="0"/>
        <w:wordWrap/>
        <w:overflowPunct/>
        <w:topLinePunct w:val="0"/>
        <w:bidi w:val="0"/>
        <w:adjustRightInd w:val="0"/>
        <w:spacing w:line="360" w:lineRule="auto"/>
        <w:ind w:left="0" w:right="0" w:firstLine="48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40.1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招标文件发售后，参与采购活动的投标人如发</w:t>
      </w:r>
      <w:r>
        <w:rPr>
          <w:rFonts w:ascii="新宋体" w:hAnsi="新宋体" w:eastAsia="新宋体" w:cs="新宋体"/>
          <w:color w:val="auto"/>
          <w:spacing w:val="1"/>
          <w:sz w:val="24"/>
          <w:szCs w:val="24"/>
          <w:highlight w:val="none"/>
        </w:rPr>
        <w:t>现招标文件的商务条款、技术要求存</w:t>
      </w:r>
      <w:r>
        <w:rPr>
          <w:rFonts w:ascii="新宋体" w:hAnsi="新宋体" w:eastAsia="新宋体" w:cs="新宋体"/>
          <w:color w:val="auto"/>
          <w:spacing w:val="-2"/>
          <w:sz w:val="24"/>
          <w:szCs w:val="24"/>
          <w:highlight w:val="none"/>
        </w:rPr>
        <w:t>在倾向性、错误、遗漏、含混不清等问题，可在招标文件规定的时间之前，请与招标人</w:t>
      </w:r>
      <w:r>
        <w:rPr>
          <w:rFonts w:hint="eastAsia" w:ascii="新宋体" w:hAnsi="新宋体" w:eastAsia="新宋体" w:cs="新宋体"/>
          <w:color w:val="auto"/>
          <w:spacing w:val="-2"/>
          <w:sz w:val="24"/>
          <w:szCs w:val="24"/>
          <w:highlight w:val="none"/>
          <w:lang w:val="en-US" w:eastAsia="zh-CN"/>
        </w:rPr>
        <w:t>或招标代理机构</w:t>
      </w:r>
      <w:r>
        <w:rPr>
          <w:rFonts w:ascii="新宋体" w:hAnsi="新宋体" w:eastAsia="新宋体" w:cs="新宋体"/>
          <w:color w:val="auto"/>
          <w:spacing w:val="-2"/>
          <w:sz w:val="24"/>
          <w:szCs w:val="24"/>
          <w:highlight w:val="none"/>
        </w:rPr>
        <w:t>联系，</w:t>
      </w:r>
      <w:r>
        <w:rPr>
          <w:rFonts w:ascii="新宋体" w:hAnsi="新宋体" w:eastAsia="新宋体" w:cs="新宋体"/>
          <w:color w:val="auto"/>
          <w:spacing w:val="-4"/>
          <w:sz w:val="24"/>
          <w:szCs w:val="24"/>
          <w:highlight w:val="none"/>
        </w:rPr>
        <w:t>提出质疑，要求修改或澄清</w:t>
      </w:r>
      <w:r>
        <w:rPr>
          <w:rFonts w:hint="eastAsia" w:ascii="新宋体" w:hAnsi="新宋体" w:eastAsia="新宋体" w:cs="新宋体"/>
          <w:color w:val="auto"/>
          <w:spacing w:val="-4"/>
          <w:sz w:val="24"/>
          <w:szCs w:val="24"/>
          <w:highlight w:val="none"/>
          <w:lang w:eastAsia="zh-CN"/>
        </w:rPr>
        <w:t>，</w:t>
      </w:r>
      <w:r>
        <w:rPr>
          <w:rFonts w:hint="eastAsia" w:ascii="新宋体" w:hAnsi="新宋体" w:eastAsia="新宋体" w:cs="新宋体"/>
          <w:color w:val="auto"/>
          <w:spacing w:val="-4"/>
          <w:sz w:val="24"/>
          <w:szCs w:val="24"/>
          <w:highlight w:val="none"/>
          <w:lang w:val="en-US" w:eastAsia="zh-CN"/>
        </w:rPr>
        <w:t>联系方式及联系人：见招标公告及投标须知前附表</w:t>
      </w:r>
      <w:r>
        <w:rPr>
          <w:rFonts w:ascii="新宋体" w:hAnsi="新宋体" w:eastAsia="新宋体" w:cs="新宋体"/>
          <w:color w:val="auto"/>
          <w:spacing w:val="-4"/>
          <w:sz w:val="24"/>
          <w:szCs w:val="24"/>
          <w:highlight w:val="none"/>
        </w:rPr>
        <w:t>。</w:t>
      </w:r>
    </w:p>
    <w:p w14:paraId="23C2B34B">
      <w:pPr>
        <w:pageBreakBefore w:val="0"/>
        <w:wordWrap/>
        <w:overflowPunct/>
        <w:topLinePunct w:val="0"/>
        <w:bidi w:val="0"/>
        <w:adjustRightInd w:val="0"/>
        <w:spacing w:line="360" w:lineRule="auto"/>
        <w:ind w:left="0" w:right="0" w:firstLine="48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40.2 中标公告发布后，参与投标的投标人对</w:t>
      </w:r>
      <w:r>
        <w:rPr>
          <w:rFonts w:ascii="新宋体" w:hAnsi="新宋体" w:eastAsia="新宋体" w:cs="新宋体"/>
          <w:color w:val="auto"/>
          <w:sz w:val="24"/>
          <w:szCs w:val="24"/>
          <w:highlight w:val="none"/>
        </w:rPr>
        <w:t>中标公告有异议的，应该在中标公告发布之</w:t>
      </w:r>
      <w:r>
        <w:rPr>
          <w:rFonts w:ascii="新宋体" w:hAnsi="新宋体" w:eastAsia="新宋体" w:cs="新宋体"/>
          <w:color w:val="auto"/>
          <w:spacing w:val="-3"/>
          <w:sz w:val="24"/>
          <w:szCs w:val="24"/>
          <w:highlight w:val="none"/>
        </w:rPr>
        <w:t>日起七个工作日内向招标人</w:t>
      </w:r>
      <w:r>
        <w:rPr>
          <w:rFonts w:hint="eastAsia" w:ascii="新宋体" w:hAnsi="新宋体" w:eastAsia="新宋体" w:cs="新宋体"/>
          <w:color w:val="auto"/>
          <w:spacing w:val="-3"/>
          <w:sz w:val="24"/>
          <w:szCs w:val="24"/>
          <w:highlight w:val="none"/>
          <w:lang w:val="en-US" w:eastAsia="zh-CN"/>
        </w:rPr>
        <w:t>或者标代理机构</w:t>
      </w:r>
      <w:r>
        <w:rPr>
          <w:rFonts w:ascii="新宋体" w:hAnsi="新宋体" w:eastAsia="新宋体" w:cs="新宋体"/>
          <w:color w:val="auto"/>
          <w:spacing w:val="-3"/>
          <w:sz w:val="24"/>
          <w:szCs w:val="24"/>
          <w:highlight w:val="none"/>
        </w:rPr>
        <w:t>书面提出质疑。未在规定时间提出质疑的，不予受理。</w:t>
      </w:r>
    </w:p>
    <w:p w14:paraId="5D4B95F8">
      <w:pPr>
        <w:pageBreakBefore w:val="0"/>
        <w:wordWrap/>
        <w:overflowPunct/>
        <w:topLinePunct w:val="0"/>
        <w:bidi w:val="0"/>
        <w:adjustRightInd w:val="0"/>
        <w:spacing w:line="360" w:lineRule="auto"/>
        <w:ind w:left="0" w:right="0" w:firstLine="48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40.3</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2"/>
          <w:sz w:val="24"/>
          <w:szCs w:val="24"/>
          <w:highlight w:val="none"/>
        </w:rPr>
        <w:t>参与投标的投标人对中标公告提出的</w:t>
      </w:r>
      <w:r>
        <w:rPr>
          <w:rFonts w:ascii="新宋体" w:hAnsi="新宋体" w:eastAsia="新宋体" w:cs="新宋体"/>
          <w:color w:val="auto"/>
          <w:spacing w:val="1"/>
          <w:sz w:val="24"/>
          <w:szCs w:val="24"/>
          <w:highlight w:val="none"/>
        </w:rPr>
        <w:t>书面质疑，负有举证的责任。在质疑函中应清</w:t>
      </w:r>
      <w:r>
        <w:rPr>
          <w:rFonts w:ascii="新宋体" w:hAnsi="新宋体" w:eastAsia="新宋体" w:cs="新宋体"/>
          <w:color w:val="auto"/>
          <w:spacing w:val="-6"/>
          <w:sz w:val="24"/>
          <w:szCs w:val="24"/>
          <w:highlight w:val="none"/>
        </w:rPr>
        <w:t>楚地写明所质疑的项目名称、编号、标包号标包名、质疑的事项与事实等内容，并附上质疑事</w:t>
      </w:r>
      <w:r>
        <w:rPr>
          <w:rFonts w:ascii="新宋体" w:hAnsi="新宋体" w:eastAsia="新宋体" w:cs="新宋体"/>
          <w:color w:val="auto"/>
          <w:spacing w:val="-3"/>
          <w:sz w:val="24"/>
          <w:szCs w:val="24"/>
          <w:highlight w:val="none"/>
        </w:rPr>
        <w:t>项、事实的证明文件。投标人在经其法定代表人签字并盖上投标人公章后，将该质疑函当面递</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8"/>
          <w:sz w:val="24"/>
          <w:szCs w:val="24"/>
          <w:highlight w:val="none"/>
        </w:rPr>
        <w:t>交至招标人。</w:t>
      </w:r>
    </w:p>
    <w:p w14:paraId="38A3B2C8">
      <w:pPr>
        <w:pageBreakBefore w:val="0"/>
        <w:wordWrap/>
        <w:overflowPunct/>
        <w:topLinePunct w:val="0"/>
        <w:bidi w:val="0"/>
        <w:adjustRightInd w:val="0"/>
        <w:spacing w:line="360" w:lineRule="auto"/>
        <w:ind w:left="0" w:right="0" w:firstLine="48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40.4</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招标人在收到投标人的质疑函后，将审查质疑</w:t>
      </w:r>
      <w:r>
        <w:rPr>
          <w:rFonts w:ascii="新宋体" w:hAnsi="新宋体" w:eastAsia="新宋体" w:cs="新宋体"/>
          <w:color w:val="auto"/>
          <w:spacing w:val="1"/>
          <w:sz w:val="24"/>
          <w:szCs w:val="24"/>
          <w:highlight w:val="none"/>
        </w:rPr>
        <w:t>函的格式、内容以及所附的证明文件</w:t>
      </w:r>
      <w:r>
        <w:rPr>
          <w:rFonts w:ascii="新宋体" w:hAnsi="新宋体" w:eastAsia="新宋体" w:cs="新宋体"/>
          <w:color w:val="auto"/>
          <w:spacing w:val="-3"/>
          <w:sz w:val="24"/>
          <w:szCs w:val="24"/>
          <w:highlight w:val="none"/>
        </w:rPr>
        <w:t>是否符合要求。如不符合，说明原因退回投标人；如符合要求，则接受该质疑函并向投标人出</w:t>
      </w:r>
      <w:r>
        <w:rPr>
          <w:rFonts w:ascii="新宋体" w:hAnsi="新宋体" w:eastAsia="新宋体" w:cs="新宋体"/>
          <w:color w:val="auto"/>
          <w:spacing w:val="-7"/>
          <w:sz w:val="24"/>
          <w:szCs w:val="24"/>
          <w:highlight w:val="none"/>
        </w:rPr>
        <w:t>具受理证明。</w:t>
      </w:r>
    </w:p>
    <w:p w14:paraId="4860AB21">
      <w:pPr>
        <w:pageBreakBefore w:val="0"/>
        <w:wordWrap/>
        <w:overflowPunct/>
        <w:topLinePunct w:val="0"/>
        <w:bidi w:val="0"/>
        <w:adjustRightInd w:val="0"/>
        <w:spacing w:line="360" w:lineRule="auto"/>
        <w:ind w:left="0" w:right="0" w:firstLine="47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40.5</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处理质疑的时间，从实际接受投标人</w:t>
      </w:r>
      <w:r>
        <w:rPr>
          <w:rFonts w:ascii="新宋体" w:hAnsi="新宋体" w:eastAsia="新宋体" w:cs="新宋体"/>
          <w:color w:val="auto"/>
          <w:spacing w:val="-2"/>
          <w:sz w:val="24"/>
          <w:szCs w:val="24"/>
          <w:highlight w:val="none"/>
        </w:rPr>
        <w:t>质疑函、出具受理证明的时间开始计算。</w:t>
      </w:r>
    </w:p>
    <w:p w14:paraId="55F918DD">
      <w:pPr>
        <w:pageBreakBefore w:val="0"/>
        <w:wordWrap/>
        <w:overflowPunct/>
        <w:topLinePunct w:val="0"/>
        <w:bidi w:val="0"/>
        <w:adjustRightInd w:val="0"/>
        <w:spacing w:line="360" w:lineRule="auto"/>
        <w:ind w:left="0" w:right="0" w:firstLine="48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40.6</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投标人对招标人的答复不满意，或者招标人未</w:t>
      </w:r>
      <w:r>
        <w:rPr>
          <w:rFonts w:ascii="新宋体" w:hAnsi="新宋体" w:eastAsia="新宋体" w:cs="新宋体"/>
          <w:color w:val="auto"/>
          <w:spacing w:val="1"/>
          <w:sz w:val="24"/>
          <w:szCs w:val="24"/>
          <w:highlight w:val="none"/>
        </w:rPr>
        <w:t>在规定的时间内答复的，可以在答复</w:t>
      </w:r>
      <w:r>
        <w:rPr>
          <w:rFonts w:ascii="新宋体" w:hAnsi="新宋体" w:eastAsia="新宋体" w:cs="新宋体"/>
          <w:color w:val="auto"/>
          <w:spacing w:val="-1"/>
          <w:sz w:val="24"/>
          <w:szCs w:val="24"/>
          <w:highlight w:val="none"/>
        </w:rPr>
        <w:t>期满后十五个工作日内按有关规定，向同级人民政府招</w:t>
      </w:r>
      <w:r>
        <w:rPr>
          <w:rFonts w:ascii="新宋体" w:hAnsi="新宋体" w:eastAsia="新宋体" w:cs="新宋体"/>
          <w:color w:val="auto"/>
          <w:spacing w:val="-2"/>
          <w:sz w:val="24"/>
          <w:szCs w:val="24"/>
          <w:highlight w:val="none"/>
        </w:rPr>
        <w:t>标采购监管部门进行投诉。</w:t>
      </w:r>
    </w:p>
    <w:p w14:paraId="329625D4">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40.7</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2"/>
          <w:sz w:val="24"/>
          <w:szCs w:val="24"/>
          <w:highlight w:val="none"/>
        </w:rPr>
        <w:t>质疑与投诉按照《政府采购质疑和投诉办法》文号【财政部令第</w:t>
      </w:r>
      <w:r>
        <w:rPr>
          <w:rFonts w:ascii="新宋体" w:hAnsi="新宋体" w:eastAsia="新宋体" w:cs="新宋体"/>
          <w:color w:val="auto"/>
          <w:spacing w:val="-51"/>
          <w:sz w:val="24"/>
          <w:szCs w:val="24"/>
          <w:highlight w:val="none"/>
        </w:rPr>
        <w:t xml:space="preserve"> </w:t>
      </w:r>
      <w:r>
        <w:rPr>
          <w:rFonts w:ascii="新宋体" w:hAnsi="新宋体" w:eastAsia="新宋体" w:cs="新宋体"/>
          <w:color w:val="auto"/>
          <w:spacing w:val="-3"/>
          <w:sz w:val="24"/>
          <w:szCs w:val="24"/>
          <w:highlight w:val="none"/>
        </w:rPr>
        <w:t>94</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3"/>
          <w:sz w:val="24"/>
          <w:szCs w:val="24"/>
          <w:highlight w:val="none"/>
        </w:rPr>
        <w:t>号】要求，投标单位应当在知道或者应知（即收到采购文件之日）其权益受到损害之日起七个工作日内以书面</w:t>
      </w:r>
      <w:r>
        <w:rPr>
          <w:rFonts w:ascii="新宋体" w:hAnsi="新宋体" w:eastAsia="新宋体" w:cs="新宋体"/>
          <w:color w:val="auto"/>
          <w:spacing w:val="-6"/>
          <w:sz w:val="24"/>
          <w:szCs w:val="24"/>
          <w:highlight w:val="none"/>
        </w:rPr>
        <w:t>形式一次性提出。</w:t>
      </w:r>
    </w:p>
    <w:p w14:paraId="25C559C4">
      <w:pPr>
        <w:pStyle w:val="4"/>
        <w:pageBreakBefore w:val="0"/>
        <w:wordWrap/>
        <w:overflowPunct/>
        <w:topLinePunct w:val="0"/>
        <w:bidi w:val="0"/>
        <w:adjustRightInd w:val="0"/>
        <w:spacing w:line="360" w:lineRule="auto"/>
        <w:ind w:left="0" w:right="0" w:firstLine="0" w:firstLineChars="0"/>
        <w:jc w:val="center"/>
        <w:textAlignment w:val="baseline"/>
        <w:rPr>
          <w:b/>
          <w:bCs/>
          <w:color w:val="auto"/>
          <w:spacing w:val="-7"/>
          <w:sz w:val="28"/>
          <w:szCs w:val="28"/>
          <w:highlight w:val="none"/>
        </w:rPr>
      </w:pPr>
    </w:p>
    <w:p w14:paraId="3F6E3AD1">
      <w:pPr>
        <w:pStyle w:val="4"/>
        <w:pageBreakBefore w:val="0"/>
        <w:wordWrap/>
        <w:overflowPunct/>
        <w:topLinePunct w:val="0"/>
        <w:bidi w:val="0"/>
        <w:adjustRightInd w:val="0"/>
        <w:spacing w:line="360" w:lineRule="auto"/>
        <w:ind w:left="0" w:right="0" w:firstLine="0" w:firstLineChars="0"/>
        <w:jc w:val="center"/>
        <w:textAlignment w:val="baseline"/>
        <w:rPr>
          <w:color w:val="auto"/>
          <w:sz w:val="28"/>
          <w:szCs w:val="28"/>
          <w:highlight w:val="none"/>
        </w:rPr>
      </w:pPr>
      <w:r>
        <w:rPr>
          <w:b/>
          <w:bCs/>
          <w:color w:val="auto"/>
          <w:spacing w:val="-7"/>
          <w:sz w:val="28"/>
          <w:szCs w:val="28"/>
          <w:highlight w:val="none"/>
        </w:rPr>
        <w:t>（九）其他</w:t>
      </w:r>
    </w:p>
    <w:p w14:paraId="5D50C1D8">
      <w:pPr>
        <w:pStyle w:val="4"/>
        <w:pageBreakBefore w:val="0"/>
        <w:wordWrap/>
        <w:overflowPunct/>
        <w:topLinePunct w:val="0"/>
        <w:bidi w:val="0"/>
        <w:adjustRightInd w:val="0"/>
        <w:spacing w:line="360" w:lineRule="auto"/>
        <w:ind w:left="0" w:right="0" w:firstLine="460" w:firstLineChars="200"/>
        <w:textAlignment w:val="baseline"/>
        <w:rPr>
          <w:color w:val="auto"/>
          <w:sz w:val="24"/>
          <w:szCs w:val="24"/>
          <w:highlight w:val="none"/>
        </w:rPr>
      </w:pPr>
      <w:r>
        <w:rPr>
          <w:b/>
          <w:bCs/>
          <w:color w:val="auto"/>
          <w:spacing w:val="-5"/>
          <w:sz w:val="24"/>
          <w:szCs w:val="24"/>
          <w:highlight w:val="none"/>
        </w:rPr>
        <w:t>41.</w:t>
      </w:r>
      <w:r>
        <w:rPr>
          <w:b/>
          <w:bCs/>
          <w:color w:val="auto"/>
          <w:spacing w:val="69"/>
          <w:sz w:val="24"/>
          <w:szCs w:val="24"/>
          <w:highlight w:val="none"/>
        </w:rPr>
        <w:t xml:space="preserve"> </w:t>
      </w:r>
      <w:r>
        <w:rPr>
          <w:b/>
          <w:bCs/>
          <w:color w:val="auto"/>
          <w:spacing w:val="-5"/>
          <w:sz w:val="24"/>
          <w:szCs w:val="24"/>
          <w:highlight w:val="none"/>
        </w:rPr>
        <w:t>其他</w:t>
      </w:r>
    </w:p>
    <w:p w14:paraId="637878B0">
      <w:pPr>
        <w:pageBreakBefore w:val="0"/>
        <w:wordWrap/>
        <w:overflowPunct/>
        <w:topLinePunct w:val="0"/>
        <w:bidi w:val="0"/>
        <w:adjustRightIn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招标文件内容及要求严格执行国家、省（自治区）有关法律法规。</w:t>
      </w:r>
    </w:p>
    <w:p w14:paraId="4E97891D">
      <w:pPr>
        <w:pageBreakBefore w:val="0"/>
        <w:wordWrap/>
        <w:overflowPunct/>
        <w:topLinePunct w:val="0"/>
        <w:bidi w:val="0"/>
        <w:adjustRightInd w:val="0"/>
        <w:spacing w:line="360" w:lineRule="auto"/>
        <w:ind w:left="0" w:right="0" w:firstLine="0" w:firstLineChars="0"/>
        <w:textAlignment w:val="baseline"/>
        <w:rPr>
          <w:rFonts w:ascii="新宋体" w:hAnsi="新宋体" w:eastAsia="新宋体" w:cs="新宋体"/>
          <w:color w:val="auto"/>
          <w:sz w:val="24"/>
          <w:szCs w:val="24"/>
          <w:highlight w:val="none"/>
        </w:rPr>
        <w:sectPr>
          <w:footerReference r:id="rId8" w:type="default"/>
          <w:pgSz w:w="11905" w:h="16839"/>
          <w:pgMar w:top="1440" w:right="1800" w:bottom="1440" w:left="1800" w:header="0" w:footer="1090" w:gutter="0"/>
          <w:pgNumType w:fmt="decimal"/>
          <w:cols w:space="720" w:num="1"/>
        </w:sectPr>
      </w:pPr>
    </w:p>
    <w:p w14:paraId="7D34797A">
      <w:pPr>
        <w:spacing w:line="317" w:lineRule="auto"/>
        <w:rPr>
          <w:rFonts w:ascii="Arial"/>
          <w:color w:val="auto"/>
          <w:sz w:val="21"/>
          <w:highlight w:val="none"/>
        </w:rPr>
      </w:pPr>
    </w:p>
    <w:p w14:paraId="5A33BBEB">
      <w:pPr>
        <w:pStyle w:val="4"/>
        <w:spacing w:before="129" w:line="188" w:lineRule="auto"/>
        <w:jc w:val="center"/>
        <w:outlineLvl w:val="0"/>
        <w:rPr>
          <w:color w:val="auto"/>
          <w:sz w:val="30"/>
          <w:szCs w:val="30"/>
          <w:highlight w:val="none"/>
        </w:rPr>
      </w:pPr>
      <w:bookmarkStart w:id="17" w:name="bookmark4"/>
      <w:bookmarkEnd w:id="17"/>
      <w:bookmarkStart w:id="18" w:name="_Toc29616"/>
      <w:r>
        <w:rPr>
          <w:b/>
          <w:bCs/>
          <w:color w:val="auto"/>
          <w:spacing w:val="-7"/>
          <w:sz w:val="30"/>
          <w:szCs w:val="30"/>
          <w:highlight w:val="none"/>
        </w:rPr>
        <w:t>第三章</w:t>
      </w:r>
      <w:r>
        <w:rPr>
          <w:b/>
          <w:bCs/>
          <w:color w:val="auto"/>
          <w:spacing w:val="17"/>
          <w:sz w:val="30"/>
          <w:szCs w:val="30"/>
          <w:highlight w:val="none"/>
        </w:rPr>
        <w:t xml:space="preserve">   </w:t>
      </w:r>
      <w:r>
        <w:rPr>
          <w:b/>
          <w:bCs/>
          <w:color w:val="auto"/>
          <w:spacing w:val="-7"/>
          <w:sz w:val="30"/>
          <w:szCs w:val="30"/>
          <w:highlight w:val="none"/>
        </w:rPr>
        <w:t>评标办法</w:t>
      </w:r>
      <w:bookmarkEnd w:id="18"/>
    </w:p>
    <w:p w14:paraId="7B454A5C">
      <w:pPr>
        <w:pStyle w:val="4"/>
        <w:spacing w:before="171" w:line="188" w:lineRule="auto"/>
        <w:ind w:left="142"/>
        <w:rPr>
          <w:b/>
          <w:bCs/>
          <w:color w:val="auto"/>
          <w:spacing w:val="-9"/>
          <w:w w:val="97"/>
          <w:sz w:val="24"/>
          <w:szCs w:val="24"/>
          <w:highlight w:val="none"/>
        </w:rPr>
      </w:pPr>
    </w:p>
    <w:p w14:paraId="1C48CB2E">
      <w:pPr>
        <w:pStyle w:val="4"/>
        <w:spacing w:before="171" w:line="188" w:lineRule="auto"/>
        <w:ind w:left="142"/>
        <w:rPr>
          <w:color w:val="auto"/>
          <w:sz w:val="24"/>
          <w:szCs w:val="24"/>
          <w:highlight w:val="none"/>
        </w:rPr>
      </w:pPr>
      <w:r>
        <w:rPr>
          <w:b/>
          <w:bCs/>
          <w:color w:val="auto"/>
          <w:spacing w:val="-9"/>
          <w:w w:val="97"/>
          <w:sz w:val="24"/>
          <w:szCs w:val="24"/>
          <w:highlight w:val="none"/>
        </w:rPr>
        <w:t>一</w:t>
      </w:r>
      <w:r>
        <w:rPr>
          <w:b/>
          <w:bCs/>
          <w:color w:val="auto"/>
          <w:spacing w:val="4"/>
          <w:sz w:val="24"/>
          <w:szCs w:val="24"/>
          <w:highlight w:val="none"/>
        </w:rPr>
        <w:t xml:space="preserve">  </w:t>
      </w:r>
      <w:r>
        <w:rPr>
          <w:b/>
          <w:bCs/>
          <w:color w:val="auto"/>
          <w:spacing w:val="-9"/>
          <w:w w:val="97"/>
          <w:sz w:val="24"/>
          <w:szCs w:val="24"/>
          <w:highlight w:val="none"/>
        </w:rPr>
        <w:t>、总则</w:t>
      </w:r>
    </w:p>
    <w:p w14:paraId="746DBB97">
      <w:pPr>
        <w:spacing w:before="145" w:line="224" w:lineRule="auto"/>
        <w:ind w:left="617"/>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1.评标方法</w:t>
      </w:r>
    </w:p>
    <w:p w14:paraId="3AF48CC2">
      <w:pPr>
        <w:spacing w:before="175" w:line="291" w:lineRule="auto"/>
        <w:ind w:left="139" w:right="167" w:firstLine="477"/>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1.1</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4"/>
          <w:sz w:val="24"/>
          <w:szCs w:val="24"/>
          <w:highlight w:val="none"/>
        </w:rPr>
        <w:t>综合评分法是指投标文件满足招标文件全部实质性要求且按照评审因素的量化指标</w:t>
      </w:r>
      <w:r>
        <w:rPr>
          <w:rFonts w:ascii="新宋体" w:hAnsi="新宋体" w:eastAsia="新宋体" w:cs="新宋体"/>
          <w:color w:val="auto"/>
          <w:spacing w:val="-3"/>
          <w:sz w:val="24"/>
          <w:szCs w:val="24"/>
          <w:highlight w:val="none"/>
        </w:rPr>
        <w:t>评审得分最高的供应商为中标候选人的评标方法。</w:t>
      </w:r>
    </w:p>
    <w:p w14:paraId="5D6B0F6D">
      <w:pPr>
        <w:spacing w:before="178" w:line="291" w:lineRule="auto"/>
        <w:ind w:left="139" w:right="167" w:firstLine="477"/>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1.2</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2"/>
          <w:sz w:val="24"/>
          <w:szCs w:val="24"/>
          <w:highlight w:val="none"/>
        </w:rPr>
        <w:t>综合评分法一般适用于较为复杂、评价指标难以量化且价格为非主要因素的非标准定</w:t>
      </w:r>
      <w:r>
        <w:rPr>
          <w:rFonts w:ascii="新宋体" w:hAnsi="新宋体" w:eastAsia="新宋体" w:cs="新宋体"/>
          <w:color w:val="auto"/>
          <w:spacing w:val="-3"/>
          <w:sz w:val="24"/>
          <w:szCs w:val="24"/>
          <w:highlight w:val="none"/>
        </w:rPr>
        <w:t>制商品和非通用服务项目的项目评审。</w:t>
      </w:r>
    </w:p>
    <w:p w14:paraId="43F17E59">
      <w:pPr>
        <w:spacing w:before="177" w:line="345" w:lineRule="auto"/>
        <w:ind w:left="157" w:right="167" w:firstLine="459"/>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第一步：先进行投标人证件审查，只有投标人证件审查评审合格后，才能进入下一阶段评</w:t>
      </w:r>
      <w:r>
        <w:rPr>
          <w:rFonts w:ascii="新宋体" w:hAnsi="新宋体" w:eastAsia="新宋体" w:cs="新宋体"/>
          <w:color w:val="auto"/>
          <w:spacing w:val="-22"/>
          <w:sz w:val="24"/>
          <w:szCs w:val="24"/>
          <w:highlight w:val="none"/>
        </w:rPr>
        <w:t>审；</w:t>
      </w:r>
    </w:p>
    <w:p w14:paraId="218C63F6">
      <w:pPr>
        <w:spacing w:before="35" w:line="345" w:lineRule="auto"/>
        <w:ind w:left="157" w:right="167" w:firstLine="459"/>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第二步：通过技术标和商务标评审，在满足招标文件实质性要求前提下，由评标委员会评</w:t>
      </w:r>
      <w:r>
        <w:rPr>
          <w:rFonts w:ascii="新宋体" w:hAnsi="新宋体" w:eastAsia="新宋体" w:cs="新宋体"/>
          <w:color w:val="auto"/>
          <w:spacing w:val="-4"/>
          <w:sz w:val="24"/>
          <w:szCs w:val="24"/>
          <w:highlight w:val="none"/>
        </w:rPr>
        <w:t>审技术标和商务标得分，计算总得分。</w:t>
      </w:r>
    </w:p>
    <w:p w14:paraId="442F2D15">
      <w:pPr>
        <w:spacing w:before="34" w:line="350" w:lineRule="auto"/>
        <w:ind w:left="142" w:right="7" w:firstLine="465"/>
        <w:jc w:val="both"/>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评标委员会按总得分从高到低按顺序推荐三名中标候选人，若总得分最高有两个及以上时，</w:t>
      </w:r>
      <w:r>
        <w:rPr>
          <w:rFonts w:ascii="新宋体" w:hAnsi="新宋体" w:eastAsia="新宋体" w:cs="新宋体"/>
          <w:color w:val="auto"/>
          <w:spacing w:val="-3"/>
          <w:sz w:val="24"/>
          <w:szCs w:val="24"/>
          <w:highlight w:val="none"/>
        </w:rPr>
        <w:t>以报价低者优先；得分且投标报价相同的，按技术指标优劣顺序排列。技术标也相同时由招标人现场采取随机摇号的方式确定中标候选人。</w:t>
      </w:r>
    </w:p>
    <w:p w14:paraId="3B19B298">
      <w:pPr>
        <w:pStyle w:val="4"/>
        <w:spacing w:before="37" w:line="271" w:lineRule="auto"/>
        <w:ind w:left="143" w:right="167" w:firstLine="574"/>
        <w:rPr>
          <w:color w:val="auto"/>
          <w:sz w:val="24"/>
          <w:szCs w:val="24"/>
          <w:highlight w:val="none"/>
        </w:rPr>
      </w:pPr>
      <w:r>
        <w:rPr>
          <w:b/>
          <w:bCs/>
          <w:color w:val="auto"/>
          <w:spacing w:val="-4"/>
          <w:sz w:val="24"/>
          <w:szCs w:val="24"/>
          <w:highlight w:val="none"/>
        </w:rPr>
        <w:t>本项目设置报价最高限价：</w:t>
      </w:r>
      <w:r>
        <w:rPr>
          <w:rFonts w:hint="eastAsia"/>
          <w:b/>
          <w:bCs/>
          <w:color w:val="auto"/>
          <w:spacing w:val="-43"/>
          <w:sz w:val="24"/>
          <w:szCs w:val="24"/>
          <w:highlight w:val="none"/>
        </w:rPr>
        <w:t>959万元（大写：玖佰伍拾玖万元整）</w:t>
      </w:r>
      <w:r>
        <w:rPr>
          <w:b/>
          <w:bCs/>
          <w:color w:val="auto"/>
          <w:spacing w:val="4"/>
          <w:sz w:val="24"/>
          <w:szCs w:val="24"/>
          <w:highlight w:val="none"/>
        </w:rPr>
        <w:t>，</w:t>
      </w:r>
      <w:r>
        <w:rPr>
          <w:b/>
          <w:bCs/>
          <w:color w:val="auto"/>
          <w:spacing w:val="-46"/>
          <w:sz w:val="24"/>
          <w:szCs w:val="24"/>
          <w:highlight w:val="none"/>
        </w:rPr>
        <w:t xml:space="preserve"> </w:t>
      </w:r>
      <w:r>
        <w:rPr>
          <w:b/>
          <w:bCs/>
          <w:color w:val="auto"/>
          <w:spacing w:val="-4"/>
          <w:sz w:val="24"/>
          <w:szCs w:val="24"/>
          <w:highlight w:val="none"/>
        </w:rPr>
        <w:t>投标人的报价不得高</w:t>
      </w:r>
      <w:r>
        <w:rPr>
          <w:b/>
          <w:bCs/>
          <w:color w:val="auto"/>
          <w:spacing w:val="-2"/>
          <w:sz w:val="24"/>
          <w:szCs w:val="24"/>
          <w:highlight w:val="none"/>
        </w:rPr>
        <w:t>于本次招标最高限价，否则其投标文件按无效</w:t>
      </w:r>
      <w:r>
        <w:rPr>
          <w:b/>
          <w:bCs/>
          <w:color w:val="auto"/>
          <w:spacing w:val="-3"/>
          <w:sz w:val="24"/>
          <w:szCs w:val="24"/>
          <w:highlight w:val="none"/>
        </w:rPr>
        <w:t>标处理。</w:t>
      </w:r>
    </w:p>
    <w:p w14:paraId="44F1260A">
      <w:pPr>
        <w:pStyle w:val="4"/>
        <w:spacing w:before="5" w:line="188" w:lineRule="auto"/>
        <w:ind w:left="146"/>
        <w:rPr>
          <w:b/>
          <w:bCs/>
          <w:color w:val="auto"/>
          <w:spacing w:val="-7"/>
          <w:sz w:val="24"/>
          <w:szCs w:val="24"/>
          <w:highlight w:val="none"/>
        </w:rPr>
      </w:pPr>
    </w:p>
    <w:p w14:paraId="22DF91DC">
      <w:pPr>
        <w:pStyle w:val="4"/>
        <w:spacing w:before="5" w:line="188" w:lineRule="auto"/>
        <w:ind w:left="146"/>
        <w:rPr>
          <w:color w:val="auto"/>
          <w:sz w:val="24"/>
          <w:szCs w:val="24"/>
          <w:highlight w:val="none"/>
        </w:rPr>
      </w:pPr>
      <w:r>
        <w:rPr>
          <w:b/>
          <w:bCs/>
          <w:color w:val="auto"/>
          <w:spacing w:val="-7"/>
          <w:sz w:val="24"/>
          <w:szCs w:val="24"/>
          <w:highlight w:val="none"/>
        </w:rPr>
        <w:t>二  、投标文件初审</w:t>
      </w:r>
    </w:p>
    <w:p w14:paraId="624ABE64">
      <w:pPr>
        <w:spacing w:before="144" w:line="224" w:lineRule="auto"/>
        <w:ind w:left="602"/>
        <w:rPr>
          <w:rFonts w:ascii="新宋体" w:hAnsi="新宋体" w:eastAsia="新宋体" w:cs="新宋体"/>
          <w:color w:val="auto"/>
          <w:spacing w:val="-1"/>
          <w:sz w:val="24"/>
          <w:szCs w:val="24"/>
          <w:highlight w:val="none"/>
        </w:rPr>
      </w:pPr>
    </w:p>
    <w:p w14:paraId="210032C9">
      <w:pPr>
        <w:spacing w:before="144" w:line="224" w:lineRule="auto"/>
        <w:ind w:left="602"/>
        <w:rPr>
          <w:rFonts w:ascii="新宋体" w:hAnsi="新宋体" w:eastAsia="新宋体" w:cs="新宋体"/>
          <w:color w:val="auto"/>
          <w:spacing w:val="-1"/>
          <w:sz w:val="24"/>
          <w:szCs w:val="24"/>
          <w:highlight w:val="none"/>
        </w:rPr>
      </w:pPr>
    </w:p>
    <w:p w14:paraId="718D9291">
      <w:pPr>
        <w:spacing w:before="144" w:line="224" w:lineRule="auto"/>
        <w:ind w:left="602"/>
        <w:rPr>
          <w:rFonts w:ascii="新宋体" w:hAnsi="新宋体" w:eastAsia="新宋体" w:cs="新宋体"/>
          <w:color w:val="auto"/>
          <w:spacing w:val="-1"/>
          <w:sz w:val="24"/>
          <w:szCs w:val="24"/>
          <w:highlight w:val="none"/>
        </w:rPr>
      </w:pPr>
    </w:p>
    <w:p w14:paraId="1D5203E9">
      <w:pPr>
        <w:spacing w:before="144" w:line="224" w:lineRule="auto"/>
        <w:ind w:left="602"/>
        <w:rPr>
          <w:rFonts w:ascii="新宋体" w:hAnsi="新宋体" w:eastAsia="新宋体" w:cs="新宋体"/>
          <w:color w:val="auto"/>
          <w:spacing w:val="-1"/>
          <w:sz w:val="24"/>
          <w:szCs w:val="24"/>
          <w:highlight w:val="none"/>
        </w:rPr>
      </w:pPr>
    </w:p>
    <w:p w14:paraId="312FEC77">
      <w:pPr>
        <w:spacing w:before="144" w:line="224" w:lineRule="auto"/>
        <w:ind w:left="602"/>
        <w:rPr>
          <w:rFonts w:ascii="新宋体" w:hAnsi="新宋体" w:eastAsia="新宋体" w:cs="新宋体"/>
          <w:color w:val="auto"/>
          <w:spacing w:val="-1"/>
          <w:sz w:val="24"/>
          <w:szCs w:val="24"/>
          <w:highlight w:val="none"/>
        </w:rPr>
      </w:pPr>
    </w:p>
    <w:p w14:paraId="60E7EAEA">
      <w:pPr>
        <w:spacing w:before="144" w:line="224" w:lineRule="auto"/>
        <w:ind w:left="602"/>
        <w:rPr>
          <w:rFonts w:ascii="新宋体" w:hAnsi="新宋体" w:eastAsia="新宋体" w:cs="新宋体"/>
          <w:color w:val="auto"/>
          <w:spacing w:val="-1"/>
          <w:sz w:val="24"/>
          <w:szCs w:val="24"/>
          <w:highlight w:val="none"/>
        </w:rPr>
      </w:pPr>
    </w:p>
    <w:p w14:paraId="1E4050A9">
      <w:pPr>
        <w:spacing w:before="144" w:line="224" w:lineRule="auto"/>
        <w:ind w:left="602"/>
        <w:rPr>
          <w:rFonts w:ascii="新宋体" w:hAnsi="新宋体" w:eastAsia="新宋体" w:cs="新宋体"/>
          <w:color w:val="auto"/>
          <w:spacing w:val="-1"/>
          <w:sz w:val="24"/>
          <w:szCs w:val="24"/>
          <w:highlight w:val="none"/>
        </w:rPr>
      </w:pPr>
    </w:p>
    <w:p w14:paraId="5EE57535">
      <w:pPr>
        <w:spacing w:before="144" w:line="224" w:lineRule="auto"/>
        <w:ind w:left="602"/>
        <w:rPr>
          <w:rFonts w:ascii="新宋体" w:hAnsi="新宋体" w:eastAsia="新宋体" w:cs="新宋体"/>
          <w:color w:val="auto"/>
          <w:spacing w:val="-1"/>
          <w:sz w:val="24"/>
          <w:szCs w:val="24"/>
          <w:highlight w:val="none"/>
        </w:rPr>
      </w:pPr>
    </w:p>
    <w:p w14:paraId="1A2BD7CF">
      <w:pPr>
        <w:spacing w:before="144" w:line="224" w:lineRule="auto"/>
        <w:ind w:left="602"/>
        <w:rPr>
          <w:rFonts w:ascii="新宋体" w:hAnsi="新宋体" w:eastAsia="新宋体" w:cs="新宋体"/>
          <w:color w:val="auto"/>
          <w:spacing w:val="-1"/>
          <w:sz w:val="24"/>
          <w:szCs w:val="24"/>
          <w:highlight w:val="none"/>
        </w:rPr>
      </w:pPr>
    </w:p>
    <w:p w14:paraId="36D6D897">
      <w:pPr>
        <w:spacing w:before="144" w:line="224" w:lineRule="auto"/>
        <w:ind w:left="602"/>
        <w:rPr>
          <w:rFonts w:ascii="新宋体" w:hAnsi="新宋体" w:eastAsia="新宋体" w:cs="新宋体"/>
          <w:color w:val="auto"/>
          <w:spacing w:val="-1"/>
          <w:sz w:val="24"/>
          <w:szCs w:val="24"/>
          <w:highlight w:val="none"/>
        </w:rPr>
      </w:pPr>
    </w:p>
    <w:p w14:paraId="7952EE14">
      <w:pPr>
        <w:spacing w:before="144" w:line="224" w:lineRule="auto"/>
        <w:ind w:left="602"/>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2.1.投标人资格审查</w:t>
      </w:r>
    </w:p>
    <w:p w14:paraId="5D303684">
      <w:pPr>
        <w:spacing w:line="138" w:lineRule="exact"/>
        <w:rPr>
          <w:color w:val="auto"/>
          <w:highlight w:val="none"/>
        </w:rPr>
      </w:pPr>
    </w:p>
    <w:tbl>
      <w:tblPr>
        <w:tblStyle w:val="16"/>
        <w:tblW w:w="9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4"/>
        <w:gridCol w:w="8135"/>
      </w:tblGrid>
      <w:tr w14:paraId="7D670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1844" w:type="dxa"/>
            <w:tcBorders>
              <w:top w:val="single" w:color="000000" w:sz="12" w:space="0"/>
              <w:left w:val="single" w:color="000000" w:sz="12" w:space="0"/>
            </w:tcBorders>
            <w:vAlign w:val="top"/>
          </w:tcPr>
          <w:p w14:paraId="25E96208">
            <w:pPr>
              <w:pStyle w:val="17"/>
              <w:spacing w:before="283" w:line="224" w:lineRule="auto"/>
              <w:ind w:left="710"/>
              <w:rPr>
                <w:color w:val="auto"/>
                <w:sz w:val="21"/>
                <w:szCs w:val="21"/>
                <w:highlight w:val="none"/>
              </w:rPr>
            </w:pPr>
            <w:r>
              <w:rPr>
                <w:color w:val="auto"/>
                <w:spacing w:val="-5"/>
                <w:sz w:val="21"/>
                <w:szCs w:val="21"/>
                <w:highlight w:val="none"/>
              </w:rPr>
              <w:t>类型</w:t>
            </w:r>
          </w:p>
        </w:tc>
        <w:tc>
          <w:tcPr>
            <w:tcW w:w="8135" w:type="dxa"/>
            <w:tcBorders>
              <w:top w:val="single" w:color="000000" w:sz="12" w:space="0"/>
              <w:right w:val="single" w:color="000000" w:sz="12" w:space="0"/>
            </w:tcBorders>
            <w:vAlign w:val="top"/>
          </w:tcPr>
          <w:p w14:paraId="40F1B0FF">
            <w:pPr>
              <w:pStyle w:val="17"/>
              <w:spacing w:before="284" w:line="224" w:lineRule="auto"/>
              <w:ind w:left="3676"/>
              <w:rPr>
                <w:color w:val="auto"/>
                <w:sz w:val="21"/>
                <w:szCs w:val="21"/>
                <w:highlight w:val="none"/>
              </w:rPr>
            </w:pPr>
            <w:r>
              <w:rPr>
                <w:color w:val="auto"/>
                <w:spacing w:val="-6"/>
                <w:sz w:val="21"/>
                <w:szCs w:val="21"/>
                <w:highlight w:val="none"/>
              </w:rPr>
              <w:t>审查要求</w:t>
            </w:r>
          </w:p>
        </w:tc>
      </w:tr>
      <w:tr w14:paraId="32073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1844" w:type="dxa"/>
            <w:tcBorders>
              <w:left w:val="single" w:color="000000" w:sz="12" w:space="0"/>
            </w:tcBorders>
            <w:vAlign w:val="center"/>
          </w:tcPr>
          <w:p w14:paraId="4F18D255">
            <w:pPr>
              <w:spacing w:line="325" w:lineRule="auto"/>
              <w:jc w:val="center"/>
              <w:rPr>
                <w:rFonts w:hint="eastAsia" w:ascii="Arial"/>
                <w:color w:val="auto"/>
                <w:sz w:val="21"/>
                <w:highlight w:val="none"/>
                <w:lang w:val="en-US" w:eastAsia="zh-CN"/>
              </w:rPr>
            </w:pPr>
            <w:r>
              <w:rPr>
                <w:rFonts w:hint="eastAsia" w:ascii="Arial"/>
                <w:color w:val="auto"/>
                <w:sz w:val="21"/>
                <w:highlight w:val="none"/>
                <w:lang w:val="en-US" w:eastAsia="zh-CN"/>
              </w:rPr>
              <w:t>采购政策</w:t>
            </w:r>
          </w:p>
        </w:tc>
        <w:tc>
          <w:tcPr>
            <w:tcW w:w="8135" w:type="dxa"/>
            <w:tcBorders>
              <w:right w:val="single" w:color="000000" w:sz="12" w:space="0"/>
            </w:tcBorders>
            <w:vAlign w:val="center"/>
          </w:tcPr>
          <w:p w14:paraId="66D80ACB">
            <w:pPr>
              <w:spacing w:line="325" w:lineRule="auto"/>
              <w:jc w:val="left"/>
              <w:rPr>
                <w:rFonts w:hint="eastAsia" w:ascii="Arial"/>
                <w:color w:val="auto"/>
                <w:sz w:val="21"/>
                <w:highlight w:val="none"/>
                <w:lang w:eastAsia="zh-CN"/>
              </w:rPr>
            </w:pPr>
            <w:r>
              <w:rPr>
                <w:rFonts w:hint="eastAsia" w:eastAsia="宋体"/>
                <w:color w:val="auto"/>
                <w:sz w:val="21"/>
                <w:highlight w:val="none"/>
                <w:lang w:val="en-US" w:eastAsia="zh-CN"/>
              </w:rPr>
              <w:t>1、</w:t>
            </w:r>
            <w:r>
              <w:rPr>
                <w:rFonts w:hint="eastAsia" w:ascii="Arial"/>
                <w:color w:val="auto"/>
                <w:sz w:val="21"/>
                <w:highlight w:val="none"/>
              </w:rPr>
              <w:t>供应商为中小企业</w:t>
            </w:r>
            <w:r>
              <w:rPr>
                <w:rFonts w:hint="eastAsia" w:eastAsia="宋体"/>
                <w:color w:val="auto"/>
                <w:sz w:val="21"/>
                <w:highlight w:val="none"/>
                <w:lang w:eastAsia="zh-CN"/>
              </w:rPr>
              <w:t>的</w:t>
            </w:r>
            <w:r>
              <w:rPr>
                <w:rFonts w:hint="eastAsia" w:ascii="Arial"/>
                <w:color w:val="auto"/>
                <w:sz w:val="21"/>
                <w:highlight w:val="none"/>
                <w:lang w:eastAsia="zh-CN"/>
              </w:rPr>
              <w:t>，请根据要求单独上传《中小企业声明函》。格式以采购文件要求为准。</w:t>
            </w:r>
          </w:p>
        </w:tc>
      </w:tr>
      <w:tr w14:paraId="56AF2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jc w:val="center"/>
        </w:trPr>
        <w:tc>
          <w:tcPr>
            <w:tcW w:w="1844" w:type="dxa"/>
            <w:tcBorders>
              <w:left w:val="single" w:color="000000" w:sz="12" w:space="0"/>
            </w:tcBorders>
            <w:shd w:val="clear" w:color="auto" w:fill="auto"/>
            <w:vAlign w:val="top"/>
          </w:tcPr>
          <w:p w14:paraId="40D50041">
            <w:pPr>
              <w:spacing w:line="325" w:lineRule="auto"/>
              <w:rPr>
                <w:rFonts w:ascii="Arial"/>
                <w:color w:val="auto"/>
                <w:sz w:val="21"/>
                <w:highlight w:val="none"/>
              </w:rPr>
            </w:pPr>
          </w:p>
          <w:p w14:paraId="173BA8C6">
            <w:pPr>
              <w:pStyle w:val="17"/>
              <w:spacing w:before="68" w:line="224" w:lineRule="auto"/>
              <w:ind w:left="504" w:leftChars="0"/>
              <w:rPr>
                <w:rFonts w:ascii="新宋体" w:hAnsi="新宋体" w:eastAsia="新宋体" w:cs="新宋体"/>
                <w:snapToGrid w:val="0"/>
                <w:color w:val="auto"/>
                <w:kern w:val="0"/>
                <w:sz w:val="21"/>
                <w:szCs w:val="21"/>
                <w:highlight w:val="none"/>
                <w:lang w:val="en-US" w:eastAsia="en-US" w:bidi="ar-SA"/>
              </w:rPr>
            </w:pPr>
            <w:r>
              <w:rPr>
                <w:color w:val="auto"/>
                <w:spacing w:val="-4"/>
                <w:sz w:val="21"/>
                <w:szCs w:val="21"/>
                <w:highlight w:val="none"/>
              </w:rPr>
              <w:t>营业执照</w:t>
            </w:r>
          </w:p>
        </w:tc>
        <w:tc>
          <w:tcPr>
            <w:tcW w:w="8135" w:type="dxa"/>
            <w:tcBorders>
              <w:right w:val="single" w:color="000000" w:sz="12" w:space="0"/>
            </w:tcBorders>
            <w:shd w:val="clear" w:color="auto" w:fill="auto"/>
            <w:vAlign w:val="top"/>
          </w:tcPr>
          <w:p w14:paraId="7FD7745D">
            <w:pPr>
              <w:pStyle w:val="17"/>
              <w:spacing w:before="77" w:line="254" w:lineRule="auto"/>
              <w:ind w:left="111" w:leftChars="0" w:right="92" w:rightChars="0" w:firstLine="5" w:firstLineChars="0"/>
              <w:jc w:val="both"/>
              <w:rPr>
                <w:rFonts w:ascii="新宋体" w:hAnsi="新宋体" w:eastAsia="新宋体" w:cs="新宋体"/>
                <w:snapToGrid w:val="0"/>
                <w:color w:val="auto"/>
                <w:kern w:val="0"/>
                <w:sz w:val="21"/>
                <w:szCs w:val="21"/>
                <w:highlight w:val="none"/>
                <w:lang w:val="en-US" w:eastAsia="en-US" w:bidi="ar-SA"/>
              </w:rPr>
            </w:pPr>
            <w:r>
              <w:rPr>
                <w:rFonts w:hint="eastAsia"/>
                <w:color w:val="auto"/>
                <w:spacing w:val="-1"/>
                <w:sz w:val="21"/>
                <w:szCs w:val="21"/>
                <w:highlight w:val="none"/>
                <w:lang w:val="en-US" w:eastAsia="zh-CN"/>
              </w:rPr>
              <w:t>2、</w:t>
            </w:r>
            <w:r>
              <w:rPr>
                <w:color w:val="auto"/>
                <w:spacing w:val="-1"/>
                <w:sz w:val="21"/>
                <w:szCs w:val="21"/>
                <w:highlight w:val="none"/>
              </w:rPr>
              <w:t>符合《中华人民共和国政府采购法》第二十二条的相关规定；投标人应在中华人民</w:t>
            </w:r>
            <w:r>
              <w:rPr>
                <w:color w:val="auto"/>
                <w:spacing w:val="14"/>
                <w:sz w:val="21"/>
                <w:szCs w:val="21"/>
                <w:highlight w:val="none"/>
              </w:rPr>
              <w:t xml:space="preserve"> </w:t>
            </w:r>
            <w:r>
              <w:rPr>
                <w:color w:val="auto"/>
                <w:spacing w:val="-1"/>
                <w:sz w:val="21"/>
                <w:szCs w:val="21"/>
                <w:highlight w:val="none"/>
              </w:rPr>
              <w:t>共和国注册，具有有效的营业执照，并在人员、</w:t>
            </w:r>
            <w:r>
              <w:rPr>
                <w:color w:val="auto"/>
                <w:spacing w:val="-2"/>
                <w:sz w:val="21"/>
                <w:szCs w:val="21"/>
                <w:highlight w:val="none"/>
              </w:rPr>
              <w:t>技术、货物等方面具有承担本项目的能</w:t>
            </w:r>
            <w:r>
              <w:rPr>
                <w:color w:val="auto"/>
                <w:spacing w:val="-16"/>
                <w:sz w:val="21"/>
                <w:szCs w:val="21"/>
                <w:highlight w:val="none"/>
              </w:rPr>
              <w:t>力；</w:t>
            </w:r>
          </w:p>
        </w:tc>
      </w:tr>
      <w:tr w14:paraId="41103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1844" w:type="dxa"/>
            <w:tcBorders>
              <w:left w:val="single" w:color="000000" w:sz="12" w:space="0"/>
            </w:tcBorders>
            <w:vAlign w:val="top"/>
          </w:tcPr>
          <w:p w14:paraId="4DE5F951">
            <w:pPr>
              <w:pStyle w:val="17"/>
              <w:spacing w:before="290" w:line="222" w:lineRule="auto"/>
              <w:ind w:left="500"/>
              <w:rPr>
                <w:color w:val="auto"/>
                <w:sz w:val="21"/>
                <w:szCs w:val="21"/>
                <w:highlight w:val="none"/>
              </w:rPr>
            </w:pPr>
            <w:r>
              <w:rPr>
                <w:color w:val="auto"/>
                <w:spacing w:val="-4"/>
                <w:sz w:val="21"/>
                <w:szCs w:val="21"/>
                <w:highlight w:val="none"/>
              </w:rPr>
              <w:t>财务报告</w:t>
            </w:r>
          </w:p>
        </w:tc>
        <w:tc>
          <w:tcPr>
            <w:tcW w:w="8135" w:type="dxa"/>
            <w:tcBorders>
              <w:right w:val="single" w:color="000000" w:sz="12" w:space="0"/>
            </w:tcBorders>
            <w:vAlign w:val="top"/>
          </w:tcPr>
          <w:p w14:paraId="3917348B">
            <w:pPr>
              <w:pStyle w:val="17"/>
              <w:spacing w:before="130" w:line="260" w:lineRule="auto"/>
              <w:ind w:left="111" w:right="92" w:hanging="8"/>
              <w:rPr>
                <w:color w:val="auto"/>
                <w:sz w:val="21"/>
                <w:szCs w:val="21"/>
                <w:highlight w:val="none"/>
              </w:rPr>
            </w:pPr>
            <w:r>
              <w:rPr>
                <w:rFonts w:hint="eastAsia"/>
                <w:color w:val="auto"/>
                <w:spacing w:val="-4"/>
                <w:sz w:val="21"/>
                <w:szCs w:val="21"/>
                <w:highlight w:val="none"/>
                <w:lang w:val="en-US" w:eastAsia="zh-CN"/>
              </w:rPr>
              <w:t>3</w:t>
            </w:r>
            <w:r>
              <w:rPr>
                <w:color w:val="auto"/>
                <w:spacing w:val="-4"/>
                <w:sz w:val="21"/>
                <w:szCs w:val="21"/>
                <w:highlight w:val="none"/>
              </w:rPr>
              <w:t>、</w:t>
            </w:r>
            <w:r>
              <w:rPr>
                <w:rFonts w:hint="eastAsia"/>
                <w:color w:val="auto"/>
                <w:spacing w:val="-4"/>
                <w:sz w:val="21"/>
                <w:szCs w:val="21"/>
                <w:highlight w:val="none"/>
              </w:rPr>
              <w:t>提供近两年（2023年或2024年）任意一年第三方财务审计报告或银行出具的资信证明等，成立不满一年的投标企业须提供成立至今的财务报表；</w:t>
            </w:r>
          </w:p>
        </w:tc>
      </w:tr>
      <w:tr w14:paraId="4FD62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1844" w:type="dxa"/>
            <w:vMerge w:val="restart"/>
            <w:tcBorders>
              <w:left w:val="single" w:color="000000" w:sz="12" w:space="0"/>
            </w:tcBorders>
            <w:vAlign w:val="top"/>
          </w:tcPr>
          <w:p w14:paraId="49DD8779">
            <w:pPr>
              <w:spacing w:line="303" w:lineRule="auto"/>
              <w:rPr>
                <w:rFonts w:ascii="Arial"/>
                <w:color w:val="auto"/>
                <w:sz w:val="21"/>
                <w:highlight w:val="none"/>
              </w:rPr>
            </w:pPr>
          </w:p>
          <w:p w14:paraId="58EAEA91">
            <w:pPr>
              <w:spacing w:line="303" w:lineRule="auto"/>
              <w:rPr>
                <w:rFonts w:ascii="Arial"/>
                <w:color w:val="auto"/>
                <w:sz w:val="21"/>
                <w:highlight w:val="none"/>
              </w:rPr>
            </w:pPr>
          </w:p>
          <w:p w14:paraId="6DE666B5">
            <w:pPr>
              <w:spacing w:line="304" w:lineRule="auto"/>
              <w:rPr>
                <w:rFonts w:ascii="Arial"/>
                <w:color w:val="auto"/>
                <w:sz w:val="21"/>
                <w:highlight w:val="none"/>
              </w:rPr>
            </w:pPr>
          </w:p>
          <w:p w14:paraId="3E03849E">
            <w:pPr>
              <w:pStyle w:val="17"/>
              <w:spacing w:before="69" w:line="223" w:lineRule="auto"/>
              <w:ind w:left="498"/>
              <w:rPr>
                <w:color w:val="auto"/>
                <w:sz w:val="21"/>
                <w:szCs w:val="21"/>
                <w:highlight w:val="none"/>
              </w:rPr>
            </w:pPr>
            <w:r>
              <w:rPr>
                <w:color w:val="auto"/>
                <w:spacing w:val="-3"/>
                <w:sz w:val="21"/>
                <w:szCs w:val="21"/>
                <w:highlight w:val="none"/>
              </w:rPr>
              <w:t>基本资质</w:t>
            </w:r>
          </w:p>
        </w:tc>
        <w:tc>
          <w:tcPr>
            <w:tcW w:w="8135" w:type="dxa"/>
            <w:tcBorders>
              <w:right w:val="single" w:color="000000" w:sz="12" w:space="0"/>
            </w:tcBorders>
            <w:vAlign w:val="top"/>
          </w:tcPr>
          <w:p w14:paraId="1125B516">
            <w:pPr>
              <w:pStyle w:val="17"/>
              <w:spacing w:before="177" w:line="223" w:lineRule="auto"/>
              <w:ind w:left="105"/>
              <w:rPr>
                <w:color w:val="auto"/>
                <w:sz w:val="21"/>
                <w:szCs w:val="21"/>
                <w:highlight w:val="none"/>
              </w:rPr>
            </w:pPr>
            <w:r>
              <w:rPr>
                <w:rFonts w:hint="eastAsia"/>
                <w:color w:val="auto"/>
                <w:spacing w:val="-2"/>
                <w:sz w:val="21"/>
                <w:szCs w:val="21"/>
                <w:highlight w:val="none"/>
                <w:lang w:val="en-US" w:eastAsia="zh-CN"/>
              </w:rPr>
              <w:t>4</w:t>
            </w:r>
            <w:r>
              <w:rPr>
                <w:color w:val="auto"/>
                <w:spacing w:val="-2"/>
                <w:sz w:val="21"/>
                <w:szCs w:val="21"/>
                <w:highlight w:val="none"/>
              </w:rPr>
              <w:t>、法定代表人身份证明及其有效身份证复印件或授权委托书及其有效身份证复印件；</w:t>
            </w:r>
          </w:p>
        </w:tc>
      </w:tr>
      <w:tr w14:paraId="012E5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844" w:type="dxa"/>
            <w:vMerge w:val="continue"/>
            <w:tcBorders>
              <w:left w:val="single" w:color="000000" w:sz="12" w:space="0"/>
            </w:tcBorders>
            <w:vAlign w:val="top"/>
          </w:tcPr>
          <w:p w14:paraId="476A5300">
            <w:pPr>
              <w:rPr>
                <w:rFonts w:ascii="Arial"/>
                <w:color w:val="auto"/>
                <w:sz w:val="21"/>
                <w:highlight w:val="none"/>
              </w:rPr>
            </w:pPr>
          </w:p>
        </w:tc>
        <w:tc>
          <w:tcPr>
            <w:tcW w:w="8135" w:type="dxa"/>
            <w:tcBorders>
              <w:right w:val="single" w:color="000000" w:sz="12" w:space="0"/>
            </w:tcBorders>
            <w:vAlign w:val="top"/>
          </w:tcPr>
          <w:p w14:paraId="328470BA">
            <w:pPr>
              <w:pStyle w:val="17"/>
              <w:spacing w:before="181" w:line="223" w:lineRule="auto"/>
              <w:ind w:left="100"/>
              <w:rPr>
                <w:color w:val="auto"/>
                <w:sz w:val="21"/>
                <w:szCs w:val="21"/>
                <w:highlight w:val="none"/>
              </w:rPr>
            </w:pPr>
            <w:r>
              <w:rPr>
                <w:rFonts w:hint="eastAsia"/>
                <w:color w:val="auto"/>
                <w:spacing w:val="-4"/>
                <w:sz w:val="21"/>
                <w:szCs w:val="21"/>
                <w:highlight w:val="none"/>
                <w:lang w:val="en-US" w:eastAsia="zh-CN"/>
              </w:rPr>
              <w:t>5</w:t>
            </w:r>
            <w:r>
              <w:rPr>
                <w:color w:val="auto"/>
                <w:spacing w:val="-4"/>
                <w:sz w:val="21"/>
                <w:szCs w:val="21"/>
                <w:highlight w:val="none"/>
              </w:rPr>
              <w:t>、</w:t>
            </w:r>
            <w:r>
              <w:rPr>
                <w:rFonts w:hint="eastAsia"/>
                <w:color w:val="auto"/>
                <w:spacing w:val="-4"/>
                <w:sz w:val="21"/>
                <w:szCs w:val="21"/>
                <w:highlight w:val="none"/>
              </w:rPr>
              <w:t>提供近一年任意三个月缴税记录及社保缴纳证明；（新成立公司提供成立之日起至今的缴税记录及社保缴纳证明；若供应商的纳税记录为零申报的，提供申报记录）</w:t>
            </w:r>
          </w:p>
        </w:tc>
      </w:tr>
      <w:tr w14:paraId="6FE61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844" w:type="dxa"/>
            <w:vMerge w:val="continue"/>
            <w:tcBorders>
              <w:left w:val="single" w:color="000000" w:sz="12" w:space="0"/>
            </w:tcBorders>
            <w:vAlign w:val="top"/>
          </w:tcPr>
          <w:p w14:paraId="783F7BB6">
            <w:pPr>
              <w:rPr>
                <w:rFonts w:ascii="Arial"/>
                <w:color w:val="auto"/>
                <w:sz w:val="21"/>
                <w:highlight w:val="none"/>
              </w:rPr>
            </w:pPr>
          </w:p>
        </w:tc>
        <w:tc>
          <w:tcPr>
            <w:tcW w:w="8135" w:type="dxa"/>
            <w:tcBorders>
              <w:right w:val="single" w:color="000000" w:sz="12" w:space="0"/>
            </w:tcBorders>
            <w:vAlign w:val="top"/>
          </w:tcPr>
          <w:p w14:paraId="1A5ACBCC">
            <w:pPr>
              <w:pStyle w:val="17"/>
              <w:spacing w:before="93" w:line="234" w:lineRule="auto"/>
              <w:ind w:left="107" w:right="109" w:hanging="2"/>
              <w:rPr>
                <w:color w:val="auto"/>
                <w:sz w:val="21"/>
                <w:szCs w:val="21"/>
                <w:highlight w:val="none"/>
              </w:rPr>
            </w:pPr>
            <w:r>
              <w:rPr>
                <w:rFonts w:hint="eastAsia"/>
                <w:color w:val="auto"/>
                <w:spacing w:val="-2"/>
                <w:sz w:val="21"/>
                <w:szCs w:val="21"/>
                <w:highlight w:val="none"/>
                <w:lang w:val="en-US" w:eastAsia="zh-CN"/>
              </w:rPr>
              <w:t>6</w:t>
            </w:r>
            <w:r>
              <w:rPr>
                <w:color w:val="auto"/>
                <w:spacing w:val="-2"/>
                <w:sz w:val="21"/>
                <w:szCs w:val="21"/>
                <w:highlight w:val="none"/>
              </w:rPr>
              <w:t>、提供法人或授权委托人在本单位近</w:t>
            </w:r>
            <w:r>
              <w:rPr>
                <w:rFonts w:hint="eastAsia"/>
                <w:color w:val="auto"/>
                <w:spacing w:val="-2"/>
                <w:sz w:val="21"/>
                <w:szCs w:val="21"/>
                <w:highlight w:val="none"/>
                <w:lang w:eastAsia="zh-CN"/>
              </w:rPr>
              <w:t>三个月</w:t>
            </w:r>
            <w:r>
              <w:rPr>
                <w:color w:val="auto"/>
                <w:spacing w:val="-2"/>
                <w:sz w:val="21"/>
                <w:szCs w:val="21"/>
                <w:highlight w:val="none"/>
              </w:rPr>
              <w:t>（</w:t>
            </w:r>
            <w:r>
              <w:rPr>
                <w:color w:val="auto"/>
                <w:spacing w:val="-4"/>
                <w:sz w:val="21"/>
                <w:szCs w:val="21"/>
                <w:highlight w:val="none"/>
              </w:rPr>
              <w:t>202</w:t>
            </w:r>
            <w:r>
              <w:rPr>
                <w:rFonts w:hint="eastAsia"/>
                <w:color w:val="auto"/>
                <w:spacing w:val="-4"/>
                <w:sz w:val="21"/>
                <w:szCs w:val="21"/>
                <w:highlight w:val="none"/>
                <w:lang w:val="en-US" w:eastAsia="zh-CN"/>
              </w:rPr>
              <w:t>5</w:t>
            </w:r>
            <w:r>
              <w:rPr>
                <w:color w:val="auto"/>
                <w:spacing w:val="-18"/>
                <w:sz w:val="21"/>
                <w:szCs w:val="21"/>
                <w:highlight w:val="none"/>
              </w:rPr>
              <w:t xml:space="preserve"> </w:t>
            </w:r>
            <w:r>
              <w:rPr>
                <w:color w:val="auto"/>
                <w:spacing w:val="-4"/>
                <w:sz w:val="21"/>
                <w:szCs w:val="21"/>
                <w:highlight w:val="none"/>
              </w:rPr>
              <w:t>年</w:t>
            </w:r>
            <w:r>
              <w:rPr>
                <w:color w:val="auto"/>
                <w:spacing w:val="-43"/>
                <w:sz w:val="21"/>
                <w:szCs w:val="21"/>
                <w:highlight w:val="none"/>
              </w:rPr>
              <w:t xml:space="preserve"> </w:t>
            </w:r>
            <w:r>
              <w:rPr>
                <w:rFonts w:hint="eastAsia"/>
                <w:color w:val="auto"/>
                <w:spacing w:val="-4"/>
                <w:sz w:val="21"/>
                <w:szCs w:val="21"/>
                <w:highlight w:val="none"/>
                <w:lang w:val="en-US" w:eastAsia="zh-CN"/>
              </w:rPr>
              <w:t>1</w:t>
            </w:r>
            <w:r>
              <w:rPr>
                <w:color w:val="auto"/>
                <w:spacing w:val="-29"/>
                <w:sz w:val="21"/>
                <w:szCs w:val="21"/>
                <w:highlight w:val="none"/>
              </w:rPr>
              <w:t xml:space="preserve"> </w:t>
            </w:r>
            <w:r>
              <w:rPr>
                <w:color w:val="auto"/>
                <w:spacing w:val="-4"/>
                <w:sz w:val="21"/>
                <w:szCs w:val="21"/>
                <w:highlight w:val="none"/>
              </w:rPr>
              <w:t>月</w:t>
            </w:r>
            <w:r>
              <w:rPr>
                <w:color w:val="auto"/>
                <w:spacing w:val="-2"/>
                <w:sz w:val="21"/>
                <w:szCs w:val="21"/>
                <w:highlight w:val="none"/>
              </w:rPr>
              <w:t>至投标截止日</w:t>
            </w:r>
            <w:r>
              <w:rPr>
                <w:rFonts w:hint="eastAsia"/>
                <w:color w:val="auto"/>
                <w:spacing w:val="-2"/>
                <w:sz w:val="21"/>
                <w:szCs w:val="21"/>
                <w:highlight w:val="none"/>
                <w:lang w:val="en-US" w:eastAsia="zh-CN"/>
              </w:rPr>
              <w:t>任意三个月</w:t>
            </w:r>
            <w:r>
              <w:rPr>
                <w:color w:val="auto"/>
                <w:spacing w:val="-2"/>
                <w:sz w:val="21"/>
                <w:szCs w:val="21"/>
                <w:highlight w:val="none"/>
              </w:rPr>
              <w:t>）缴纳社保证明</w:t>
            </w:r>
            <w:r>
              <w:rPr>
                <w:color w:val="auto"/>
                <w:spacing w:val="-14"/>
                <w:sz w:val="21"/>
                <w:szCs w:val="21"/>
                <w:highlight w:val="none"/>
              </w:rPr>
              <w:t>文件；</w:t>
            </w:r>
          </w:p>
        </w:tc>
      </w:tr>
      <w:tr w14:paraId="61BCF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844" w:type="dxa"/>
            <w:vMerge w:val="continue"/>
            <w:tcBorders>
              <w:left w:val="single" w:color="000000" w:sz="12" w:space="0"/>
              <w:bottom w:val="single" w:color="000000" w:sz="12" w:space="0"/>
            </w:tcBorders>
            <w:vAlign w:val="top"/>
          </w:tcPr>
          <w:p w14:paraId="201A61FE">
            <w:pPr>
              <w:rPr>
                <w:rFonts w:ascii="Arial"/>
                <w:color w:val="auto"/>
                <w:sz w:val="21"/>
                <w:highlight w:val="none"/>
              </w:rPr>
            </w:pPr>
          </w:p>
        </w:tc>
        <w:tc>
          <w:tcPr>
            <w:tcW w:w="8135" w:type="dxa"/>
            <w:tcBorders>
              <w:bottom w:val="single" w:color="000000" w:sz="12" w:space="0"/>
              <w:right w:val="single" w:color="000000" w:sz="12" w:space="0"/>
            </w:tcBorders>
            <w:vAlign w:val="top"/>
          </w:tcPr>
          <w:p w14:paraId="32BD1409">
            <w:pPr>
              <w:pStyle w:val="17"/>
              <w:spacing w:before="158" w:line="224" w:lineRule="auto"/>
              <w:ind w:left="103"/>
              <w:rPr>
                <w:color w:val="auto"/>
                <w:sz w:val="21"/>
                <w:szCs w:val="21"/>
                <w:highlight w:val="none"/>
              </w:rPr>
            </w:pPr>
            <w:r>
              <w:rPr>
                <w:rFonts w:hint="eastAsia"/>
                <w:color w:val="auto"/>
                <w:spacing w:val="-3"/>
                <w:sz w:val="21"/>
                <w:szCs w:val="21"/>
                <w:highlight w:val="none"/>
                <w:lang w:val="en-US" w:eastAsia="zh-CN"/>
              </w:rPr>
              <w:t>7</w:t>
            </w:r>
            <w:r>
              <w:rPr>
                <w:color w:val="auto"/>
                <w:spacing w:val="-3"/>
                <w:sz w:val="21"/>
                <w:szCs w:val="21"/>
                <w:highlight w:val="none"/>
              </w:rPr>
              <w:t>、投标保证金凭证或保函。</w:t>
            </w:r>
          </w:p>
        </w:tc>
      </w:tr>
    </w:tbl>
    <w:p w14:paraId="1AFD3D30">
      <w:pPr>
        <w:spacing w:line="423" w:lineRule="auto"/>
        <w:rPr>
          <w:rFonts w:ascii="Arial"/>
          <w:color w:val="auto"/>
          <w:sz w:val="21"/>
          <w:highlight w:val="none"/>
        </w:rPr>
      </w:pPr>
    </w:p>
    <w:p w14:paraId="0ED53864">
      <w:pPr>
        <w:spacing w:before="78" w:line="224" w:lineRule="auto"/>
        <w:ind w:left="614"/>
        <w:rPr>
          <w:rFonts w:ascii="Arial"/>
          <w:color w:val="auto"/>
          <w:sz w:val="21"/>
          <w:highlight w:val="none"/>
        </w:rPr>
      </w:pPr>
      <w:r>
        <w:rPr>
          <w:rFonts w:ascii="新宋体" w:hAnsi="新宋体" w:eastAsia="新宋体" w:cs="新宋体"/>
          <w:color w:val="auto"/>
          <w:spacing w:val="-1"/>
          <w:sz w:val="24"/>
          <w:szCs w:val="24"/>
          <w:highlight w:val="none"/>
        </w:rPr>
        <w:t>2.2.符合性审查</w:t>
      </w:r>
    </w:p>
    <w:p w14:paraId="3109AE19">
      <w:pPr>
        <w:pStyle w:val="4"/>
        <w:spacing w:before="103" w:line="188" w:lineRule="auto"/>
        <w:ind w:left="4723"/>
        <w:rPr>
          <w:color w:val="auto"/>
          <w:sz w:val="24"/>
          <w:szCs w:val="24"/>
          <w:highlight w:val="none"/>
        </w:rPr>
      </w:pPr>
      <w:r>
        <w:rPr>
          <w:b/>
          <w:bCs/>
          <w:color w:val="auto"/>
          <w:spacing w:val="-4"/>
          <w:sz w:val="24"/>
          <w:szCs w:val="24"/>
          <w:highlight w:val="none"/>
        </w:rPr>
        <w:t>评审细则</w:t>
      </w:r>
    </w:p>
    <w:p w14:paraId="61A91766">
      <w:pPr>
        <w:spacing w:line="106" w:lineRule="exact"/>
        <w:rPr>
          <w:color w:val="auto"/>
          <w:highlight w:val="none"/>
        </w:rPr>
      </w:pPr>
    </w:p>
    <w:tbl>
      <w:tblPr>
        <w:tblStyle w:val="16"/>
        <w:tblW w:w="98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1"/>
        <w:gridCol w:w="8399"/>
      </w:tblGrid>
      <w:tr w14:paraId="32F3C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431" w:type="dxa"/>
            <w:tcBorders>
              <w:top w:val="single" w:color="000000" w:sz="12" w:space="0"/>
              <w:left w:val="single" w:color="000000" w:sz="12" w:space="0"/>
            </w:tcBorders>
            <w:vAlign w:val="top"/>
          </w:tcPr>
          <w:p w14:paraId="47327ED4">
            <w:pPr>
              <w:pStyle w:val="17"/>
              <w:spacing w:before="198" w:line="224" w:lineRule="auto"/>
              <w:ind w:left="501"/>
              <w:rPr>
                <w:color w:val="auto"/>
                <w:sz w:val="21"/>
                <w:szCs w:val="21"/>
                <w:highlight w:val="none"/>
              </w:rPr>
            </w:pPr>
            <w:r>
              <w:rPr>
                <w:color w:val="auto"/>
                <w:spacing w:val="-5"/>
                <w:sz w:val="21"/>
                <w:szCs w:val="21"/>
                <w:highlight w:val="none"/>
              </w:rPr>
              <w:t>类型</w:t>
            </w:r>
          </w:p>
        </w:tc>
        <w:tc>
          <w:tcPr>
            <w:tcW w:w="8399" w:type="dxa"/>
            <w:tcBorders>
              <w:top w:val="single" w:color="000000" w:sz="12" w:space="0"/>
              <w:right w:val="single" w:color="000000" w:sz="12" w:space="0"/>
            </w:tcBorders>
            <w:vAlign w:val="top"/>
          </w:tcPr>
          <w:p w14:paraId="4C1C40D9">
            <w:pPr>
              <w:pStyle w:val="17"/>
              <w:spacing w:before="199" w:line="224" w:lineRule="auto"/>
              <w:ind w:left="3800"/>
              <w:rPr>
                <w:color w:val="auto"/>
                <w:sz w:val="21"/>
                <w:szCs w:val="21"/>
                <w:highlight w:val="none"/>
              </w:rPr>
            </w:pPr>
            <w:r>
              <w:rPr>
                <w:color w:val="auto"/>
                <w:spacing w:val="-6"/>
                <w:sz w:val="21"/>
                <w:szCs w:val="21"/>
                <w:highlight w:val="none"/>
              </w:rPr>
              <w:t>审查要求</w:t>
            </w:r>
          </w:p>
        </w:tc>
      </w:tr>
      <w:tr w14:paraId="79CE4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1431" w:type="dxa"/>
            <w:vMerge w:val="restart"/>
            <w:tcBorders>
              <w:left w:val="single" w:color="000000" w:sz="12" w:space="0"/>
              <w:bottom w:val="nil"/>
            </w:tcBorders>
            <w:vAlign w:val="top"/>
          </w:tcPr>
          <w:p w14:paraId="3AB037BA">
            <w:pPr>
              <w:spacing w:line="262" w:lineRule="auto"/>
              <w:rPr>
                <w:rFonts w:ascii="Arial"/>
                <w:color w:val="auto"/>
                <w:sz w:val="21"/>
                <w:highlight w:val="none"/>
              </w:rPr>
            </w:pPr>
          </w:p>
          <w:p w14:paraId="378B080B">
            <w:pPr>
              <w:spacing w:line="262" w:lineRule="auto"/>
              <w:rPr>
                <w:rFonts w:ascii="Arial"/>
                <w:color w:val="auto"/>
                <w:sz w:val="21"/>
                <w:highlight w:val="none"/>
              </w:rPr>
            </w:pPr>
          </w:p>
          <w:p w14:paraId="16934443">
            <w:pPr>
              <w:spacing w:line="262" w:lineRule="auto"/>
              <w:rPr>
                <w:rFonts w:ascii="Arial"/>
                <w:color w:val="auto"/>
                <w:sz w:val="21"/>
                <w:highlight w:val="none"/>
              </w:rPr>
            </w:pPr>
          </w:p>
          <w:p w14:paraId="525C9029">
            <w:pPr>
              <w:spacing w:line="263" w:lineRule="auto"/>
              <w:rPr>
                <w:rFonts w:ascii="Arial"/>
                <w:color w:val="auto"/>
                <w:sz w:val="21"/>
                <w:highlight w:val="none"/>
              </w:rPr>
            </w:pPr>
          </w:p>
          <w:p w14:paraId="49E9838C">
            <w:pPr>
              <w:spacing w:line="263" w:lineRule="auto"/>
              <w:rPr>
                <w:rFonts w:ascii="Arial"/>
                <w:color w:val="auto"/>
                <w:sz w:val="21"/>
                <w:highlight w:val="none"/>
              </w:rPr>
            </w:pPr>
          </w:p>
          <w:p w14:paraId="0BFB0135">
            <w:pPr>
              <w:pStyle w:val="17"/>
              <w:spacing w:before="68" w:line="224" w:lineRule="auto"/>
              <w:ind w:left="506"/>
              <w:rPr>
                <w:color w:val="auto"/>
                <w:sz w:val="21"/>
                <w:szCs w:val="21"/>
                <w:highlight w:val="none"/>
              </w:rPr>
            </w:pPr>
            <w:r>
              <w:rPr>
                <w:color w:val="auto"/>
                <w:spacing w:val="-6"/>
                <w:sz w:val="21"/>
                <w:szCs w:val="21"/>
                <w:highlight w:val="none"/>
              </w:rPr>
              <w:t>商务</w:t>
            </w:r>
          </w:p>
        </w:tc>
        <w:tc>
          <w:tcPr>
            <w:tcW w:w="8399" w:type="dxa"/>
            <w:tcBorders>
              <w:right w:val="single" w:color="000000" w:sz="12" w:space="0"/>
            </w:tcBorders>
            <w:vAlign w:val="top"/>
          </w:tcPr>
          <w:p w14:paraId="103FEF56">
            <w:pPr>
              <w:pStyle w:val="17"/>
              <w:spacing w:before="75" w:line="242" w:lineRule="auto"/>
              <w:ind w:left="111" w:right="24" w:firstLine="3"/>
              <w:rPr>
                <w:color w:val="auto"/>
                <w:sz w:val="21"/>
                <w:szCs w:val="21"/>
                <w:highlight w:val="none"/>
              </w:rPr>
            </w:pPr>
            <w:r>
              <w:rPr>
                <w:color w:val="auto"/>
                <w:spacing w:val="-1"/>
                <w:sz w:val="21"/>
                <w:szCs w:val="21"/>
                <w:highlight w:val="none"/>
              </w:rPr>
              <w:t>1、投标文件按照招标文件规定的内容、格式填写</w:t>
            </w:r>
            <w:r>
              <w:rPr>
                <w:color w:val="auto"/>
                <w:spacing w:val="-2"/>
                <w:sz w:val="21"/>
                <w:szCs w:val="21"/>
                <w:highlight w:val="none"/>
              </w:rPr>
              <w:t>，字迹清晰可辨、按招标文件要求签署、</w:t>
            </w:r>
            <w:r>
              <w:rPr>
                <w:color w:val="auto"/>
                <w:sz w:val="21"/>
                <w:szCs w:val="21"/>
                <w:highlight w:val="none"/>
              </w:rPr>
              <w:t xml:space="preserve"> </w:t>
            </w:r>
            <w:r>
              <w:rPr>
                <w:color w:val="auto"/>
                <w:spacing w:val="-13"/>
                <w:sz w:val="21"/>
                <w:szCs w:val="21"/>
                <w:highlight w:val="none"/>
              </w:rPr>
              <w:t>盖章的；</w:t>
            </w:r>
          </w:p>
        </w:tc>
      </w:tr>
      <w:tr w14:paraId="11B83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431" w:type="dxa"/>
            <w:vMerge w:val="continue"/>
            <w:tcBorders>
              <w:top w:val="nil"/>
              <w:left w:val="single" w:color="000000" w:sz="12" w:space="0"/>
              <w:bottom w:val="nil"/>
            </w:tcBorders>
            <w:vAlign w:val="top"/>
          </w:tcPr>
          <w:p w14:paraId="795F4142">
            <w:pPr>
              <w:rPr>
                <w:rFonts w:ascii="Arial"/>
                <w:color w:val="auto"/>
                <w:sz w:val="21"/>
                <w:highlight w:val="none"/>
              </w:rPr>
            </w:pPr>
          </w:p>
        </w:tc>
        <w:tc>
          <w:tcPr>
            <w:tcW w:w="8399" w:type="dxa"/>
            <w:tcBorders>
              <w:right w:val="single" w:color="000000" w:sz="12" w:space="0"/>
            </w:tcBorders>
            <w:vAlign w:val="top"/>
          </w:tcPr>
          <w:p w14:paraId="5B9102E5">
            <w:pPr>
              <w:pStyle w:val="17"/>
              <w:spacing w:before="201" w:line="224" w:lineRule="auto"/>
              <w:ind w:left="102"/>
              <w:rPr>
                <w:color w:val="auto"/>
                <w:sz w:val="21"/>
                <w:szCs w:val="21"/>
                <w:highlight w:val="none"/>
              </w:rPr>
            </w:pPr>
            <w:r>
              <w:rPr>
                <w:color w:val="auto"/>
                <w:spacing w:val="-4"/>
                <w:sz w:val="21"/>
                <w:szCs w:val="21"/>
                <w:highlight w:val="none"/>
              </w:rPr>
              <w:t>2、投标文件按照招标文件要求编写；</w:t>
            </w:r>
          </w:p>
        </w:tc>
      </w:tr>
      <w:tr w14:paraId="14A74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1431" w:type="dxa"/>
            <w:vMerge w:val="continue"/>
            <w:tcBorders>
              <w:top w:val="nil"/>
              <w:left w:val="single" w:color="000000" w:sz="12" w:space="0"/>
              <w:bottom w:val="nil"/>
            </w:tcBorders>
            <w:vAlign w:val="top"/>
          </w:tcPr>
          <w:p w14:paraId="5ABEE555">
            <w:pPr>
              <w:rPr>
                <w:rFonts w:ascii="Arial"/>
                <w:color w:val="auto"/>
                <w:sz w:val="21"/>
                <w:highlight w:val="none"/>
              </w:rPr>
            </w:pPr>
          </w:p>
        </w:tc>
        <w:tc>
          <w:tcPr>
            <w:tcW w:w="8399" w:type="dxa"/>
            <w:tcBorders>
              <w:right w:val="single" w:color="000000" w:sz="12" w:space="0"/>
            </w:tcBorders>
            <w:vAlign w:val="top"/>
          </w:tcPr>
          <w:p w14:paraId="35E6C1FE">
            <w:pPr>
              <w:pStyle w:val="17"/>
              <w:spacing w:before="204" w:line="224" w:lineRule="auto"/>
              <w:ind w:left="104"/>
              <w:rPr>
                <w:color w:val="auto"/>
                <w:sz w:val="21"/>
                <w:szCs w:val="21"/>
                <w:highlight w:val="none"/>
              </w:rPr>
            </w:pPr>
            <w:r>
              <w:rPr>
                <w:color w:val="auto"/>
                <w:spacing w:val="-3"/>
                <w:sz w:val="21"/>
                <w:szCs w:val="21"/>
                <w:highlight w:val="none"/>
              </w:rPr>
              <w:t>3、投标文件承诺投标有效期满足招标文件要求；</w:t>
            </w:r>
          </w:p>
        </w:tc>
      </w:tr>
      <w:tr w14:paraId="65A57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431" w:type="dxa"/>
            <w:vMerge w:val="continue"/>
            <w:tcBorders>
              <w:top w:val="nil"/>
              <w:left w:val="single" w:color="000000" w:sz="12" w:space="0"/>
              <w:bottom w:val="nil"/>
            </w:tcBorders>
            <w:vAlign w:val="top"/>
          </w:tcPr>
          <w:p w14:paraId="02083B07">
            <w:pPr>
              <w:rPr>
                <w:rFonts w:ascii="Arial"/>
                <w:color w:val="auto"/>
                <w:sz w:val="21"/>
                <w:highlight w:val="none"/>
              </w:rPr>
            </w:pPr>
          </w:p>
        </w:tc>
        <w:tc>
          <w:tcPr>
            <w:tcW w:w="8399" w:type="dxa"/>
            <w:tcBorders>
              <w:right w:val="single" w:color="000000" w:sz="12" w:space="0"/>
            </w:tcBorders>
            <w:vAlign w:val="top"/>
          </w:tcPr>
          <w:p w14:paraId="0F28E8FE">
            <w:pPr>
              <w:pStyle w:val="17"/>
              <w:spacing w:before="208" w:line="224" w:lineRule="auto"/>
              <w:ind w:left="99"/>
              <w:rPr>
                <w:color w:val="auto"/>
                <w:sz w:val="21"/>
                <w:szCs w:val="21"/>
                <w:highlight w:val="none"/>
              </w:rPr>
            </w:pPr>
            <w:r>
              <w:rPr>
                <w:color w:val="auto"/>
                <w:spacing w:val="-3"/>
                <w:sz w:val="21"/>
                <w:szCs w:val="21"/>
                <w:highlight w:val="none"/>
              </w:rPr>
              <w:t>4、合同履行期限、质保期满足招标文件要求；</w:t>
            </w:r>
          </w:p>
        </w:tc>
      </w:tr>
      <w:tr w14:paraId="65F3B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1431" w:type="dxa"/>
            <w:vMerge w:val="continue"/>
            <w:tcBorders>
              <w:top w:val="nil"/>
              <w:left w:val="single" w:color="000000" w:sz="12" w:space="0"/>
            </w:tcBorders>
            <w:vAlign w:val="top"/>
          </w:tcPr>
          <w:p w14:paraId="39DD0405">
            <w:pPr>
              <w:rPr>
                <w:rFonts w:ascii="Arial"/>
                <w:color w:val="auto"/>
                <w:sz w:val="21"/>
                <w:highlight w:val="none"/>
              </w:rPr>
            </w:pPr>
          </w:p>
        </w:tc>
        <w:tc>
          <w:tcPr>
            <w:tcW w:w="8399" w:type="dxa"/>
            <w:tcBorders>
              <w:right w:val="single" w:color="000000" w:sz="12" w:space="0"/>
            </w:tcBorders>
            <w:vAlign w:val="top"/>
          </w:tcPr>
          <w:p w14:paraId="299C3257">
            <w:pPr>
              <w:pStyle w:val="17"/>
              <w:spacing w:before="211" w:line="224" w:lineRule="auto"/>
              <w:ind w:left="104"/>
              <w:rPr>
                <w:color w:val="auto"/>
                <w:sz w:val="21"/>
                <w:szCs w:val="21"/>
                <w:highlight w:val="none"/>
              </w:rPr>
            </w:pPr>
            <w:r>
              <w:rPr>
                <w:color w:val="auto"/>
                <w:spacing w:val="-2"/>
                <w:sz w:val="21"/>
                <w:szCs w:val="21"/>
                <w:highlight w:val="none"/>
              </w:rPr>
              <w:t>5、商务条款响应程度（包括但不限于合同履行期限等</w:t>
            </w:r>
            <w:r>
              <w:rPr>
                <w:color w:val="auto"/>
                <w:spacing w:val="2"/>
                <w:sz w:val="21"/>
                <w:szCs w:val="21"/>
                <w:highlight w:val="none"/>
              </w:rPr>
              <w:t>）：</w:t>
            </w:r>
            <w:r>
              <w:rPr>
                <w:color w:val="auto"/>
                <w:spacing w:val="-2"/>
                <w:sz w:val="21"/>
                <w:szCs w:val="21"/>
                <w:highlight w:val="none"/>
              </w:rPr>
              <w:t>响应招标文件；</w:t>
            </w:r>
          </w:p>
        </w:tc>
      </w:tr>
      <w:tr w14:paraId="40C56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1431" w:type="dxa"/>
            <w:tcBorders>
              <w:left w:val="single" w:color="000000" w:sz="12" w:space="0"/>
            </w:tcBorders>
            <w:vAlign w:val="top"/>
          </w:tcPr>
          <w:p w14:paraId="1A65C7E1">
            <w:pPr>
              <w:pStyle w:val="17"/>
              <w:spacing w:before="216" w:line="222" w:lineRule="auto"/>
              <w:ind w:left="499"/>
              <w:rPr>
                <w:color w:val="auto"/>
                <w:sz w:val="21"/>
                <w:szCs w:val="21"/>
                <w:highlight w:val="none"/>
              </w:rPr>
            </w:pPr>
            <w:r>
              <w:rPr>
                <w:color w:val="auto"/>
                <w:spacing w:val="-4"/>
                <w:sz w:val="21"/>
                <w:szCs w:val="21"/>
                <w:highlight w:val="none"/>
              </w:rPr>
              <w:t>报价</w:t>
            </w:r>
          </w:p>
        </w:tc>
        <w:tc>
          <w:tcPr>
            <w:tcW w:w="8399" w:type="dxa"/>
            <w:tcBorders>
              <w:right w:val="single" w:color="000000" w:sz="12" w:space="0"/>
            </w:tcBorders>
            <w:vAlign w:val="top"/>
          </w:tcPr>
          <w:p w14:paraId="33642395">
            <w:pPr>
              <w:pStyle w:val="17"/>
              <w:spacing w:before="216" w:line="222" w:lineRule="auto"/>
              <w:ind w:left="102"/>
              <w:rPr>
                <w:color w:val="auto"/>
                <w:sz w:val="21"/>
                <w:szCs w:val="21"/>
                <w:highlight w:val="none"/>
              </w:rPr>
            </w:pPr>
            <w:r>
              <w:rPr>
                <w:color w:val="auto"/>
                <w:spacing w:val="-2"/>
                <w:sz w:val="21"/>
                <w:szCs w:val="21"/>
                <w:highlight w:val="none"/>
              </w:rPr>
              <w:t>6、报价具有唯一性，报价未超过招标文件中规定的预算金额或者最高限价的；</w:t>
            </w:r>
          </w:p>
        </w:tc>
      </w:tr>
      <w:tr w14:paraId="446D2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1431" w:type="dxa"/>
            <w:tcBorders>
              <w:left w:val="single" w:color="000000" w:sz="12" w:space="0"/>
              <w:bottom w:val="single" w:color="000000" w:sz="12" w:space="0"/>
            </w:tcBorders>
            <w:vAlign w:val="top"/>
          </w:tcPr>
          <w:p w14:paraId="2E8A6E4D">
            <w:pPr>
              <w:pStyle w:val="17"/>
              <w:spacing w:before="219" w:line="224" w:lineRule="auto"/>
              <w:ind w:left="500"/>
              <w:rPr>
                <w:color w:val="auto"/>
                <w:sz w:val="21"/>
                <w:szCs w:val="21"/>
                <w:highlight w:val="none"/>
              </w:rPr>
            </w:pPr>
            <w:r>
              <w:rPr>
                <w:color w:val="auto"/>
                <w:spacing w:val="-4"/>
                <w:sz w:val="21"/>
                <w:szCs w:val="21"/>
                <w:highlight w:val="none"/>
              </w:rPr>
              <w:t>技术</w:t>
            </w:r>
          </w:p>
        </w:tc>
        <w:tc>
          <w:tcPr>
            <w:tcW w:w="8399" w:type="dxa"/>
            <w:tcBorders>
              <w:bottom w:val="single" w:color="000000" w:sz="12" w:space="0"/>
              <w:right w:val="single" w:color="000000" w:sz="12" w:space="0"/>
            </w:tcBorders>
            <w:vAlign w:val="top"/>
          </w:tcPr>
          <w:p w14:paraId="1F4CD988">
            <w:pPr>
              <w:pStyle w:val="17"/>
              <w:spacing w:before="219" w:line="224" w:lineRule="auto"/>
              <w:ind w:left="105"/>
              <w:rPr>
                <w:color w:val="auto"/>
                <w:sz w:val="21"/>
                <w:szCs w:val="21"/>
                <w:highlight w:val="none"/>
              </w:rPr>
            </w:pPr>
            <w:r>
              <w:rPr>
                <w:color w:val="auto"/>
                <w:spacing w:val="-3"/>
                <w:sz w:val="21"/>
                <w:szCs w:val="21"/>
                <w:highlight w:val="none"/>
              </w:rPr>
              <w:t>7、只能有一个方案投标。</w:t>
            </w:r>
          </w:p>
        </w:tc>
      </w:tr>
    </w:tbl>
    <w:p w14:paraId="1DBB3333">
      <w:pPr>
        <w:spacing w:line="423" w:lineRule="auto"/>
        <w:rPr>
          <w:rFonts w:ascii="Arial"/>
          <w:color w:val="auto"/>
          <w:sz w:val="21"/>
          <w:highlight w:val="none"/>
        </w:rPr>
      </w:pPr>
    </w:p>
    <w:p w14:paraId="24A9B909">
      <w:pPr>
        <w:spacing w:before="78" w:line="223" w:lineRule="auto"/>
        <w:jc w:val="right"/>
        <w:rPr>
          <w:rFonts w:ascii="新宋体" w:hAnsi="新宋体" w:eastAsia="新宋体" w:cs="新宋体"/>
          <w:color w:val="auto"/>
          <w:spacing w:val="-4"/>
          <w:sz w:val="24"/>
          <w:szCs w:val="24"/>
          <w:highlight w:val="none"/>
        </w:rPr>
      </w:pPr>
    </w:p>
    <w:p w14:paraId="28277563">
      <w:pPr>
        <w:spacing w:before="78" w:line="223" w:lineRule="auto"/>
        <w:jc w:val="right"/>
        <w:rPr>
          <w:rFonts w:ascii="新宋体" w:hAnsi="新宋体" w:eastAsia="新宋体" w:cs="新宋体"/>
          <w:color w:val="auto"/>
          <w:spacing w:val="-4"/>
          <w:sz w:val="24"/>
          <w:szCs w:val="24"/>
          <w:highlight w:val="none"/>
        </w:rPr>
      </w:pPr>
    </w:p>
    <w:p w14:paraId="3BEE5432">
      <w:pPr>
        <w:spacing w:before="78" w:line="223" w:lineRule="auto"/>
        <w:jc w:val="right"/>
        <w:rPr>
          <w:rFonts w:ascii="新宋体" w:hAnsi="新宋体" w:eastAsia="新宋体" w:cs="新宋体"/>
          <w:color w:val="auto"/>
          <w:spacing w:val="-4"/>
          <w:sz w:val="24"/>
          <w:szCs w:val="24"/>
          <w:highlight w:val="none"/>
        </w:rPr>
      </w:pPr>
    </w:p>
    <w:p w14:paraId="3D0509DC">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ascii="新宋体" w:hAnsi="新宋体" w:eastAsia="新宋体" w:cs="新宋体"/>
          <w:color w:val="auto"/>
          <w:spacing w:val="-5"/>
          <w:sz w:val="24"/>
          <w:szCs w:val="24"/>
          <w:highlight w:val="none"/>
        </w:rPr>
      </w:pPr>
      <w:r>
        <w:rPr>
          <w:rFonts w:hint="eastAsia" w:ascii="新宋体" w:hAnsi="新宋体" w:eastAsia="新宋体" w:cs="新宋体"/>
          <w:color w:val="auto"/>
          <w:spacing w:val="-4"/>
          <w:sz w:val="24"/>
          <w:szCs w:val="24"/>
          <w:highlight w:val="none"/>
          <w:lang w:val="en-US" w:eastAsia="zh-CN"/>
        </w:rPr>
        <w:t xml:space="preserve">  </w:t>
      </w:r>
      <w:r>
        <w:rPr>
          <w:rFonts w:ascii="新宋体" w:hAnsi="新宋体" w:eastAsia="新宋体" w:cs="新宋体"/>
          <w:color w:val="auto"/>
          <w:spacing w:val="-4"/>
          <w:sz w:val="24"/>
          <w:szCs w:val="24"/>
          <w:highlight w:val="none"/>
        </w:rPr>
        <w:t>2.3</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4"/>
          <w:sz w:val="24"/>
          <w:szCs w:val="24"/>
          <w:highlight w:val="none"/>
        </w:rPr>
        <w:t>投标人资格审查及评分细则中涉及的有关证明材料</w:t>
      </w:r>
      <w:r>
        <w:rPr>
          <w:rFonts w:ascii="新宋体" w:hAnsi="新宋体" w:eastAsia="新宋体" w:cs="新宋体"/>
          <w:color w:val="auto"/>
          <w:spacing w:val="-5"/>
          <w:sz w:val="24"/>
          <w:szCs w:val="24"/>
          <w:highlight w:val="none"/>
        </w:rPr>
        <w:t>及相关证书，应加盖公</w:t>
      </w:r>
    </w:p>
    <w:p w14:paraId="045D0CB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章以供审查。</w:t>
      </w:r>
    </w:p>
    <w:p w14:paraId="69F43612">
      <w:pPr>
        <w:keepNext w:val="0"/>
        <w:keepLines w:val="0"/>
        <w:pageBreakBefore w:val="0"/>
        <w:widowControl/>
        <w:kinsoku w:val="0"/>
        <w:wordWrap/>
        <w:overflowPunct/>
        <w:topLinePunct w:val="0"/>
        <w:autoSpaceDE w:val="0"/>
        <w:autoSpaceDN w:val="0"/>
        <w:bidi w:val="0"/>
        <w:adjustRightInd w:val="0"/>
        <w:snapToGrid w:val="0"/>
        <w:spacing w:line="360" w:lineRule="auto"/>
        <w:ind w:left="77" w:right="17" w:firstLine="462"/>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2.4</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5"/>
          <w:sz w:val="24"/>
          <w:szCs w:val="24"/>
          <w:highlight w:val="none"/>
        </w:rPr>
        <w:t>评标委员会判定投标文件的响应性只根据投标文件本身的内容，而不寻求外部的证据，</w:t>
      </w:r>
      <w:r>
        <w:rPr>
          <w:rFonts w:ascii="新宋体" w:hAnsi="新宋体" w:eastAsia="新宋体" w:cs="新宋体"/>
          <w:color w:val="auto"/>
          <w:spacing w:val="-3"/>
          <w:sz w:val="24"/>
          <w:szCs w:val="24"/>
          <w:highlight w:val="none"/>
        </w:rPr>
        <w:t>但投标有不真实不正确的内容时除外。</w:t>
      </w:r>
    </w:p>
    <w:p w14:paraId="501A455E">
      <w:pPr>
        <w:keepNext w:val="0"/>
        <w:keepLines w:val="0"/>
        <w:pageBreakBefore w:val="0"/>
        <w:widowControl/>
        <w:kinsoku w:val="0"/>
        <w:wordWrap/>
        <w:overflowPunct/>
        <w:topLinePunct w:val="0"/>
        <w:autoSpaceDE w:val="0"/>
        <w:autoSpaceDN w:val="0"/>
        <w:bidi w:val="0"/>
        <w:adjustRightInd w:val="0"/>
        <w:snapToGrid w:val="0"/>
        <w:spacing w:line="360" w:lineRule="auto"/>
        <w:ind w:left="81" w:right="117" w:firstLine="45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2.5</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1"/>
          <w:sz w:val="24"/>
          <w:szCs w:val="24"/>
          <w:highlight w:val="none"/>
        </w:rPr>
        <w:t>如果投标文件实质上没有响应招标文件</w:t>
      </w:r>
      <w:r>
        <w:rPr>
          <w:rFonts w:ascii="新宋体" w:hAnsi="新宋体" w:eastAsia="新宋体" w:cs="新宋体"/>
          <w:color w:val="auto"/>
          <w:spacing w:val="-2"/>
          <w:sz w:val="24"/>
          <w:szCs w:val="24"/>
          <w:highlight w:val="none"/>
        </w:rPr>
        <w:t>的要求，评标委员会将予以拒绝，投标人不得通过修正或撤销不符合要求的偏离或保留，而使其投标成为实质上响应的投标。</w:t>
      </w:r>
    </w:p>
    <w:p w14:paraId="371F0020">
      <w:pPr>
        <w:spacing w:before="176" w:line="223" w:lineRule="auto"/>
        <w:ind w:left="540"/>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2.6</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3"/>
          <w:sz w:val="24"/>
          <w:szCs w:val="24"/>
          <w:highlight w:val="none"/>
        </w:rPr>
        <w:t>只有通过初审的投标人才能进入下一步评标程序。</w:t>
      </w:r>
    </w:p>
    <w:p w14:paraId="2E52B694">
      <w:pPr>
        <w:pStyle w:val="4"/>
        <w:spacing w:before="178" w:line="188" w:lineRule="auto"/>
        <w:ind w:left="83"/>
        <w:rPr>
          <w:color w:val="auto"/>
          <w:sz w:val="24"/>
          <w:szCs w:val="24"/>
          <w:highlight w:val="none"/>
        </w:rPr>
      </w:pPr>
      <w:r>
        <w:rPr>
          <w:b/>
          <w:bCs/>
          <w:color w:val="auto"/>
          <w:spacing w:val="-5"/>
          <w:sz w:val="24"/>
          <w:szCs w:val="24"/>
          <w:highlight w:val="none"/>
        </w:rPr>
        <w:t>三  、投标文件的澄清和补正</w:t>
      </w:r>
    </w:p>
    <w:p w14:paraId="41B0177D">
      <w:pPr>
        <w:spacing w:before="144" w:line="291" w:lineRule="auto"/>
        <w:ind w:left="79" w:right="117" w:firstLine="462"/>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评审阶段，评委可能会要求有关投标</w:t>
      </w:r>
      <w:r>
        <w:rPr>
          <w:rFonts w:ascii="新宋体" w:hAnsi="新宋体" w:eastAsia="新宋体" w:cs="新宋体"/>
          <w:color w:val="auto"/>
          <w:spacing w:val="-2"/>
          <w:sz w:val="24"/>
          <w:szCs w:val="24"/>
          <w:highlight w:val="none"/>
        </w:rPr>
        <w:t>人就其投标书中含义不明确、同类问题表述不一</w:t>
      </w:r>
      <w:r>
        <w:rPr>
          <w:rFonts w:ascii="新宋体" w:hAnsi="新宋体" w:eastAsia="新宋体" w:cs="新宋体"/>
          <w:color w:val="auto"/>
          <w:spacing w:val="-3"/>
          <w:sz w:val="24"/>
          <w:szCs w:val="24"/>
          <w:highlight w:val="none"/>
        </w:rPr>
        <w:t>致或者有明显文字和计算错误的内容进行澄清。</w:t>
      </w:r>
    </w:p>
    <w:p w14:paraId="2FE8C4DB">
      <w:pPr>
        <w:spacing w:before="178" w:line="325" w:lineRule="auto"/>
        <w:ind w:left="76" w:right="117" w:firstLine="466"/>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投标人的澄清、说明或者补正应当通过“</w:t>
      </w:r>
      <w:r>
        <w:rPr>
          <w:rFonts w:ascii="新宋体" w:hAnsi="新宋体" w:eastAsia="新宋体" w:cs="新宋体"/>
          <w:color w:val="auto"/>
          <w:spacing w:val="-2"/>
          <w:sz w:val="24"/>
          <w:szCs w:val="24"/>
          <w:highlight w:val="none"/>
        </w:rPr>
        <w:t>政府采购云平台”在线答复的方式提交，并</w:t>
      </w:r>
      <w:r>
        <w:rPr>
          <w:rFonts w:ascii="新宋体" w:hAnsi="新宋体" w:eastAsia="新宋体" w:cs="新宋体"/>
          <w:color w:val="auto"/>
          <w:spacing w:val="-3"/>
          <w:sz w:val="24"/>
          <w:szCs w:val="24"/>
          <w:highlight w:val="none"/>
        </w:rPr>
        <w:t>加盖公章（电子印章</w:t>
      </w:r>
      <w:r>
        <w:rPr>
          <w:rFonts w:ascii="新宋体" w:hAnsi="新宋体" w:eastAsia="新宋体" w:cs="新宋体"/>
          <w:color w:val="auto"/>
          <w:spacing w:val="-1"/>
          <w:sz w:val="24"/>
          <w:szCs w:val="24"/>
          <w:highlight w:val="none"/>
        </w:rPr>
        <w:t>），</w:t>
      </w:r>
      <w:r>
        <w:rPr>
          <w:rFonts w:ascii="新宋体" w:hAnsi="新宋体" w:eastAsia="新宋体" w:cs="新宋体"/>
          <w:color w:val="auto"/>
          <w:spacing w:val="-3"/>
          <w:sz w:val="24"/>
          <w:szCs w:val="24"/>
          <w:highlight w:val="none"/>
        </w:rPr>
        <w:t>或者由法定代表人（负责人）或其授权的代表签章。投标供应商的澄</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5"/>
          <w:sz w:val="24"/>
          <w:szCs w:val="24"/>
          <w:highlight w:val="none"/>
        </w:rPr>
        <w:t>清、说明或者补正不得超出投标文件的范围或者改变投标文件的实质性内容，</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5"/>
          <w:sz w:val="24"/>
          <w:szCs w:val="24"/>
          <w:highlight w:val="none"/>
        </w:rPr>
        <w:t>不接受投标供应</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商主动对投标文件的澄清、说明或者补正。</w:t>
      </w:r>
    </w:p>
    <w:p w14:paraId="1C364201">
      <w:pPr>
        <w:spacing w:before="176" w:line="223" w:lineRule="auto"/>
        <w:ind w:left="542"/>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3.3</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6"/>
          <w:sz w:val="24"/>
          <w:szCs w:val="24"/>
          <w:highlight w:val="none"/>
        </w:rPr>
        <w:t>评委会修正错误的原则：</w:t>
      </w:r>
    </w:p>
    <w:p w14:paraId="6ECEC42E">
      <w:pPr>
        <w:spacing w:before="176" w:line="292" w:lineRule="auto"/>
        <w:ind w:left="76" w:right="117" w:firstLine="466"/>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3.3.1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如果数字表示的金额和用文字表示的</w:t>
      </w:r>
      <w:r>
        <w:rPr>
          <w:rFonts w:ascii="新宋体" w:hAnsi="新宋体" w:eastAsia="新宋体" w:cs="新宋体"/>
          <w:color w:val="auto"/>
          <w:spacing w:val="-2"/>
          <w:sz w:val="24"/>
          <w:szCs w:val="24"/>
          <w:highlight w:val="none"/>
        </w:rPr>
        <w:t>金额不一致时，以文字表示的金额为准；当投标函与开标一览表不一致时，以开标一览表为准。</w:t>
      </w:r>
    </w:p>
    <w:p w14:paraId="5268D32A">
      <w:pPr>
        <w:spacing w:before="174" w:line="291" w:lineRule="auto"/>
        <w:ind w:left="77" w:right="117" w:firstLine="464"/>
        <w:rPr>
          <w:rFonts w:ascii="新宋体" w:hAnsi="新宋体" w:eastAsia="新宋体" w:cs="新宋体"/>
          <w:color w:val="auto"/>
          <w:spacing w:val="-1"/>
          <w:sz w:val="24"/>
          <w:szCs w:val="24"/>
          <w:highlight w:val="none"/>
        </w:rPr>
      </w:pPr>
      <w:r>
        <w:rPr>
          <w:rFonts w:ascii="新宋体" w:hAnsi="新宋体" w:eastAsia="新宋体" w:cs="新宋体"/>
          <w:color w:val="auto"/>
          <w:spacing w:val="-1"/>
          <w:sz w:val="24"/>
          <w:szCs w:val="24"/>
          <w:highlight w:val="none"/>
        </w:rPr>
        <w:t>3.3.2</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如果单价与数量的乘积和总价不一致</w:t>
      </w:r>
      <w:r>
        <w:rPr>
          <w:rFonts w:ascii="新宋体" w:hAnsi="新宋体" w:eastAsia="新宋体" w:cs="新宋体"/>
          <w:color w:val="auto"/>
          <w:spacing w:val="-2"/>
          <w:sz w:val="24"/>
          <w:szCs w:val="24"/>
          <w:highlight w:val="none"/>
        </w:rPr>
        <w:t>，以单价为准，修正总价及开标一览表；当单价小数点有明显的错位时，评标委员会将以总价为准，并修正其单价。</w:t>
      </w:r>
    </w:p>
    <w:p w14:paraId="1ADCCF0F">
      <w:pPr>
        <w:spacing w:before="78" w:line="350" w:lineRule="auto"/>
        <w:ind w:right="39" w:firstLine="476" w:firstLineChars="200"/>
        <w:jc w:val="both"/>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3.4</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评委会将按上述修正错误的方法调整</w:t>
      </w:r>
      <w:r>
        <w:rPr>
          <w:rFonts w:ascii="新宋体" w:hAnsi="新宋体" w:eastAsia="新宋体" w:cs="新宋体"/>
          <w:color w:val="auto"/>
          <w:spacing w:val="-2"/>
          <w:sz w:val="24"/>
          <w:szCs w:val="24"/>
          <w:highlight w:val="none"/>
        </w:rPr>
        <w:t>投标文件中的投标报价，调整后的价格应对投标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人具有约束力。无论投标人是接受或是拒绝调整后的价格， 都应当采用电子询标的形式，并加</w:t>
      </w:r>
      <w:r>
        <w:rPr>
          <w:rFonts w:ascii="新宋体" w:hAnsi="新宋体" w:eastAsia="新宋体" w:cs="新宋体"/>
          <w:color w:val="auto"/>
          <w:spacing w:val="10"/>
          <w:sz w:val="24"/>
          <w:szCs w:val="24"/>
          <w:highlight w:val="none"/>
        </w:rPr>
        <w:t xml:space="preserve"> </w:t>
      </w:r>
      <w:r>
        <w:rPr>
          <w:rFonts w:ascii="新宋体" w:hAnsi="新宋体" w:eastAsia="新宋体" w:cs="新宋体"/>
          <w:color w:val="auto"/>
          <w:spacing w:val="-4"/>
          <w:sz w:val="24"/>
          <w:szCs w:val="24"/>
          <w:highlight w:val="none"/>
        </w:rPr>
        <w:t>盖公章（电子印章）</w:t>
      </w:r>
    </w:p>
    <w:p w14:paraId="79E0E760">
      <w:pPr>
        <w:pStyle w:val="4"/>
        <w:spacing w:before="37" w:line="187" w:lineRule="auto"/>
        <w:ind w:left="26"/>
        <w:rPr>
          <w:color w:val="auto"/>
          <w:sz w:val="24"/>
          <w:szCs w:val="24"/>
          <w:highlight w:val="none"/>
        </w:rPr>
      </w:pPr>
      <w:r>
        <w:rPr>
          <w:b/>
          <w:bCs/>
          <w:color w:val="auto"/>
          <w:spacing w:val="-6"/>
          <w:sz w:val="24"/>
          <w:szCs w:val="24"/>
          <w:highlight w:val="none"/>
        </w:rPr>
        <w:t>四、比较与评价</w:t>
      </w:r>
    </w:p>
    <w:p w14:paraId="2EC99F97">
      <w:pPr>
        <w:spacing w:before="146" w:line="344" w:lineRule="auto"/>
        <w:ind w:firstLine="467"/>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详细评审即按招标文件中规定的评标方法和标准，评标委员会将对通过初审的投标文件，进行经济标和技术标和商务标的评分、综合比较与评价。</w:t>
      </w:r>
    </w:p>
    <w:p w14:paraId="5841E854">
      <w:pPr>
        <w:spacing w:before="38" w:line="224" w:lineRule="auto"/>
        <w:ind w:left="468"/>
        <w:rPr>
          <w:rFonts w:ascii="新宋体" w:hAnsi="新宋体" w:eastAsia="新宋体" w:cs="新宋体"/>
          <w:color w:val="auto"/>
          <w:spacing w:val="-3"/>
          <w:sz w:val="24"/>
          <w:szCs w:val="24"/>
          <w:highlight w:val="none"/>
        </w:rPr>
      </w:pPr>
    </w:p>
    <w:p w14:paraId="7FA30817">
      <w:pPr>
        <w:spacing w:before="38" w:line="224" w:lineRule="auto"/>
        <w:ind w:firstLine="468" w:firstLineChars="200"/>
        <w:rPr>
          <w:rFonts w:ascii="新宋体" w:hAnsi="新宋体" w:eastAsia="新宋体" w:cs="新宋体"/>
          <w:color w:val="auto"/>
          <w:spacing w:val="-3"/>
          <w:sz w:val="24"/>
          <w:szCs w:val="24"/>
          <w:highlight w:val="none"/>
        </w:rPr>
      </w:pPr>
      <w:r>
        <w:rPr>
          <w:rFonts w:ascii="新宋体" w:hAnsi="新宋体" w:eastAsia="新宋体" w:cs="新宋体"/>
          <w:color w:val="auto"/>
          <w:spacing w:val="-3"/>
          <w:sz w:val="24"/>
          <w:szCs w:val="24"/>
          <w:highlight w:val="none"/>
        </w:rPr>
        <w:t>综合评分满分</w:t>
      </w:r>
      <w:r>
        <w:rPr>
          <w:rFonts w:ascii="新宋体" w:hAnsi="新宋体" w:eastAsia="新宋体" w:cs="新宋体"/>
          <w:color w:val="auto"/>
          <w:spacing w:val="-18"/>
          <w:sz w:val="24"/>
          <w:szCs w:val="24"/>
          <w:highlight w:val="none"/>
        </w:rPr>
        <w:t xml:space="preserve"> </w:t>
      </w:r>
      <w:r>
        <w:rPr>
          <w:rFonts w:ascii="新宋体" w:hAnsi="新宋体" w:eastAsia="新宋体" w:cs="新宋体"/>
          <w:color w:val="auto"/>
          <w:spacing w:val="-3"/>
          <w:sz w:val="24"/>
          <w:szCs w:val="24"/>
          <w:highlight w:val="none"/>
        </w:rPr>
        <w:t>100</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3"/>
          <w:sz w:val="24"/>
          <w:szCs w:val="24"/>
          <w:highlight w:val="none"/>
        </w:rPr>
        <w:t>分，各投标人的最终得分由商务标、技术标和经济标汇总组成。</w:t>
      </w:r>
    </w:p>
    <w:p w14:paraId="7EC7695F">
      <w:pPr>
        <w:pStyle w:val="12"/>
        <w:ind w:left="0" w:leftChars="0" w:firstLine="0" w:firstLineChars="0"/>
        <w:rPr>
          <w:color w:val="auto"/>
          <w:highlight w:val="none"/>
        </w:rPr>
      </w:pPr>
    </w:p>
    <w:p w14:paraId="3A90713F">
      <w:pPr>
        <w:pStyle w:val="4"/>
        <w:spacing w:before="102" w:line="184" w:lineRule="auto"/>
        <w:rPr>
          <w:b/>
          <w:bCs/>
          <w:color w:val="auto"/>
          <w:spacing w:val="-2"/>
          <w:sz w:val="24"/>
          <w:szCs w:val="24"/>
          <w:highlight w:val="none"/>
        </w:rPr>
      </w:pPr>
      <w:r>
        <w:rPr>
          <w:b/>
          <w:bCs/>
          <w:color w:val="auto"/>
          <w:spacing w:val="-1"/>
          <w:sz w:val="24"/>
          <w:szCs w:val="24"/>
          <w:highlight w:val="none"/>
        </w:rPr>
        <w:t>评分标准（评分采用百分制</w:t>
      </w:r>
      <w:r>
        <w:rPr>
          <w:b/>
          <w:bCs/>
          <w:color w:val="auto"/>
          <w:spacing w:val="51"/>
          <w:sz w:val="24"/>
          <w:szCs w:val="24"/>
          <w:highlight w:val="none"/>
        </w:rPr>
        <w:t xml:space="preserve"> </w:t>
      </w:r>
      <w:r>
        <w:rPr>
          <w:b/>
          <w:bCs/>
          <w:color w:val="auto"/>
          <w:spacing w:val="-1"/>
          <w:sz w:val="24"/>
          <w:szCs w:val="24"/>
          <w:highlight w:val="none"/>
        </w:rPr>
        <w:t>，计算结果精确</w:t>
      </w:r>
      <w:r>
        <w:rPr>
          <w:b/>
          <w:bCs/>
          <w:color w:val="auto"/>
          <w:spacing w:val="-2"/>
          <w:sz w:val="24"/>
          <w:szCs w:val="24"/>
          <w:highlight w:val="none"/>
        </w:rPr>
        <w:t>到小数点后两位）</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48"/>
        <w:gridCol w:w="847"/>
        <w:gridCol w:w="5909"/>
      </w:tblGrid>
      <w:tr w14:paraId="07BF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63F9D08C">
            <w:pPr>
              <w:pStyle w:val="4"/>
              <w:widowControl w:val="0"/>
              <w:spacing w:before="102" w:line="184" w:lineRule="auto"/>
              <w:jc w:val="center"/>
              <w:rPr>
                <w:rFonts w:hint="default" w:eastAsia="微软雅黑"/>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序号</w:t>
            </w:r>
          </w:p>
        </w:tc>
        <w:tc>
          <w:tcPr>
            <w:tcW w:w="1081" w:type="dxa"/>
            <w:vAlign w:val="center"/>
          </w:tcPr>
          <w:p w14:paraId="38F07BDC">
            <w:pPr>
              <w:pStyle w:val="4"/>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评审因素</w:t>
            </w:r>
          </w:p>
        </w:tc>
        <w:tc>
          <w:tcPr>
            <w:tcW w:w="945" w:type="dxa"/>
            <w:vAlign w:val="center"/>
          </w:tcPr>
          <w:p w14:paraId="265E87C5">
            <w:pPr>
              <w:pStyle w:val="4"/>
              <w:widowControl w:val="0"/>
              <w:spacing w:before="102" w:line="184" w:lineRule="auto"/>
              <w:jc w:val="center"/>
              <w:rPr>
                <w:rFonts w:hint="default" w:eastAsia="微软雅黑"/>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分值</w:t>
            </w:r>
          </w:p>
        </w:tc>
        <w:tc>
          <w:tcPr>
            <w:tcW w:w="7165" w:type="dxa"/>
            <w:vAlign w:val="center"/>
          </w:tcPr>
          <w:p w14:paraId="456274F2">
            <w:pPr>
              <w:pStyle w:val="4"/>
              <w:widowControl w:val="0"/>
              <w:spacing w:before="102" w:line="184" w:lineRule="auto"/>
              <w:jc w:val="center"/>
              <w:rPr>
                <w:rFonts w:hint="eastAsia" w:eastAsia="微软雅黑"/>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评分标准</w:t>
            </w:r>
          </w:p>
        </w:tc>
      </w:tr>
      <w:tr w14:paraId="75EC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5A6C0B80">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1</w:t>
            </w:r>
          </w:p>
        </w:tc>
        <w:tc>
          <w:tcPr>
            <w:tcW w:w="1081" w:type="dxa"/>
            <w:vAlign w:val="center"/>
          </w:tcPr>
          <w:p w14:paraId="3E1CA478">
            <w:pPr>
              <w:pStyle w:val="4"/>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价格</w:t>
            </w:r>
          </w:p>
          <w:p w14:paraId="02CB0C79">
            <w:pPr>
              <w:pStyle w:val="4"/>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部分</w:t>
            </w:r>
          </w:p>
        </w:tc>
        <w:tc>
          <w:tcPr>
            <w:tcW w:w="945" w:type="dxa"/>
            <w:vAlign w:val="center"/>
          </w:tcPr>
          <w:p w14:paraId="1DF40394">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30</w:t>
            </w:r>
          </w:p>
        </w:tc>
        <w:tc>
          <w:tcPr>
            <w:tcW w:w="7165" w:type="dxa"/>
            <w:vAlign w:val="center"/>
          </w:tcPr>
          <w:p w14:paraId="3D560D79">
            <w:pPr>
              <w:pStyle w:val="4"/>
              <w:widowControl w:val="0"/>
              <w:spacing w:before="102" w:line="184" w:lineRule="auto"/>
              <w:jc w:val="both"/>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价格分统一采用低价优先法计算，即满足采购文件要求且最后报价最低的供应商的价格为评标基准价，其价格分为满分。其他供应商的价格分统一按照 下列公式计算：投标报价得分=（评标基准价/最终投标报价）×价格权值×100 本项目的价格权值为 30%。项目评审过程中，不得去掉最终报价中的最高报价和最低报价。   （30 分）</w:t>
            </w:r>
          </w:p>
        </w:tc>
      </w:tr>
      <w:tr w14:paraId="2A26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5027D52E">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2</w:t>
            </w:r>
          </w:p>
        </w:tc>
        <w:tc>
          <w:tcPr>
            <w:tcW w:w="1081" w:type="dxa"/>
            <w:vAlign w:val="center"/>
          </w:tcPr>
          <w:p w14:paraId="6847264A">
            <w:pPr>
              <w:pStyle w:val="4"/>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类似</w:t>
            </w:r>
          </w:p>
          <w:p w14:paraId="232D1899">
            <w:pPr>
              <w:pStyle w:val="4"/>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业绩</w:t>
            </w:r>
          </w:p>
        </w:tc>
        <w:tc>
          <w:tcPr>
            <w:tcW w:w="945" w:type="dxa"/>
            <w:vAlign w:val="center"/>
          </w:tcPr>
          <w:p w14:paraId="758CEF39">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6</w:t>
            </w:r>
          </w:p>
        </w:tc>
        <w:tc>
          <w:tcPr>
            <w:tcW w:w="7165" w:type="dxa"/>
            <w:vAlign w:val="center"/>
          </w:tcPr>
          <w:p w14:paraId="43B4DDBD">
            <w:pPr>
              <w:pStyle w:val="4"/>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提供 2021 年 1 月 1 日至今（以合同签订时间为准），在相关领域承接的业绩。</w:t>
            </w:r>
          </w:p>
          <w:p w14:paraId="0E89E1D4">
            <w:pPr>
              <w:pStyle w:val="4"/>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每提供一个得 2 分，满分得 6 分。【注】业绩证明文件以中标/成交通知书或合同为准，合同复印件包括但不限于：合同首页、合同盖章页、合同签字页及合同签订日期页。</w:t>
            </w:r>
          </w:p>
        </w:tc>
      </w:tr>
      <w:tr w14:paraId="0A08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44156B58">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3</w:t>
            </w:r>
          </w:p>
        </w:tc>
        <w:tc>
          <w:tcPr>
            <w:tcW w:w="1081" w:type="dxa"/>
            <w:vAlign w:val="center"/>
          </w:tcPr>
          <w:p w14:paraId="51648A24">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售后服务方案</w:t>
            </w:r>
          </w:p>
        </w:tc>
        <w:tc>
          <w:tcPr>
            <w:tcW w:w="945" w:type="dxa"/>
            <w:vAlign w:val="center"/>
          </w:tcPr>
          <w:p w14:paraId="389CCF64">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8</w:t>
            </w:r>
          </w:p>
        </w:tc>
        <w:tc>
          <w:tcPr>
            <w:tcW w:w="7165" w:type="dxa"/>
            <w:vAlign w:val="center"/>
          </w:tcPr>
          <w:p w14:paraId="792CAE37">
            <w:pPr>
              <w:pStyle w:val="4"/>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详见招标文件及清单参数，针对本项目制定完善的售后服务方案。包含：</w:t>
            </w:r>
          </w:p>
          <w:p w14:paraId="6011154F">
            <w:pPr>
              <w:pStyle w:val="4"/>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① 售后服务承诺。</w:t>
            </w:r>
            <w:r>
              <w:rPr>
                <w:rFonts w:hint="eastAsia"/>
                <w:b w:val="0"/>
                <w:bCs w:val="0"/>
                <w:color w:val="auto"/>
                <w:spacing w:val="-2"/>
                <w:sz w:val="21"/>
                <w:szCs w:val="21"/>
                <w:highlight w:val="none"/>
                <w:vertAlign w:val="baseline"/>
                <w:lang w:val="en-US" w:eastAsia="zh-CN"/>
              </w:rPr>
              <w:t>包含且不限于</w:t>
            </w:r>
            <w:r>
              <w:rPr>
                <w:rFonts w:hint="default"/>
                <w:b w:val="0"/>
                <w:bCs w:val="0"/>
                <w:color w:val="auto"/>
                <w:spacing w:val="-2"/>
                <w:sz w:val="21"/>
                <w:szCs w:val="21"/>
                <w:highlight w:val="none"/>
                <w:vertAlign w:val="baseline"/>
                <w:lang w:val="en-US" w:eastAsia="zh-CN"/>
              </w:rPr>
              <w:t>服务期限、服务范围、服务质量保证等关键信息</w:t>
            </w:r>
            <w:r>
              <w:rPr>
                <w:rFonts w:hint="eastAsia"/>
                <w:b w:val="0"/>
                <w:bCs w:val="0"/>
                <w:color w:val="auto"/>
                <w:spacing w:val="-2"/>
                <w:sz w:val="21"/>
                <w:szCs w:val="21"/>
                <w:highlight w:val="none"/>
                <w:vertAlign w:val="baseline"/>
                <w:lang w:val="en-US" w:eastAsia="zh-CN"/>
              </w:rPr>
              <w:t>； （2 分）</w:t>
            </w:r>
          </w:p>
          <w:p w14:paraId="575FF252">
            <w:pPr>
              <w:pStyle w:val="4"/>
              <w:widowControl w:val="0"/>
              <w:spacing w:before="102" w:line="184" w:lineRule="auto"/>
              <w:ind w:left="206" w:hanging="206" w:hangingChars="100"/>
              <w:jc w:val="both"/>
              <w:rPr>
                <w:rFonts w:hint="eastAsia"/>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② 售后服务计划。</w:t>
            </w:r>
            <w:r>
              <w:rPr>
                <w:rFonts w:hint="eastAsia"/>
                <w:b w:val="0"/>
                <w:bCs w:val="0"/>
                <w:color w:val="auto"/>
                <w:spacing w:val="-2"/>
                <w:sz w:val="21"/>
                <w:szCs w:val="21"/>
                <w:highlight w:val="none"/>
                <w:vertAlign w:val="baseline"/>
                <w:lang w:val="en-US" w:eastAsia="zh-CN"/>
              </w:rPr>
              <w:t>包含且不限于</w:t>
            </w:r>
            <w:r>
              <w:rPr>
                <w:rFonts w:hint="default"/>
                <w:b w:val="0"/>
                <w:bCs w:val="0"/>
                <w:color w:val="auto"/>
                <w:spacing w:val="-2"/>
                <w:sz w:val="21"/>
                <w:szCs w:val="21"/>
                <w:highlight w:val="none"/>
                <w:vertAlign w:val="baseline"/>
                <w:lang w:val="en-US" w:eastAsia="zh-CN"/>
              </w:rPr>
              <w:t>日常服务流程安排、定期巡检计划等</w:t>
            </w:r>
            <w:r>
              <w:rPr>
                <w:rFonts w:hint="eastAsia"/>
                <w:b w:val="0"/>
                <w:bCs w:val="0"/>
                <w:color w:val="auto"/>
                <w:spacing w:val="-2"/>
                <w:sz w:val="21"/>
                <w:szCs w:val="21"/>
                <w:highlight w:val="none"/>
                <w:vertAlign w:val="baseline"/>
                <w:lang w:val="en-US" w:eastAsia="zh-CN"/>
              </w:rPr>
              <w:t>；（2分）</w:t>
            </w:r>
          </w:p>
          <w:p w14:paraId="1A64A6A8">
            <w:pPr>
              <w:pStyle w:val="4"/>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③ 售后服务能力</w:t>
            </w:r>
            <w:r>
              <w:rPr>
                <w:rFonts w:hint="eastAsia"/>
                <w:b w:val="0"/>
                <w:bCs w:val="0"/>
                <w:color w:val="auto"/>
                <w:spacing w:val="-2"/>
                <w:sz w:val="21"/>
                <w:szCs w:val="21"/>
                <w:highlight w:val="none"/>
                <w:vertAlign w:val="baseline"/>
                <w:lang w:val="en-US" w:eastAsia="zh-CN"/>
              </w:rPr>
              <w:t>。包含且不限于</w:t>
            </w:r>
            <w:r>
              <w:rPr>
                <w:rFonts w:hint="default"/>
                <w:b w:val="0"/>
                <w:bCs w:val="0"/>
                <w:color w:val="auto"/>
                <w:spacing w:val="-2"/>
                <w:sz w:val="21"/>
                <w:szCs w:val="21"/>
                <w:highlight w:val="none"/>
                <w:vertAlign w:val="baseline"/>
                <w:lang w:val="en-US" w:eastAsia="zh-CN"/>
              </w:rPr>
              <w:t>阐述人员配备、技术储备、服务设备设施等情况</w:t>
            </w:r>
            <w:r>
              <w:rPr>
                <w:rFonts w:hint="eastAsia"/>
                <w:b w:val="0"/>
                <w:bCs w:val="0"/>
                <w:color w:val="auto"/>
                <w:spacing w:val="-2"/>
                <w:sz w:val="21"/>
                <w:szCs w:val="21"/>
                <w:highlight w:val="none"/>
                <w:vertAlign w:val="baseline"/>
                <w:lang w:val="en-US" w:eastAsia="zh-CN"/>
              </w:rPr>
              <w:t>； （2 分）</w:t>
            </w:r>
          </w:p>
          <w:p w14:paraId="70DD3FB1">
            <w:pPr>
              <w:pStyle w:val="4"/>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④ 应急服务响应方案。</w:t>
            </w:r>
            <w:r>
              <w:rPr>
                <w:rFonts w:hint="eastAsia"/>
                <w:b w:val="0"/>
                <w:bCs w:val="0"/>
                <w:color w:val="auto"/>
                <w:spacing w:val="-2"/>
                <w:sz w:val="21"/>
                <w:szCs w:val="21"/>
                <w:highlight w:val="none"/>
                <w:vertAlign w:val="baseline"/>
                <w:lang w:val="en-US" w:eastAsia="zh-CN"/>
              </w:rPr>
              <w:t>充分考虑便于后期维护和保养，包含且不限于</w:t>
            </w:r>
            <w:r>
              <w:rPr>
                <w:rFonts w:hint="default"/>
                <w:b w:val="0"/>
                <w:bCs w:val="0"/>
                <w:color w:val="auto"/>
                <w:spacing w:val="-2"/>
                <w:sz w:val="21"/>
                <w:szCs w:val="21"/>
                <w:highlight w:val="none"/>
                <w:vertAlign w:val="baseline"/>
                <w:lang w:val="en-US" w:eastAsia="zh-CN"/>
              </w:rPr>
              <w:t>明确应急响应时间、响应流程、应急处理团队构成等</w:t>
            </w:r>
            <w:r>
              <w:rPr>
                <w:rFonts w:hint="eastAsia"/>
                <w:b w:val="0"/>
                <w:bCs w:val="0"/>
                <w:color w:val="auto"/>
                <w:spacing w:val="-2"/>
                <w:sz w:val="21"/>
                <w:szCs w:val="21"/>
                <w:highlight w:val="none"/>
                <w:vertAlign w:val="baseline"/>
                <w:lang w:val="en-US" w:eastAsia="zh-CN"/>
              </w:rPr>
              <w:t>。 （2 分）</w:t>
            </w:r>
          </w:p>
          <w:p w14:paraId="4777F030">
            <w:pPr>
              <w:pStyle w:val="4"/>
              <w:widowControl w:val="0"/>
              <w:spacing w:before="102" w:line="184" w:lineRule="auto"/>
              <w:ind w:firstLine="412" w:firstLineChars="200"/>
              <w:jc w:val="both"/>
              <w:rPr>
                <w:rFonts w:hint="eastAsia"/>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以上每缺一项方案或错写一项方案扣2分，提供的方案中每有一处存在缺陷（缺陷是指：投标人所提方案中内容前后不一致、前后矛盾、涉及的规范及标准错误、地点区域错误、照搬其他项目采购需求的项目概况且未针对评审细项作出进一步描述的任一情形）的扣1分，该项分值扣完为止。本项最多得8分。</w:t>
            </w:r>
          </w:p>
        </w:tc>
      </w:tr>
      <w:tr w14:paraId="4862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916" w:type="dxa"/>
            <w:vAlign w:val="center"/>
          </w:tcPr>
          <w:p w14:paraId="2D0945D8">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w:t>
            </w:r>
          </w:p>
        </w:tc>
        <w:tc>
          <w:tcPr>
            <w:tcW w:w="1081" w:type="dxa"/>
            <w:vAlign w:val="center"/>
          </w:tcPr>
          <w:p w14:paraId="6250F1F2">
            <w:pPr>
              <w:pStyle w:val="4"/>
              <w:widowControl w:val="0"/>
              <w:spacing w:before="102" w:line="184" w:lineRule="auto"/>
              <w:jc w:val="center"/>
              <w:rPr>
                <w:color w:val="auto"/>
                <w:spacing w:val="-8"/>
                <w:sz w:val="21"/>
                <w:szCs w:val="21"/>
                <w:highlight w:val="none"/>
              </w:rPr>
            </w:pPr>
            <w:r>
              <w:rPr>
                <w:color w:val="auto"/>
                <w:spacing w:val="-8"/>
                <w:sz w:val="21"/>
                <w:szCs w:val="21"/>
                <w:highlight w:val="none"/>
              </w:rPr>
              <w:t>培训</w:t>
            </w:r>
          </w:p>
          <w:p w14:paraId="75F1F415">
            <w:pPr>
              <w:pStyle w:val="4"/>
              <w:widowControl w:val="0"/>
              <w:spacing w:before="102" w:line="184" w:lineRule="auto"/>
              <w:jc w:val="center"/>
              <w:rPr>
                <w:rFonts w:hint="eastAsia"/>
                <w:b/>
                <w:bCs/>
                <w:color w:val="auto"/>
                <w:spacing w:val="-2"/>
                <w:sz w:val="21"/>
                <w:szCs w:val="21"/>
                <w:highlight w:val="none"/>
                <w:vertAlign w:val="baseline"/>
                <w:lang w:val="en-US" w:eastAsia="zh-CN"/>
              </w:rPr>
            </w:pPr>
            <w:r>
              <w:rPr>
                <w:color w:val="auto"/>
                <w:spacing w:val="-10"/>
                <w:sz w:val="21"/>
                <w:szCs w:val="21"/>
                <w:highlight w:val="none"/>
              </w:rPr>
              <w:t>方案</w:t>
            </w:r>
          </w:p>
        </w:tc>
        <w:tc>
          <w:tcPr>
            <w:tcW w:w="945" w:type="dxa"/>
            <w:vAlign w:val="center"/>
          </w:tcPr>
          <w:p w14:paraId="45903D3D">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5</w:t>
            </w:r>
          </w:p>
        </w:tc>
        <w:tc>
          <w:tcPr>
            <w:tcW w:w="7165" w:type="dxa"/>
            <w:vAlign w:val="center"/>
          </w:tcPr>
          <w:p w14:paraId="13E05CE6">
            <w:pPr>
              <w:pStyle w:val="4"/>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投标人应制定全面详实的培训计划，对操作人员和相关养护人员进行培训，直至达到能够独立操作的水平。包含：</w:t>
            </w:r>
          </w:p>
          <w:p w14:paraId="3ECE0D80">
            <w:pPr>
              <w:pStyle w:val="4"/>
              <w:widowControl w:val="0"/>
              <w:spacing w:before="102" w:line="184" w:lineRule="auto"/>
              <w:jc w:val="both"/>
              <w:rPr>
                <w:rFonts w:hint="default"/>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① 培训方案。</w:t>
            </w:r>
            <w:r>
              <w:rPr>
                <w:rFonts w:hint="eastAsia"/>
                <w:b w:val="0"/>
                <w:bCs w:val="0"/>
                <w:color w:val="auto"/>
                <w:spacing w:val="-2"/>
                <w:sz w:val="21"/>
                <w:szCs w:val="21"/>
                <w:highlight w:val="none"/>
                <w:vertAlign w:val="baseline"/>
                <w:lang w:val="en-US" w:eastAsia="zh-CN"/>
              </w:rPr>
              <w:t>包含且不限于</w:t>
            </w:r>
            <w:r>
              <w:rPr>
                <w:rFonts w:hint="default"/>
                <w:b w:val="0"/>
                <w:bCs w:val="0"/>
                <w:color w:val="auto"/>
                <w:spacing w:val="-2"/>
                <w:sz w:val="21"/>
                <w:szCs w:val="21"/>
                <w:highlight w:val="none"/>
                <w:vertAlign w:val="baseline"/>
                <w:lang w:val="en-US" w:eastAsia="zh-CN"/>
              </w:rPr>
              <w:t>培训目标、培训内容大纲、培训方式方法的选择依据等；</w:t>
            </w:r>
            <w:r>
              <w:rPr>
                <w:rFonts w:hint="eastAsia"/>
                <w:b w:val="0"/>
                <w:bCs w:val="0"/>
                <w:color w:val="auto"/>
                <w:spacing w:val="-2"/>
                <w:sz w:val="21"/>
                <w:szCs w:val="21"/>
                <w:highlight w:val="none"/>
                <w:vertAlign w:val="baseline"/>
                <w:lang w:val="en-US" w:eastAsia="zh-CN"/>
              </w:rPr>
              <w:t xml:space="preserve"> （1 分）</w:t>
            </w:r>
          </w:p>
          <w:p w14:paraId="51739452">
            <w:pPr>
              <w:pStyle w:val="4"/>
              <w:widowControl w:val="0"/>
              <w:spacing w:before="102" w:line="184" w:lineRule="auto"/>
              <w:jc w:val="both"/>
              <w:rPr>
                <w:rFonts w:hint="default"/>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② 培训时间安排。</w:t>
            </w:r>
            <w:r>
              <w:rPr>
                <w:rFonts w:hint="eastAsia"/>
                <w:b w:val="0"/>
                <w:bCs w:val="0"/>
                <w:color w:val="auto"/>
                <w:spacing w:val="-2"/>
                <w:sz w:val="21"/>
                <w:szCs w:val="21"/>
                <w:highlight w:val="none"/>
                <w:vertAlign w:val="baseline"/>
                <w:lang w:val="en-US" w:eastAsia="zh-CN"/>
              </w:rPr>
              <w:t>包含且不限于</w:t>
            </w:r>
            <w:r>
              <w:rPr>
                <w:rFonts w:hint="default"/>
                <w:b w:val="0"/>
                <w:bCs w:val="0"/>
                <w:color w:val="auto"/>
                <w:spacing w:val="-2"/>
                <w:sz w:val="21"/>
                <w:szCs w:val="21"/>
                <w:highlight w:val="none"/>
                <w:vertAlign w:val="baseline"/>
                <w:lang w:val="en-US" w:eastAsia="zh-CN"/>
              </w:rPr>
              <w:t>明确各阶段培训的起始时间、时长、培训周期等</w:t>
            </w:r>
            <w:r>
              <w:rPr>
                <w:rFonts w:hint="eastAsia"/>
                <w:b w:val="0"/>
                <w:bCs w:val="0"/>
                <w:color w:val="auto"/>
                <w:spacing w:val="-2"/>
                <w:sz w:val="21"/>
                <w:szCs w:val="21"/>
                <w:highlight w:val="none"/>
                <w:vertAlign w:val="baseline"/>
                <w:lang w:val="en-US" w:eastAsia="zh-CN"/>
              </w:rPr>
              <w:t>； （1 分）</w:t>
            </w:r>
          </w:p>
          <w:p w14:paraId="5DD7F451">
            <w:pPr>
              <w:pStyle w:val="4"/>
              <w:widowControl w:val="0"/>
              <w:spacing w:before="102" w:line="184" w:lineRule="auto"/>
              <w:jc w:val="both"/>
              <w:rPr>
                <w:rFonts w:hint="default"/>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③ 培训模式。</w:t>
            </w:r>
            <w:r>
              <w:rPr>
                <w:rFonts w:hint="eastAsia"/>
                <w:b w:val="0"/>
                <w:bCs w:val="0"/>
                <w:color w:val="auto"/>
                <w:spacing w:val="-2"/>
                <w:sz w:val="21"/>
                <w:szCs w:val="21"/>
                <w:highlight w:val="none"/>
                <w:vertAlign w:val="baseline"/>
                <w:lang w:val="en-US" w:eastAsia="zh-CN"/>
              </w:rPr>
              <w:t>包含且不限于</w:t>
            </w:r>
            <w:r>
              <w:rPr>
                <w:rFonts w:hint="default"/>
                <w:b w:val="0"/>
                <w:bCs w:val="0"/>
                <w:color w:val="auto"/>
                <w:spacing w:val="-2"/>
                <w:sz w:val="21"/>
                <w:szCs w:val="21"/>
                <w:highlight w:val="none"/>
                <w:vertAlign w:val="baseline"/>
                <w:lang w:val="en-US" w:eastAsia="zh-CN"/>
              </w:rPr>
              <w:t>应详细说明采用线上、线下还是混合式培训，以及具体的培训组织形式；</w:t>
            </w:r>
            <w:r>
              <w:rPr>
                <w:rFonts w:hint="eastAsia"/>
                <w:b w:val="0"/>
                <w:bCs w:val="0"/>
                <w:color w:val="auto"/>
                <w:spacing w:val="-2"/>
                <w:sz w:val="21"/>
                <w:szCs w:val="21"/>
                <w:highlight w:val="none"/>
                <w:vertAlign w:val="baseline"/>
                <w:lang w:val="en-US" w:eastAsia="zh-CN"/>
              </w:rPr>
              <w:t xml:space="preserve"> （1 分）</w:t>
            </w:r>
          </w:p>
          <w:p w14:paraId="2B5B79A5">
            <w:pPr>
              <w:pStyle w:val="4"/>
              <w:widowControl w:val="0"/>
              <w:spacing w:before="102" w:line="184" w:lineRule="auto"/>
              <w:jc w:val="both"/>
              <w:rPr>
                <w:rFonts w:hint="default"/>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④ 培训团队人员配置。</w:t>
            </w:r>
            <w:r>
              <w:rPr>
                <w:rFonts w:hint="eastAsia"/>
                <w:b w:val="0"/>
                <w:bCs w:val="0"/>
                <w:color w:val="auto"/>
                <w:spacing w:val="-2"/>
                <w:sz w:val="21"/>
                <w:szCs w:val="21"/>
                <w:highlight w:val="none"/>
                <w:vertAlign w:val="baseline"/>
                <w:lang w:val="en-US" w:eastAsia="zh-CN"/>
              </w:rPr>
              <w:t>包含且不限于罗</w:t>
            </w:r>
            <w:r>
              <w:rPr>
                <w:rFonts w:hint="default"/>
                <w:b w:val="0"/>
                <w:bCs w:val="0"/>
                <w:color w:val="auto"/>
                <w:spacing w:val="-2"/>
                <w:sz w:val="21"/>
                <w:szCs w:val="21"/>
                <w:highlight w:val="none"/>
                <w:vertAlign w:val="baseline"/>
                <w:lang w:val="en-US" w:eastAsia="zh-CN"/>
              </w:rPr>
              <w:t>列出</w:t>
            </w:r>
            <w:r>
              <w:rPr>
                <w:rFonts w:hint="eastAsia"/>
                <w:b w:val="0"/>
                <w:bCs w:val="0"/>
                <w:color w:val="auto"/>
                <w:spacing w:val="-2"/>
                <w:sz w:val="21"/>
                <w:szCs w:val="21"/>
                <w:highlight w:val="none"/>
                <w:vertAlign w:val="baseline"/>
                <w:lang w:val="en-US" w:eastAsia="zh-CN"/>
              </w:rPr>
              <w:t>培训</w:t>
            </w:r>
            <w:r>
              <w:rPr>
                <w:rFonts w:hint="default"/>
                <w:b w:val="0"/>
                <w:bCs w:val="0"/>
                <w:color w:val="auto"/>
                <w:spacing w:val="-2"/>
                <w:sz w:val="21"/>
                <w:szCs w:val="21"/>
                <w:highlight w:val="none"/>
                <w:vertAlign w:val="baseline"/>
                <w:lang w:val="en-US" w:eastAsia="zh-CN"/>
              </w:rPr>
              <w:t>人员</w:t>
            </w:r>
            <w:r>
              <w:rPr>
                <w:rFonts w:hint="eastAsia"/>
                <w:b w:val="0"/>
                <w:bCs w:val="0"/>
                <w:color w:val="auto"/>
                <w:spacing w:val="-2"/>
                <w:sz w:val="21"/>
                <w:szCs w:val="21"/>
                <w:highlight w:val="none"/>
                <w:vertAlign w:val="baseline"/>
                <w:lang w:val="en-US" w:eastAsia="zh-CN"/>
              </w:rPr>
              <w:t>的</w:t>
            </w:r>
            <w:r>
              <w:rPr>
                <w:rFonts w:hint="default"/>
                <w:b w:val="0"/>
                <w:bCs w:val="0"/>
                <w:color w:val="auto"/>
                <w:spacing w:val="-2"/>
                <w:sz w:val="21"/>
                <w:szCs w:val="21"/>
                <w:highlight w:val="none"/>
                <w:vertAlign w:val="baseline"/>
                <w:lang w:val="en-US" w:eastAsia="zh-CN"/>
              </w:rPr>
              <w:t>名单、各自的专业背景、教学经验及在培训中承担的职责；</w:t>
            </w:r>
            <w:r>
              <w:rPr>
                <w:rFonts w:hint="eastAsia"/>
                <w:b w:val="0"/>
                <w:bCs w:val="0"/>
                <w:color w:val="auto"/>
                <w:spacing w:val="-2"/>
                <w:sz w:val="21"/>
                <w:szCs w:val="21"/>
                <w:highlight w:val="none"/>
                <w:vertAlign w:val="baseline"/>
                <w:lang w:val="en-US" w:eastAsia="zh-CN"/>
              </w:rPr>
              <w:t xml:space="preserve"> （1 分）</w:t>
            </w:r>
          </w:p>
          <w:p w14:paraId="1504CB55">
            <w:pPr>
              <w:pStyle w:val="4"/>
              <w:widowControl w:val="0"/>
              <w:spacing w:before="102" w:line="184" w:lineRule="auto"/>
              <w:jc w:val="both"/>
              <w:rPr>
                <w:rFonts w:hint="default"/>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⑤ 培训过程中突发事件处置方案。</w:t>
            </w:r>
            <w:r>
              <w:rPr>
                <w:rFonts w:hint="eastAsia"/>
                <w:b w:val="0"/>
                <w:bCs w:val="0"/>
                <w:color w:val="auto"/>
                <w:spacing w:val="-2"/>
                <w:sz w:val="21"/>
                <w:szCs w:val="21"/>
                <w:highlight w:val="none"/>
                <w:vertAlign w:val="baseline"/>
                <w:lang w:val="en-US" w:eastAsia="zh-CN"/>
              </w:rPr>
              <w:t>包含且不限于</w:t>
            </w:r>
            <w:r>
              <w:rPr>
                <w:rFonts w:hint="default"/>
                <w:b w:val="0"/>
                <w:bCs w:val="0"/>
                <w:color w:val="auto"/>
                <w:spacing w:val="-2"/>
                <w:sz w:val="21"/>
                <w:szCs w:val="21"/>
                <w:highlight w:val="none"/>
                <w:vertAlign w:val="baseline"/>
                <w:lang w:val="en-US" w:eastAsia="zh-CN"/>
              </w:rPr>
              <w:t>常见突发事件类型、应对措施、应急联系方式等。</w:t>
            </w:r>
            <w:r>
              <w:rPr>
                <w:rFonts w:hint="eastAsia"/>
                <w:b w:val="0"/>
                <w:bCs w:val="0"/>
                <w:color w:val="auto"/>
                <w:spacing w:val="-2"/>
                <w:sz w:val="21"/>
                <w:szCs w:val="21"/>
                <w:highlight w:val="none"/>
                <w:vertAlign w:val="baseline"/>
                <w:lang w:val="en-US" w:eastAsia="zh-CN"/>
              </w:rPr>
              <w:t xml:space="preserve"> （1 分）</w:t>
            </w:r>
          </w:p>
          <w:p w14:paraId="14105825">
            <w:pPr>
              <w:pStyle w:val="4"/>
              <w:widowControl w:val="0"/>
              <w:spacing w:before="102" w:line="184" w:lineRule="auto"/>
              <w:ind w:firstLine="412" w:firstLineChars="200"/>
              <w:jc w:val="both"/>
              <w:rPr>
                <w:rFonts w:hint="eastAsia"/>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以上每缺一项方案或错写一项方案扣1分，提供的方案中每有一处存在缺陷（缺陷包括：方案中内容前后不一致、前后矛盾、涉及的规范及标准错误、地点区域错误、照搬其他项目采购需求的项目概况且未针对评审细项作出进一步描述的任一情形）的扣1分，该项分值扣完为止。本项最多得5分。</w:t>
            </w:r>
          </w:p>
        </w:tc>
      </w:tr>
      <w:tr w14:paraId="2A55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079E3A16">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5</w:t>
            </w:r>
          </w:p>
        </w:tc>
        <w:tc>
          <w:tcPr>
            <w:tcW w:w="1081" w:type="dxa"/>
            <w:vAlign w:val="center"/>
          </w:tcPr>
          <w:p w14:paraId="73D2094E">
            <w:pPr>
              <w:pStyle w:val="4"/>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质量管理与保证措施</w:t>
            </w:r>
          </w:p>
        </w:tc>
        <w:tc>
          <w:tcPr>
            <w:tcW w:w="945" w:type="dxa"/>
            <w:vAlign w:val="center"/>
          </w:tcPr>
          <w:p w14:paraId="43C01812">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8</w:t>
            </w:r>
          </w:p>
        </w:tc>
        <w:tc>
          <w:tcPr>
            <w:tcW w:w="7165" w:type="dxa"/>
            <w:vAlign w:val="center"/>
          </w:tcPr>
          <w:p w14:paraId="34A03043">
            <w:pPr>
              <w:pStyle w:val="4"/>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针对本项目制定全面详实的质量保证措施。包含：</w:t>
            </w:r>
          </w:p>
          <w:p w14:paraId="588E9B01">
            <w:pPr>
              <w:pStyle w:val="4"/>
              <w:widowControl w:val="0"/>
              <w:spacing w:before="102" w:line="184" w:lineRule="auto"/>
              <w:jc w:val="both"/>
              <w:rPr>
                <w:rFonts w:hint="default"/>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① 质量保证体系。</w:t>
            </w:r>
            <w:r>
              <w:rPr>
                <w:rFonts w:hint="eastAsia"/>
                <w:b w:val="0"/>
                <w:bCs w:val="0"/>
                <w:color w:val="auto"/>
                <w:spacing w:val="-2"/>
                <w:sz w:val="21"/>
                <w:szCs w:val="21"/>
                <w:highlight w:val="none"/>
                <w:vertAlign w:val="baseline"/>
                <w:lang w:val="en-US" w:eastAsia="zh-CN"/>
              </w:rPr>
              <w:t>包含且不限于</w:t>
            </w:r>
            <w:r>
              <w:rPr>
                <w:rFonts w:hint="default"/>
                <w:b w:val="0"/>
                <w:bCs w:val="0"/>
                <w:color w:val="auto"/>
                <w:spacing w:val="-2"/>
                <w:sz w:val="21"/>
                <w:szCs w:val="21"/>
                <w:highlight w:val="none"/>
                <w:vertAlign w:val="baseline"/>
                <w:lang w:val="en-US" w:eastAsia="zh-CN"/>
              </w:rPr>
              <w:t>质量方针、质量目标、质量管理组织机构及职责、质量管理制度等；</w:t>
            </w:r>
            <w:r>
              <w:rPr>
                <w:rFonts w:hint="eastAsia"/>
                <w:b w:val="0"/>
                <w:bCs w:val="0"/>
                <w:color w:val="auto"/>
                <w:spacing w:val="-2"/>
                <w:sz w:val="21"/>
                <w:szCs w:val="21"/>
                <w:highlight w:val="none"/>
                <w:vertAlign w:val="baseline"/>
                <w:lang w:val="en-US" w:eastAsia="zh-CN"/>
              </w:rPr>
              <w:t xml:space="preserve">  (2 分)</w:t>
            </w:r>
          </w:p>
          <w:p w14:paraId="032D12D6">
            <w:pPr>
              <w:pStyle w:val="4"/>
              <w:widowControl w:val="0"/>
              <w:spacing w:before="102" w:line="184" w:lineRule="auto"/>
              <w:jc w:val="both"/>
              <w:rPr>
                <w:rFonts w:hint="default"/>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②</w:t>
            </w:r>
            <w:r>
              <w:rPr>
                <w:rFonts w:hint="eastAsia"/>
                <w:b w:val="0"/>
                <w:bCs w:val="0"/>
                <w:color w:val="auto"/>
                <w:spacing w:val="-2"/>
                <w:sz w:val="21"/>
                <w:szCs w:val="21"/>
                <w:highlight w:val="none"/>
                <w:vertAlign w:val="baseline"/>
                <w:lang w:val="en-US" w:eastAsia="zh-CN"/>
              </w:rPr>
              <w:t xml:space="preserve"> </w:t>
            </w:r>
            <w:r>
              <w:rPr>
                <w:rFonts w:hint="eastAsia"/>
                <w:b/>
                <w:bCs/>
                <w:color w:val="auto"/>
                <w:spacing w:val="-2"/>
                <w:sz w:val="21"/>
                <w:szCs w:val="21"/>
                <w:highlight w:val="none"/>
                <w:vertAlign w:val="baseline"/>
                <w:lang w:val="en-US" w:eastAsia="zh-CN"/>
              </w:rPr>
              <w:t>质量管理实施方案。</w:t>
            </w:r>
            <w:r>
              <w:rPr>
                <w:rFonts w:hint="eastAsia"/>
                <w:b w:val="0"/>
                <w:bCs w:val="0"/>
                <w:color w:val="auto"/>
                <w:spacing w:val="-2"/>
                <w:sz w:val="21"/>
                <w:szCs w:val="21"/>
                <w:highlight w:val="none"/>
                <w:vertAlign w:val="baseline"/>
                <w:lang w:val="en-US" w:eastAsia="zh-CN"/>
              </w:rPr>
              <w:t>包含且不限于</w:t>
            </w:r>
            <w:r>
              <w:rPr>
                <w:rFonts w:hint="default"/>
                <w:b w:val="0"/>
                <w:bCs w:val="0"/>
                <w:color w:val="auto"/>
                <w:spacing w:val="-2"/>
                <w:sz w:val="21"/>
                <w:szCs w:val="21"/>
                <w:highlight w:val="none"/>
                <w:vertAlign w:val="baseline"/>
                <w:lang w:val="en-US" w:eastAsia="zh-CN"/>
              </w:rPr>
              <w:t>明确项目实施各阶段的质量控制要点、质量检验计划、质量问题整改流程等；</w:t>
            </w:r>
            <w:r>
              <w:rPr>
                <w:rFonts w:hint="eastAsia"/>
                <w:b w:val="0"/>
                <w:bCs w:val="0"/>
                <w:color w:val="auto"/>
                <w:spacing w:val="-2"/>
                <w:sz w:val="21"/>
                <w:szCs w:val="21"/>
                <w:highlight w:val="none"/>
                <w:vertAlign w:val="baseline"/>
                <w:lang w:val="en-US" w:eastAsia="zh-CN"/>
              </w:rPr>
              <w:t xml:space="preserve">  (2 分)</w:t>
            </w:r>
          </w:p>
          <w:p w14:paraId="6FAA0229">
            <w:pPr>
              <w:pStyle w:val="4"/>
              <w:widowControl w:val="0"/>
              <w:spacing w:before="102" w:line="184" w:lineRule="auto"/>
              <w:jc w:val="both"/>
              <w:rPr>
                <w:rFonts w:hint="default"/>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③ 质量保证措施。包含且不限于</w:t>
            </w:r>
            <w:r>
              <w:rPr>
                <w:rFonts w:hint="default"/>
                <w:b/>
                <w:bCs/>
                <w:color w:val="auto"/>
                <w:spacing w:val="-2"/>
                <w:sz w:val="21"/>
                <w:szCs w:val="21"/>
                <w:highlight w:val="none"/>
                <w:vertAlign w:val="baseline"/>
                <w:lang w:val="en-US" w:eastAsia="zh-CN"/>
              </w:rPr>
              <w:t>设备材料质量控制、施工过程质量控制等具体措施；</w:t>
            </w:r>
            <w:r>
              <w:rPr>
                <w:rFonts w:hint="eastAsia"/>
                <w:b/>
                <w:bCs/>
                <w:color w:val="auto"/>
                <w:spacing w:val="-2"/>
                <w:sz w:val="21"/>
                <w:szCs w:val="21"/>
                <w:highlight w:val="none"/>
                <w:vertAlign w:val="baseline"/>
                <w:lang w:val="en-US" w:eastAsia="zh-CN"/>
              </w:rPr>
              <w:t xml:space="preserve"> </w:t>
            </w:r>
            <w:r>
              <w:rPr>
                <w:rFonts w:hint="eastAsia"/>
                <w:b w:val="0"/>
                <w:bCs w:val="0"/>
                <w:color w:val="auto"/>
                <w:spacing w:val="-2"/>
                <w:sz w:val="21"/>
                <w:szCs w:val="21"/>
                <w:highlight w:val="none"/>
                <w:vertAlign w:val="baseline"/>
                <w:lang w:val="en-US" w:eastAsia="zh-CN"/>
              </w:rPr>
              <w:t xml:space="preserve"> (2 分)</w:t>
            </w:r>
          </w:p>
          <w:p w14:paraId="5F0AC12D">
            <w:pPr>
              <w:pStyle w:val="4"/>
              <w:widowControl w:val="0"/>
              <w:spacing w:before="102" w:line="184" w:lineRule="auto"/>
              <w:jc w:val="both"/>
              <w:rPr>
                <w:rFonts w:hint="default"/>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④ 质量保证风险预估。</w:t>
            </w:r>
            <w:r>
              <w:rPr>
                <w:rFonts w:hint="eastAsia"/>
                <w:b w:val="0"/>
                <w:bCs w:val="0"/>
                <w:color w:val="auto"/>
                <w:spacing w:val="-2"/>
                <w:sz w:val="21"/>
                <w:szCs w:val="21"/>
                <w:highlight w:val="none"/>
                <w:vertAlign w:val="baseline"/>
                <w:lang w:val="en-US" w:eastAsia="zh-CN"/>
              </w:rPr>
              <w:t>包含且不限于</w:t>
            </w:r>
            <w:r>
              <w:rPr>
                <w:rFonts w:hint="default"/>
                <w:b w:val="0"/>
                <w:bCs w:val="0"/>
                <w:color w:val="auto"/>
                <w:spacing w:val="-2"/>
                <w:sz w:val="21"/>
                <w:szCs w:val="21"/>
                <w:highlight w:val="none"/>
                <w:vertAlign w:val="baseline"/>
                <w:lang w:val="en-US" w:eastAsia="zh-CN"/>
              </w:rPr>
              <w:t>要识别项目可能面临的质量风险因素，如人员技术水平不足、设备故障、原材料质量不稳定等，并提出相应的风险应对策略。</w:t>
            </w:r>
            <w:r>
              <w:rPr>
                <w:rFonts w:hint="eastAsia"/>
                <w:b w:val="0"/>
                <w:bCs w:val="0"/>
                <w:color w:val="auto"/>
                <w:spacing w:val="-2"/>
                <w:sz w:val="21"/>
                <w:szCs w:val="21"/>
                <w:highlight w:val="none"/>
                <w:vertAlign w:val="baseline"/>
                <w:lang w:val="en-US" w:eastAsia="zh-CN"/>
              </w:rPr>
              <w:t xml:space="preserve">  (2 分)</w:t>
            </w:r>
          </w:p>
          <w:p w14:paraId="1AD53A0C">
            <w:pPr>
              <w:pStyle w:val="4"/>
              <w:widowControl w:val="0"/>
              <w:spacing w:before="102" w:line="184" w:lineRule="auto"/>
              <w:ind w:firstLine="412" w:firstLineChars="200"/>
              <w:jc w:val="both"/>
              <w:rPr>
                <w:rFonts w:hint="eastAsia"/>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以上每缺一项方案或错写一项方案扣2分，提供的方案中每有一处存在缺陷（缺陷包括：方案中内容前后不一致、前后矛盾、涉及的规范及标准错误、地点区域错误、照搬其他项目采购需求的项目概况且未针对评审细项作出进一步描述的任一情形）的扣1分，该项分值扣完为止。本项最多得8分。</w:t>
            </w:r>
          </w:p>
        </w:tc>
      </w:tr>
      <w:tr w14:paraId="03FB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11614029">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6</w:t>
            </w:r>
          </w:p>
        </w:tc>
        <w:tc>
          <w:tcPr>
            <w:tcW w:w="1081" w:type="dxa"/>
            <w:vAlign w:val="center"/>
          </w:tcPr>
          <w:p w14:paraId="7F4ED319">
            <w:pPr>
              <w:pStyle w:val="4"/>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备品备件及维修方案</w:t>
            </w:r>
          </w:p>
        </w:tc>
        <w:tc>
          <w:tcPr>
            <w:tcW w:w="945" w:type="dxa"/>
            <w:vAlign w:val="center"/>
          </w:tcPr>
          <w:p w14:paraId="179CA2BB">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3</w:t>
            </w:r>
          </w:p>
        </w:tc>
        <w:tc>
          <w:tcPr>
            <w:tcW w:w="7165" w:type="dxa"/>
            <w:vAlign w:val="center"/>
          </w:tcPr>
          <w:p w14:paraId="2B79C12E">
            <w:pPr>
              <w:pStyle w:val="4"/>
              <w:widowControl w:val="0"/>
              <w:spacing w:before="102" w:line="184" w:lineRule="auto"/>
              <w:jc w:val="both"/>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提供针对本项目制定的专项备品备件及维修方案。包含：</w:t>
            </w:r>
          </w:p>
          <w:p w14:paraId="518F38A4">
            <w:pPr>
              <w:pStyle w:val="4"/>
              <w:widowControl w:val="0"/>
              <w:spacing w:before="102" w:line="184" w:lineRule="auto"/>
              <w:jc w:val="both"/>
              <w:rPr>
                <w:rFonts w:hint="eastAsia"/>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①质保期结束后硬件设备能够提供终身维修且有明确说明的得 2 分；</w:t>
            </w:r>
          </w:p>
          <w:p w14:paraId="10028983">
            <w:pPr>
              <w:pStyle w:val="4"/>
              <w:widowControl w:val="0"/>
              <w:spacing w:before="102" w:line="184" w:lineRule="auto"/>
              <w:jc w:val="both"/>
              <w:rPr>
                <w:rFonts w:hint="eastAsia"/>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②备品备件只收取零配件费，零部件保证按采购人设备安装地市场最低价供应的得 1 分。</w:t>
            </w:r>
          </w:p>
          <w:p w14:paraId="56409878">
            <w:pPr>
              <w:pStyle w:val="4"/>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本项目最高得3分。以上内容未提供或不响应的，本项不得分。</w:t>
            </w:r>
          </w:p>
        </w:tc>
      </w:tr>
      <w:tr w14:paraId="0EDE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16" w:type="dxa"/>
            <w:vAlign w:val="center"/>
          </w:tcPr>
          <w:p w14:paraId="09AB19FF">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7</w:t>
            </w:r>
          </w:p>
        </w:tc>
        <w:tc>
          <w:tcPr>
            <w:tcW w:w="1081" w:type="dxa"/>
            <w:vAlign w:val="center"/>
          </w:tcPr>
          <w:p w14:paraId="4DF0BB02">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保修期</w:t>
            </w:r>
          </w:p>
        </w:tc>
        <w:tc>
          <w:tcPr>
            <w:tcW w:w="945" w:type="dxa"/>
            <w:vAlign w:val="center"/>
          </w:tcPr>
          <w:p w14:paraId="6ED35203">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2</w:t>
            </w:r>
          </w:p>
        </w:tc>
        <w:tc>
          <w:tcPr>
            <w:tcW w:w="7165" w:type="dxa"/>
            <w:vAlign w:val="center"/>
          </w:tcPr>
          <w:p w14:paraId="0821B4A9">
            <w:pPr>
              <w:pStyle w:val="4"/>
              <w:widowControl w:val="0"/>
              <w:spacing w:before="102" w:line="184" w:lineRule="auto"/>
              <w:jc w:val="both"/>
              <w:rPr>
                <w:rFonts w:hint="default"/>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完全满足招标文件质保期一年要求的得 1 分，优于招标文件要求的得2分。</w:t>
            </w:r>
          </w:p>
        </w:tc>
      </w:tr>
      <w:tr w14:paraId="4C12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766BD5E7">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8</w:t>
            </w:r>
          </w:p>
        </w:tc>
        <w:tc>
          <w:tcPr>
            <w:tcW w:w="1081" w:type="dxa"/>
            <w:vAlign w:val="center"/>
          </w:tcPr>
          <w:p w14:paraId="6A1D5E7B">
            <w:pPr>
              <w:pStyle w:val="4"/>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技术参数响应程度</w:t>
            </w:r>
          </w:p>
        </w:tc>
        <w:tc>
          <w:tcPr>
            <w:tcW w:w="945" w:type="dxa"/>
            <w:vAlign w:val="center"/>
          </w:tcPr>
          <w:p w14:paraId="6A58C35F">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30</w:t>
            </w:r>
          </w:p>
        </w:tc>
        <w:tc>
          <w:tcPr>
            <w:tcW w:w="7165" w:type="dxa"/>
            <w:vAlign w:val="center"/>
          </w:tcPr>
          <w:p w14:paraId="4E629732">
            <w:pPr>
              <w:pStyle w:val="4"/>
              <w:widowControl w:val="0"/>
              <w:spacing w:before="102" w:line="184" w:lineRule="auto"/>
              <w:jc w:val="both"/>
              <w:rPr>
                <w:rFonts w:hint="eastAsia"/>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①技术要求和配置完全符合招标文件要求没有负偏离得30分。</w:t>
            </w:r>
          </w:p>
          <w:p w14:paraId="1C289CC7">
            <w:pPr>
              <w:pStyle w:val="4"/>
              <w:widowControl w:val="0"/>
              <w:spacing w:before="102" w:line="184" w:lineRule="auto"/>
              <w:jc w:val="both"/>
              <w:rPr>
                <w:rFonts w:hint="eastAsia"/>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②未标注“*</w:t>
            </w:r>
            <w:r>
              <w:rPr>
                <w:rFonts w:hint="eastAsia"/>
                <w:b/>
                <w:bCs/>
                <w:color w:val="auto"/>
                <w:spacing w:val="-2"/>
                <w:sz w:val="21"/>
                <w:szCs w:val="21"/>
                <w:highlight w:val="none"/>
                <w:vertAlign w:val="baseline"/>
                <w:lang w:val="en-US" w:eastAsia="zh-CN"/>
              </w:rPr>
              <w:t>”技术要求及参数每有一条负偏离或不满足的扣1分，扣完为止。</w:t>
            </w:r>
            <w:bookmarkStart w:id="53" w:name="_GoBack"/>
            <w:bookmarkEnd w:id="53"/>
          </w:p>
          <w:p w14:paraId="08001B7B">
            <w:pPr>
              <w:pStyle w:val="4"/>
              <w:widowControl w:val="0"/>
              <w:spacing w:before="102" w:line="184" w:lineRule="auto"/>
              <w:jc w:val="both"/>
              <w:rPr>
                <w:rFonts w:hint="eastAsia"/>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③“*</w:t>
            </w:r>
            <w:r>
              <w:rPr>
                <w:rFonts w:hint="eastAsia"/>
                <w:b/>
                <w:bCs/>
                <w:color w:val="auto"/>
                <w:spacing w:val="-2"/>
                <w:sz w:val="21"/>
                <w:szCs w:val="21"/>
                <w:highlight w:val="none"/>
                <w:vertAlign w:val="baseline"/>
                <w:lang w:val="en-US" w:eastAsia="zh-CN"/>
              </w:rPr>
              <w:t>”号表示核心产品，所有参数需全部响应，偏离表中未响应或负偏离作废标处理。</w:t>
            </w:r>
          </w:p>
          <w:p w14:paraId="0AC01B17">
            <w:pPr>
              <w:pStyle w:val="4"/>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注：为确保投标产品参数的真实性、有效性，投标人须提供所投产品技术参数的响应材料，响应材料包含但不限于公开网站截图或公开印刷材料或检测报告或生产厂家提供的有关资料等，所提供的材料不能体现技术参数响应的或提供不全的或未提供的视为负偏离。</w:t>
            </w:r>
          </w:p>
        </w:tc>
      </w:tr>
      <w:tr w14:paraId="55DC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1994BA1B">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9</w:t>
            </w:r>
          </w:p>
        </w:tc>
        <w:tc>
          <w:tcPr>
            <w:tcW w:w="1081" w:type="dxa"/>
            <w:vAlign w:val="center"/>
          </w:tcPr>
          <w:p w14:paraId="6C20F02D">
            <w:pPr>
              <w:pStyle w:val="4"/>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项目实施方案</w:t>
            </w:r>
          </w:p>
        </w:tc>
        <w:tc>
          <w:tcPr>
            <w:tcW w:w="945" w:type="dxa"/>
            <w:vAlign w:val="center"/>
          </w:tcPr>
          <w:p w14:paraId="3A6CAD0A">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8</w:t>
            </w:r>
          </w:p>
        </w:tc>
        <w:tc>
          <w:tcPr>
            <w:tcW w:w="7165" w:type="dxa"/>
            <w:vAlign w:val="center"/>
          </w:tcPr>
          <w:p w14:paraId="12010C18">
            <w:pPr>
              <w:pStyle w:val="4"/>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投标人提供本项目的实施方案。包含:</w:t>
            </w:r>
          </w:p>
          <w:p w14:paraId="1E0DB580">
            <w:pPr>
              <w:pStyle w:val="4"/>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① 项目实施目标明确。</w:t>
            </w:r>
            <w:r>
              <w:rPr>
                <w:rFonts w:hint="eastAsia"/>
                <w:b w:val="0"/>
                <w:bCs w:val="0"/>
                <w:color w:val="auto"/>
                <w:spacing w:val="-2"/>
                <w:sz w:val="21"/>
                <w:szCs w:val="21"/>
                <w:highlight w:val="none"/>
                <w:vertAlign w:val="baseline"/>
                <w:lang w:val="en-US" w:eastAsia="zh-CN"/>
              </w:rPr>
              <w:t>包含且不限于</w:t>
            </w:r>
            <w:r>
              <w:rPr>
                <w:rFonts w:hint="default"/>
                <w:b w:val="0"/>
                <w:bCs w:val="0"/>
                <w:color w:val="auto"/>
                <w:spacing w:val="-2"/>
                <w:sz w:val="21"/>
                <w:szCs w:val="21"/>
                <w:highlight w:val="none"/>
                <w:vertAlign w:val="baseline"/>
                <w:lang w:val="en-US" w:eastAsia="zh-CN"/>
              </w:rPr>
              <w:t>清晰阐述项目实施要达成的具体成果、效益目标等，如项目完成后的产品质量标准、生产效率提升指标等。</w:t>
            </w:r>
            <w:r>
              <w:rPr>
                <w:rFonts w:hint="eastAsia"/>
                <w:b w:val="0"/>
                <w:bCs w:val="0"/>
                <w:color w:val="auto"/>
                <w:spacing w:val="-2"/>
                <w:sz w:val="21"/>
                <w:szCs w:val="21"/>
                <w:highlight w:val="none"/>
                <w:vertAlign w:val="baseline"/>
                <w:lang w:val="en-US" w:eastAsia="zh-CN"/>
              </w:rPr>
              <w:t xml:space="preserve"> （1 分）</w:t>
            </w:r>
          </w:p>
          <w:p w14:paraId="3EC18F09">
            <w:pPr>
              <w:pStyle w:val="4"/>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② 项目资源合理规划。</w:t>
            </w:r>
            <w:r>
              <w:rPr>
                <w:rFonts w:hint="eastAsia"/>
                <w:b w:val="0"/>
                <w:bCs w:val="0"/>
                <w:color w:val="auto"/>
                <w:spacing w:val="-2"/>
                <w:sz w:val="21"/>
                <w:szCs w:val="21"/>
                <w:highlight w:val="none"/>
                <w:vertAlign w:val="baseline"/>
                <w:lang w:val="en-US" w:eastAsia="zh-CN"/>
              </w:rPr>
              <w:t>包含且不限于</w:t>
            </w:r>
            <w:r>
              <w:rPr>
                <w:rFonts w:hint="default"/>
                <w:b w:val="0"/>
                <w:bCs w:val="0"/>
                <w:color w:val="auto"/>
                <w:spacing w:val="-2"/>
                <w:sz w:val="21"/>
                <w:szCs w:val="21"/>
                <w:highlight w:val="none"/>
                <w:vertAlign w:val="baseline"/>
                <w:lang w:val="en-US" w:eastAsia="zh-CN"/>
              </w:rPr>
              <w:t>人力资源规划，明确各岗位人员数量、职责、到岗时间；物资资源规划，列出所需设备、材料的清单、规格、采购时间节点等；资金资源规划，制定项目预算明细、资金使用计划等。</w:t>
            </w:r>
            <w:r>
              <w:rPr>
                <w:rFonts w:hint="eastAsia"/>
                <w:b w:val="0"/>
                <w:bCs w:val="0"/>
                <w:color w:val="auto"/>
                <w:spacing w:val="-2"/>
                <w:sz w:val="21"/>
                <w:szCs w:val="21"/>
                <w:highlight w:val="none"/>
                <w:vertAlign w:val="baseline"/>
                <w:lang w:val="en-US" w:eastAsia="zh-CN"/>
              </w:rPr>
              <w:t xml:space="preserve"> （1 分）</w:t>
            </w:r>
          </w:p>
          <w:p w14:paraId="6CC4C629">
            <w:pPr>
              <w:pStyle w:val="4"/>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 xml:space="preserve">③ </w:t>
            </w:r>
            <w:r>
              <w:rPr>
                <w:rFonts w:hint="eastAsia"/>
                <w:b/>
                <w:bCs/>
                <w:color w:val="auto"/>
                <w:spacing w:val="-2"/>
                <w:sz w:val="21"/>
                <w:szCs w:val="21"/>
                <w:highlight w:val="none"/>
                <w:vertAlign w:val="baseline"/>
                <w:lang w:val="en-US" w:eastAsia="zh-CN"/>
              </w:rPr>
              <w:t>项目组织方案逻辑清晰、完整详实。</w:t>
            </w:r>
            <w:r>
              <w:rPr>
                <w:rFonts w:hint="eastAsia"/>
                <w:b w:val="0"/>
                <w:bCs w:val="0"/>
                <w:color w:val="auto"/>
                <w:spacing w:val="-2"/>
                <w:sz w:val="21"/>
                <w:szCs w:val="21"/>
                <w:highlight w:val="none"/>
                <w:vertAlign w:val="baseline"/>
                <w:lang w:val="en-US" w:eastAsia="zh-CN"/>
              </w:rPr>
              <w:t>包含且不限于</w:t>
            </w:r>
            <w:r>
              <w:rPr>
                <w:rFonts w:hint="default"/>
                <w:b w:val="0"/>
                <w:bCs w:val="0"/>
                <w:color w:val="auto"/>
                <w:spacing w:val="-2"/>
                <w:sz w:val="21"/>
                <w:szCs w:val="21"/>
                <w:highlight w:val="none"/>
                <w:vertAlign w:val="baseline"/>
                <w:lang w:val="en-US" w:eastAsia="zh-CN"/>
              </w:rPr>
              <w:t>项目组织架构应明确各部门或团队的设置、职责分工及相互关系；工作流程应详细描述项目从启动到结束的各个阶段工作步骤、先后顺序及衔接关系。</w:t>
            </w:r>
            <w:r>
              <w:rPr>
                <w:rFonts w:hint="eastAsia"/>
                <w:b w:val="0"/>
                <w:bCs w:val="0"/>
                <w:color w:val="auto"/>
                <w:spacing w:val="-2"/>
                <w:sz w:val="21"/>
                <w:szCs w:val="21"/>
                <w:highlight w:val="none"/>
                <w:vertAlign w:val="baseline"/>
                <w:lang w:val="en-US" w:eastAsia="zh-CN"/>
              </w:rPr>
              <w:t xml:space="preserve"> （1 分）</w:t>
            </w:r>
          </w:p>
          <w:p w14:paraId="7DC424FA">
            <w:pPr>
              <w:pStyle w:val="4"/>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④</w:t>
            </w:r>
            <w:r>
              <w:rPr>
                <w:rFonts w:hint="eastAsia"/>
                <w:b/>
                <w:bCs/>
                <w:color w:val="auto"/>
                <w:spacing w:val="-2"/>
                <w:sz w:val="21"/>
                <w:szCs w:val="21"/>
                <w:highlight w:val="none"/>
                <w:vertAlign w:val="baseline"/>
                <w:lang w:val="en-US" w:eastAsia="zh-CN"/>
              </w:rPr>
              <w:t xml:space="preserve"> 对项目有合理化建议。</w:t>
            </w:r>
            <w:r>
              <w:rPr>
                <w:rFonts w:hint="eastAsia"/>
                <w:b w:val="0"/>
                <w:bCs w:val="0"/>
                <w:color w:val="auto"/>
                <w:spacing w:val="-2"/>
                <w:sz w:val="21"/>
                <w:szCs w:val="21"/>
                <w:highlight w:val="none"/>
                <w:vertAlign w:val="baseline"/>
                <w:lang w:val="en-US" w:eastAsia="zh-CN"/>
              </w:rPr>
              <w:t>包含且不限于</w:t>
            </w:r>
            <w:r>
              <w:rPr>
                <w:rFonts w:hint="default"/>
                <w:b w:val="0"/>
                <w:bCs w:val="0"/>
                <w:color w:val="auto"/>
                <w:spacing w:val="-2"/>
                <w:sz w:val="21"/>
                <w:szCs w:val="21"/>
                <w:highlight w:val="none"/>
                <w:vertAlign w:val="baseline"/>
                <w:lang w:val="en-US" w:eastAsia="zh-CN"/>
              </w:rPr>
              <w:t>建议应基于项目实际情况，具有针对性和可操作性，如提出优化项目流程、降低成本、提高质量的具体措施。</w:t>
            </w:r>
            <w:r>
              <w:rPr>
                <w:rFonts w:hint="eastAsia"/>
                <w:b w:val="0"/>
                <w:bCs w:val="0"/>
                <w:color w:val="auto"/>
                <w:spacing w:val="-2"/>
                <w:sz w:val="21"/>
                <w:szCs w:val="21"/>
                <w:highlight w:val="none"/>
                <w:vertAlign w:val="baseline"/>
                <w:lang w:val="en-US" w:eastAsia="zh-CN"/>
              </w:rPr>
              <w:t xml:space="preserve"> （1 分）</w:t>
            </w:r>
          </w:p>
          <w:p w14:paraId="1DAE2652">
            <w:pPr>
              <w:pStyle w:val="4"/>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⑤ 项目实施准备计划、工期安排计划明确，提供专项的工期保证措施和体系。</w:t>
            </w:r>
            <w:r>
              <w:rPr>
                <w:rFonts w:hint="eastAsia"/>
                <w:b w:val="0"/>
                <w:bCs w:val="0"/>
                <w:color w:val="auto"/>
                <w:spacing w:val="-2"/>
                <w:sz w:val="21"/>
                <w:szCs w:val="21"/>
                <w:highlight w:val="none"/>
                <w:vertAlign w:val="baseline"/>
                <w:lang w:val="en-US" w:eastAsia="zh-CN"/>
              </w:rPr>
              <w:t>包含且不限于</w:t>
            </w:r>
            <w:r>
              <w:rPr>
                <w:rFonts w:hint="default"/>
                <w:b w:val="0"/>
                <w:bCs w:val="0"/>
                <w:color w:val="auto"/>
                <w:spacing w:val="-2"/>
                <w:sz w:val="21"/>
                <w:szCs w:val="21"/>
                <w:highlight w:val="none"/>
                <w:vertAlign w:val="baseline"/>
                <w:lang w:val="en-US" w:eastAsia="zh-CN"/>
              </w:rPr>
              <w:t>实施准备计划需涵盖技术准备、现场准备、人员准备等方面的内容；工期安排计划</w:t>
            </w:r>
            <w:r>
              <w:rPr>
                <w:rFonts w:hint="eastAsia"/>
                <w:b w:val="0"/>
                <w:bCs w:val="0"/>
                <w:color w:val="auto"/>
                <w:spacing w:val="-2"/>
                <w:sz w:val="21"/>
                <w:szCs w:val="21"/>
                <w:highlight w:val="none"/>
                <w:vertAlign w:val="baseline"/>
                <w:lang w:val="en-US" w:eastAsia="zh-CN"/>
              </w:rPr>
              <w:t>可</w:t>
            </w:r>
            <w:r>
              <w:rPr>
                <w:rFonts w:hint="default"/>
                <w:b w:val="0"/>
                <w:bCs w:val="0"/>
                <w:color w:val="auto"/>
                <w:spacing w:val="-2"/>
                <w:sz w:val="21"/>
                <w:szCs w:val="21"/>
                <w:highlight w:val="none"/>
                <w:vertAlign w:val="baseline"/>
                <w:lang w:val="en-US" w:eastAsia="zh-CN"/>
              </w:rPr>
              <w:t>绘制详细的甘特图或网络图，明确各关键工作</w:t>
            </w:r>
            <w:r>
              <w:rPr>
                <w:rFonts w:hint="eastAsia"/>
                <w:b w:val="0"/>
                <w:bCs w:val="0"/>
                <w:color w:val="auto"/>
                <w:spacing w:val="-2"/>
                <w:sz w:val="21"/>
                <w:szCs w:val="21"/>
                <w:highlight w:val="none"/>
                <w:vertAlign w:val="baseline"/>
                <w:lang w:val="en-US" w:eastAsia="zh-CN"/>
              </w:rPr>
              <w:t>设备</w:t>
            </w:r>
            <w:r>
              <w:rPr>
                <w:rFonts w:hint="default"/>
                <w:b w:val="0"/>
                <w:bCs w:val="0"/>
                <w:color w:val="auto"/>
                <w:spacing w:val="-2"/>
                <w:sz w:val="21"/>
                <w:szCs w:val="21"/>
                <w:highlight w:val="none"/>
                <w:vertAlign w:val="baseline"/>
                <w:lang w:val="en-US" w:eastAsia="zh-CN"/>
              </w:rPr>
              <w:t>的开始时间、结束时间；工期保证措施和体系应包括人员保障、设备保障、材料供应保障、技术保障、进度监控与调整机制等。</w:t>
            </w:r>
            <w:r>
              <w:rPr>
                <w:rFonts w:hint="eastAsia"/>
                <w:b w:val="0"/>
                <w:bCs w:val="0"/>
                <w:color w:val="auto"/>
                <w:spacing w:val="-2"/>
                <w:sz w:val="21"/>
                <w:szCs w:val="21"/>
                <w:highlight w:val="none"/>
                <w:vertAlign w:val="baseline"/>
                <w:lang w:val="en-US" w:eastAsia="zh-CN"/>
              </w:rPr>
              <w:t xml:space="preserve"> （1 分）</w:t>
            </w:r>
          </w:p>
          <w:p w14:paraId="386F04B8">
            <w:pPr>
              <w:pStyle w:val="4"/>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⑥  关键阶段时间节点安排合理。</w:t>
            </w:r>
            <w:r>
              <w:rPr>
                <w:rFonts w:hint="eastAsia"/>
                <w:b w:val="0"/>
                <w:bCs w:val="0"/>
                <w:color w:val="auto"/>
                <w:spacing w:val="-2"/>
                <w:sz w:val="21"/>
                <w:szCs w:val="21"/>
                <w:highlight w:val="none"/>
                <w:vertAlign w:val="baseline"/>
                <w:lang w:val="en-US" w:eastAsia="zh-CN"/>
              </w:rPr>
              <w:t>包含且不限于</w:t>
            </w:r>
            <w:r>
              <w:rPr>
                <w:rFonts w:hint="default"/>
                <w:b w:val="0"/>
                <w:bCs w:val="0"/>
                <w:color w:val="auto"/>
                <w:spacing w:val="-2"/>
                <w:sz w:val="21"/>
                <w:szCs w:val="21"/>
                <w:highlight w:val="none"/>
                <w:vertAlign w:val="baseline"/>
                <w:lang w:val="en-US" w:eastAsia="zh-CN"/>
              </w:rPr>
              <w:t>依据项目的技术难度、资源配置情况等，合理确定项目启动、采购、施工、调试、</w:t>
            </w:r>
            <w:r>
              <w:rPr>
                <w:rFonts w:hint="eastAsia"/>
                <w:b w:val="0"/>
                <w:bCs w:val="0"/>
                <w:color w:val="auto"/>
                <w:spacing w:val="-2"/>
                <w:sz w:val="21"/>
                <w:szCs w:val="21"/>
                <w:highlight w:val="none"/>
                <w:vertAlign w:val="baseline"/>
                <w:lang w:val="en-US" w:eastAsia="zh-CN"/>
              </w:rPr>
              <w:t>培训、</w:t>
            </w:r>
            <w:r>
              <w:rPr>
                <w:rFonts w:hint="default"/>
                <w:b w:val="0"/>
                <w:bCs w:val="0"/>
                <w:color w:val="auto"/>
                <w:spacing w:val="-2"/>
                <w:sz w:val="21"/>
                <w:szCs w:val="21"/>
                <w:highlight w:val="none"/>
                <w:vertAlign w:val="baseline"/>
                <w:lang w:val="en-US" w:eastAsia="zh-CN"/>
              </w:rPr>
              <w:t>验收等关键阶段的时间节点，确保各阶段之间紧密衔接且符合项目整体进度要求。</w:t>
            </w:r>
            <w:r>
              <w:rPr>
                <w:rFonts w:hint="eastAsia"/>
                <w:b w:val="0"/>
                <w:bCs w:val="0"/>
                <w:color w:val="auto"/>
                <w:spacing w:val="-2"/>
                <w:sz w:val="21"/>
                <w:szCs w:val="21"/>
                <w:highlight w:val="none"/>
                <w:vertAlign w:val="baseline"/>
                <w:lang w:val="en-US" w:eastAsia="zh-CN"/>
              </w:rPr>
              <w:t xml:space="preserve"> （1 分）</w:t>
            </w:r>
          </w:p>
          <w:p w14:paraId="28DB3DCA">
            <w:pPr>
              <w:pStyle w:val="4"/>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 xml:space="preserve"> ⑦ 产品测试和验收有详细说明，明确验收标准及流程。</w:t>
            </w:r>
            <w:r>
              <w:rPr>
                <w:rFonts w:hint="eastAsia"/>
                <w:b w:val="0"/>
                <w:bCs w:val="0"/>
                <w:color w:val="auto"/>
                <w:spacing w:val="-2"/>
                <w:sz w:val="21"/>
                <w:szCs w:val="21"/>
                <w:highlight w:val="none"/>
                <w:vertAlign w:val="baseline"/>
                <w:lang w:val="en-US" w:eastAsia="zh-CN"/>
              </w:rPr>
              <w:t>包含且不限于</w:t>
            </w:r>
            <w:r>
              <w:rPr>
                <w:rFonts w:hint="default"/>
                <w:b w:val="0"/>
                <w:bCs w:val="0"/>
                <w:color w:val="auto"/>
                <w:spacing w:val="-2"/>
                <w:sz w:val="21"/>
                <w:szCs w:val="21"/>
                <w:highlight w:val="none"/>
                <w:vertAlign w:val="baseline"/>
                <w:lang w:val="en-US" w:eastAsia="zh-CN"/>
              </w:rPr>
              <w:t>产品测试应包括</w:t>
            </w:r>
            <w:r>
              <w:rPr>
                <w:rFonts w:hint="eastAsia"/>
                <w:b w:val="0"/>
                <w:bCs w:val="0"/>
                <w:color w:val="auto"/>
                <w:spacing w:val="-2"/>
                <w:sz w:val="21"/>
                <w:szCs w:val="21"/>
                <w:highlight w:val="none"/>
                <w:vertAlign w:val="baseline"/>
                <w:lang w:val="en-US" w:eastAsia="zh-CN"/>
              </w:rPr>
              <w:t>但不限于</w:t>
            </w:r>
            <w:r>
              <w:rPr>
                <w:rFonts w:hint="default"/>
                <w:b w:val="0"/>
                <w:bCs w:val="0"/>
                <w:color w:val="auto"/>
                <w:spacing w:val="-2"/>
                <w:sz w:val="21"/>
                <w:szCs w:val="21"/>
                <w:highlight w:val="none"/>
                <w:vertAlign w:val="baseline"/>
                <w:lang w:val="en-US" w:eastAsia="zh-CN"/>
              </w:rPr>
              <w:t>测试方案、测试方法、测试环境、测试人员、测试报告等内容；验收标准应依据相关国家标准、行业标准及项目合同要求制定详细的量化指标；验收流程应明确验收申请、验收组织、验收程序、验收结果判定等环节。</w:t>
            </w:r>
            <w:r>
              <w:rPr>
                <w:rFonts w:hint="eastAsia"/>
                <w:b w:val="0"/>
                <w:bCs w:val="0"/>
                <w:color w:val="auto"/>
                <w:spacing w:val="-2"/>
                <w:sz w:val="21"/>
                <w:szCs w:val="21"/>
                <w:highlight w:val="none"/>
                <w:vertAlign w:val="baseline"/>
                <w:lang w:val="en-US" w:eastAsia="zh-CN"/>
              </w:rPr>
              <w:t xml:space="preserve"> （1 分）</w:t>
            </w:r>
          </w:p>
          <w:p w14:paraId="0EBEEF1C">
            <w:pPr>
              <w:pStyle w:val="4"/>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⑧ 设备包装、装卸、运输等方案有详细说明，有响应保护措施。</w:t>
            </w:r>
            <w:r>
              <w:rPr>
                <w:rFonts w:hint="eastAsia"/>
                <w:b w:val="0"/>
                <w:bCs w:val="0"/>
                <w:color w:val="auto"/>
                <w:spacing w:val="-2"/>
                <w:sz w:val="21"/>
                <w:szCs w:val="21"/>
                <w:highlight w:val="none"/>
                <w:vertAlign w:val="baseline"/>
                <w:lang w:val="en-US" w:eastAsia="zh-CN"/>
              </w:rPr>
              <w:t>包含且不限于</w:t>
            </w:r>
            <w:r>
              <w:rPr>
                <w:rFonts w:hint="default"/>
                <w:b w:val="0"/>
                <w:bCs w:val="0"/>
                <w:color w:val="auto"/>
                <w:spacing w:val="-2"/>
                <w:sz w:val="21"/>
                <w:szCs w:val="21"/>
                <w:highlight w:val="none"/>
                <w:vertAlign w:val="baseline"/>
                <w:lang w:val="en-US" w:eastAsia="zh-CN"/>
              </w:rPr>
              <w:t>设备包装方案应描述包装材料、包装方式、包装标识等；装卸方案应明确装卸设备、装卸操作流程、安全注意事项；运输方案应包括运输方式选择、运输路线规划、运输时间安排；保护措施应针对设备在包装、装卸、运输过程中可能面临的碰撞、震动、潮湿等风险，提出具体的防护方法。</w:t>
            </w:r>
            <w:r>
              <w:rPr>
                <w:rFonts w:hint="eastAsia"/>
                <w:b w:val="0"/>
                <w:bCs w:val="0"/>
                <w:color w:val="auto"/>
                <w:spacing w:val="-2"/>
                <w:sz w:val="21"/>
                <w:szCs w:val="21"/>
                <w:highlight w:val="none"/>
                <w:vertAlign w:val="baseline"/>
                <w:lang w:val="en-US" w:eastAsia="zh-CN"/>
              </w:rPr>
              <w:t xml:space="preserve"> （1 分）</w:t>
            </w:r>
          </w:p>
          <w:p w14:paraId="586FFCC1">
            <w:pPr>
              <w:pStyle w:val="4"/>
              <w:widowControl w:val="0"/>
              <w:spacing w:before="102" w:line="184" w:lineRule="auto"/>
              <w:ind w:firstLine="412" w:firstLineChars="200"/>
              <w:jc w:val="both"/>
              <w:rPr>
                <w:rFonts w:hint="eastAsia"/>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每缺一项方案或错写一项方案扣1分，提供的方案中每有一处存在缺陷（缺陷包括：方案中内容前后不一致、前后矛盾、涉及的规范及标准错误、地点区域错误、照搬其他项目采购需求的项目概况且未针对评审细项作出进一步描述的任一情形）的扣1分，该项分值扣完为止。本项最多得8分。</w:t>
            </w:r>
          </w:p>
        </w:tc>
      </w:tr>
      <w:tr w14:paraId="5196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7" w:type="dxa"/>
            <w:gridSpan w:val="4"/>
            <w:vAlign w:val="center"/>
          </w:tcPr>
          <w:p w14:paraId="5675BE1F">
            <w:pPr>
              <w:pStyle w:val="4"/>
              <w:widowControl w:val="0"/>
              <w:spacing w:before="102" w:line="184" w:lineRule="auto"/>
              <w:jc w:val="both"/>
              <w:rPr>
                <w:rFonts w:hint="eastAsia"/>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注：</w:t>
            </w:r>
          </w:p>
          <w:p w14:paraId="2677A46F">
            <w:pPr>
              <w:pStyle w:val="4"/>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1、本项所称“瑕疵或缺陷”是指方案非专门针对本项目或不适用本项目特性、实际情况不符或不适用； 存在与项目无关的文字内容、内容原理错误、对采购需求理解缺位混乱、套用其他项目内容；对同一问题 前后表述矛盾；存在逻辑漏洞、科学原理或常识错误； 引用的规定、规范错误；内容描述不符合国家相关 法律法规、政策文件、规范标准要求；不利于本项目目标的实现、现有技术条件下不可能出现的情形等任 意一种情形。</w:t>
            </w:r>
          </w:p>
        </w:tc>
      </w:tr>
    </w:tbl>
    <w:p w14:paraId="6F71C8E9">
      <w:pPr>
        <w:rPr>
          <w:rFonts w:hint="eastAsia" w:ascii="新宋体" w:hAnsi="新宋体" w:eastAsia="新宋体" w:cs="新宋体"/>
          <w:snapToGrid w:val="0"/>
          <w:color w:val="auto"/>
          <w:spacing w:val="-4"/>
          <w:kern w:val="0"/>
          <w:sz w:val="21"/>
          <w:szCs w:val="21"/>
          <w:highlight w:val="none"/>
          <w:lang w:val="en-US" w:eastAsia="en-US" w:bidi="ar-SA"/>
        </w:rPr>
      </w:pPr>
    </w:p>
    <w:p w14:paraId="2F9814D8">
      <w:pPr>
        <w:spacing w:before="78" w:line="350" w:lineRule="auto"/>
        <w:ind w:right="39" w:firstLine="476" w:firstLineChars="200"/>
        <w:jc w:val="both"/>
        <w:rPr>
          <w:rFonts w:hint="eastAsia" w:ascii="新宋体" w:hAnsi="新宋体" w:eastAsia="新宋体" w:cs="新宋体"/>
          <w:color w:val="auto"/>
          <w:spacing w:val="-1"/>
          <w:sz w:val="24"/>
          <w:szCs w:val="24"/>
          <w:highlight w:val="none"/>
          <w:lang w:val="en-US" w:eastAsia="en-US"/>
        </w:rPr>
      </w:pPr>
      <w:r>
        <w:rPr>
          <w:rFonts w:hint="eastAsia" w:ascii="新宋体" w:hAnsi="新宋体" w:eastAsia="新宋体" w:cs="新宋体"/>
          <w:color w:val="auto"/>
          <w:spacing w:val="-1"/>
          <w:sz w:val="24"/>
          <w:szCs w:val="24"/>
          <w:highlight w:val="none"/>
          <w:lang w:val="en-US" w:eastAsia="en-US"/>
        </w:rPr>
        <w:t>注：评标总得分=F1+F2+…+Fn</w:t>
      </w:r>
    </w:p>
    <w:p w14:paraId="23D9A9A3">
      <w:pPr>
        <w:spacing w:before="78" w:line="350" w:lineRule="auto"/>
        <w:ind w:right="39" w:firstLine="476" w:firstLineChars="200"/>
        <w:jc w:val="both"/>
        <w:rPr>
          <w:rFonts w:hint="eastAsia" w:ascii="新宋体" w:hAnsi="新宋体" w:eastAsia="新宋体" w:cs="新宋体"/>
          <w:color w:val="auto"/>
          <w:spacing w:val="-1"/>
          <w:sz w:val="24"/>
          <w:szCs w:val="24"/>
          <w:highlight w:val="none"/>
          <w:lang w:val="en-US" w:eastAsia="en-US"/>
        </w:rPr>
      </w:pPr>
      <w:r>
        <w:rPr>
          <w:rFonts w:hint="eastAsia" w:ascii="新宋体" w:hAnsi="新宋体" w:eastAsia="新宋体" w:cs="新宋体"/>
          <w:color w:val="auto"/>
          <w:spacing w:val="-1"/>
          <w:sz w:val="24"/>
          <w:szCs w:val="24"/>
          <w:highlight w:val="none"/>
          <w:lang w:val="en-US" w:eastAsia="en-US"/>
        </w:rPr>
        <w:t>F1、F2...分别为各项评审因素得分：</w:t>
      </w:r>
    </w:p>
    <w:p w14:paraId="019360D1">
      <w:pPr>
        <w:spacing w:before="78" w:line="350" w:lineRule="auto"/>
        <w:ind w:right="39" w:firstLine="476" w:firstLineChars="200"/>
        <w:jc w:val="both"/>
        <w:rPr>
          <w:rFonts w:hint="eastAsia" w:ascii="新宋体" w:hAnsi="新宋体" w:eastAsia="新宋体" w:cs="新宋体"/>
          <w:color w:val="auto"/>
          <w:spacing w:val="-1"/>
          <w:sz w:val="24"/>
          <w:szCs w:val="24"/>
          <w:highlight w:val="none"/>
          <w:lang w:val="en-US" w:eastAsia="en-US"/>
        </w:rPr>
      </w:pPr>
      <w:r>
        <w:rPr>
          <w:rFonts w:hint="eastAsia" w:ascii="新宋体" w:hAnsi="新宋体" w:eastAsia="新宋体" w:cs="新宋体"/>
          <w:color w:val="auto"/>
          <w:spacing w:val="-1"/>
          <w:sz w:val="24"/>
          <w:szCs w:val="24"/>
          <w:highlight w:val="none"/>
          <w:lang w:val="en-US" w:eastAsia="en-US"/>
        </w:rPr>
        <w:t>评标过程中，不得去掉报价中的最高报价和最低报价。</w:t>
      </w:r>
    </w:p>
    <w:p w14:paraId="1CA6CC5E">
      <w:pPr>
        <w:spacing w:before="78" w:line="350" w:lineRule="auto"/>
        <w:ind w:right="39" w:firstLine="476" w:firstLineChars="200"/>
        <w:jc w:val="both"/>
        <w:rPr>
          <w:rFonts w:hint="eastAsia" w:ascii="新宋体" w:hAnsi="新宋体" w:eastAsia="新宋体" w:cs="新宋体"/>
          <w:color w:val="auto"/>
          <w:spacing w:val="-1"/>
          <w:sz w:val="24"/>
          <w:szCs w:val="24"/>
          <w:highlight w:val="none"/>
          <w:lang w:val="en-US" w:eastAsia="en-US"/>
        </w:rPr>
      </w:pPr>
      <w:r>
        <w:rPr>
          <w:rFonts w:hint="eastAsia" w:ascii="新宋体" w:hAnsi="新宋体" w:eastAsia="新宋体" w:cs="新宋体"/>
          <w:color w:val="auto"/>
          <w:spacing w:val="-1"/>
          <w:sz w:val="24"/>
          <w:szCs w:val="24"/>
          <w:highlight w:val="none"/>
          <w:lang w:val="en-US" w:eastAsia="en-US"/>
        </w:rPr>
        <w:t>因落实政府政策进行价格调整，以调整后的价格计算评标基准价和投标报价。</w:t>
      </w:r>
    </w:p>
    <w:p w14:paraId="64D33704">
      <w:pPr>
        <w:spacing w:before="78" w:line="350" w:lineRule="auto"/>
        <w:ind w:right="39" w:firstLine="476" w:firstLineChars="200"/>
        <w:jc w:val="both"/>
        <w:rPr>
          <w:rFonts w:hint="eastAsia" w:ascii="新宋体" w:hAnsi="新宋体" w:eastAsia="新宋体" w:cs="新宋体"/>
          <w:color w:val="auto"/>
          <w:spacing w:val="-1"/>
          <w:sz w:val="24"/>
          <w:szCs w:val="24"/>
          <w:highlight w:val="none"/>
          <w:lang w:val="en-US" w:eastAsia="en-US"/>
        </w:rPr>
      </w:pPr>
      <w:r>
        <w:rPr>
          <w:rFonts w:hint="eastAsia" w:ascii="新宋体" w:hAnsi="新宋体" w:eastAsia="新宋体" w:cs="新宋体"/>
          <w:color w:val="auto"/>
          <w:spacing w:val="-1"/>
          <w:sz w:val="24"/>
          <w:szCs w:val="24"/>
          <w:highlight w:val="none"/>
          <w:lang w:val="en-US" w:eastAsia="en-US"/>
        </w:rPr>
        <w:t>推荐原则：评标委员会评审后，按照综合得分由高到低顺序推荐三位中标候选人。投标人的综合得分若相同，以投标报价低者顺序在先。</w:t>
      </w:r>
    </w:p>
    <w:p w14:paraId="617A7C5D">
      <w:pPr>
        <w:spacing w:before="78" w:line="350" w:lineRule="auto"/>
        <w:ind w:right="39" w:firstLine="476" w:firstLineChars="200"/>
        <w:jc w:val="both"/>
        <w:rPr>
          <w:rFonts w:hint="eastAsia" w:ascii="新宋体" w:hAnsi="新宋体" w:eastAsia="新宋体" w:cs="新宋体"/>
          <w:color w:val="auto"/>
          <w:spacing w:val="-1"/>
          <w:sz w:val="24"/>
          <w:szCs w:val="24"/>
          <w:highlight w:val="none"/>
          <w:lang w:val="en-US" w:eastAsia="en-US"/>
        </w:rPr>
      </w:pPr>
      <w:r>
        <w:rPr>
          <w:rFonts w:hint="eastAsia" w:ascii="新宋体" w:hAnsi="新宋体" w:eastAsia="新宋体" w:cs="新宋体"/>
          <w:color w:val="auto"/>
          <w:spacing w:val="-1"/>
          <w:sz w:val="24"/>
          <w:szCs w:val="24"/>
          <w:highlight w:val="none"/>
          <w:lang w:val="en-US" w:eastAsia="en-US"/>
        </w:rPr>
        <w:t>注：1、经济标：得分分值由评标委员会汇总，汇总结果由评标委员会复核确认。</w:t>
      </w:r>
    </w:p>
    <w:p w14:paraId="1275D22F">
      <w:pPr>
        <w:spacing w:before="78" w:line="350" w:lineRule="auto"/>
        <w:ind w:right="39" w:firstLine="476" w:firstLineChars="200"/>
        <w:jc w:val="both"/>
        <w:rPr>
          <w:rFonts w:hint="eastAsia" w:ascii="新宋体" w:hAnsi="新宋体" w:eastAsia="新宋体" w:cs="新宋体"/>
          <w:color w:val="auto"/>
          <w:spacing w:val="-1"/>
          <w:sz w:val="24"/>
          <w:szCs w:val="24"/>
          <w:highlight w:val="none"/>
          <w:lang w:val="en-US" w:eastAsia="en-US"/>
        </w:rPr>
      </w:pPr>
      <w:r>
        <w:rPr>
          <w:rFonts w:hint="eastAsia" w:ascii="新宋体" w:hAnsi="新宋体" w:eastAsia="新宋体" w:cs="新宋体"/>
          <w:color w:val="auto"/>
          <w:spacing w:val="-1"/>
          <w:sz w:val="24"/>
          <w:szCs w:val="24"/>
          <w:highlight w:val="none"/>
          <w:lang w:val="en-US" w:eastAsia="en-US"/>
        </w:rPr>
        <w:t>2、评标委员会按技术、商务和综合三项得分之和从高到低按顺序推荐三名中标候选投标人。</w:t>
      </w:r>
    </w:p>
    <w:p w14:paraId="3F7C0C5B">
      <w:pPr>
        <w:spacing w:before="78" w:line="350" w:lineRule="auto"/>
        <w:ind w:right="39" w:firstLine="476" w:firstLineChars="200"/>
        <w:jc w:val="both"/>
        <w:rPr>
          <w:rFonts w:hint="eastAsia" w:ascii="新宋体" w:hAnsi="新宋体" w:eastAsia="新宋体" w:cs="新宋体"/>
          <w:color w:val="auto"/>
          <w:spacing w:val="-1"/>
          <w:sz w:val="24"/>
          <w:szCs w:val="24"/>
          <w:highlight w:val="none"/>
          <w:lang w:val="en-US" w:eastAsia="en-US"/>
        </w:rPr>
      </w:pPr>
      <w:r>
        <w:rPr>
          <w:rFonts w:hint="eastAsia" w:ascii="新宋体" w:hAnsi="新宋体" w:eastAsia="新宋体" w:cs="新宋体"/>
          <w:color w:val="auto"/>
          <w:spacing w:val="-1"/>
          <w:sz w:val="24"/>
          <w:szCs w:val="24"/>
          <w:highlight w:val="none"/>
          <w:lang w:val="en-US" w:eastAsia="en-US"/>
        </w:rPr>
        <w:t>3、投标人所供设备的技术规格、参数、质量等最大限度的满足招标人要求。</w:t>
      </w:r>
    </w:p>
    <w:p w14:paraId="6E36A68B">
      <w:pPr>
        <w:spacing w:before="78" w:line="224" w:lineRule="auto"/>
        <w:ind w:firstLine="476" w:firstLineChars="200"/>
        <w:rPr>
          <w:rFonts w:hint="eastAsia" w:ascii="新宋体" w:hAnsi="新宋体" w:eastAsia="新宋体" w:cs="新宋体"/>
          <w:color w:val="auto"/>
          <w:spacing w:val="-1"/>
          <w:sz w:val="24"/>
          <w:szCs w:val="24"/>
          <w:highlight w:val="none"/>
          <w:lang w:val="en-US" w:eastAsia="en-US"/>
        </w:rPr>
      </w:pPr>
      <w:r>
        <w:rPr>
          <w:rFonts w:hint="eastAsia" w:ascii="新宋体" w:hAnsi="新宋体" w:eastAsia="新宋体" w:cs="新宋体"/>
          <w:color w:val="auto"/>
          <w:spacing w:val="-1"/>
          <w:sz w:val="24"/>
          <w:szCs w:val="24"/>
          <w:highlight w:val="none"/>
          <w:lang w:val="en-US" w:eastAsia="en-US"/>
        </w:rPr>
        <w:t>4、投标人最终得分=技术标得分+经济标得分+商务标得分。</w:t>
      </w:r>
    </w:p>
    <w:p w14:paraId="7506F498">
      <w:pPr>
        <w:spacing w:before="78" w:line="224" w:lineRule="auto"/>
        <w:ind w:firstLine="472" w:firstLineChars="200"/>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5、投标产品技术规格、参数、数量必须最大限度的满足招标文件的要求；</w:t>
      </w:r>
    </w:p>
    <w:p w14:paraId="55720B0E">
      <w:pPr>
        <w:spacing w:before="176" w:line="222" w:lineRule="auto"/>
        <w:ind w:left="470"/>
        <w:rPr>
          <w:rFonts w:ascii="新宋体" w:hAnsi="新宋体" w:eastAsia="新宋体" w:cs="新宋体"/>
          <w:color w:val="auto"/>
          <w:spacing w:val="-1"/>
          <w:sz w:val="24"/>
          <w:szCs w:val="24"/>
          <w:highlight w:val="none"/>
        </w:rPr>
      </w:pPr>
      <w:r>
        <w:rPr>
          <w:rFonts w:ascii="新宋体" w:hAnsi="新宋体" w:eastAsia="新宋体" w:cs="新宋体"/>
          <w:color w:val="auto"/>
          <w:spacing w:val="-1"/>
          <w:sz w:val="24"/>
          <w:szCs w:val="24"/>
          <w:highlight w:val="none"/>
        </w:rPr>
        <w:t>6、因落实政府采购政策进行价格调整的，以调整后的价格计算评标基准价</w:t>
      </w:r>
    </w:p>
    <w:p w14:paraId="57F0CA12">
      <w:pPr>
        <w:spacing w:before="176" w:line="222" w:lineRule="auto"/>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和投</w:t>
      </w:r>
      <w:r>
        <w:rPr>
          <w:rFonts w:ascii="新宋体" w:hAnsi="新宋体" w:eastAsia="新宋体" w:cs="新宋体"/>
          <w:color w:val="auto"/>
          <w:spacing w:val="-2"/>
          <w:sz w:val="24"/>
          <w:szCs w:val="24"/>
          <w:highlight w:val="none"/>
        </w:rPr>
        <w:t>标报价。</w:t>
      </w:r>
    </w:p>
    <w:p w14:paraId="65AE7F29">
      <w:pPr>
        <w:spacing w:before="177" w:line="325" w:lineRule="auto"/>
        <w:ind w:left="8" w:right="70" w:firstLine="466"/>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7、在评审过程中，评审小组发现投标供应商的报价明显低于其他投标报价，使得其投标</w:t>
      </w:r>
      <w:r>
        <w:rPr>
          <w:rFonts w:ascii="新宋体" w:hAnsi="新宋体" w:eastAsia="新宋体" w:cs="新宋体"/>
          <w:color w:val="auto"/>
          <w:spacing w:val="-3"/>
          <w:sz w:val="24"/>
          <w:szCs w:val="24"/>
          <w:highlight w:val="none"/>
        </w:rPr>
        <w:t>报价可能低于其个别成本的，应当要求该投标供应商做出书面说明并提供相关证明材料。投标</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供应商不能合理说明或者不能提供相关证明材料的，评审小组认定该投标供应商以低于成本报</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4"/>
          <w:sz w:val="24"/>
          <w:szCs w:val="24"/>
          <w:highlight w:val="none"/>
        </w:rPr>
        <w:t>价竞标，其投标将被否决。</w:t>
      </w:r>
    </w:p>
    <w:p w14:paraId="3FF661F5">
      <w:pPr>
        <w:spacing w:before="178" w:line="222" w:lineRule="auto"/>
        <w:ind w:left="469"/>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8、投标最低报价，不作为是否成交的保证。</w:t>
      </w:r>
    </w:p>
    <w:p w14:paraId="2C2192B7">
      <w:pPr>
        <w:spacing w:before="179" w:line="325" w:lineRule="auto"/>
        <w:ind w:left="8" w:right="3" w:firstLine="461"/>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9、评审过程中，</w:t>
      </w:r>
      <w:r>
        <w:rPr>
          <w:rFonts w:ascii="新宋体" w:hAnsi="新宋体" w:eastAsia="新宋体" w:cs="新宋体"/>
          <w:color w:val="auto"/>
          <w:spacing w:val="63"/>
          <w:sz w:val="24"/>
          <w:szCs w:val="24"/>
          <w:highlight w:val="none"/>
        </w:rPr>
        <w:t xml:space="preserve"> </w:t>
      </w:r>
      <w:r>
        <w:rPr>
          <w:rFonts w:ascii="新宋体" w:hAnsi="新宋体" w:eastAsia="新宋体" w:cs="新宋体"/>
          <w:color w:val="auto"/>
          <w:spacing w:val="-8"/>
          <w:sz w:val="24"/>
          <w:szCs w:val="24"/>
          <w:highlight w:val="none"/>
        </w:rPr>
        <w:t>在同等条件下，优先采购具有环境标</w:t>
      </w:r>
      <w:r>
        <w:rPr>
          <w:rFonts w:ascii="新宋体" w:hAnsi="新宋体" w:eastAsia="新宋体" w:cs="新宋体"/>
          <w:color w:val="auto"/>
          <w:spacing w:val="-9"/>
          <w:sz w:val="24"/>
          <w:szCs w:val="24"/>
          <w:highlight w:val="none"/>
        </w:rPr>
        <w:t>志、节能、自主创新的产品。（注：</w:t>
      </w:r>
      <w:r>
        <w:rPr>
          <w:rFonts w:ascii="新宋体" w:hAnsi="新宋体" w:eastAsia="新宋体" w:cs="新宋体"/>
          <w:color w:val="auto"/>
          <w:spacing w:val="-3"/>
          <w:sz w:val="24"/>
          <w:szCs w:val="24"/>
          <w:highlight w:val="none"/>
        </w:rPr>
        <w:t>环境标志产品是指由财政部、国家环境保护总局颁布的“环境标志产品政府采购清单”中的有效期内的产品；节能产品是指由财政部、国家发展改革委颁布的“节能产品政府采购清单”中的有效期内的产品。）</w:t>
      </w:r>
    </w:p>
    <w:p w14:paraId="7598B777">
      <w:pPr>
        <w:spacing w:before="176" w:line="223" w:lineRule="auto"/>
        <w:ind w:right="18"/>
        <w:jc w:val="right"/>
        <w:rPr>
          <w:rFonts w:ascii="新宋体" w:hAnsi="新宋体" w:eastAsia="新宋体" w:cs="新宋体"/>
          <w:color w:val="auto"/>
          <w:spacing w:val="-2"/>
          <w:sz w:val="24"/>
          <w:szCs w:val="24"/>
          <w:highlight w:val="none"/>
        </w:rPr>
      </w:pPr>
      <w:r>
        <w:rPr>
          <w:rFonts w:ascii="新宋体" w:hAnsi="新宋体" w:eastAsia="新宋体" w:cs="新宋体"/>
          <w:color w:val="auto"/>
          <w:spacing w:val="-1"/>
          <w:sz w:val="24"/>
          <w:szCs w:val="24"/>
          <w:highlight w:val="none"/>
        </w:rPr>
        <w:t>10、根据中华人民共和国财政部《政府采</w:t>
      </w:r>
      <w:r>
        <w:rPr>
          <w:rFonts w:ascii="新宋体" w:hAnsi="新宋体" w:eastAsia="新宋体" w:cs="新宋体"/>
          <w:color w:val="auto"/>
          <w:spacing w:val="-2"/>
          <w:sz w:val="24"/>
          <w:szCs w:val="24"/>
          <w:highlight w:val="none"/>
        </w:rPr>
        <w:t>购促进中小企业发展管理办法》（财</w:t>
      </w:r>
    </w:p>
    <w:p w14:paraId="2C6F1B7C">
      <w:pPr>
        <w:spacing w:before="176" w:line="223" w:lineRule="auto"/>
        <w:ind w:right="18"/>
        <w:jc w:val="both"/>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库〔2020〕</w:t>
      </w:r>
      <w:r>
        <w:rPr>
          <w:rFonts w:ascii="新宋体" w:hAnsi="新宋体" w:eastAsia="新宋体" w:cs="新宋体"/>
          <w:color w:val="auto"/>
          <w:spacing w:val="-3"/>
          <w:sz w:val="24"/>
          <w:szCs w:val="24"/>
          <w:highlight w:val="none"/>
        </w:rPr>
        <w:t>46</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3"/>
          <w:sz w:val="24"/>
          <w:szCs w:val="24"/>
          <w:highlight w:val="none"/>
        </w:rPr>
        <w:t>号）文件的规定，属于中小企业评审优惠内容及幅度如下：</w:t>
      </w:r>
    </w:p>
    <w:p w14:paraId="4197AB86">
      <w:pPr>
        <w:spacing w:before="178" w:line="291" w:lineRule="auto"/>
        <w:ind w:left="9" w:right="88" w:firstLine="467"/>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（1）在政府采购活动中，供应商提供的货物、工程或者服务符合下列情形的</w:t>
      </w:r>
      <w:r>
        <w:rPr>
          <w:rFonts w:ascii="新宋体" w:hAnsi="新宋体" w:eastAsia="新宋体" w:cs="新宋体"/>
          <w:color w:val="auto"/>
          <w:spacing w:val="-1"/>
          <w:sz w:val="24"/>
          <w:szCs w:val="24"/>
          <w:highlight w:val="none"/>
        </w:rPr>
        <w:t>，享受《政</w:t>
      </w:r>
      <w:r>
        <w:rPr>
          <w:rFonts w:ascii="新宋体" w:hAnsi="新宋体" w:eastAsia="新宋体" w:cs="新宋体"/>
          <w:color w:val="auto"/>
          <w:spacing w:val="-2"/>
          <w:sz w:val="24"/>
          <w:szCs w:val="24"/>
          <w:highlight w:val="none"/>
        </w:rPr>
        <w:t>府采购促进中小企业发展管理办法》（财库〔2020〕46</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2"/>
          <w:sz w:val="24"/>
          <w:szCs w:val="24"/>
          <w:highlight w:val="none"/>
        </w:rPr>
        <w:t>号）规定的中小企</w:t>
      </w:r>
      <w:r>
        <w:rPr>
          <w:rFonts w:ascii="新宋体" w:hAnsi="新宋体" w:eastAsia="新宋体" w:cs="新宋体"/>
          <w:color w:val="auto"/>
          <w:spacing w:val="-3"/>
          <w:sz w:val="24"/>
          <w:szCs w:val="24"/>
          <w:highlight w:val="none"/>
        </w:rPr>
        <w:t>业扶持政策：</w:t>
      </w:r>
    </w:p>
    <w:p w14:paraId="715E92CC">
      <w:pPr>
        <w:spacing w:before="176" w:line="292" w:lineRule="auto"/>
        <w:ind w:left="8" w:right="87" w:firstLine="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（一）在货物采购项目中，货物由中小企业制造，即货物由中小企业生产且</w:t>
      </w:r>
      <w:r>
        <w:rPr>
          <w:rFonts w:ascii="新宋体" w:hAnsi="新宋体" w:eastAsia="新宋体" w:cs="新宋体"/>
          <w:color w:val="auto"/>
          <w:spacing w:val="-4"/>
          <w:sz w:val="24"/>
          <w:szCs w:val="24"/>
          <w:highlight w:val="none"/>
        </w:rPr>
        <w:t>使用该中小企</w:t>
      </w:r>
      <w:r>
        <w:rPr>
          <w:rFonts w:ascii="新宋体" w:hAnsi="新宋体" w:eastAsia="新宋体" w:cs="新宋体"/>
          <w:color w:val="auto"/>
          <w:spacing w:val="-7"/>
          <w:sz w:val="24"/>
          <w:szCs w:val="24"/>
          <w:highlight w:val="none"/>
        </w:rPr>
        <w:t>业商号或者注册商标；</w:t>
      </w:r>
    </w:p>
    <w:p w14:paraId="0CF390A6">
      <w:pPr>
        <w:spacing w:before="175" w:line="223" w:lineRule="auto"/>
        <w:ind w:left="476"/>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（二）在工程采购项目中，工程由中小企业承建，即工程施工单位为中小</w:t>
      </w:r>
    </w:p>
    <w:p w14:paraId="278E7F87">
      <w:pPr>
        <w:spacing w:before="175"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企业；</w:t>
      </w:r>
    </w:p>
    <w:p w14:paraId="7D229227">
      <w:pPr>
        <w:spacing w:before="178" w:line="291" w:lineRule="auto"/>
        <w:ind w:left="15" w:right="108" w:firstLine="461"/>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（三）在服务采购项目中，服务由中小企业承接，即提供服务的人员为中小企业依照《中</w:t>
      </w:r>
      <w:r>
        <w:rPr>
          <w:rFonts w:ascii="新宋体" w:hAnsi="新宋体" w:eastAsia="新宋体" w:cs="新宋体"/>
          <w:color w:val="auto"/>
          <w:spacing w:val="-3"/>
          <w:sz w:val="24"/>
          <w:szCs w:val="24"/>
          <w:highlight w:val="none"/>
        </w:rPr>
        <w:t>华人民共和国</w:t>
      </w:r>
      <w:r>
        <w:rPr>
          <w:rFonts w:hint="eastAsia" w:ascii="新宋体" w:hAnsi="新宋体" w:eastAsia="新宋体" w:cs="新宋体"/>
          <w:color w:val="auto"/>
          <w:spacing w:val="-3"/>
          <w:sz w:val="24"/>
          <w:szCs w:val="24"/>
          <w:highlight w:val="none"/>
          <w:lang w:val="en-US" w:eastAsia="zh-CN"/>
        </w:rPr>
        <w:t>劳动合同法</w:t>
      </w:r>
      <w:r>
        <w:rPr>
          <w:rFonts w:ascii="新宋体" w:hAnsi="新宋体" w:eastAsia="新宋体" w:cs="新宋体"/>
          <w:color w:val="auto"/>
          <w:spacing w:val="-3"/>
          <w:sz w:val="24"/>
          <w:szCs w:val="24"/>
          <w:highlight w:val="none"/>
        </w:rPr>
        <w:t>》订立劳动合同的从业人员。</w:t>
      </w:r>
    </w:p>
    <w:p w14:paraId="54423EC0">
      <w:pPr>
        <w:spacing w:before="175" w:line="345" w:lineRule="auto"/>
        <w:ind w:left="14" w:firstLine="464"/>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在货物采购项目中，供应商提供的货物既有中小企业制造货物，也有大型企业制造货物的，</w:t>
      </w:r>
      <w:r>
        <w:rPr>
          <w:rFonts w:ascii="新宋体" w:hAnsi="新宋体" w:eastAsia="新宋体" w:cs="新宋体"/>
          <w:color w:val="auto"/>
          <w:spacing w:val="-3"/>
          <w:sz w:val="24"/>
          <w:szCs w:val="24"/>
          <w:highlight w:val="none"/>
        </w:rPr>
        <w:t>不享受本办法规定的中小企业扶持政策。</w:t>
      </w:r>
    </w:p>
    <w:p w14:paraId="763CA84E">
      <w:pPr>
        <w:spacing w:before="37" w:line="224" w:lineRule="auto"/>
        <w:ind w:right="18"/>
        <w:jc w:val="right"/>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中小企业划分标准按《关于印发中小企业划型标准规定的通知》（工信部联企</w:t>
      </w:r>
    </w:p>
    <w:p w14:paraId="69730A83">
      <w:pPr>
        <w:spacing w:before="37" w:line="224" w:lineRule="auto"/>
        <w:ind w:right="18"/>
        <w:jc w:val="both"/>
        <w:rPr>
          <w:rFonts w:ascii="新宋体" w:hAnsi="新宋体" w:eastAsia="新宋体" w:cs="新宋体"/>
          <w:color w:val="auto"/>
          <w:spacing w:val="-2"/>
          <w:sz w:val="24"/>
          <w:szCs w:val="24"/>
          <w:highlight w:val="none"/>
        </w:rPr>
      </w:pPr>
    </w:p>
    <w:p w14:paraId="73619B93">
      <w:pPr>
        <w:spacing w:before="37" w:line="224" w:lineRule="auto"/>
        <w:ind w:right="18"/>
        <w:jc w:val="both"/>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业〔20</w:t>
      </w:r>
      <w:r>
        <w:rPr>
          <w:rFonts w:ascii="新宋体" w:hAnsi="新宋体" w:eastAsia="新宋体" w:cs="新宋体"/>
          <w:color w:val="auto"/>
          <w:spacing w:val="-3"/>
          <w:sz w:val="24"/>
          <w:szCs w:val="24"/>
          <w:highlight w:val="none"/>
        </w:rPr>
        <w:t>11〕</w:t>
      </w:r>
      <w:r>
        <w:rPr>
          <w:rFonts w:ascii="新宋体" w:hAnsi="新宋体" w:eastAsia="新宋体" w:cs="新宋体"/>
          <w:color w:val="auto"/>
          <w:spacing w:val="-5"/>
          <w:sz w:val="24"/>
          <w:szCs w:val="24"/>
          <w:highlight w:val="none"/>
        </w:rPr>
        <w:t>300</w:t>
      </w:r>
      <w:r>
        <w:rPr>
          <w:rFonts w:ascii="新宋体" w:hAnsi="新宋体" w:eastAsia="新宋体" w:cs="新宋体"/>
          <w:color w:val="auto"/>
          <w:spacing w:val="-34"/>
          <w:sz w:val="24"/>
          <w:szCs w:val="24"/>
          <w:highlight w:val="none"/>
        </w:rPr>
        <w:t xml:space="preserve"> </w:t>
      </w:r>
      <w:r>
        <w:rPr>
          <w:rFonts w:ascii="新宋体" w:hAnsi="新宋体" w:eastAsia="新宋体" w:cs="新宋体"/>
          <w:color w:val="auto"/>
          <w:spacing w:val="-5"/>
          <w:sz w:val="24"/>
          <w:szCs w:val="24"/>
          <w:highlight w:val="none"/>
        </w:rPr>
        <w:t>号）执行</w:t>
      </w:r>
    </w:p>
    <w:p w14:paraId="5E9F2523">
      <w:pPr>
        <w:spacing w:before="176" w:line="222"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（2）价格扣除办法：</w:t>
      </w:r>
    </w:p>
    <w:p w14:paraId="2CFDB718">
      <w:pPr>
        <w:spacing w:before="179" w:line="344" w:lineRule="auto"/>
        <w:ind w:left="10" w:right="70" w:firstLine="460"/>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对于非专门面向中小企业的项目，对小型和微型企业产品的价格给予</w:t>
      </w:r>
      <w:r>
        <w:rPr>
          <w:rFonts w:ascii="新宋体" w:hAnsi="新宋体" w:eastAsia="新宋体" w:cs="新宋体"/>
          <w:color w:val="auto"/>
          <w:spacing w:val="-20"/>
          <w:sz w:val="24"/>
          <w:szCs w:val="24"/>
          <w:highlight w:val="none"/>
        </w:rPr>
        <w:t xml:space="preserve"> </w:t>
      </w:r>
      <w:r>
        <w:rPr>
          <w:rFonts w:ascii="新宋体" w:hAnsi="新宋体" w:eastAsia="新宋体" w:cs="新宋体"/>
          <w:color w:val="auto"/>
          <w:spacing w:val="-2"/>
          <w:sz w:val="24"/>
          <w:szCs w:val="24"/>
          <w:highlight w:val="none"/>
        </w:rPr>
        <w:t>10%的扣除，用扣除</w:t>
      </w:r>
      <w:r>
        <w:rPr>
          <w:rFonts w:ascii="新宋体" w:hAnsi="新宋体" w:eastAsia="新宋体" w:cs="新宋体"/>
          <w:color w:val="auto"/>
          <w:spacing w:val="-4"/>
          <w:sz w:val="24"/>
          <w:szCs w:val="24"/>
          <w:highlight w:val="none"/>
        </w:rPr>
        <w:t>后的价格参与价格分的评审。</w:t>
      </w:r>
    </w:p>
    <w:p w14:paraId="042FDCF0">
      <w:pPr>
        <w:spacing w:before="39" w:line="345" w:lineRule="auto"/>
        <w:ind w:left="7" w:right="86" w:firstLine="468"/>
        <w:rPr>
          <w:rFonts w:ascii="Arial"/>
          <w:color w:val="auto"/>
          <w:sz w:val="21"/>
          <w:highlight w:val="none"/>
        </w:rPr>
      </w:pPr>
      <w:r>
        <w:rPr>
          <w:rFonts w:ascii="新宋体" w:hAnsi="新宋体" w:eastAsia="新宋体" w:cs="新宋体"/>
          <w:color w:val="auto"/>
          <w:spacing w:val="-4"/>
          <w:sz w:val="24"/>
          <w:szCs w:val="24"/>
          <w:highlight w:val="none"/>
        </w:rPr>
        <w:t>（3）小型和微型企业适用价格扣除办法时应提供《中小企业声明函》，</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4"/>
          <w:sz w:val="24"/>
          <w:szCs w:val="24"/>
          <w:highlight w:val="none"/>
        </w:rPr>
        <w:t>否则将不给予价</w:t>
      </w:r>
      <w:r>
        <w:rPr>
          <w:rFonts w:ascii="新宋体" w:hAnsi="新宋体" w:eastAsia="新宋体" w:cs="新宋体"/>
          <w:color w:val="auto"/>
          <w:spacing w:val="-9"/>
          <w:sz w:val="24"/>
          <w:szCs w:val="24"/>
          <w:highlight w:val="none"/>
        </w:rPr>
        <w:t>格扣除。</w:t>
      </w:r>
    </w:p>
    <w:p w14:paraId="54A6EC9B">
      <w:pPr>
        <w:spacing w:before="78" w:line="291" w:lineRule="auto"/>
        <w:ind w:right="111" w:firstLine="467"/>
        <w:rPr>
          <w:rFonts w:ascii="新宋体" w:hAnsi="新宋体" w:eastAsia="新宋体" w:cs="新宋体"/>
          <w:color w:val="auto"/>
          <w:sz w:val="24"/>
          <w:szCs w:val="24"/>
          <w:highlight w:val="none"/>
        </w:rPr>
      </w:pPr>
      <w:bookmarkStart w:id="19" w:name="bookmark11"/>
      <w:bookmarkEnd w:id="19"/>
      <w:r>
        <w:rPr>
          <w:rFonts w:ascii="新宋体" w:hAnsi="新宋体" w:eastAsia="新宋体" w:cs="新宋体"/>
          <w:color w:val="auto"/>
          <w:sz w:val="24"/>
          <w:szCs w:val="24"/>
          <w:highlight w:val="none"/>
        </w:rPr>
        <w:t>（4）供应商需在响应文件报价部分中“报</w:t>
      </w:r>
      <w:r>
        <w:rPr>
          <w:rFonts w:ascii="新宋体" w:hAnsi="新宋体" w:eastAsia="新宋体" w:cs="新宋体"/>
          <w:color w:val="auto"/>
          <w:spacing w:val="-1"/>
          <w:sz w:val="24"/>
          <w:szCs w:val="24"/>
          <w:highlight w:val="none"/>
        </w:rPr>
        <w:t>价明细表</w:t>
      </w:r>
      <w:r>
        <w:rPr>
          <w:rFonts w:ascii="新宋体" w:hAnsi="新宋体" w:eastAsia="新宋体" w:cs="新宋体"/>
          <w:color w:val="auto"/>
          <w:spacing w:val="-87"/>
          <w:sz w:val="24"/>
          <w:szCs w:val="24"/>
          <w:highlight w:val="none"/>
        </w:rPr>
        <w:t xml:space="preserve"> </w:t>
      </w:r>
      <w:r>
        <w:rPr>
          <w:rFonts w:ascii="新宋体" w:hAnsi="新宋体" w:eastAsia="新宋体" w:cs="新宋体"/>
          <w:color w:val="auto"/>
          <w:spacing w:val="-1"/>
          <w:sz w:val="24"/>
          <w:szCs w:val="24"/>
          <w:highlight w:val="none"/>
        </w:rPr>
        <w:t>”中逐项注明所投产品的生产厂家具</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体名称并备注是否属于小型、微型企业。</w:t>
      </w:r>
    </w:p>
    <w:p w14:paraId="0E6BBD2A">
      <w:pPr>
        <w:spacing w:before="176" w:line="223" w:lineRule="auto"/>
        <w:ind w:left="468"/>
        <w:rPr>
          <w:rFonts w:ascii="新宋体" w:hAnsi="新宋体" w:eastAsia="新宋体" w:cs="新宋体"/>
          <w:color w:val="auto"/>
          <w:spacing w:val="-2"/>
          <w:sz w:val="24"/>
          <w:szCs w:val="24"/>
          <w:highlight w:val="none"/>
        </w:rPr>
      </w:pPr>
      <w:r>
        <w:rPr>
          <w:rFonts w:ascii="新宋体" w:hAnsi="新宋体" w:eastAsia="新宋体" w:cs="新宋体"/>
          <w:color w:val="auto"/>
          <w:spacing w:val="-1"/>
          <w:sz w:val="24"/>
          <w:szCs w:val="24"/>
          <w:highlight w:val="none"/>
        </w:rPr>
        <w:t>（5）若所投标产品为进口产品的，不适用《政府采购促进中小</w:t>
      </w:r>
      <w:r>
        <w:rPr>
          <w:rFonts w:ascii="新宋体" w:hAnsi="新宋体" w:eastAsia="新宋体" w:cs="新宋体"/>
          <w:color w:val="auto"/>
          <w:spacing w:val="-2"/>
          <w:sz w:val="24"/>
          <w:szCs w:val="24"/>
          <w:highlight w:val="none"/>
        </w:rPr>
        <w:t>企业发展管</w:t>
      </w:r>
    </w:p>
    <w:p w14:paraId="3A1F6419">
      <w:pPr>
        <w:spacing w:before="176"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理办法》。</w:t>
      </w:r>
    </w:p>
    <w:p w14:paraId="247A6BAF">
      <w:pPr>
        <w:spacing w:before="174" w:line="340" w:lineRule="auto"/>
        <w:ind w:firstLine="478"/>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11、根据《财政部、民政部、中国残疾人联合会关于促进残疾人就业政府采购政策的通知》</w:t>
      </w:r>
      <w:r>
        <w:rPr>
          <w:rFonts w:ascii="新宋体" w:hAnsi="新宋体" w:eastAsia="新宋体" w:cs="新宋体"/>
          <w:color w:val="auto"/>
          <w:spacing w:val="-5"/>
          <w:sz w:val="24"/>
          <w:szCs w:val="24"/>
          <w:highlight w:val="none"/>
        </w:rPr>
        <w:t>（财库〔2017〕141</w:t>
      </w:r>
      <w:r>
        <w:rPr>
          <w:rFonts w:ascii="新宋体" w:hAnsi="新宋体" w:eastAsia="新宋体" w:cs="新宋体"/>
          <w:color w:val="auto"/>
          <w:spacing w:val="-23"/>
          <w:sz w:val="24"/>
          <w:szCs w:val="24"/>
          <w:highlight w:val="none"/>
        </w:rPr>
        <w:t xml:space="preserve"> </w:t>
      </w:r>
      <w:r>
        <w:rPr>
          <w:rFonts w:ascii="新宋体" w:hAnsi="新宋体" w:eastAsia="新宋体" w:cs="新宋体"/>
          <w:color w:val="auto"/>
          <w:spacing w:val="-5"/>
          <w:sz w:val="24"/>
          <w:szCs w:val="24"/>
          <w:highlight w:val="none"/>
        </w:rPr>
        <w:t>号）和《财政部、司法部关于政府采购支持监狱企业发展有关问题的通知》</w:t>
      </w:r>
      <w:r>
        <w:rPr>
          <w:rFonts w:ascii="新宋体" w:hAnsi="新宋体" w:eastAsia="新宋体" w:cs="新宋体"/>
          <w:color w:val="auto"/>
          <w:spacing w:val="1"/>
          <w:sz w:val="24"/>
          <w:szCs w:val="24"/>
          <w:highlight w:val="none"/>
        </w:rPr>
        <w:t>（财库〔2014〕68</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1"/>
          <w:sz w:val="24"/>
          <w:szCs w:val="24"/>
          <w:highlight w:val="none"/>
        </w:rPr>
        <w:t>号）的规定，属残疾人福利性单位和监狱企业的，投标人须</w:t>
      </w:r>
      <w:r>
        <w:rPr>
          <w:rFonts w:ascii="新宋体" w:hAnsi="新宋体" w:eastAsia="新宋体" w:cs="新宋体"/>
          <w:color w:val="auto"/>
          <w:sz w:val="24"/>
          <w:szCs w:val="24"/>
          <w:highlight w:val="none"/>
        </w:rPr>
        <w:t xml:space="preserve">提供《残疾人  </w:t>
      </w:r>
      <w:r>
        <w:rPr>
          <w:rFonts w:ascii="新宋体" w:hAnsi="新宋体" w:eastAsia="新宋体" w:cs="新宋体"/>
          <w:color w:val="auto"/>
          <w:spacing w:val="-3"/>
          <w:sz w:val="24"/>
          <w:szCs w:val="24"/>
          <w:highlight w:val="none"/>
        </w:rPr>
        <w:t>福利性单位声明函》和《监狱企业声明函》，并</w:t>
      </w:r>
      <w:r>
        <w:rPr>
          <w:rFonts w:ascii="新宋体" w:hAnsi="新宋体" w:eastAsia="新宋体" w:cs="新宋体"/>
          <w:color w:val="auto"/>
          <w:spacing w:val="-4"/>
          <w:sz w:val="24"/>
          <w:szCs w:val="24"/>
          <w:highlight w:val="none"/>
        </w:rPr>
        <w:t>由投标人加盖公章，残疾人福利性单位视同小</w:t>
      </w:r>
      <w:r>
        <w:rPr>
          <w:rFonts w:ascii="新宋体" w:hAnsi="新宋体" w:eastAsia="新宋体" w:cs="新宋体"/>
          <w:color w:val="auto"/>
          <w:spacing w:val="-6"/>
          <w:sz w:val="24"/>
          <w:szCs w:val="24"/>
          <w:highlight w:val="none"/>
        </w:rPr>
        <w:t>型、微型企业，享受预留份额、评标中价格扣除等促进中小企业发展的政府采购政策。向残疾</w:t>
      </w:r>
      <w:r>
        <w:rPr>
          <w:rFonts w:ascii="新宋体" w:hAnsi="新宋体" w:eastAsia="新宋体" w:cs="新宋体"/>
          <w:color w:val="auto"/>
          <w:spacing w:val="-3"/>
          <w:sz w:val="24"/>
          <w:szCs w:val="24"/>
          <w:highlight w:val="none"/>
        </w:rPr>
        <w:t>人福利性单位采购的金额，计入面向中小企业采购的统计数据。投</w:t>
      </w:r>
      <w:r>
        <w:rPr>
          <w:rFonts w:ascii="新宋体" w:hAnsi="新宋体" w:eastAsia="新宋体" w:cs="新宋体"/>
          <w:color w:val="auto"/>
          <w:spacing w:val="-4"/>
          <w:sz w:val="24"/>
          <w:szCs w:val="24"/>
          <w:highlight w:val="none"/>
        </w:rPr>
        <w:t>标人提供的《残疾人福利性</w:t>
      </w:r>
      <w:r>
        <w:rPr>
          <w:rFonts w:ascii="新宋体" w:hAnsi="新宋体" w:eastAsia="新宋体" w:cs="新宋体"/>
          <w:color w:val="auto"/>
          <w:spacing w:val="-1"/>
          <w:sz w:val="24"/>
          <w:szCs w:val="24"/>
          <w:highlight w:val="none"/>
        </w:rPr>
        <w:t>单位声明函》和《监狱企业声明函》资料必须真实，否则，</w:t>
      </w:r>
      <w:r>
        <w:rPr>
          <w:rFonts w:ascii="新宋体" w:hAnsi="新宋体" w:eastAsia="新宋体" w:cs="新宋体"/>
          <w:color w:val="auto"/>
          <w:spacing w:val="-2"/>
          <w:sz w:val="24"/>
          <w:szCs w:val="24"/>
          <w:highlight w:val="none"/>
        </w:rPr>
        <w:t>按照有关规定予以处理。</w:t>
      </w:r>
    </w:p>
    <w:p w14:paraId="14600F11">
      <w:pPr>
        <w:pStyle w:val="4"/>
        <w:spacing w:before="175" w:line="189" w:lineRule="auto"/>
        <w:ind w:left="3"/>
        <w:rPr>
          <w:color w:val="auto"/>
          <w:sz w:val="24"/>
          <w:szCs w:val="24"/>
          <w:highlight w:val="none"/>
        </w:rPr>
      </w:pPr>
      <w:r>
        <w:rPr>
          <w:b/>
          <w:bCs/>
          <w:color w:val="auto"/>
          <w:spacing w:val="-5"/>
          <w:sz w:val="24"/>
          <w:szCs w:val="24"/>
          <w:highlight w:val="none"/>
        </w:rPr>
        <w:t>五  、推荐中标候选人</w:t>
      </w:r>
    </w:p>
    <w:p w14:paraId="71EF0170">
      <w:pPr>
        <w:spacing w:before="142" w:line="293" w:lineRule="auto"/>
        <w:ind w:left="3" w:right="110" w:firstLine="461"/>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5.1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评标委员会按经济、技术和商务三项</w:t>
      </w:r>
      <w:r>
        <w:rPr>
          <w:rFonts w:ascii="新宋体" w:hAnsi="新宋体" w:eastAsia="新宋体" w:cs="新宋体"/>
          <w:color w:val="auto"/>
          <w:spacing w:val="-2"/>
          <w:sz w:val="24"/>
          <w:szCs w:val="24"/>
          <w:highlight w:val="none"/>
        </w:rPr>
        <w:t>得分之和从高到低按顺序推荐三名中标候选投标</w:t>
      </w:r>
      <w:r>
        <w:rPr>
          <w:rFonts w:ascii="新宋体" w:hAnsi="新宋体" w:eastAsia="新宋体" w:cs="新宋体"/>
          <w:color w:val="auto"/>
          <w:spacing w:val="-13"/>
          <w:sz w:val="24"/>
          <w:szCs w:val="24"/>
          <w:highlight w:val="none"/>
        </w:rPr>
        <w:t>人。</w:t>
      </w:r>
    </w:p>
    <w:p w14:paraId="6F1A6977">
      <w:pPr>
        <w:spacing w:before="174" w:line="291" w:lineRule="auto"/>
        <w:ind w:left="7" w:right="110" w:firstLine="457"/>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5.2</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得分相同的，按投标报价由低到高顺</w:t>
      </w:r>
      <w:r>
        <w:rPr>
          <w:rFonts w:ascii="新宋体" w:hAnsi="新宋体" w:eastAsia="新宋体" w:cs="新宋体"/>
          <w:color w:val="auto"/>
          <w:spacing w:val="-2"/>
          <w:sz w:val="24"/>
          <w:szCs w:val="24"/>
          <w:highlight w:val="none"/>
        </w:rPr>
        <w:t>序排列；得分且投标报价相同的，按技术指标优劣顺序排列。技术标也相同时由招标人抽签确定中标候选人名次。</w:t>
      </w:r>
    </w:p>
    <w:p w14:paraId="6013933D">
      <w:pPr>
        <w:pStyle w:val="4"/>
        <w:spacing w:before="175" w:line="188" w:lineRule="auto"/>
        <w:ind w:left="1"/>
        <w:rPr>
          <w:color w:val="auto"/>
          <w:sz w:val="24"/>
          <w:szCs w:val="24"/>
          <w:highlight w:val="none"/>
        </w:rPr>
      </w:pPr>
      <w:r>
        <w:rPr>
          <w:b/>
          <w:bCs/>
          <w:color w:val="auto"/>
          <w:spacing w:val="-6"/>
          <w:sz w:val="24"/>
          <w:szCs w:val="24"/>
          <w:highlight w:val="none"/>
        </w:rPr>
        <w:t>六  、无效标条款</w:t>
      </w:r>
    </w:p>
    <w:p w14:paraId="1B9A4B4E">
      <w:pPr>
        <w:spacing w:before="145" w:line="224" w:lineRule="auto"/>
        <w:ind w:left="462"/>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6.1</w:t>
      </w:r>
      <w:r>
        <w:rPr>
          <w:rFonts w:ascii="新宋体" w:hAnsi="新宋体" w:eastAsia="新宋体" w:cs="新宋体"/>
          <w:color w:val="auto"/>
          <w:spacing w:val="-27"/>
          <w:sz w:val="24"/>
          <w:szCs w:val="24"/>
          <w:highlight w:val="none"/>
        </w:rPr>
        <w:t xml:space="preserve"> </w:t>
      </w:r>
      <w:r>
        <w:rPr>
          <w:rFonts w:ascii="新宋体" w:hAnsi="新宋体" w:eastAsia="新宋体" w:cs="新宋体"/>
          <w:color w:val="auto"/>
          <w:spacing w:val="-4"/>
          <w:sz w:val="24"/>
          <w:szCs w:val="24"/>
          <w:highlight w:val="none"/>
        </w:rPr>
        <w:t>投标文件有下列情形之一的其投标文件拒收：</w:t>
      </w:r>
    </w:p>
    <w:p w14:paraId="080B782B">
      <w:pPr>
        <w:spacing w:before="175"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（1）投标文件逾期送达的或未送达指定地点的；</w:t>
      </w:r>
    </w:p>
    <w:p w14:paraId="4791401A">
      <w:pPr>
        <w:spacing w:before="176" w:line="224" w:lineRule="auto"/>
        <w:ind w:left="468"/>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（2）招标文件未按要求密封，招标人及代理公司应报经监督部门批准后拒</w:t>
      </w:r>
    </w:p>
    <w:p w14:paraId="0D85FEC3">
      <w:pPr>
        <w:spacing w:before="176" w:line="224"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收；</w:t>
      </w:r>
    </w:p>
    <w:p w14:paraId="4399BF97">
      <w:pPr>
        <w:spacing w:before="176"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（3）其它情形，经招标人和代理公司提出拒收，并经监督部门</w:t>
      </w:r>
      <w:r>
        <w:rPr>
          <w:rFonts w:ascii="新宋体" w:hAnsi="新宋体" w:eastAsia="新宋体" w:cs="新宋体"/>
          <w:color w:val="auto"/>
          <w:spacing w:val="-3"/>
          <w:sz w:val="24"/>
          <w:szCs w:val="24"/>
          <w:highlight w:val="none"/>
        </w:rPr>
        <w:t>批准的；</w:t>
      </w:r>
    </w:p>
    <w:p w14:paraId="4DB5183B">
      <w:pPr>
        <w:spacing w:before="175" w:line="224" w:lineRule="auto"/>
        <w:ind w:left="46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6.2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投标人有下列情形之一的，投标人证件审</w:t>
      </w:r>
      <w:r>
        <w:rPr>
          <w:rFonts w:ascii="新宋体" w:hAnsi="新宋体" w:eastAsia="新宋体" w:cs="新宋体"/>
          <w:color w:val="auto"/>
          <w:spacing w:val="-3"/>
          <w:sz w:val="24"/>
          <w:szCs w:val="24"/>
          <w:highlight w:val="none"/>
        </w:rPr>
        <w:t>查后其投标作无效标处理：</w:t>
      </w:r>
    </w:p>
    <w:p w14:paraId="0201FD38">
      <w:pPr>
        <w:spacing w:before="176"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（1）法定代表人（或授权委托人）未准时参加会议；</w:t>
      </w:r>
    </w:p>
    <w:p w14:paraId="34E1A3A4">
      <w:pPr>
        <w:spacing w:before="177"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（2）投标人为本项目提供招标代理服务的；</w:t>
      </w:r>
    </w:p>
    <w:p w14:paraId="564BBC12">
      <w:pPr>
        <w:spacing w:before="177"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（3）投标人与在本项目代理机构存在相互任职或工作的；</w:t>
      </w:r>
    </w:p>
    <w:p w14:paraId="025CFB60">
      <w:pPr>
        <w:spacing w:before="177"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（4）投标保证金未按规定要求缴纳的；</w:t>
      </w:r>
    </w:p>
    <w:p w14:paraId="3170C1D0">
      <w:pPr>
        <w:spacing w:before="176"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（5）投标人不满足资格条件的；</w:t>
      </w:r>
    </w:p>
    <w:p w14:paraId="63145F56">
      <w:pPr>
        <w:spacing w:before="176"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（6）联合体投标未提交联合体协议的；</w:t>
      </w:r>
    </w:p>
    <w:p w14:paraId="16E299BA">
      <w:pPr>
        <w:spacing w:before="175"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（7）被暂停营业的；</w:t>
      </w:r>
    </w:p>
    <w:p w14:paraId="4DCD8F7B">
      <w:pPr>
        <w:spacing w:before="175"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（8）被暂停或取消投标资格的；</w:t>
      </w:r>
    </w:p>
    <w:p w14:paraId="3C2E1F51">
      <w:pPr>
        <w:spacing w:before="176" w:line="224" w:lineRule="auto"/>
        <w:ind w:left="468"/>
        <w:rPr>
          <w:rFonts w:ascii="Arial"/>
          <w:color w:val="auto"/>
          <w:sz w:val="21"/>
          <w:highlight w:val="none"/>
        </w:rPr>
      </w:pPr>
      <w:r>
        <w:rPr>
          <w:rFonts w:ascii="新宋体" w:hAnsi="新宋体" w:eastAsia="新宋体" w:cs="新宋体"/>
          <w:color w:val="auto"/>
          <w:spacing w:val="-5"/>
          <w:sz w:val="24"/>
          <w:szCs w:val="24"/>
          <w:highlight w:val="none"/>
        </w:rPr>
        <w:t>（9）财产被接管或冻结的；</w:t>
      </w:r>
    </w:p>
    <w:p w14:paraId="7A83FA32">
      <w:pPr>
        <w:spacing w:before="78"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（10）在最近三年内有骗取中标或严重违约的；</w:t>
      </w:r>
    </w:p>
    <w:p w14:paraId="3095AB45">
      <w:pPr>
        <w:spacing w:before="175"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（11）投标人单位负责人为同一人或者存在</w:t>
      </w:r>
      <w:r>
        <w:rPr>
          <w:rFonts w:ascii="新宋体" w:hAnsi="新宋体" w:eastAsia="新宋体" w:cs="新宋体"/>
          <w:color w:val="auto"/>
          <w:spacing w:val="-2"/>
          <w:sz w:val="24"/>
          <w:szCs w:val="24"/>
          <w:highlight w:val="none"/>
        </w:rPr>
        <w:t>控股、管理关系的不同单位的。</w:t>
      </w:r>
    </w:p>
    <w:p w14:paraId="44150567">
      <w:pPr>
        <w:spacing w:before="176"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（12）投标人基本资格条件和特定资格条件中有一项及以上不符合要求的；</w:t>
      </w:r>
    </w:p>
    <w:p w14:paraId="337CFAF6">
      <w:pPr>
        <w:spacing w:before="176"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（13）其它情形，经评标委员会委提出无效标，并经招投标监督部门批准的；</w:t>
      </w:r>
    </w:p>
    <w:p w14:paraId="43592AA1">
      <w:pPr>
        <w:spacing w:before="176" w:line="224" w:lineRule="auto"/>
        <w:ind w:left="463"/>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6.3 投标人有下列情形之一的，符合性审查后其投标作无效标处理：</w:t>
      </w:r>
    </w:p>
    <w:p w14:paraId="01560C62">
      <w:pPr>
        <w:spacing w:before="177" w:line="291" w:lineRule="auto"/>
        <w:ind w:left="7" w:firstLine="461"/>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（1）投标文件签字、盖章不全，</w:t>
      </w:r>
      <w:r>
        <w:rPr>
          <w:rFonts w:ascii="新宋体" w:hAnsi="新宋体" w:eastAsia="新宋体" w:cs="新宋体"/>
          <w:color w:val="auto"/>
          <w:spacing w:val="55"/>
          <w:sz w:val="24"/>
          <w:szCs w:val="24"/>
          <w:highlight w:val="none"/>
        </w:rPr>
        <w:t xml:space="preserve"> </w:t>
      </w:r>
      <w:r>
        <w:rPr>
          <w:rFonts w:ascii="新宋体" w:hAnsi="新宋体" w:eastAsia="新宋体" w:cs="新宋体"/>
          <w:color w:val="auto"/>
          <w:spacing w:val="-8"/>
          <w:sz w:val="24"/>
          <w:szCs w:val="24"/>
          <w:highlight w:val="none"/>
        </w:rPr>
        <w:t>经评标委员会一致认定对开评标内容有实质性影响并经、</w:t>
      </w:r>
      <w:r>
        <w:rPr>
          <w:rFonts w:ascii="新宋体" w:hAnsi="新宋体" w:eastAsia="新宋体" w:cs="新宋体"/>
          <w:color w:val="auto"/>
          <w:spacing w:val="-9"/>
          <w:sz w:val="24"/>
          <w:szCs w:val="24"/>
          <w:highlight w:val="none"/>
        </w:rPr>
        <w:t>监督部门批准的；</w:t>
      </w:r>
    </w:p>
    <w:p w14:paraId="5540B455">
      <w:pPr>
        <w:spacing w:before="176" w:line="292" w:lineRule="auto"/>
        <w:ind w:left="3" w:right="96" w:firstLine="465"/>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（2）未按规定的格式填写，实质性内容不全或关键字迹模糊、无法辨认；经监督部</w:t>
      </w:r>
      <w:r>
        <w:rPr>
          <w:rFonts w:ascii="新宋体" w:hAnsi="新宋体" w:eastAsia="新宋体" w:cs="新宋体"/>
          <w:color w:val="auto"/>
          <w:spacing w:val="-1"/>
          <w:sz w:val="24"/>
          <w:szCs w:val="24"/>
          <w:highlight w:val="none"/>
        </w:rPr>
        <w:t>门批</w:t>
      </w:r>
      <w:r>
        <w:rPr>
          <w:rFonts w:ascii="新宋体" w:hAnsi="新宋体" w:eastAsia="新宋体" w:cs="新宋体"/>
          <w:color w:val="auto"/>
          <w:spacing w:val="-16"/>
          <w:sz w:val="24"/>
          <w:szCs w:val="24"/>
          <w:highlight w:val="none"/>
        </w:rPr>
        <w:t>准的；</w:t>
      </w:r>
    </w:p>
    <w:p w14:paraId="1BC3E109">
      <w:pPr>
        <w:spacing w:before="176" w:line="291" w:lineRule="auto"/>
        <w:ind w:left="6" w:right="82" w:firstLine="462"/>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（3）同一投标人提交两个以上不同的投标文件或者投标报价，但招标文件规定提交备选</w:t>
      </w:r>
      <w:r>
        <w:rPr>
          <w:rFonts w:ascii="新宋体" w:hAnsi="新宋体" w:eastAsia="新宋体" w:cs="新宋体"/>
          <w:color w:val="auto"/>
          <w:spacing w:val="-11"/>
          <w:sz w:val="24"/>
          <w:szCs w:val="24"/>
          <w:highlight w:val="none"/>
        </w:rPr>
        <w:t>方案的除外；</w:t>
      </w:r>
    </w:p>
    <w:p w14:paraId="640120A2">
      <w:pPr>
        <w:spacing w:before="175"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（4）投标文件没有对招标文件的实质性要求和条件作出响应;</w:t>
      </w:r>
    </w:p>
    <w:p w14:paraId="7B67428E">
      <w:pPr>
        <w:spacing w:before="177" w:line="222"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（5）投标报价超出规定的投标限价或公布的采购预算的；</w:t>
      </w:r>
    </w:p>
    <w:p w14:paraId="7DABF0FA">
      <w:pPr>
        <w:spacing w:before="178"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（6）改变采购清单中工程量的；</w:t>
      </w:r>
    </w:p>
    <w:p w14:paraId="37EC97F2">
      <w:pPr>
        <w:spacing w:before="176" w:line="291" w:lineRule="auto"/>
        <w:ind w:right="98" w:firstLine="468"/>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（7）不按评标委员会要求澄清、说明或补正的，或者评标委员会根据招标文件</w:t>
      </w:r>
      <w:r>
        <w:rPr>
          <w:rFonts w:ascii="新宋体" w:hAnsi="新宋体" w:eastAsia="新宋体" w:cs="新宋体"/>
          <w:color w:val="auto"/>
          <w:spacing w:val="-1"/>
          <w:sz w:val="24"/>
          <w:szCs w:val="24"/>
          <w:highlight w:val="none"/>
        </w:rPr>
        <w:t>的规定对</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招标文件的计算错误进行修正后，投标人不接受修正的投标报价的。</w:t>
      </w:r>
    </w:p>
    <w:p w14:paraId="64C7D2F6">
      <w:pPr>
        <w:spacing w:before="177" w:line="328" w:lineRule="auto"/>
        <w:ind w:left="2" w:right="81" w:firstLine="466"/>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（8）评标委员会认为投标人的报价明显低于其他通过符合性审查投标人的报价，有可能</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3"/>
          <w:sz w:val="24"/>
          <w:szCs w:val="24"/>
          <w:highlight w:val="none"/>
        </w:rPr>
        <w:t>影响产品质量或者不能诚信履约的，应当要求其在评标现场合理的时间内提供书面说明，必要</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3"/>
          <w:sz w:val="24"/>
          <w:szCs w:val="24"/>
          <w:highlight w:val="none"/>
        </w:rPr>
        <w:t>时提交相关证明材料；投标人不能证明其报价合理性的，评标委员会应当将其作为无效投标处</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13"/>
          <w:sz w:val="24"/>
          <w:szCs w:val="24"/>
          <w:highlight w:val="none"/>
        </w:rPr>
        <w:t>理。</w:t>
      </w:r>
    </w:p>
    <w:p w14:paraId="44ED330B">
      <w:pPr>
        <w:spacing w:before="163"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（9）其它情形，经评标委员会委提出无效标，并经监督</w:t>
      </w:r>
      <w:r>
        <w:rPr>
          <w:rFonts w:ascii="新宋体" w:hAnsi="新宋体" w:eastAsia="新宋体" w:cs="新宋体"/>
          <w:color w:val="auto"/>
          <w:spacing w:val="-3"/>
          <w:sz w:val="24"/>
          <w:szCs w:val="24"/>
          <w:highlight w:val="none"/>
        </w:rPr>
        <w:t>部门批准的；</w:t>
      </w:r>
    </w:p>
    <w:p w14:paraId="58B01644">
      <w:pPr>
        <w:spacing w:before="177" w:line="224" w:lineRule="auto"/>
        <w:ind w:left="463"/>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6.4 投标人有下列情形之一的，详细评审后其投标作无效标处理：</w:t>
      </w:r>
    </w:p>
    <w:p w14:paraId="1CE42CCB">
      <w:pPr>
        <w:spacing w:before="175"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（1）投标产品不符合必须强制执行的国家标准的；</w:t>
      </w:r>
    </w:p>
    <w:p w14:paraId="21EFD2F6">
      <w:pPr>
        <w:spacing w:before="176"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（2）投标人有串通投标、弄虚作假、行贿等违法行为；</w:t>
      </w:r>
    </w:p>
    <w:p w14:paraId="7B4CB682">
      <w:pPr>
        <w:spacing w:before="177"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（3）投标文件含有违反国家法律、法规的内容，或附有招</w:t>
      </w:r>
      <w:r>
        <w:rPr>
          <w:rFonts w:ascii="新宋体" w:hAnsi="新宋体" w:eastAsia="新宋体" w:cs="新宋体"/>
          <w:color w:val="auto"/>
          <w:spacing w:val="-2"/>
          <w:sz w:val="24"/>
          <w:szCs w:val="24"/>
          <w:highlight w:val="none"/>
        </w:rPr>
        <w:t>标人不能接受的条件的。</w:t>
      </w:r>
    </w:p>
    <w:p w14:paraId="721AD4E3">
      <w:pPr>
        <w:spacing w:before="177"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（4）其它情形，经评标委员会委提出无效标，并经招投标监督部门批准的；</w:t>
      </w:r>
    </w:p>
    <w:p w14:paraId="6EBD367E">
      <w:pPr>
        <w:spacing w:line="223" w:lineRule="auto"/>
        <w:rPr>
          <w:rFonts w:ascii="新宋体" w:hAnsi="新宋体" w:eastAsia="新宋体" w:cs="新宋体"/>
          <w:color w:val="auto"/>
          <w:sz w:val="24"/>
          <w:szCs w:val="24"/>
          <w:highlight w:val="none"/>
        </w:rPr>
        <w:sectPr>
          <w:footerReference r:id="rId9" w:type="default"/>
          <w:pgSz w:w="11905" w:h="16839"/>
          <w:pgMar w:top="1440" w:right="1800" w:bottom="1440" w:left="1800" w:header="0" w:footer="1090" w:gutter="0"/>
          <w:pgNumType w:fmt="decimal"/>
          <w:cols w:space="720" w:num="1"/>
        </w:sectPr>
      </w:pPr>
    </w:p>
    <w:p w14:paraId="68B3957A">
      <w:pPr>
        <w:spacing w:line="317" w:lineRule="auto"/>
        <w:rPr>
          <w:rFonts w:ascii="Arial"/>
          <w:color w:val="auto"/>
          <w:sz w:val="21"/>
          <w:highlight w:val="none"/>
        </w:rPr>
      </w:pPr>
    </w:p>
    <w:p w14:paraId="40DA47EA">
      <w:pPr>
        <w:pStyle w:val="4"/>
        <w:spacing w:before="129" w:line="187" w:lineRule="auto"/>
        <w:jc w:val="center"/>
        <w:outlineLvl w:val="0"/>
        <w:rPr>
          <w:rFonts w:ascii="Arial"/>
          <w:color w:val="auto"/>
          <w:sz w:val="21"/>
          <w:highlight w:val="none"/>
        </w:rPr>
      </w:pPr>
      <w:bookmarkStart w:id="20" w:name="bookmark6"/>
      <w:bookmarkEnd w:id="20"/>
      <w:bookmarkStart w:id="21" w:name="_Toc4883"/>
      <w:r>
        <w:rPr>
          <w:b/>
          <w:bCs/>
          <w:color w:val="auto"/>
          <w:spacing w:val="-5"/>
          <w:sz w:val="30"/>
          <w:szCs w:val="30"/>
          <w:highlight w:val="none"/>
        </w:rPr>
        <w:t>第四章</w:t>
      </w:r>
      <w:r>
        <w:rPr>
          <w:b/>
          <w:bCs/>
          <w:color w:val="auto"/>
          <w:spacing w:val="20"/>
          <w:sz w:val="30"/>
          <w:szCs w:val="30"/>
          <w:highlight w:val="none"/>
        </w:rPr>
        <w:t xml:space="preserve">   </w:t>
      </w:r>
      <w:r>
        <w:rPr>
          <w:b/>
          <w:bCs/>
          <w:color w:val="auto"/>
          <w:spacing w:val="-5"/>
          <w:sz w:val="30"/>
          <w:szCs w:val="30"/>
          <w:highlight w:val="none"/>
        </w:rPr>
        <w:t>采购清单及技术参数</w:t>
      </w:r>
      <w:bookmarkEnd w:id="21"/>
    </w:p>
    <w:tbl>
      <w:tblPr>
        <w:tblStyle w:val="14"/>
        <w:tblpPr w:leftFromText="180" w:rightFromText="180" w:vertAnchor="text" w:horzAnchor="page" w:tblpX="1495" w:tblpY="503"/>
        <w:tblOverlap w:val="never"/>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294"/>
        <w:gridCol w:w="645"/>
        <w:gridCol w:w="3995"/>
        <w:gridCol w:w="586"/>
        <w:gridCol w:w="723"/>
        <w:gridCol w:w="641"/>
        <w:gridCol w:w="655"/>
      </w:tblGrid>
      <w:tr w14:paraId="48C1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03" w:type="dxa"/>
            <w:vAlign w:val="center"/>
          </w:tcPr>
          <w:p w14:paraId="20351C2A">
            <w:pPr>
              <w:widowControl w:val="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序号</w:t>
            </w:r>
          </w:p>
        </w:tc>
        <w:tc>
          <w:tcPr>
            <w:tcW w:w="1294" w:type="dxa"/>
            <w:vAlign w:val="center"/>
          </w:tcPr>
          <w:p w14:paraId="01D749E2">
            <w:pPr>
              <w:widowControl w:val="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设备名称</w:t>
            </w:r>
          </w:p>
        </w:tc>
        <w:tc>
          <w:tcPr>
            <w:tcW w:w="645" w:type="dxa"/>
            <w:vAlign w:val="center"/>
          </w:tcPr>
          <w:p w14:paraId="2A688DF7">
            <w:pPr>
              <w:widowControl w:val="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参考型号</w:t>
            </w:r>
          </w:p>
        </w:tc>
        <w:tc>
          <w:tcPr>
            <w:tcW w:w="3995" w:type="dxa"/>
            <w:vAlign w:val="center"/>
          </w:tcPr>
          <w:p w14:paraId="70EC83CC">
            <w:pPr>
              <w:widowControl w:val="0"/>
              <w:ind w:firstLine="422"/>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用途、技术指标及配置</w:t>
            </w:r>
          </w:p>
        </w:tc>
        <w:tc>
          <w:tcPr>
            <w:tcW w:w="586" w:type="dxa"/>
            <w:vAlign w:val="center"/>
          </w:tcPr>
          <w:p w14:paraId="495BFE3C">
            <w:pPr>
              <w:widowControl w:val="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数量</w:t>
            </w:r>
          </w:p>
        </w:tc>
        <w:tc>
          <w:tcPr>
            <w:tcW w:w="723" w:type="dxa"/>
            <w:vAlign w:val="center"/>
          </w:tcPr>
          <w:p w14:paraId="18D6F393">
            <w:pPr>
              <w:widowControl w:val="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 xml:space="preserve">单价 </w:t>
            </w:r>
            <w:r>
              <w:rPr>
                <w:rFonts w:hint="eastAsia" w:asciiTheme="minorEastAsia" w:hAnsiTheme="minorEastAsia" w:eastAsiaTheme="minorEastAsia" w:cstheme="minorEastAsia"/>
                <w:b/>
                <w:bCs/>
                <w:color w:val="auto"/>
                <w:sz w:val="18"/>
                <w:szCs w:val="18"/>
              </w:rPr>
              <w:t>万元</w:t>
            </w:r>
          </w:p>
        </w:tc>
        <w:tc>
          <w:tcPr>
            <w:tcW w:w="641" w:type="dxa"/>
            <w:vAlign w:val="center"/>
          </w:tcPr>
          <w:p w14:paraId="706BD6C5">
            <w:pPr>
              <w:widowControl w:val="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 xml:space="preserve">金额 </w:t>
            </w:r>
            <w:r>
              <w:rPr>
                <w:rFonts w:hint="eastAsia" w:asciiTheme="minorEastAsia" w:hAnsiTheme="minorEastAsia" w:eastAsiaTheme="minorEastAsia" w:cstheme="minorEastAsia"/>
                <w:b/>
                <w:bCs/>
                <w:color w:val="auto"/>
                <w:sz w:val="18"/>
                <w:szCs w:val="18"/>
              </w:rPr>
              <w:t>万元</w:t>
            </w:r>
          </w:p>
        </w:tc>
        <w:tc>
          <w:tcPr>
            <w:tcW w:w="655" w:type="dxa"/>
            <w:vAlign w:val="center"/>
          </w:tcPr>
          <w:p w14:paraId="41ABA6F1">
            <w:pPr>
              <w:widowControl w:val="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备注</w:t>
            </w:r>
          </w:p>
        </w:tc>
      </w:tr>
      <w:tr w14:paraId="28F2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603" w:type="dxa"/>
            <w:vAlign w:val="center"/>
          </w:tcPr>
          <w:p w14:paraId="34473465">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1294" w:type="dxa"/>
            <w:vAlign w:val="center"/>
          </w:tcPr>
          <w:p w14:paraId="0744AD53">
            <w:pPr>
              <w:widowControl w:val="0"/>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2"/>
                <w:szCs w:val="22"/>
              </w:rPr>
              <w:t>*</w:t>
            </w:r>
            <w:r>
              <w:rPr>
                <w:rFonts w:hint="eastAsia" w:asciiTheme="minorEastAsia" w:hAnsiTheme="minorEastAsia" w:eastAsiaTheme="minorEastAsia" w:cstheme="minorEastAsia"/>
                <w:color w:val="auto"/>
                <w:szCs w:val="21"/>
              </w:rPr>
              <w:t>HVI快速纤维测试仪</w:t>
            </w:r>
          </w:p>
        </w:tc>
        <w:tc>
          <w:tcPr>
            <w:tcW w:w="645" w:type="dxa"/>
            <w:vAlign w:val="center"/>
          </w:tcPr>
          <w:p w14:paraId="7D77846D">
            <w:pPr>
              <w:widowControl w:val="0"/>
              <w:rPr>
                <w:rFonts w:asciiTheme="minorEastAsia" w:hAnsiTheme="minorEastAsia" w:eastAsiaTheme="minorEastAsia" w:cstheme="minorEastAsia"/>
                <w:color w:val="auto"/>
                <w:szCs w:val="21"/>
              </w:rPr>
            </w:pPr>
          </w:p>
        </w:tc>
        <w:tc>
          <w:tcPr>
            <w:tcW w:w="3995" w:type="dxa"/>
          </w:tcPr>
          <w:p w14:paraId="22B01D2E">
            <w:pPr>
              <w:widowControl/>
              <w:numPr>
                <w:ilvl w:val="0"/>
                <w:numId w:val="3"/>
              </w:numPr>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用途</w:t>
            </w:r>
          </w:p>
          <w:p w14:paraId="1DE39DF2">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大容量纤维快速测试仪主要用于服务中国棉花公证检验，其使用方法及技术参数应符合GB1103.1-2023和GB/T 20392-2023中的相关要求。</w:t>
            </w:r>
          </w:p>
          <w:p w14:paraId="4EA55ED6">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二、仪器功能及组成部分</w:t>
            </w:r>
          </w:p>
          <w:p w14:paraId="3328D0F0">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能够快速地检测棉纤维的长度、强度、马克隆、颜色和杂质性能，给出平均长度、上半部平均长度、整齐度指数、短纤维指数、比强度、伸长率、最大断裂负荷、马克隆值、成熟度指数、反射率、黄色深度、颜色等级、杂质粒数、杂质面积百分率、杂质等级等指标。仪器应可与中国棉花公证检验实验室的服务器专用软件联网，能接入中国纤维质量监测中心的信息系统平台，实时上传检验数据。</w:t>
            </w:r>
          </w:p>
          <w:p w14:paraId="60245C4A">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仪器由长强主机(包括长度/强度模块和电控箱)、色征主机(包括马克隆模块和色泽/杂质模块)、主处理计算机、显示器、键盘、鼠标、打印机、电子天平、条形码读码器及附属电缆组成。整机工作电压AC220V/50HZ，气压≥0.6Mp。</w:t>
            </w:r>
          </w:p>
          <w:p w14:paraId="76F141E9">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整机功能模块包括长度/强度测量模块、马克隆测量模块、色泽/杂质测量模块、计算机控制系统，样品流转管理系统。</w:t>
            </w:r>
          </w:p>
          <w:p w14:paraId="707E6938">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color w:val="auto"/>
                <w:szCs w:val="21"/>
              </w:rPr>
              <w:t>（2）主处理器，采用服务器级稳定主处理器，国产应用软件，全中文显示，性能稳定可靠，能够适应棉花公证检验实验室长期数个月的连续运行，并且能够充分保证测试数据的安全。（需提供国产全中文应用软件证明资料）</w:t>
            </w:r>
          </w:p>
          <w:p w14:paraId="6E11D1A6">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（3）显示器为触摸大屏液晶显示器、键盘和鼠标为无线方式，操作简单，使用方便。</w:t>
            </w:r>
          </w:p>
          <w:p w14:paraId="2151CC61">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（4）电子天平，内置的过载保护功能，符合中国标准的AC适配器，具有计件称量、百分比称量，可选的显示增量，能实现快速称量。可在各种称量单位之间进行切换:g,kg,mg,最大称量范围≥610g，可读性0.01g、Linearity 0.03g、Repeatability 0.01g。</w:t>
            </w:r>
          </w:p>
          <w:p w14:paraId="2A04D6DB">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（5）条形码读取器，抗摔程度：能经受不低于1.5m高度多次坠落；解码能力：识读标准的1D、PDF、2D、邮政编码OCR字符体系。</w:t>
            </w:r>
          </w:p>
          <w:p w14:paraId="4B59F151">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（6）测试效率：</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130个样品/小时（每个样品包括两把梳夹长度、强度，一次马克隆、四次色泽/杂质，4个色泽/杂质测试不需要操作员翻样。</w:t>
            </w:r>
          </w:p>
          <w:p w14:paraId="44381D84">
            <w:pPr>
              <w:widowControl/>
              <w:jc w:val="left"/>
              <w:textAlignment w:val="top"/>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（7）双颜色/杂质模块同时测试，效率高。</w:t>
            </w:r>
          </w:p>
          <w:p w14:paraId="5C077A7B">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（8）长度/强度测量，采用双取样桶回转式自动取样，减少了手动取样的影响；自动取样器为双取样筒、同时取两把梳样；取样压板为手指形，模仿手动取样。（要求图片证明资料）</w:t>
            </w:r>
          </w:p>
          <w:p w14:paraId="0B385197">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（9）仪器系统测量，长度/强度模块、马克隆模块、颜色/杂质模块并行测量，效率高。</w:t>
            </w:r>
          </w:p>
          <w:p w14:paraId="26FBF92E">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（10）光学零点自动调节和跟踪补偿，开机预热时间短，稳定性好。</w:t>
            </w:r>
          </w:p>
          <w:p w14:paraId="35E3E5D8">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（11）仪器具有系统诊断模块，在线故障诊断，维修方便。</w:t>
            </w:r>
          </w:p>
          <w:p w14:paraId="256877A5">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（12）颜色测量的光电源恒流控制，测试的稳定性好。</w:t>
            </w:r>
          </w:p>
          <w:p w14:paraId="69C2DBA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13</w:t>
            </w:r>
            <w:r>
              <w:rPr>
                <w:rFonts w:hint="eastAsia" w:asciiTheme="minorEastAsia" w:hAnsiTheme="minorEastAsia" w:eastAsiaTheme="minorEastAsia" w:cstheme="minorEastAsia"/>
                <w:color w:val="auto"/>
                <w:szCs w:val="21"/>
              </w:rPr>
              <w:t>）五联件气源处理具备气压下限监测功能，防止低气压时测试数据异常。</w:t>
            </w:r>
          </w:p>
          <w:p w14:paraId="1D1F039B">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三、技术指标：</w:t>
            </w:r>
          </w:p>
          <w:p w14:paraId="6460B1A5">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（1）测试环境：温度20±2℃，相对湿度：65±3%RH。</w:t>
            </w:r>
          </w:p>
          <w:p w14:paraId="0A877342">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（2）长度指标：最大测试长度≥48mm，上半部平均长度误差±0.4mm，整齐度指数误差±0.9％。</w:t>
            </w:r>
          </w:p>
          <w:p w14:paraId="5E6EC90B">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（3）强度指标：比强度误差±1.3gf/tex。</w:t>
            </w:r>
          </w:p>
          <w:p w14:paraId="09826BB5">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（4）马克隆指标：试样质量范围10.0g±0.5g，马克隆值范围：2.0～6.5，马克隆值误差±0.1。</w:t>
            </w:r>
          </w:p>
          <w:p w14:paraId="71DD413C">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（5）颜色指标：测试窗口面积≥90mm×90mm，有效测试面积≥80mm×84mm，反射率(Rd)误差±1.0％，黄度(+b)误差±0.5。</w:t>
            </w:r>
          </w:p>
          <w:p w14:paraId="3D024DDC">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（6）杂质指标：杂质分辨率≥0.065mm2，杂质面积误差±0.2％，杂质粒数误差±6。</w:t>
            </w:r>
          </w:p>
          <w:p w14:paraId="599EF209">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符合仪器落地验收的长度/强度验收、马克隆验收、颜色验收、杂质验收测试、性能测试的马克隆值、强度、长度、整齐度、颜色反射率Rd、颜色黄度+b、杂质面积、杂质粒数的平均值限制和标准差限制的误差要求。</w:t>
            </w:r>
          </w:p>
          <w:p w14:paraId="06F4573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（8）符合中国棉花公证检验监督抽验长度、马克隆、强度、色泽指标相符率要求，各指标允差范围分别是：马克隆值±0.15；颜色反射率Rd±0.8；颜色黄度+b±0.4；长度±0.6mm；整齐度±1.5；强度±1.5cN/tex。</w:t>
            </w:r>
          </w:p>
          <w:p w14:paraId="57A174D0">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color w:val="auto"/>
                <w:szCs w:val="21"/>
                <w:lang w:eastAsia="zh-CN"/>
              </w:rPr>
              <w:t>四</w:t>
            </w:r>
            <w:r>
              <w:rPr>
                <w:rFonts w:hint="eastAsia" w:asciiTheme="minorEastAsia" w:hAnsiTheme="minorEastAsia" w:eastAsiaTheme="minorEastAsia" w:cstheme="minorEastAsia"/>
                <w:color w:val="auto"/>
                <w:szCs w:val="21"/>
              </w:rPr>
              <w:t>、软件要求：</w:t>
            </w:r>
          </w:p>
          <w:p w14:paraId="3F41B39E">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color w:val="auto"/>
                <w:szCs w:val="21"/>
              </w:rPr>
              <w:t>（1）基于windows操作系统，具有仪器校准、模块测试、验收测试、性能测试、系统诊断等功能。</w:t>
            </w:r>
          </w:p>
          <w:p w14:paraId="735E54E6">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color w:val="auto"/>
                <w:szCs w:val="21"/>
              </w:rPr>
              <w:t>（2）可与中国棉花公证检验实验室的服务器软件联网。</w:t>
            </w:r>
          </w:p>
          <w:p w14:paraId="234D58CB">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color w:val="auto"/>
                <w:szCs w:val="21"/>
              </w:rPr>
              <w:t>（3）软件能接入中国纤维质量监测中心的信息系统平台，实时上传检验数据。能正常接收实验室服务器下达的相关指令。（提供开始系统测试信息指令图片）</w:t>
            </w:r>
          </w:p>
          <w:p w14:paraId="22A5AB44">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马克隆验收应测试6个马克隆验证棉样（以下简称马克隆棉样），编号为Au、Bm、Cm、Dm、Im、Gu的各一个，每个棉样需测试8次。6个马克隆棉样各自的马克隆平均值均须在标准值±0.1范围内。6个马克隆棉样马克隆值标准差的平均值应不大于0.07。长强验收中，每一个长强验证棉样需要做8次马克隆测试，即在长度/强度验收测试过程中，每一对梳夹测试一次，进行一次马克隆测试。8个长强验证棉样各自的马克隆平均值应至少有7个在标准值±0.11范围内。8个长/强验证棉样马克隆值标准差的平均值应不大于0.3。</w:t>
            </w:r>
          </w:p>
          <w:p w14:paraId="73591EB9">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长度/强度验收应测试8个长强验证棉样（以下简称长强棉样），长度级为31-38的长强棉样各一个，每个进行8次测试，测试的每个长强数据是一对梳夹的平均值。8个长强棉样各自的上半部平均长度平均值应至少有7个在标准值±0.4mm范围内。8个长强棉样上半部平均长度测试值标准差的平均值应不大于0.3。8个长强棉样各自的整齐度平均值应至少有7个在标准值±0.9范围内。8个长强棉样整齐度测试值标准差的平均值应不大于0.8。8个长强棉样各自的强度平均值应至少有7个标准值在标准值±1.3gf/tex。8个长强棉样强度测试值标准差的平均值应不大于1.0。</w:t>
            </w:r>
          </w:p>
          <w:p w14:paraId="51891508">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颜色验收应测试一套12盒的颜色检验样品。必须按照顺序测试每一盒样品，每测试一次旋转90°，测试4次，这4次读数的平均值作为一个测量值。对于12盒样品，以上操作需执行8个循环。12盒样品中每一个样品的颜色反射率的平均值与标准值之差应不超过±1.0个百分点。12盒样品的平均标准差不应超过0.7。每个样品的黄度测试值与标准值之差不应超过±0.5。12盒样品的测试值标准差平均值不应超过0.3。</w:t>
            </w:r>
          </w:p>
          <w:p w14:paraId="2E148205">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杂质验收应测试一套12个杂质图像检测样品。这12个杂质图像应进行和颜色样品完全一致的测试。必须按照顺序测试每一个杂质图像，每测试一次旋转90°，测试4次，这4次读数的平均值作为一个测量值。对于所有12个图像，以上操作需要执行8个循环。每个样品的杂质面积百分比和颗粒数平均值与标准值之差都不应超过下列允差：</w:t>
            </w:r>
          </w:p>
          <w:tbl>
            <w:tblPr>
              <w:tblStyle w:val="13"/>
              <w:tblW w:w="4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040"/>
              <w:gridCol w:w="1266"/>
              <w:gridCol w:w="881"/>
            </w:tblGrid>
            <w:tr w14:paraId="72CD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237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156BDF6">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杂质面积(%)</w:t>
                  </w:r>
                </w:p>
              </w:tc>
              <w:tc>
                <w:tcPr>
                  <w:tcW w:w="214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E1C6C36">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杂质粒数</w:t>
                  </w:r>
                </w:p>
              </w:tc>
            </w:tr>
            <w:tr w14:paraId="1C43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331" w:type="dxa"/>
                  <w:tcBorders>
                    <w:top w:val="single" w:color="auto" w:sz="4" w:space="0"/>
                    <w:left w:val="single" w:color="auto" w:sz="4" w:space="0"/>
                    <w:bottom w:val="single" w:color="auto" w:sz="4" w:space="0"/>
                    <w:right w:val="single" w:color="auto" w:sz="4" w:space="0"/>
                  </w:tcBorders>
                  <w:shd w:val="clear" w:color="auto" w:fill="FFFFFF"/>
                  <w:vAlign w:val="center"/>
                </w:tcPr>
                <w:p w14:paraId="53ADAA11">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标值范围</w:t>
                  </w: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14:paraId="362F6FDD">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允差</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14:paraId="15326B5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标值范围</w:t>
                  </w:r>
                </w:p>
              </w:tc>
              <w:tc>
                <w:tcPr>
                  <w:tcW w:w="881" w:type="dxa"/>
                  <w:tcBorders>
                    <w:top w:val="single" w:color="auto" w:sz="4" w:space="0"/>
                    <w:left w:val="single" w:color="auto" w:sz="4" w:space="0"/>
                    <w:bottom w:val="single" w:color="auto" w:sz="4" w:space="0"/>
                    <w:right w:val="single" w:color="auto" w:sz="4" w:space="0"/>
                  </w:tcBorders>
                  <w:shd w:val="clear" w:color="auto" w:fill="FFFFFF"/>
                  <w:vAlign w:val="center"/>
                </w:tcPr>
                <w:p w14:paraId="16209C95">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允差</w:t>
                  </w:r>
                </w:p>
              </w:tc>
            </w:tr>
            <w:tr w14:paraId="439D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331" w:type="dxa"/>
                  <w:tcBorders>
                    <w:top w:val="single" w:color="auto" w:sz="4" w:space="0"/>
                    <w:left w:val="single" w:color="auto" w:sz="4" w:space="0"/>
                    <w:bottom w:val="single" w:color="auto" w:sz="4" w:space="0"/>
                    <w:right w:val="single" w:color="auto" w:sz="4" w:space="0"/>
                  </w:tcBorders>
                  <w:shd w:val="clear" w:color="auto" w:fill="FFFFFF"/>
                  <w:vAlign w:val="center"/>
                </w:tcPr>
                <w:p w14:paraId="0BE66CE0">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0.0-0.14</w:t>
                  </w: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14:paraId="39D86A3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±0.02</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14:paraId="72F208F0">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0-5</w:t>
                  </w:r>
                </w:p>
              </w:tc>
              <w:tc>
                <w:tcPr>
                  <w:tcW w:w="881" w:type="dxa"/>
                  <w:tcBorders>
                    <w:top w:val="single" w:color="auto" w:sz="4" w:space="0"/>
                    <w:left w:val="single" w:color="auto" w:sz="4" w:space="0"/>
                    <w:bottom w:val="single" w:color="auto" w:sz="4" w:space="0"/>
                    <w:right w:val="single" w:color="auto" w:sz="4" w:space="0"/>
                  </w:tcBorders>
                  <w:shd w:val="clear" w:color="auto" w:fill="FFFFFF"/>
                  <w:vAlign w:val="center"/>
                </w:tcPr>
                <w:p w14:paraId="2EAF891B">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14:paraId="3DC2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331" w:type="dxa"/>
                  <w:tcBorders>
                    <w:top w:val="single" w:color="auto" w:sz="4" w:space="0"/>
                    <w:left w:val="single" w:color="auto" w:sz="4" w:space="0"/>
                    <w:bottom w:val="single" w:color="auto" w:sz="4" w:space="0"/>
                    <w:right w:val="single" w:color="auto" w:sz="4" w:space="0"/>
                  </w:tcBorders>
                  <w:shd w:val="clear" w:color="auto" w:fill="FFFFFF"/>
                  <w:vAlign w:val="center"/>
                </w:tcPr>
                <w:p w14:paraId="6459A4CC">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0.15-0.34</w:t>
                  </w: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14:paraId="2ED307E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±0.03</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14:paraId="1F77EA3C">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6-3</w:t>
                  </w:r>
                </w:p>
              </w:tc>
              <w:tc>
                <w:tcPr>
                  <w:tcW w:w="881" w:type="dxa"/>
                  <w:tcBorders>
                    <w:top w:val="single" w:color="auto" w:sz="4" w:space="0"/>
                    <w:left w:val="single" w:color="auto" w:sz="4" w:space="0"/>
                    <w:bottom w:val="single" w:color="auto" w:sz="4" w:space="0"/>
                    <w:right w:val="single" w:color="auto" w:sz="4" w:space="0"/>
                  </w:tcBorders>
                  <w:shd w:val="clear" w:color="auto" w:fill="FFFFFF"/>
                  <w:vAlign w:val="center"/>
                </w:tcPr>
                <w:p w14:paraId="1F9A5824">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r>
            <w:tr w14:paraId="003B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331" w:type="dxa"/>
                  <w:tcBorders>
                    <w:top w:val="single" w:color="auto" w:sz="4" w:space="0"/>
                    <w:left w:val="single" w:color="auto" w:sz="4" w:space="0"/>
                    <w:bottom w:val="single" w:color="auto" w:sz="4" w:space="0"/>
                    <w:right w:val="single" w:color="auto" w:sz="4" w:space="0"/>
                  </w:tcBorders>
                  <w:shd w:val="clear" w:color="auto" w:fill="FFFFFF"/>
                  <w:vAlign w:val="center"/>
                </w:tcPr>
                <w:p w14:paraId="58ABCDB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0.35-0.54</w:t>
                  </w: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14:paraId="4CA94734">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±0.05</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14:paraId="2A9BC90B">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11-15</w:t>
                  </w:r>
                </w:p>
              </w:tc>
              <w:tc>
                <w:tcPr>
                  <w:tcW w:w="881" w:type="dxa"/>
                  <w:tcBorders>
                    <w:top w:val="single" w:color="auto" w:sz="4" w:space="0"/>
                    <w:left w:val="single" w:color="auto" w:sz="4" w:space="0"/>
                    <w:bottom w:val="single" w:color="auto" w:sz="4" w:space="0"/>
                    <w:right w:val="single" w:color="auto" w:sz="4" w:space="0"/>
                  </w:tcBorders>
                  <w:shd w:val="clear" w:color="auto" w:fill="FFFFFF"/>
                  <w:vAlign w:val="center"/>
                </w:tcPr>
                <w:p w14:paraId="69E1B79A">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r>
            <w:tr w14:paraId="6247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331" w:type="dxa"/>
                  <w:tcBorders>
                    <w:top w:val="single" w:color="auto" w:sz="4" w:space="0"/>
                    <w:left w:val="single" w:color="auto" w:sz="4" w:space="0"/>
                    <w:bottom w:val="single" w:color="auto" w:sz="4" w:space="0"/>
                    <w:right w:val="single" w:color="auto" w:sz="4" w:space="0"/>
                  </w:tcBorders>
                  <w:shd w:val="clear" w:color="auto" w:fill="FFFFFF"/>
                  <w:vAlign w:val="center"/>
                </w:tcPr>
                <w:p w14:paraId="3AD7E418">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0.55-0.84</w:t>
                  </w: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14:paraId="1A28DE2E">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±0.07</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14:paraId="5837C6DA">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16-20</w:t>
                  </w:r>
                </w:p>
              </w:tc>
              <w:tc>
                <w:tcPr>
                  <w:tcW w:w="881" w:type="dxa"/>
                  <w:tcBorders>
                    <w:top w:val="single" w:color="auto" w:sz="4" w:space="0"/>
                    <w:left w:val="single" w:color="auto" w:sz="4" w:space="0"/>
                    <w:bottom w:val="single" w:color="auto" w:sz="4" w:space="0"/>
                    <w:right w:val="single" w:color="auto" w:sz="4" w:space="0"/>
                  </w:tcBorders>
                  <w:shd w:val="clear" w:color="auto" w:fill="FFFFFF"/>
                  <w:vAlign w:val="center"/>
                </w:tcPr>
                <w:p w14:paraId="1B761C20">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r>
            <w:tr w14:paraId="50F4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331" w:type="dxa"/>
                  <w:tcBorders>
                    <w:top w:val="single" w:color="auto" w:sz="4" w:space="0"/>
                    <w:left w:val="single" w:color="auto" w:sz="4" w:space="0"/>
                    <w:bottom w:val="single" w:color="auto" w:sz="4" w:space="0"/>
                    <w:right w:val="single" w:color="auto" w:sz="4" w:space="0"/>
                  </w:tcBorders>
                  <w:shd w:val="clear" w:color="auto" w:fill="FFFFFF"/>
                  <w:vAlign w:val="center"/>
                </w:tcPr>
                <w:p w14:paraId="242B6C38">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0.85-1.14</w:t>
                  </w: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14:paraId="1D7AF448">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±0.09</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14:paraId="187976E4">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21-25</w:t>
                  </w:r>
                </w:p>
              </w:tc>
              <w:tc>
                <w:tcPr>
                  <w:tcW w:w="881" w:type="dxa"/>
                  <w:tcBorders>
                    <w:top w:val="single" w:color="auto" w:sz="4" w:space="0"/>
                    <w:left w:val="single" w:color="auto" w:sz="4" w:space="0"/>
                    <w:bottom w:val="single" w:color="auto" w:sz="4" w:space="0"/>
                    <w:right w:val="single" w:color="auto" w:sz="4" w:space="0"/>
                  </w:tcBorders>
                  <w:shd w:val="clear" w:color="auto" w:fill="FFFFFF"/>
                  <w:vAlign w:val="center"/>
                </w:tcPr>
                <w:p w14:paraId="2D1FDA02">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r>
            <w:tr w14:paraId="60B2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331" w:type="dxa"/>
                  <w:tcBorders>
                    <w:top w:val="single" w:color="auto" w:sz="4" w:space="0"/>
                    <w:left w:val="single" w:color="auto" w:sz="4" w:space="0"/>
                    <w:bottom w:val="single" w:color="auto" w:sz="4" w:space="0"/>
                    <w:right w:val="single" w:color="auto" w:sz="4" w:space="0"/>
                  </w:tcBorders>
                  <w:shd w:val="clear" w:color="auto" w:fill="FFFFFF"/>
                  <w:vAlign w:val="center"/>
                </w:tcPr>
                <w:p w14:paraId="2489820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1.15-1.74</w:t>
                  </w: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14:paraId="0A660D88">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±0.11</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14:paraId="59DF424A">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26-30</w:t>
                  </w:r>
                </w:p>
              </w:tc>
              <w:tc>
                <w:tcPr>
                  <w:tcW w:w="881" w:type="dxa"/>
                  <w:tcBorders>
                    <w:top w:val="single" w:color="auto" w:sz="4" w:space="0"/>
                    <w:left w:val="single" w:color="auto" w:sz="4" w:space="0"/>
                    <w:bottom w:val="single" w:color="auto" w:sz="4" w:space="0"/>
                    <w:right w:val="single" w:color="auto" w:sz="4" w:space="0"/>
                  </w:tcBorders>
                  <w:shd w:val="clear" w:color="auto" w:fill="FFFFFF"/>
                  <w:vAlign w:val="center"/>
                </w:tcPr>
                <w:p w14:paraId="19A67649">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r>
            <w:tr w14:paraId="5E57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331" w:type="dxa"/>
                  <w:tcBorders>
                    <w:top w:val="single" w:color="auto" w:sz="4" w:space="0"/>
                    <w:left w:val="single" w:color="auto" w:sz="4" w:space="0"/>
                    <w:bottom w:val="single" w:color="auto" w:sz="4" w:space="0"/>
                    <w:right w:val="single" w:color="auto" w:sz="4" w:space="0"/>
                  </w:tcBorders>
                  <w:shd w:val="clear" w:color="auto" w:fill="FFFFFF"/>
                  <w:vAlign w:val="center"/>
                </w:tcPr>
                <w:p w14:paraId="240A5421">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1.75-2.24</w:t>
                  </w: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14:paraId="128BC442">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±0.14</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14:paraId="32B152D9">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31-40</w:t>
                  </w:r>
                </w:p>
              </w:tc>
              <w:tc>
                <w:tcPr>
                  <w:tcW w:w="881" w:type="dxa"/>
                  <w:tcBorders>
                    <w:top w:val="single" w:color="auto" w:sz="4" w:space="0"/>
                    <w:left w:val="single" w:color="auto" w:sz="4" w:space="0"/>
                    <w:bottom w:val="single" w:color="auto" w:sz="4" w:space="0"/>
                    <w:right w:val="single" w:color="auto" w:sz="4" w:space="0"/>
                  </w:tcBorders>
                  <w:shd w:val="clear" w:color="auto" w:fill="FFFFFF"/>
                  <w:vAlign w:val="center"/>
                </w:tcPr>
                <w:p w14:paraId="53FE85DB">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r>
            <w:tr w14:paraId="3D03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331" w:type="dxa"/>
                  <w:tcBorders>
                    <w:top w:val="single" w:color="auto" w:sz="4" w:space="0"/>
                    <w:left w:val="single" w:color="auto" w:sz="4" w:space="0"/>
                    <w:bottom w:val="single" w:color="auto" w:sz="4" w:space="0"/>
                    <w:right w:val="single" w:color="auto" w:sz="4" w:space="0"/>
                  </w:tcBorders>
                  <w:shd w:val="clear" w:color="auto" w:fill="FFFFFF"/>
                  <w:vAlign w:val="center"/>
                </w:tcPr>
                <w:p w14:paraId="2FACAF36">
                  <w:pPr>
                    <w:widowControl/>
                    <w:jc w:val="left"/>
                    <w:textAlignment w:val="top"/>
                    <w:rPr>
                      <w:rFonts w:asciiTheme="minorEastAsia" w:hAnsiTheme="minorEastAsia" w:eastAsiaTheme="minorEastAsia" w:cstheme="minorEastAsia"/>
                      <w:color w:val="auto"/>
                      <w:szCs w:val="21"/>
                    </w:rPr>
                  </w:pP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14:paraId="46C0D9DF">
                  <w:pPr>
                    <w:widowControl/>
                    <w:jc w:val="left"/>
                    <w:textAlignment w:val="top"/>
                    <w:rPr>
                      <w:rFonts w:asciiTheme="minorEastAsia" w:hAnsiTheme="minorEastAsia" w:eastAsiaTheme="minorEastAsia" w:cstheme="minorEastAsia"/>
                      <w:color w:val="auto"/>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14:paraId="1DF9F711">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41-50</w:t>
                  </w:r>
                </w:p>
              </w:tc>
              <w:tc>
                <w:tcPr>
                  <w:tcW w:w="881" w:type="dxa"/>
                  <w:tcBorders>
                    <w:top w:val="single" w:color="auto" w:sz="4" w:space="0"/>
                    <w:left w:val="single" w:color="auto" w:sz="4" w:space="0"/>
                    <w:bottom w:val="single" w:color="auto" w:sz="4" w:space="0"/>
                    <w:right w:val="single" w:color="auto" w:sz="4" w:space="0"/>
                  </w:tcBorders>
                  <w:shd w:val="clear" w:color="auto" w:fill="FFFFFF"/>
                  <w:vAlign w:val="center"/>
                </w:tcPr>
                <w:p w14:paraId="78762259">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p>
              </w:tc>
            </w:tr>
            <w:tr w14:paraId="5C06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331" w:type="dxa"/>
                  <w:tcBorders>
                    <w:top w:val="single" w:color="auto" w:sz="4" w:space="0"/>
                    <w:left w:val="single" w:color="auto" w:sz="4" w:space="0"/>
                    <w:bottom w:val="single" w:color="auto" w:sz="4" w:space="0"/>
                    <w:right w:val="single" w:color="auto" w:sz="4" w:space="0"/>
                  </w:tcBorders>
                  <w:shd w:val="clear" w:color="auto" w:fill="FFFFFF"/>
                  <w:vAlign w:val="center"/>
                </w:tcPr>
                <w:p w14:paraId="0E83A886">
                  <w:pPr>
                    <w:widowControl/>
                    <w:jc w:val="left"/>
                    <w:textAlignment w:val="top"/>
                    <w:rPr>
                      <w:rFonts w:asciiTheme="minorEastAsia" w:hAnsiTheme="minorEastAsia" w:eastAsiaTheme="minorEastAsia" w:cstheme="minorEastAsia"/>
                      <w:color w:val="auto"/>
                      <w:szCs w:val="21"/>
                    </w:rPr>
                  </w:pP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14:paraId="1EBE2335">
                  <w:pPr>
                    <w:widowControl/>
                    <w:jc w:val="left"/>
                    <w:textAlignment w:val="top"/>
                    <w:rPr>
                      <w:rFonts w:asciiTheme="minorEastAsia" w:hAnsiTheme="minorEastAsia" w:eastAsiaTheme="minorEastAsia" w:cstheme="minorEastAsia"/>
                      <w:color w:val="auto"/>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14:paraId="65F0929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51-65</w:t>
                  </w:r>
                </w:p>
              </w:tc>
              <w:tc>
                <w:tcPr>
                  <w:tcW w:w="881" w:type="dxa"/>
                  <w:tcBorders>
                    <w:top w:val="single" w:color="auto" w:sz="4" w:space="0"/>
                    <w:left w:val="single" w:color="auto" w:sz="4" w:space="0"/>
                    <w:bottom w:val="single" w:color="auto" w:sz="4" w:space="0"/>
                    <w:right w:val="single" w:color="auto" w:sz="4" w:space="0"/>
                  </w:tcBorders>
                  <w:shd w:val="clear" w:color="auto" w:fill="FFFFFF"/>
                  <w:vAlign w:val="center"/>
                </w:tcPr>
                <w:p w14:paraId="637DDA3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w:t>
                  </w:r>
                </w:p>
              </w:tc>
            </w:tr>
            <w:tr w14:paraId="4589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331" w:type="dxa"/>
                  <w:tcBorders>
                    <w:top w:val="single" w:color="auto" w:sz="4" w:space="0"/>
                    <w:left w:val="single" w:color="auto" w:sz="4" w:space="0"/>
                    <w:bottom w:val="single" w:color="auto" w:sz="4" w:space="0"/>
                    <w:right w:val="single" w:color="auto" w:sz="4" w:space="0"/>
                  </w:tcBorders>
                  <w:shd w:val="clear" w:color="auto" w:fill="FFFFFF"/>
                  <w:vAlign w:val="center"/>
                </w:tcPr>
                <w:p w14:paraId="061167C7">
                  <w:pPr>
                    <w:widowControl/>
                    <w:jc w:val="left"/>
                    <w:textAlignment w:val="top"/>
                    <w:rPr>
                      <w:rFonts w:asciiTheme="minorEastAsia" w:hAnsiTheme="minorEastAsia" w:eastAsiaTheme="minorEastAsia" w:cstheme="minorEastAsia"/>
                      <w:color w:val="auto"/>
                      <w:szCs w:val="21"/>
                    </w:rPr>
                  </w:pPr>
                </w:p>
              </w:tc>
              <w:tc>
                <w:tcPr>
                  <w:tcW w:w="1040" w:type="dxa"/>
                  <w:tcBorders>
                    <w:top w:val="single" w:color="auto" w:sz="4" w:space="0"/>
                    <w:left w:val="single" w:color="auto" w:sz="4" w:space="0"/>
                    <w:bottom w:val="single" w:color="auto" w:sz="4" w:space="0"/>
                    <w:right w:val="single" w:color="auto" w:sz="4" w:space="0"/>
                  </w:tcBorders>
                  <w:shd w:val="clear" w:color="auto" w:fill="FFFFFF"/>
                  <w:vAlign w:val="center"/>
                </w:tcPr>
                <w:p w14:paraId="0ACE1B02">
                  <w:pPr>
                    <w:widowControl/>
                    <w:jc w:val="left"/>
                    <w:textAlignment w:val="top"/>
                    <w:rPr>
                      <w:rFonts w:asciiTheme="minorEastAsia" w:hAnsiTheme="minorEastAsia" w:eastAsiaTheme="minorEastAsia" w:cstheme="minorEastAsia"/>
                      <w:color w:val="auto"/>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14:paraId="1D36423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66-90</w:t>
                  </w:r>
                </w:p>
              </w:tc>
              <w:tc>
                <w:tcPr>
                  <w:tcW w:w="881" w:type="dxa"/>
                  <w:tcBorders>
                    <w:top w:val="single" w:color="auto" w:sz="4" w:space="0"/>
                    <w:left w:val="single" w:color="auto" w:sz="4" w:space="0"/>
                    <w:bottom w:val="single" w:color="auto" w:sz="4" w:space="0"/>
                    <w:right w:val="single" w:color="auto" w:sz="4" w:space="0"/>
                  </w:tcBorders>
                  <w:shd w:val="clear" w:color="auto" w:fill="FFFFFF"/>
                  <w:vAlign w:val="center"/>
                </w:tcPr>
                <w:p w14:paraId="5B18591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w:t>
                  </w:r>
                </w:p>
              </w:tc>
            </w:tr>
          </w:tbl>
          <w:p w14:paraId="72B90C06">
            <w:pPr>
              <w:widowControl/>
              <w:jc w:val="left"/>
              <w:textAlignment w:val="top"/>
              <w:rPr>
                <w:rFonts w:asciiTheme="minorEastAsia" w:hAnsiTheme="minorEastAsia" w:eastAsiaTheme="minorEastAsia" w:cstheme="minorEastAsia"/>
                <w:color w:val="auto"/>
                <w:szCs w:val="21"/>
              </w:rPr>
            </w:pPr>
          </w:p>
          <w:p w14:paraId="1CE42620">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12个样品的杂质面积百分比的标准差平均值不应超过0.04，杂质颗粒的标准差平均值不应超过6。</w:t>
            </w:r>
          </w:p>
          <w:p w14:paraId="1EAEFBD5">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性能测试需进行连续两个6小时班次，即测试12小时。测试应在6小时内分三组，在不同的时间段完成。每6小时测试应包括对60个短/弱和60个长/强校准棉花的测试（每次测试包括一对长/强梳子、一次马克隆及两次颜色/杂质）。</w:t>
            </w:r>
          </w:p>
          <w:p w14:paraId="2507B94E">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性能测试前，用同一设备，通过对短/弱和长/强校准棉做不少于50次的测试，并以测试结果平均值作为设备短/弱和长/强校准棉Rd和+b参考值，用于性能测试。用来建立Rb和+b参考值的校准棉，将用来做性能测试。设备校准棉花60次测试的平均值和其标准值之差应在以下允差范围内：</w:t>
            </w:r>
          </w:p>
          <w:p w14:paraId="0622976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马克隆：±0.15</w:t>
            </w:r>
          </w:p>
          <w:p w14:paraId="5CFCE10C">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长度：±0.51mm</w:t>
            </w:r>
          </w:p>
          <w:p w14:paraId="20526210">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整齐度：±1.00</w:t>
            </w:r>
          </w:p>
          <w:p w14:paraId="7FC3090A">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强度：±1.50gf/tex</w:t>
            </w:r>
          </w:p>
          <w:p w14:paraId="531238F4">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Rd：±1.20</w:t>
            </w:r>
          </w:p>
          <w:p w14:paraId="7BE79A3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+b：±0.80</w:t>
            </w:r>
          </w:p>
          <w:p w14:paraId="3FE67372">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b/>
                <w:bCs/>
                <w:color w:val="auto"/>
                <w:szCs w:val="21"/>
                <w:lang w:eastAsia="zh-CN"/>
              </w:rPr>
              <w:t>五</w:t>
            </w:r>
            <w:r>
              <w:rPr>
                <w:rFonts w:hint="eastAsia" w:asciiTheme="minorEastAsia" w:hAnsiTheme="minorEastAsia" w:eastAsiaTheme="minorEastAsia" w:cstheme="minorEastAsia"/>
                <w:b/>
                <w:bCs/>
                <w:color w:val="auto"/>
                <w:szCs w:val="21"/>
              </w:rPr>
              <w:t>、每套仪器基本配置</w:t>
            </w:r>
          </w:p>
          <w:p w14:paraId="22000157">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color w:val="auto"/>
                <w:szCs w:val="21"/>
              </w:rPr>
              <w:t>（1）整机1套包含四个箱体（长强主机箱体、色征主机箱体、主处理机箱体、备附件箱体）。整机可以实现中国棉花公证检验实验室的服务器专用软件联网，具有仪器校准、模块测试、验收测试、性能测试、系统诊断等功能，软件能接入中国纤维质量监测中心的信息系统平台，实时上传检验数据。</w:t>
            </w:r>
          </w:p>
          <w:p w14:paraId="6409A25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color w:val="auto"/>
                <w:szCs w:val="21"/>
              </w:rPr>
              <w:t>（2）长强主机内主要包括长度/强度测量模块，实现上半部平均长度、平均长度、长度整齐度、断裂比强度等棉纤维指标的测试。长强主机由1个电控箱、1套2个自动取样器、1套2把梳夹的梳架机构、1个光电系统包括光电检测器、1个废棉箱真空系统安装在长强主机左下方。电机质量好、自身重量轻（重量不超过3Kg），吸力大，发热量小，可数月连续工作、工作时不易被棉花缠绕。</w:t>
            </w:r>
          </w:p>
          <w:p w14:paraId="05923374">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color w:val="auto"/>
                <w:szCs w:val="21"/>
              </w:rPr>
              <w:t>（3）色征主机主要包括色泽/杂质模块、马克隆模块和主处理机系统。系统使用符合棉花检验要求光源来照射样品，通过过滤装置的反射光和被光敏电极管散射的光源测量棉纤维的反射率Rd和黄色深度+b。杂质测量是通过一个自动视频图像处理器，测试棉花样品的的杂质面积、杂质颗粒数、杂质等级等指标。</w:t>
            </w:r>
          </w:p>
          <w:p w14:paraId="09BA44D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color w:val="auto"/>
                <w:szCs w:val="21"/>
              </w:rPr>
              <w:t>（4）色泽/杂质模块，实现试棉纤维的颜色反射率、颜色黄度、杂质面积、杂质颗粒数等指标的测试。颜色/杂质模块具有上下两个颜色/杂质测量装置，使用符合棉花检验要求的光源。颜色指标的校准使用中国纤维质量监测中心赋值的白色、棕色、黄色、灰色、中心色五块颜色校准瓷板进行校准，杂质校准使用白色瓷板和仪器配备的杂质板进行校准；系统能根据中国纤维质量监测中心要求升级中国色征图。色泽校准采用一块XYZ板校准加五块标准色板校准。</w:t>
            </w:r>
          </w:p>
          <w:p w14:paraId="217542E1">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color w:val="auto"/>
                <w:szCs w:val="21"/>
              </w:rPr>
              <w:t>（5）马克隆值模块，实现棉纤维马克隆值等指标的测试。马克隆值测试范围2.0～6.5，每次测试样品的试样重量在9.5g至10.5g之间，方便人员操作。</w:t>
            </w:r>
          </w:p>
          <w:p w14:paraId="0CEBC2B2">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（6）随机配备中文说明书。</w:t>
            </w:r>
          </w:p>
          <w:p w14:paraId="13315644">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（7）配备必要的原厂零配件，满足正常使用1年的零配件损耗，保证仪器正常运行。</w:t>
            </w:r>
          </w:p>
          <w:p w14:paraId="5353F375">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（8）随仪器配备必要的维修工具，能够满足实验室维护人员对仪器的正常维护、维修、保养。</w:t>
            </w:r>
          </w:p>
          <w:p w14:paraId="5B59F5EE">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仪器随机配备标准样品：短弱校准棉样1箱、长强校准棉样1箱、低马克隆校准棉样1卷、高马克隆校准棉样1卷、马克隆气流校准塞1个、校准色板一套（包含：色泽XYZ校准板1块、色泽校准检查板1套5块、杂质校准板1块）。</w:t>
            </w:r>
          </w:p>
          <w:p w14:paraId="49EAE019">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五、仪器操作使用方法</w:t>
            </w:r>
          </w:p>
          <w:p w14:paraId="5EE235E2">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符合中国纤维质量监测中心仪器操作规程要求，校准方法符合中国纤维质量监测中心校准规范的要求。仪器具备以下功能：</w:t>
            </w:r>
          </w:p>
          <w:p w14:paraId="62508D5D">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（1）在系统测试界面中，具有棉包32位条码位数设置和判断功能。</w:t>
            </w:r>
          </w:p>
          <w:p w14:paraId="5F49424C">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（2）仪器软件、操作界面使用符合常规操作习惯，现有培训合格操作人员经简单培训即可操作仪器。</w:t>
            </w:r>
          </w:p>
          <w:p w14:paraId="0B02A2AB">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（3）系统测试界面中，具有显示测试总数、超子样限值、大样品、小样品、重测样品计数与重置功能。</w:t>
            </w:r>
          </w:p>
          <w:p w14:paraId="4D3B11D1">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（4）软件具有测试总数计数与重置功能。每测试一个样品，测试总数计数加1，同样包号的样品测试多次，样品计数按测试次数累加。管理员、操作员依据不同权限可以将测试总数计数清零。</w:t>
            </w:r>
          </w:p>
          <w:p w14:paraId="174236AE">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（5）软件具有超子样限值计数、重置及子样限值设置功能。</w:t>
            </w:r>
          </w:p>
          <w:p w14:paraId="2477740B">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（6）软件具有重测样品计数、重置功能及重测样品包号列表。</w:t>
            </w:r>
          </w:p>
          <w:p w14:paraId="21EEBCCD">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系统软件在系统测试中在同一个测试界面可显示至少两个测试样品的测试结果。可根据操作需求可显示每次测试结果的平均值、也可显示左右梳夹两次测量每次测试的测试值、平均值、标准差等功能。在模块测试、可以对多次测试结果的数据进行分类查看，可选择查看左梳夹、右梳夹、双梳夹的测试结果，结果包括测试结果及相应长/强曲线图形。</w:t>
            </w:r>
          </w:p>
          <w:p w14:paraId="16CD6425">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（8）软件在同一个测试界面可显示全部的测试信息，无需使用混动条即可查看每项指标测试数据。</w:t>
            </w:r>
          </w:p>
          <w:p w14:paraId="392AE12C">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（9）软件具有使用不同的颜色块、指示各模块测试状态的功能。</w:t>
            </w:r>
          </w:p>
          <w:p w14:paraId="6A634A25">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（10）软件具有某一模块校准失败、不能进行系统测试的限制功能。</w:t>
            </w:r>
          </w:p>
          <w:p w14:paraId="0F3BB96C">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（11）软件具有单独性能测试模式，用于进行性能测试。</w:t>
            </w:r>
          </w:p>
          <w:p w14:paraId="074EF86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（12）软件可设置是否将系统测试数据传输到信息系统服务器的选择功能。</w:t>
            </w:r>
          </w:p>
          <w:p w14:paraId="1FCB4C25">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（13）软件具有通讯联网状态标识。</w:t>
            </w:r>
          </w:p>
          <w:p w14:paraId="62366749">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（14）模块测试中具有“正常”测试模式。</w:t>
            </w:r>
          </w:p>
          <w:p w14:paraId="45CAB9E6">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（15）进行校准检查时，模块测试“校准检查”模式下数据不能自动上传，点击完成后方可上传。</w:t>
            </w:r>
          </w:p>
          <w:p w14:paraId="66B88F3E">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（16）模块测试时，具有可依据不同权限删除测试数据的功能。</w:t>
            </w:r>
          </w:p>
          <w:p w14:paraId="7F943079">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（17）具有马克隆测试样品重量范围限制为9.5-10.5g的设置功能。</w:t>
            </w:r>
          </w:p>
          <w:p w14:paraId="272485A0">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（18）长强模块测试中，具有可选择中的马克隆值获取方式的功能。</w:t>
            </w:r>
          </w:p>
          <w:p w14:paraId="39F53DD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（19）长强模块中显示每把梳夹测试结果，有选择查看左梳夹、右梳夹、双梳夹的测试结果，结果包括测试结果及相应长/强曲线图形的功能。</w:t>
            </w:r>
          </w:p>
          <w:p w14:paraId="7DA949A8">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（20）可以依据不同的测试需求，可对托盘是否运动及上颜色头是否压下进行设置。</w:t>
            </w:r>
          </w:p>
          <w:p w14:paraId="148BA930">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（21）颜色模块显示测试数据在颜色图中的分布。</w:t>
            </w:r>
          </w:p>
          <w:p w14:paraId="57A7470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（22）颜色模块中，颜色测试数据以点的形式显示在颜色图中，以便于查看测试数据在颜色图中的分布。</w:t>
            </w:r>
          </w:p>
          <w:p w14:paraId="7C4F3A92">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（23）测试结果含有测试日期及时间各模块及系统测试报告中，每条数据加入测试日期时间项，并可以一段测试时间作为条件查询数据。</w:t>
            </w:r>
          </w:p>
          <w:p w14:paraId="5E37B63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（24）可删除本地保存的系统测试、模块测试数据。当本地磁盘可用空间不足时，可删除保存的系统测试、模块测试数据（管理员权限）。</w:t>
            </w:r>
          </w:p>
          <w:p w14:paraId="678F4CBB">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（25）具有验收结果查看与打印功能。</w:t>
            </w:r>
          </w:p>
          <w:p w14:paraId="76E83224">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（26）报告导出文件格式，可以导出为WORD、Excel及PDF文档格式。</w:t>
            </w:r>
          </w:p>
          <w:p w14:paraId="29149F42">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（27）具有子样限值设置功能。</w:t>
            </w:r>
          </w:p>
          <w:p w14:paraId="13D25D7B">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（28）具有长度单位及短纤维指数标准选择功能。在系统测试或长强模块中，长度指标单位mm，16.5mm以下短纤维指数数据作为检测结果。</w:t>
            </w:r>
          </w:p>
          <w:p w14:paraId="1333647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（29）验收参数设置具有各模块验收、性能测试样品标准值、验收性能测试次数及允差设置界面。</w:t>
            </w:r>
          </w:p>
          <w:p w14:paraId="5249C168">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（30）通讯参数设置要求仪器具有可对连接的服务器IP地址及端口号进行设置界面。</w:t>
            </w:r>
          </w:p>
          <w:p w14:paraId="1A56BF9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（31）系统测试时，能显示每次测试结果的测试值和平均数据格式。</w:t>
            </w:r>
          </w:p>
          <w:p w14:paraId="66106336">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（32）具有信息系统的网络连接机制，包括连接状态的判断、网络断开后的重复连接等功能，软件界面中给出网络状态改变等情况的提示的功能。</w:t>
            </w:r>
          </w:p>
          <w:p w14:paraId="59B176DB">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（33）具有发送现有信息系统能够识别的仪器监控数据功能，具有监控数据各参数的正常范围标准。</w:t>
            </w:r>
          </w:p>
          <w:p w14:paraId="3EFABDD9">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（34）具有能够接受到信息系统的各类反馈，并能对操作员给予提示。</w:t>
            </w:r>
          </w:p>
          <w:p w14:paraId="58421E3D">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（35）软件各界面所有文字均使用中文。</w:t>
            </w:r>
          </w:p>
          <w:p w14:paraId="057361E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（36）软件系统测试时、在软件主界面显示颜色图版本号标识。</w:t>
            </w:r>
          </w:p>
          <w:p w14:paraId="6A90359D">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（37）具有便于操作的软件升级，颜色图升级功能。</w:t>
            </w:r>
          </w:p>
          <w:p w14:paraId="28C097BC">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（38）配备的计算机操作系统为正版软件，自行开发的应用软件有自主知识产权。（操作系统提供声明函，自行开发的应用软件提供软件著作权证明）</w:t>
            </w:r>
          </w:p>
          <w:p w14:paraId="37C21289">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（39）配备资料柜5组（中二斗款式、尺寸不少于1850mm*900mm*400mm、加厚冷轧钢材质(厚度约0.8mm)、静电喷涂面、防潮防锈、不少于200公斤承重）</w:t>
            </w:r>
          </w:p>
          <w:p w14:paraId="1D2DD670">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六、售后服务</w:t>
            </w:r>
            <w:r>
              <w:rPr>
                <w:rFonts w:hint="eastAsia" w:asciiTheme="minorEastAsia" w:hAnsiTheme="minorEastAsia" w:eastAsiaTheme="minorEastAsia" w:cstheme="minorEastAsia"/>
                <w:color w:val="auto"/>
                <w:szCs w:val="21"/>
              </w:rPr>
              <w:t>：</w:t>
            </w:r>
          </w:p>
          <w:p w14:paraId="3613AB7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6AD73AC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50E7177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2台</w:t>
            </w:r>
          </w:p>
        </w:tc>
        <w:tc>
          <w:tcPr>
            <w:tcW w:w="723" w:type="dxa"/>
            <w:vAlign w:val="center"/>
          </w:tcPr>
          <w:p w14:paraId="12B3EB93">
            <w:pPr>
              <w:widowControl/>
              <w:jc w:val="left"/>
              <w:textAlignment w:val="top"/>
              <w:rPr>
                <w:rFonts w:asciiTheme="minorEastAsia" w:hAnsiTheme="minorEastAsia" w:eastAsiaTheme="minorEastAsia" w:cstheme="minorEastAsia"/>
                <w:color w:val="auto"/>
                <w:szCs w:val="21"/>
              </w:rPr>
            </w:pPr>
          </w:p>
        </w:tc>
        <w:tc>
          <w:tcPr>
            <w:tcW w:w="641" w:type="dxa"/>
            <w:vAlign w:val="center"/>
          </w:tcPr>
          <w:p w14:paraId="532B46F6">
            <w:pPr>
              <w:widowControl w:val="0"/>
              <w:jc w:val="center"/>
              <w:rPr>
                <w:rFonts w:asciiTheme="minorEastAsia" w:hAnsiTheme="minorEastAsia" w:eastAsiaTheme="minorEastAsia" w:cstheme="minorEastAsia"/>
                <w:color w:val="auto"/>
                <w:szCs w:val="21"/>
              </w:rPr>
            </w:pPr>
          </w:p>
        </w:tc>
        <w:tc>
          <w:tcPr>
            <w:tcW w:w="655" w:type="dxa"/>
            <w:vAlign w:val="center"/>
          </w:tcPr>
          <w:p w14:paraId="014705D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2A95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603" w:type="dxa"/>
            <w:vAlign w:val="center"/>
          </w:tcPr>
          <w:p w14:paraId="121CF3B7">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1294" w:type="dxa"/>
            <w:vAlign w:val="center"/>
          </w:tcPr>
          <w:p w14:paraId="10E2DE1C">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原棉水分测定仪</w:t>
            </w:r>
          </w:p>
        </w:tc>
        <w:tc>
          <w:tcPr>
            <w:tcW w:w="645" w:type="dxa"/>
            <w:vAlign w:val="center"/>
          </w:tcPr>
          <w:p w14:paraId="558810A7">
            <w:pPr>
              <w:widowControl w:val="0"/>
              <w:rPr>
                <w:rFonts w:asciiTheme="minorEastAsia" w:hAnsiTheme="minorEastAsia" w:eastAsiaTheme="minorEastAsia" w:cstheme="minorEastAsia"/>
                <w:color w:val="auto"/>
                <w:sz w:val="28"/>
                <w:szCs w:val="28"/>
              </w:rPr>
            </w:pPr>
          </w:p>
        </w:tc>
        <w:tc>
          <w:tcPr>
            <w:tcW w:w="3995" w:type="dxa"/>
          </w:tcPr>
          <w:p w14:paraId="3A8419AC">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一、适用标准：</w:t>
            </w:r>
          </w:p>
          <w:p w14:paraId="0A34616C">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GB/T6102.1；GB/T9995；FZ/T01033；FZ/T20002</w:t>
            </w:r>
          </w:p>
          <w:p w14:paraId="790D62F9">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二、技术参数：</w:t>
            </w:r>
          </w:p>
          <w:p w14:paraId="548BC97C">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1.在放入试样后，仪器会自动完成烘干、称重、测试结果传送、指标计算与修正、数据管理等测试动作，无须人工干预； </w:t>
            </w:r>
          </w:p>
          <w:p w14:paraId="1F05012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2.自动称量，需解决了烘箱自动称量测试时气流的扰动问题，降低称量时的数据波动，提高称量准确度和可靠性；</w:t>
            </w:r>
          </w:p>
          <w:p w14:paraId="09DA1D71">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3.系统为网络化集成模式,可对多台烘箱实现区域管理、数据管理和分享；</w:t>
            </w:r>
          </w:p>
          <w:p w14:paraId="0D39A2D2">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4.结构有效协调供热、进气、烘干、排湿、测控等功能。</w:t>
            </w:r>
          </w:p>
          <w:p w14:paraId="1D61CD2A">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5、烘篮数量：4个</w:t>
            </w:r>
          </w:p>
          <w:p w14:paraId="5C4485CB">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6、温度范围 ：室温0~140℃可调，默认105℃</w:t>
            </w:r>
          </w:p>
          <w:p w14:paraId="60007597">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7、温控精度 ：±0.1℃</w:t>
            </w:r>
          </w:p>
          <w:p w14:paraId="59582C0A">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8、温度均匀性 ：±1℃</w:t>
            </w:r>
          </w:p>
          <w:p w14:paraId="038E8BA4">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9、热风模式 ：轴流负压通风</w:t>
            </w:r>
          </w:p>
          <w:p w14:paraId="79618540">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10、穿过试样的风速 ：&gt;0.65m/s</w:t>
            </w:r>
          </w:p>
          <w:p w14:paraId="67AF3F5D">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11、天平规格 ：2000g，0.01g </w:t>
            </w:r>
          </w:p>
          <w:p w14:paraId="054D780E">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三、标准配置：</w:t>
            </w:r>
          </w:p>
          <w:p w14:paraId="3BC62594">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 主机1台</w:t>
            </w:r>
          </w:p>
          <w:p w14:paraId="5BABC718">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试样称重仪1台</w:t>
            </w:r>
          </w:p>
          <w:p w14:paraId="6E354782">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3、电脑1台(至少Intel Core i5  13代以上；硬盘：至少固态硬盘1T以上；内存：至少16G以上；操作系统：/Windows 11专业中文版64位。)</w:t>
            </w:r>
          </w:p>
          <w:p w14:paraId="27D54595">
            <w:pPr>
              <w:widowControl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4、笔记本电脑1台配置要求：CPU为Intel® Core™ Ultra 7 255H以上，内存容量≥32GB LPDDR5X 8400MT/s，固态硬盘容量≥1TB PCIe 4.0 SSD*，显示屏幕≥16寸，不低于win11系统，全尺寸键盘，四种键盘背光模式，大尺寸触控板。</w:t>
            </w:r>
          </w:p>
          <w:p w14:paraId="077F29D2">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四、售后服务：</w:t>
            </w:r>
          </w:p>
          <w:p w14:paraId="2F941567">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2DB142E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00D4E4D2">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1台</w:t>
            </w:r>
          </w:p>
        </w:tc>
        <w:tc>
          <w:tcPr>
            <w:tcW w:w="723" w:type="dxa"/>
            <w:vAlign w:val="center"/>
          </w:tcPr>
          <w:p w14:paraId="6A13E2BB">
            <w:pPr>
              <w:widowControl/>
              <w:jc w:val="center"/>
              <w:textAlignment w:val="top"/>
              <w:rPr>
                <w:rFonts w:asciiTheme="minorEastAsia" w:hAnsiTheme="minorEastAsia" w:eastAsiaTheme="minorEastAsia" w:cstheme="minorEastAsia"/>
                <w:color w:val="auto"/>
                <w:szCs w:val="21"/>
              </w:rPr>
            </w:pPr>
          </w:p>
        </w:tc>
        <w:tc>
          <w:tcPr>
            <w:tcW w:w="641" w:type="dxa"/>
            <w:vAlign w:val="center"/>
          </w:tcPr>
          <w:p w14:paraId="735F4F55">
            <w:pPr>
              <w:widowControl w:val="0"/>
              <w:jc w:val="center"/>
              <w:rPr>
                <w:rFonts w:asciiTheme="minorEastAsia" w:hAnsiTheme="minorEastAsia" w:eastAsiaTheme="minorEastAsia" w:cstheme="minorEastAsia"/>
                <w:color w:val="auto"/>
                <w:szCs w:val="21"/>
              </w:rPr>
            </w:pPr>
          </w:p>
        </w:tc>
        <w:tc>
          <w:tcPr>
            <w:tcW w:w="655" w:type="dxa"/>
            <w:vAlign w:val="center"/>
          </w:tcPr>
          <w:p w14:paraId="3570F0BD">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4EF3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603" w:type="dxa"/>
            <w:vAlign w:val="center"/>
          </w:tcPr>
          <w:p w14:paraId="2A869B08">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p>
        </w:tc>
        <w:tc>
          <w:tcPr>
            <w:tcW w:w="1294" w:type="dxa"/>
            <w:vAlign w:val="center"/>
          </w:tcPr>
          <w:p w14:paraId="52914DFF">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短纤维率测试仪</w:t>
            </w:r>
          </w:p>
        </w:tc>
        <w:tc>
          <w:tcPr>
            <w:tcW w:w="645" w:type="dxa"/>
            <w:vAlign w:val="center"/>
          </w:tcPr>
          <w:p w14:paraId="4AA1CEF7">
            <w:pPr>
              <w:widowControl w:val="0"/>
              <w:rPr>
                <w:rFonts w:asciiTheme="minorEastAsia" w:hAnsiTheme="minorEastAsia" w:eastAsiaTheme="minorEastAsia" w:cstheme="minorEastAsia"/>
                <w:color w:val="auto"/>
                <w:sz w:val="28"/>
                <w:szCs w:val="28"/>
              </w:rPr>
            </w:pPr>
          </w:p>
        </w:tc>
        <w:tc>
          <w:tcPr>
            <w:tcW w:w="3995" w:type="dxa"/>
          </w:tcPr>
          <w:p w14:paraId="41ACCF5F">
            <w:pPr>
              <w:widowControl/>
              <w:numPr>
                <w:ilvl w:val="0"/>
                <w:numId w:val="4"/>
              </w:numPr>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设备用途</w:t>
            </w:r>
          </w:p>
          <w:p w14:paraId="544A7C35">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快速短纤维率测试仪能够快速检测棉花的长度和短纤维率，给出跨距长度、上四分位长度、重量短纤维率、重量纤维长度排列图等指标。快速短纤维率测试仪自动形成一端整齐的束纤维试样</w:t>
            </w:r>
          </w:p>
          <w:p w14:paraId="60334FE3">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二、技术指标</w:t>
            </w:r>
          </w:p>
          <w:p w14:paraId="30064CF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1、仪器功能及组成部分</w:t>
            </w:r>
          </w:p>
          <w:p w14:paraId="11508101">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u w:val="none"/>
              </w:rPr>
              <w:t>仪器由无损制条器、双路取样装置、测量机构、主处理计算机、显示器、键盘、鼠标、打印机及附属电缆组成。</w:t>
            </w:r>
          </w:p>
          <w:p w14:paraId="2D082D34">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（2）无损制条器由喂棉板、牵伸传动机构、导棉吹气模块、制条计数器及相关附件组成。可以将卷曲缠绕状态的棉纤维，经过机械牵伸，制成纤维平顺、整齐排列的棉条。</w:t>
            </w:r>
          </w:p>
          <w:p w14:paraId="2BE167E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（3）双路取样装置由两组梳针排、两个压板、取样电机、两个夹样钳口等组成。取样时将两根棉条分别放置在两组梳针排上，压下压板，夹样钳口进行多次整理取齐样品，同时得到两个一端整齐的测试试样。</w:t>
            </w:r>
          </w:p>
          <w:p w14:paraId="5A808045">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测量机构对测试试样通过光电扫描法，获得不同试样长度处的光电信号，对光电信号处理后输出长度、短纤维率数据以及纤维长度排列图。</w:t>
            </w:r>
          </w:p>
          <w:p w14:paraId="35FC2626">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（5）每次测试可同时获得两组检测数据。对两组数据进行分析处理作为一次检测数据，降低外界干扰因素对检测数据的影响，保证测试数据的准确性。</w:t>
            </w:r>
          </w:p>
          <w:p w14:paraId="290367AB">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（6）主处理计算机中安装具有自主知识产权的国产应用软件，全中文显示，性能稳定可靠，能够适应长期连续运行，并且能够充分保证测试数据的安全。</w:t>
            </w:r>
          </w:p>
          <w:p w14:paraId="62354AFA">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（7）取样针床和测量机构并行工作，测试效率高。</w:t>
            </w:r>
          </w:p>
          <w:p w14:paraId="5CA2E56A">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2、性能指标</w:t>
            </w:r>
          </w:p>
          <w:p w14:paraId="0522A45E">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（1）测长范围：6mm～48mm</w:t>
            </w:r>
          </w:p>
          <w:p w14:paraId="42A6043E">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（2）试样质量：原棉3.5g±0.2g</w:t>
            </w:r>
          </w:p>
          <w:p w14:paraId="3733AC71">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（3）长度：跨距长度  误差±0.5mm</w:t>
            </w:r>
          </w:p>
          <w:p w14:paraId="0030C387">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上四分位长度  误差±0.5mm</w:t>
            </w:r>
          </w:p>
          <w:p w14:paraId="14460151">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（4）短纤维率：短高标样 12.7mm短纤维率  误差±1.0%  短高标样 16.5mm短纤维率  误差±1.8%</w:t>
            </w:r>
          </w:p>
          <w:p w14:paraId="05DFBCBE">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长低标样 12.7mm短纤维率  误差±1.0%</w:t>
            </w:r>
          </w:p>
          <w:p w14:paraId="319F2788">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长低标样 16.5mm短纤维率  误差±1.5%</w:t>
            </w:r>
          </w:p>
          <w:p w14:paraId="19F2234A">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（5）测试效率： 制条时间  ≤5min</w:t>
            </w:r>
          </w:p>
          <w:p w14:paraId="7C4178C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测试时间 ≤ 1.5min（2个试样）</w:t>
            </w:r>
          </w:p>
          <w:p w14:paraId="1C7BCAF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（6）电源：电压  220V/50Hz</w:t>
            </w:r>
          </w:p>
          <w:p w14:paraId="469168E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功率 ≤ 1KVA</w:t>
            </w:r>
          </w:p>
          <w:p w14:paraId="23A80EBB">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（7）气源：压力  ≥0.6MPa</w:t>
            </w:r>
          </w:p>
          <w:p w14:paraId="65408776">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流量  ≥12L/min</w:t>
            </w:r>
          </w:p>
          <w:p w14:paraId="5796C628">
            <w:pPr>
              <w:widowControl/>
              <w:jc w:val="left"/>
              <w:textAlignment w:val="top"/>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（8）</w:t>
            </w:r>
            <w:r>
              <w:rPr>
                <w:rFonts w:hint="eastAsia" w:asciiTheme="minorEastAsia" w:hAnsiTheme="minorEastAsia" w:eastAsiaTheme="minorEastAsia" w:cstheme="minorEastAsia"/>
                <w:color w:val="auto"/>
                <w:szCs w:val="21"/>
                <w:lang w:eastAsia="zh-CN"/>
              </w:rPr>
              <w:t>制条器制备样品尺寸应与主机取样器适配，易操作。</w:t>
            </w:r>
          </w:p>
          <w:p w14:paraId="5578DAE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3、软件要求</w:t>
            </w:r>
          </w:p>
          <w:p w14:paraId="4C71595B">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（1）软件具有参数设置、测试、测试报告、校准检查、校准、仪器诊断、帮助信息等功能。</w:t>
            </w:r>
          </w:p>
          <w:p w14:paraId="78B78D85">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（2）可与棉花短纤维率质量监测系统服务器专用软件联网。</w:t>
            </w:r>
          </w:p>
          <w:p w14:paraId="5744CA9E">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（3）短纤维率校准使用A1或A2与E1标准样品，要求校准的A1或A2的12.7mm短纤维率SD≤1.0；16.5mm短纤维率SD≤1.5。要求校准的E1的12.7mm短纤维率SD≤1.5；16.5mm短纤维率SD≤1.8。</w:t>
            </w:r>
          </w:p>
          <w:p w14:paraId="44CC5751">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（4）验收应选取A、B、C、E 标准样品四档内的5个的棉样。5个验收样品的允差有如下要求：</w:t>
            </w:r>
          </w:p>
          <w:tbl>
            <w:tblPr>
              <w:tblStyle w:val="13"/>
              <w:tblW w:w="3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8"/>
              <w:gridCol w:w="1023"/>
            </w:tblGrid>
            <w:tr w14:paraId="195C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188" w:type="dxa"/>
                  <w:vMerge w:val="restart"/>
                  <w:vAlign w:val="center"/>
                </w:tcPr>
                <w:p w14:paraId="46240208">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标准样品</w:t>
                  </w:r>
                </w:p>
              </w:tc>
              <w:tc>
                <w:tcPr>
                  <w:tcW w:w="2211" w:type="dxa"/>
                  <w:gridSpan w:val="2"/>
                  <w:vAlign w:val="center"/>
                </w:tcPr>
                <w:p w14:paraId="2C9AA97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测试允差</w:t>
                  </w:r>
                </w:p>
              </w:tc>
            </w:tr>
            <w:tr w14:paraId="1305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188" w:type="dxa"/>
                  <w:vMerge w:val="continue"/>
                  <w:vAlign w:val="center"/>
                </w:tcPr>
                <w:p w14:paraId="0E1B9824">
                  <w:pPr>
                    <w:widowControl/>
                    <w:jc w:val="left"/>
                    <w:textAlignment w:val="top"/>
                    <w:rPr>
                      <w:rFonts w:asciiTheme="minorEastAsia" w:hAnsiTheme="minorEastAsia" w:eastAsiaTheme="minorEastAsia" w:cstheme="minorEastAsia"/>
                      <w:color w:val="auto"/>
                      <w:szCs w:val="21"/>
                    </w:rPr>
                  </w:pPr>
                </w:p>
              </w:tc>
              <w:tc>
                <w:tcPr>
                  <w:tcW w:w="1188" w:type="dxa"/>
                  <w:vAlign w:val="center"/>
                </w:tcPr>
                <w:p w14:paraId="3F712DA1">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12.7mm</w:t>
                  </w:r>
                </w:p>
              </w:tc>
              <w:tc>
                <w:tcPr>
                  <w:tcW w:w="1023" w:type="dxa"/>
                  <w:vAlign w:val="center"/>
                </w:tcPr>
                <w:p w14:paraId="28F0ED04">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16.5mm</w:t>
                  </w:r>
                </w:p>
              </w:tc>
            </w:tr>
            <w:tr w14:paraId="3BE7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188" w:type="dxa"/>
                  <w:vAlign w:val="center"/>
                </w:tcPr>
                <w:p w14:paraId="679D6B11">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A挡</w:t>
                  </w:r>
                </w:p>
              </w:tc>
              <w:tc>
                <w:tcPr>
                  <w:tcW w:w="1188" w:type="dxa"/>
                  <w:vAlign w:val="center"/>
                </w:tcPr>
                <w:p w14:paraId="6BC872EE">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0.8</w:t>
                  </w:r>
                </w:p>
              </w:tc>
              <w:tc>
                <w:tcPr>
                  <w:tcW w:w="1023" w:type="dxa"/>
                  <w:vAlign w:val="center"/>
                </w:tcPr>
                <w:p w14:paraId="3B15843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14:paraId="629B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188" w:type="dxa"/>
                  <w:vAlign w:val="center"/>
                </w:tcPr>
                <w:p w14:paraId="6130F375">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4450B挡</w:t>
                  </w:r>
                </w:p>
              </w:tc>
              <w:tc>
                <w:tcPr>
                  <w:tcW w:w="1188" w:type="dxa"/>
                  <w:vAlign w:val="center"/>
                </w:tcPr>
                <w:p w14:paraId="646BCFCB">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0.8</w:t>
                  </w:r>
                </w:p>
              </w:tc>
              <w:tc>
                <w:tcPr>
                  <w:tcW w:w="1023" w:type="dxa"/>
                  <w:vAlign w:val="center"/>
                </w:tcPr>
                <w:p w14:paraId="0CB38274">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14:paraId="1EFF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188" w:type="dxa"/>
                  <w:vAlign w:val="center"/>
                </w:tcPr>
                <w:p w14:paraId="5B90E3FD">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C挡</w:t>
                  </w:r>
                </w:p>
              </w:tc>
              <w:tc>
                <w:tcPr>
                  <w:tcW w:w="1188" w:type="dxa"/>
                  <w:vAlign w:val="center"/>
                </w:tcPr>
                <w:p w14:paraId="66A155C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1023" w:type="dxa"/>
                  <w:vAlign w:val="center"/>
                </w:tcPr>
                <w:p w14:paraId="021FA485">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w:t>
                  </w:r>
                </w:p>
              </w:tc>
            </w:tr>
            <w:tr w14:paraId="53CE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8" w:type="dxa"/>
                  <w:vAlign w:val="center"/>
                </w:tcPr>
                <w:p w14:paraId="218A19E2">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4E挡</w:t>
                  </w:r>
                </w:p>
              </w:tc>
              <w:tc>
                <w:tcPr>
                  <w:tcW w:w="1188" w:type="dxa"/>
                  <w:vAlign w:val="center"/>
                </w:tcPr>
                <w:p w14:paraId="50C69C48">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1023" w:type="dxa"/>
                  <w:vAlign w:val="center"/>
                </w:tcPr>
                <w:p w14:paraId="706236AE">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w:t>
                  </w:r>
                </w:p>
              </w:tc>
            </w:tr>
          </w:tbl>
          <w:p w14:paraId="71650FA7">
            <w:pPr>
              <w:widowControl/>
              <w:jc w:val="left"/>
              <w:textAlignment w:val="top"/>
              <w:rPr>
                <w:rFonts w:asciiTheme="minorEastAsia" w:hAnsiTheme="minorEastAsia" w:eastAsiaTheme="minorEastAsia" w:cstheme="minorEastAsia"/>
                <w:color w:val="auto"/>
                <w:szCs w:val="21"/>
              </w:rPr>
            </w:pPr>
          </w:p>
          <w:p w14:paraId="0EECB51D">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三、仪器的基本配置</w:t>
            </w:r>
          </w:p>
          <w:p w14:paraId="5761E32E">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（1）每套仪器包含三个箱体，（主机箱体、无损制条器箱体、附件箱体）。</w:t>
            </w:r>
          </w:p>
          <w:p w14:paraId="74F75F4C">
            <w:pPr>
              <w:widowControl/>
              <w:jc w:val="left"/>
              <w:textAlignment w:val="top"/>
              <w:rPr>
                <w:rFonts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（2）配备激光打印机 1 台,激光打印机，打印终端为鼓粉分离设计，速度≥30ppm，支持双面打印。。</w:t>
            </w:r>
          </w:p>
          <w:p w14:paraId="3E566472">
            <w:pPr>
              <w:widowControl/>
              <w:jc w:val="left"/>
              <w:textAlignment w:val="top"/>
              <w:rPr>
                <w:rFonts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（3）随机配备2本中文使用说明书。</w:t>
            </w:r>
          </w:p>
          <w:p w14:paraId="7EFAD267">
            <w:pPr>
              <w:widowControl/>
              <w:jc w:val="left"/>
              <w:textAlignment w:val="top"/>
              <w:rPr>
                <w:rFonts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（4）配备必要的原厂零配件，满足正常使用 1 年的零配件损耗，保证仪器正常运行。</w:t>
            </w:r>
          </w:p>
          <w:p w14:paraId="7A270F6D">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（5）随仪器配备必要的维修工具，能够满足实验室维护人员对仪器的正常</w:t>
            </w:r>
          </w:p>
          <w:p w14:paraId="6C258D61">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维护、维修、保养。</w:t>
            </w:r>
          </w:p>
          <w:p w14:paraId="71EA7E46">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（6）仪器随机配备标准样品：短高校准棉样 1 包、长低校准棉样 1 包、普梳棉条1包、精梳棉条 1 包、光学量校准板 1 个。(需提供证明材料,与设备一同到货。）</w:t>
            </w:r>
          </w:p>
          <w:p w14:paraId="1DB9888D">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5、仪器操作使用方法</w:t>
            </w:r>
          </w:p>
          <w:p w14:paraId="6030A616">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符合中国纤维质量监测中心仪器关于短纤维率操作规程的要求，校准方法符合中国纤维质量监测中心校准规范的要求，仪器具备以下功能：</w:t>
            </w:r>
          </w:p>
          <w:p w14:paraId="21CAB491">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（1）测试方法符合：GB/T 35931-2018棉纤维棉结和短纤维率测试方法 光电法</w:t>
            </w:r>
          </w:p>
          <w:p w14:paraId="6377F41C">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（2）在测试界面中，具有棉包条码读取功能。</w:t>
            </w:r>
          </w:p>
          <w:p w14:paraId="476C9591">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（3）仪器软件、操作界面使用符合常规操作习惯，现有培训合格操作人员经简单培训即可操作仪器。</w:t>
            </w:r>
          </w:p>
          <w:p w14:paraId="1C941992">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（4）无损制条器操作简单，操作人员简单培训后即可完成制条。</w:t>
            </w:r>
          </w:p>
          <w:p w14:paraId="458F329D">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四、配套设施：</w:t>
            </w:r>
          </w:p>
          <w:p w14:paraId="52360076">
            <w:pPr>
              <w:widowControl/>
              <w:numPr>
                <w:ilvl w:val="0"/>
                <w:numId w:val="5"/>
              </w:numPr>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配备资料柜5组（中二斗款式、尺寸不少于1850mm*900mm*400mm、加厚冷轧钢材质(厚度约0.8mm)、静电喷涂面、防潮防锈、不少于200公斤承重）</w:t>
            </w:r>
          </w:p>
          <w:p w14:paraId="28BDF87B">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五、售后服务：</w:t>
            </w:r>
          </w:p>
          <w:p w14:paraId="6AE899A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6862AA7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587DAF57">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5台</w:t>
            </w:r>
          </w:p>
        </w:tc>
        <w:tc>
          <w:tcPr>
            <w:tcW w:w="723" w:type="dxa"/>
            <w:vAlign w:val="center"/>
          </w:tcPr>
          <w:p w14:paraId="7861B2AB">
            <w:pPr>
              <w:widowControl/>
              <w:jc w:val="center"/>
              <w:textAlignment w:val="top"/>
              <w:rPr>
                <w:rFonts w:asciiTheme="minorEastAsia" w:hAnsiTheme="minorEastAsia" w:eastAsiaTheme="minorEastAsia" w:cstheme="minorEastAsia"/>
                <w:color w:val="auto"/>
                <w:szCs w:val="21"/>
              </w:rPr>
            </w:pPr>
          </w:p>
        </w:tc>
        <w:tc>
          <w:tcPr>
            <w:tcW w:w="641" w:type="dxa"/>
            <w:vAlign w:val="center"/>
          </w:tcPr>
          <w:p w14:paraId="2DF138B6">
            <w:pPr>
              <w:widowControl w:val="0"/>
              <w:jc w:val="center"/>
              <w:rPr>
                <w:rFonts w:asciiTheme="minorEastAsia" w:hAnsiTheme="minorEastAsia" w:eastAsiaTheme="minorEastAsia" w:cstheme="minorEastAsia"/>
                <w:color w:val="auto"/>
                <w:szCs w:val="21"/>
              </w:rPr>
            </w:pPr>
          </w:p>
        </w:tc>
        <w:tc>
          <w:tcPr>
            <w:tcW w:w="655" w:type="dxa"/>
            <w:vAlign w:val="center"/>
          </w:tcPr>
          <w:p w14:paraId="4501A196">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0BF6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603" w:type="dxa"/>
            <w:vAlign w:val="center"/>
          </w:tcPr>
          <w:p w14:paraId="08593CB4">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w:t>
            </w:r>
          </w:p>
        </w:tc>
        <w:tc>
          <w:tcPr>
            <w:tcW w:w="1294" w:type="dxa"/>
            <w:vAlign w:val="center"/>
          </w:tcPr>
          <w:p w14:paraId="5FE945AD">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none"/>
              </w:rPr>
              <w:t>束纤维强伸仪</w:t>
            </w:r>
          </w:p>
        </w:tc>
        <w:tc>
          <w:tcPr>
            <w:tcW w:w="645" w:type="dxa"/>
            <w:vAlign w:val="center"/>
          </w:tcPr>
          <w:p w14:paraId="732CD31F">
            <w:pPr>
              <w:widowControl w:val="0"/>
              <w:rPr>
                <w:rFonts w:asciiTheme="minorEastAsia" w:hAnsiTheme="minorEastAsia" w:eastAsiaTheme="minorEastAsia" w:cstheme="minorEastAsia"/>
                <w:color w:val="auto"/>
                <w:sz w:val="28"/>
                <w:szCs w:val="28"/>
              </w:rPr>
            </w:pPr>
          </w:p>
        </w:tc>
        <w:tc>
          <w:tcPr>
            <w:tcW w:w="3995" w:type="dxa"/>
          </w:tcPr>
          <w:p w14:paraId="4B30BCF5">
            <w:pPr>
              <w:widowControl/>
              <w:numPr>
                <w:ilvl w:val="0"/>
                <w:numId w:val="6"/>
              </w:numPr>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设备用途</w:t>
            </w:r>
          </w:p>
          <w:p w14:paraId="4D07323D">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根据力矩平衡测力原理，当束纤维断裂时利用摆锤倾斜角度对试样施加的负荷表示最终的断裂强力，利用左右两夹片间伸长的距离表示纤维束的伸长率。</w:t>
            </w:r>
          </w:p>
          <w:p w14:paraId="6E863621">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每完成一次试验，即可从两标尺上读出拉断该束纤维时所需的强力和断裂前瞬间的伸长率。符合GB/T18147.5-2015中的相关要求。</w:t>
            </w:r>
          </w:p>
          <w:p w14:paraId="6EEA9301">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二、主要技术指标：</w:t>
            </w:r>
          </w:p>
          <w:p w14:paraId="6913229B">
            <w:pPr>
              <w:widowControl/>
              <w:jc w:val="left"/>
              <w:textAlignment w:val="top"/>
              <w:rPr>
                <w:rFonts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试样夹头总厚度：≤11.8mm</w:t>
            </w:r>
          </w:p>
          <w:p w14:paraId="173E5280">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隔距片厚度：3.2mm</w:t>
            </w:r>
          </w:p>
          <w:p w14:paraId="12B24F19">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测量范围：断裂负载20N— 70N;伸长率0— 50％（3.2mm隔距时）</w:t>
            </w:r>
          </w:p>
          <w:p w14:paraId="275E064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加载速率：10N／s;可调</w:t>
            </w:r>
          </w:p>
          <w:p w14:paraId="569EE1E0">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比强度修正系数：不超出0．9一1．1的范围（在标准温湿度范围内）</w:t>
            </w:r>
          </w:p>
          <w:p w14:paraId="15798400">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断裂伸长率修正系数：0.8左右</w:t>
            </w:r>
          </w:p>
          <w:p w14:paraId="180E9E02">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三、配置：</w:t>
            </w:r>
          </w:p>
          <w:p w14:paraId="37D2462C">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电脑:处理器不低于CPUi5 13代，内存≥32G，固态硬盘≥1TB，系统win11，≥32英寸显示屏，主板附带无线蓝牙功能，三模键鼠套装。 </w:t>
            </w:r>
            <w:r>
              <w:rPr>
                <w:rFonts w:hint="eastAsia" w:asciiTheme="minorEastAsia" w:hAnsiTheme="minorEastAsia" w:eastAsiaTheme="minorEastAsia" w:cstheme="minorEastAsia"/>
                <w:color w:val="auto"/>
                <w:szCs w:val="21"/>
              </w:rPr>
              <mc:AlternateContent>
                <mc:Choice Requires="wps">
                  <w:drawing>
                    <wp:anchor distT="0" distB="0" distL="114300" distR="114300" simplePos="0" relativeHeight="251665408" behindDoc="0" locked="0" layoutInCell="1" allowOverlap="1">
                      <wp:simplePos x="0" y="0"/>
                      <wp:positionH relativeFrom="column">
                        <wp:posOffset>3230880</wp:posOffset>
                      </wp:positionH>
                      <wp:positionV relativeFrom="paragraph">
                        <wp:posOffset>2599690</wp:posOffset>
                      </wp:positionV>
                      <wp:extent cx="3258820" cy="1787525"/>
                      <wp:effectExtent l="4445" t="4445" r="13335" b="17780"/>
                      <wp:wrapNone/>
                      <wp:docPr id="2" name="文本框 2"/>
                      <wp:cNvGraphicFramePr/>
                      <a:graphic xmlns:a="http://schemas.openxmlformats.org/drawingml/2006/main">
                        <a:graphicData uri="http://schemas.microsoft.com/office/word/2010/wordprocessingShape">
                          <wps:wsp>
                            <wps:cNvSpPr txBox="1"/>
                            <wps:spPr>
                              <a:xfrm>
                                <a:off x="0" y="0"/>
                                <a:ext cx="3258820" cy="178752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3E7F4A9"/>
                              </w:txbxContent>
                            </wps:txbx>
                            <wps:bodyPr upright="1">
                              <a:spAutoFit/>
                            </wps:bodyPr>
                          </wps:wsp>
                        </a:graphicData>
                      </a:graphic>
                    </wp:anchor>
                  </w:drawing>
                </mc:Choice>
                <mc:Fallback>
                  <w:pict>
                    <v:shape id="_x0000_s1026" o:spid="_x0000_s1026" o:spt="202" type="#_x0000_t202" style="position:absolute;left:0pt;margin-left:254.4pt;margin-top:204.7pt;height:140.75pt;width:256.6pt;z-index:251665408;mso-width-relative:page;mso-height-relative:page;" fillcolor="#FFFFFF" filled="t" stroked="t" coordsize="21600,21600" o:gfxdata="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J7dFNsAAAAMAQAADwAAAAAA&#10;AAABACAAAAAiAAAAZHJzL2Rvd25yZXYueG1sUEsBAhQAFAAAAAgAh07iQCnMGF8QAgAAUQQAAA4A&#10;AAAAAAAAAQAgAAAAKgEAAGRycy9lMm9Eb2MueG1sUEsFBgAAAAAGAAYAWQEAAKwFAAAAAA==&#10;">
                      <v:fill on="t" focussize="0,0"/>
                      <v:stroke color="#FFFFFF" joinstyle="miter"/>
                      <v:imagedata o:title=""/>
                      <o:lock v:ext="edit" aspectratio="f"/>
                      <v:textbox style="mso-fit-shape-to-text:t;">
                        <w:txbxContent>
                          <w:p w14:paraId="73E7F4A9"/>
                        </w:txbxContent>
                      </v:textbox>
                    </v:shape>
                  </w:pict>
                </mc:Fallback>
              </mc:AlternateContent>
            </w:r>
            <w:r>
              <w:rPr>
                <w:rFonts w:hint="eastAsia" w:asciiTheme="minorEastAsia" w:hAnsiTheme="minorEastAsia" w:eastAsiaTheme="minorEastAsia" w:cstheme="minorEastAsia"/>
                <w:color w:val="auto"/>
                <w:szCs w:val="21"/>
              </w:rPr>
              <w:t xml:space="preserve">      </w:t>
            </w:r>
          </w:p>
          <w:p w14:paraId="54955B15">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相关附件应包含但不限于：镊子，切割刀，扳手，稀疏，密梳，钢夹。</w:t>
            </w:r>
          </w:p>
          <w:p w14:paraId="1DB955D1">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四、售后服务：</w:t>
            </w:r>
          </w:p>
          <w:p w14:paraId="4E4699BD">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784850BB">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76678416">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1台</w:t>
            </w:r>
          </w:p>
        </w:tc>
        <w:tc>
          <w:tcPr>
            <w:tcW w:w="723" w:type="dxa"/>
            <w:vAlign w:val="center"/>
          </w:tcPr>
          <w:p w14:paraId="702ED04E">
            <w:pPr>
              <w:widowControl/>
              <w:jc w:val="center"/>
              <w:textAlignment w:val="top"/>
              <w:rPr>
                <w:rFonts w:asciiTheme="minorEastAsia" w:hAnsiTheme="minorEastAsia" w:eastAsiaTheme="minorEastAsia" w:cstheme="minorEastAsia"/>
                <w:color w:val="auto"/>
                <w:szCs w:val="21"/>
              </w:rPr>
            </w:pPr>
          </w:p>
        </w:tc>
        <w:tc>
          <w:tcPr>
            <w:tcW w:w="641" w:type="dxa"/>
            <w:vAlign w:val="center"/>
          </w:tcPr>
          <w:p w14:paraId="3E707E8F">
            <w:pPr>
              <w:widowControl w:val="0"/>
              <w:jc w:val="center"/>
              <w:rPr>
                <w:rFonts w:asciiTheme="minorEastAsia" w:hAnsiTheme="minorEastAsia" w:eastAsiaTheme="minorEastAsia" w:cstheme="minorEastAsia"/>
                <w:color w:val="auto"/>
                <w:szCs w:val="21"/>
              </w:rPr>
            </w:pPr>
          </w:p>
        </w:tc>
        <w:tc>
          <w:tcPr>
            <w:tcW w:w="655" w:type="dxa"/>
            <w:vAlign w:val="center"/>
          </w:tcPr>
          <w:p w14:paraId="707C401D">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5E8D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603" w:type="dxa"/>
            <w:vAlign w:val="center"/>
          </w:tcPr>
          <w:p w14:paraId="762548F7">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w:t>
            </w:r>
          </w:p>
        </w:tc>
        <w:tc>
          <w:tcPr>
            <w:tcW w:w="1294" w:type="dxa"/>
            <w:vAlign w:val="center"/>
          </w:tcPr>
          <w:p w14:paraId="587FE5E6">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衣分试扎机</w:t>
            </w:r>
          </w:p>
        </w:tc>
        <w:tc>
          <w:tcPr>
            <w:tcW w:w="645" w:type="dxa"/>
            <w:vAlign w:val="center"/>
          </w:tcPr>
          <w:p w14:paraId="3BAD2FF7">
            <w:pPr>
              <w:widowControl/>
              <w:jc w:val="left"/>
              <w:textAlignment w:val="top"/>
              <w:rPr>
                <w:rFonts w:asciiTheme="minorEastAsia" w:hAnsiTheme="minorEastAsia" w:eastAsiaTheme="minorEastAsia" w:cstheme="minorEastAsia"/>
                <w:color w:val="auto"/>
                <w:szCs w:val="21"/>
              </w:rPr>
            </w:pPr>
          </w:p>
        </w:tc>
        <w:tc>
          <w:tcPr>
            <w:tcW w:w="3995" w:type="dxa"/>
          </w:tcPr>
          <w:p w14:paraId="6FB2911F">
            <w:pPr>
              <w:widowControl/>
              <w:numPr>
                <w:ilvl w:val="0"/>
                <w:numId w:val="7"/>
              </w:numPr>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设备用途</w:t>
            </w:r>
          </w:p>
          <w:p w14:paraId="5E5889C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应有籽棉清花、籽棉轧花、皮棉清理、自动称重、风力除尘、数据采集六个功能，设备结构需籽棉清理、籽棉轧花、皮棉清理三部分一体构成，应符合GB/T 40628标准要求。 </w:t>
            </w:r>
          </w:p>
          <w:p w14:paraId="2B0F265F">
            <w:pPr>
              <w:widowControl/>
              <w:numPr>
                <w:ilvl w:val="0"/>
                <w:numId w:val="7"/>
              </w:numPr>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技术指标</w:t>
            </w:r>
          </w:p>
          <w:p w14:paraId="27C41799">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测试时间：60±10〞</w:t>
            </w:r>
          </w:p>
          <w:p w14:paraId="6ECB9E10">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籽棉回潮率：10%以下</w:t>
            </w:r>
          </w:p>
          <w:p w14:paraId="506B0A3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籽棉测试重量：1KG</w:t>
            </w:r>
          </w:p>
          <w:p w14:paraId="48A97845">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毛头率：0.2%--0.6%</w:t>
            </w:r>
          </w:p>
          <w:p w14:paraId="1A131250">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不孕籽含棉率机、手摘棉：20%--30%</w:t>
            </w:r>
          </w:p>
          <w:p w14:paraId="35E46B6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单粒籽棉</w:t>
            </w:r>
          </w:p>
          <w:p w14:paraId="78F3A83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马克隆值级档次为C2、B2、A应小于 10个；马克隆值级次为C1、B1应小于 15个</w:t>
            </w:r>
          </w:p>
          <w:p w14:paraId="512891D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台间差&lt;0.2%</w:t>
            </w:r>
          </w:p>
          <w:p w14:paraId="34AD1DC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三、基础配置：</w:t>
            </w:r>
          </w:p>
          <w:p w14:paraId="0021B582">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电脑:处理器不低于CPUi5 13代，内存≥32G，固态硬盘≥1TB，系统win11，≥32英寸显示屏，主板附带无线蓝牙功能，三模键鼠套装。 </w:t>
            </w:r>
          </w:p>
          <w:p w14:paraId="34842443">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四、售后服务：</w:t>
            </w:r>
          </w:p>
          <w:p w14:paraId="098F00B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058E5A0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3C0B22FB">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1台</w:t>
            </w:r>
          </w:p>
        </w:tc>
        <w:tc>
          <w:tcPr>
            <w:tcW w:w="723" w:type="dxa"/>
            <w:vAlign w:val="center"/>
          </w:tcPr>
          <w:p w14:paraId="78C4B85A">
            <w:pPr>
              <w:widowControl/>
              <w:jc w:val="center"/>
              <w:textAlignment w:val="top"/>
              <w:rPr>
                <w:rFonts w:asciiTheme="minorEastAsia" w:hAnsiTheme="minorEastAsia" w:eastAsiaTheme="minorEastAsia" w:cstheme="minorEastAsia"/>
                <w:color w:val="auto"/>
                <w:szCs w:val="21"/>
              </w:rPr>
            </w:pPr>
          </w:p>
        </w:tc>
        <w:tc>
          <w:tcPr>
            <w:tcW w:w="641" w:type="dxa"/>
            <w:vAlign w:val="center"/>
          </w:tcPr>
          <w:p w14:paraId="3832BA6F">
            <w:pPr>
              <w:widowControl w:val="0"/>
              <w:jc w:val="center"/>
              <w:rPr>
                <w:rFonts w:asciiTheme="minorEastAsia" w:hAnsiTheme="minorEastAsia" w:eastAsiaTheme="minorEastAsia" w:cstheme="minorEastAsia"/>
                <w:color w:val="auto"/>
                <w:szCs w:val="21"/>
              </w:rPr>
            </w:pPr>
          </w:p>
        </w:tc>
        <w:tc>
          <w:tcPr>
            <w:tcW w:w="655" w:type="dxa"/>
            <w:vAlign w:val="center"/>
          </w:tcPr>
          <w:p w14:paraId="0DCA293C">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22D5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603" w:type="dxa"/>
            <w:vAlign w:val="center"/>
          </w:tcPr>
          <w:p w14:paraId="4D40794B">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w:t>
            </w:r>
          </w:p>
        </w:tc>
        <w:tc>
          <w:tcPr>
            <w:tcW w:w="1294" w:type="dxa"/>
            <w:vAlign w:val="center"/>
          </w:tcPr>
          <w:p w14:paraId="5992A4C2">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ICP-MS电感耦合等离子体质谱仪</w:t>
            </w:r>
          </w:p>
        </w:tc>
        <w:tc>
          <w:tcPr>
            <w:tcW w:w="645" w:type="dxa"/>
            <w:vAlign w:val="center"/>
          </w:tcPr>
          <w:p w14:paraId="237C20CD">
            <w:pPr>
              <w:widowControl w:val="0"/>
              <w:spacing w:line="280" w:lineRule="atLeast"/>
              <w:jc w:val="center"/>
              <w:rPr>
                <w:rFonts w:asciiTheme="minorEastAsia" w:hAnsiTheme="minorEastAsia" w:eastAsiaTheme="minorEastAsia" w:cstheme="minorEastAsia"/>
                <w:color w:val="auto"/>
                <w:sz w:val="28"/>
                <w:szCs w:val="28"/>
              </w:rPr>
            </w:pPr>
          </w:p>
        </w:tc>
        <w:tc>
          <w:tcPr>
            <w:tcW w:w="3995" w:type="dxa"/>
            <w:vAlign w:val="center"/>
          </w:tcPr>
          <w:p w14:paraId="1EE2215B">
            <w:pPr>
              <w:widowControl w:val="0"/>
              <w:jc w:val="left"/>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一、技术要求：</w:t>
            </w:r>
          </w:p>
          <w:p w14:paraId="0B121E11">
            <w:pPr>
              <w:widowControl w:val="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可同时进行定性、半定量和精确的定量分析，是常量、微量和痕量无机元素分析。</w:t>
            </w:r>
          </w:p>
          <w:p w14:paraId="583519E5">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二、仪器性能指标</w:t>
            </w:r>
          </w:p>
          <w:p w14:paraId="42E2B626">
            <w:pPr>
              <w:widowControl w:val="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 ICP 等离子系统</w:t>
            </w:r>
          </w:p>
          <w:p w14:paraId="7F8F064A">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color w:val="auto"/>
                <w:szCs w:val="21"/>
              </w:rPr>
              <w:t>1.1 离子源：采用固态射频发生器，射频频率≤</w:t>
            </w:r>
            <w:r>
              <w:rPr>
                <w:rFonts w:hint="eastAsia" w:asciiTheme="minorEastAsia" w:hAnsiTheme="minorEastAsia" w:eastAsiaTheme="minorEastAsia" w:cstheme="minorEastAsia"/>
                <w:color w:val="auto"/>
                <w:szCs w:val="21"/>
                <w:lang w:val="en-US" w:eastAsia="zh-CN"/>
              </w:rPr>
              <w:t>35</w:t>
            </w:r>
            <w:r>
              <w:rPr>
                <w:rFonts w:hint="eastAsia" w:asciiTheme="minorEastAsia" w:hAnsiTheme="minorEastAsia" w:eastAsiaTheme="minorEastAsia" w:cstheme="minorEastAsia"/>
                <w:color w:val="auto"/>
                <w:szCs w:val="21"/>
              </w:rPr>
              <w:t xml:space="preserve">MHz，功率范围800-1600W可调。 </w:t>
            </w:r>
          </w:p>
          <w:p w14:paraId="26985766">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1.2气体纯度要求：使用≥99.99%纯氩即可稳定运行。</w:t>
            </w:r>
          </w:p>
          <w:p w14:paraId="6FE1B438">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 采样锥：接口兼顾灵敏度和耐盐两方面，锥孔孔径≥1.</w:t>
            </w:r>
            <w:r>
              <w:rPr>
                <w:rFonts w:hint="eastAsia" w:asciiTheme="minorEastAsia" w:hAnsiTheme="minorEastAsia" w:eastAsiaTheme="minorEastAsia" w:cstheme="minorEastAsia"/>
                <w:color w:val="auto"/>
                <w:szCs w:val="21"/>
                <w:lang w:val="en-US" w:eastAsia="zh-CN"/>
              </w:rPr>
              <w:t>0</w:t>
            </w:r>
            <w:r>
              <w:rPr>
                <w:rFonts w:hint="eastAsia" w:asciiTheme="minorEastAsia" w:hAnsiTheme="minorEastAsia" w:eastAsiaTheme="minorEastAsia" w:cstheme="minorEastAsia"/>
                <w:color w:val="auto"/>
                <w:szCs w:val="21"/>
              </w:rPr>
              <w:t>mm，保证离子的有效进入，提高灵敏度</w:t>
            </w:r>
          </w:p>
          <w:p w14:paraId="7740E263">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 锥体冷却装置：具有高性能的水冷系统，保证接口区域的稳定性</w:t>
            </w:r>
          </w:p>
          <w:p w14:paraId="2C89AD58">
            <w:pPr>
              <w:widowControl w:val="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2离子透镜系统</w:t>
            </w:r>
          </w:p>
          <w:p w14:paraId="61CD4E1E">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聚焦透镜：具有多级离子透镜系统，再次有效聚焦离子，确保高的灵敏度</w:t>
            </w:r>
          </w:p>
          <w:p w14:paraId="21819E5A">
            <w:pPr>
              <w:widowControl w:val="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3碰撞反应池</w:t>
            </w:r>
          </w:p>
          <w:p w14:paraId="2B5FEB0B">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color w:val="auto"/>
                <w:szCs w:val="21"/>
              </w:rPr>
              <w:t>3.1碰撞反应池：应有较高的离子传输效率，支持标准模式、碰撞模式和反应模式。须具有四极杆或八极杆结构</w:t>
            </w:r>
          </w:p>
          <w:p w14:paraId="34F4627C">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3.2反应模式支持氢气、氨气等多种气体或混合气。</w:t>
            </w:r>
          </w:p>
          <w:p w14:paraId="2B93BCC7">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color w:val="auto"/>
                <w:szCs w:val="21"/>
              </w:rPr>
              <w:t>3.3四极杆驱动频率 ≥2.</w:t>
            </w:r>
            <w:r>
              <w:rPr>
                <w:rFonts w:hint="eastAsia" w:asciiTheme="minorEastAsia" w:hAnsiTheme="minorEastAsia" w:eastAsiaTheme="minorEastAsia" w:cstheme="minorEastAsia"/>
                <w:color w:val="auto"/>
                <w:szCs w:val="21"/>
                <w:lang w:val="en-US" w:eastAsia="zh-CN"/>
              </w:rPr>
              <w:t>0</w:t>
            </w:r>
            <w:r>
              <w:rPr>
                <w:rFonts w:hint="eastAsia" w:asciiTheme="minorEastAsia" w:hAnsiTheme="minorEastAsia" w:eastAsiaTheme="minorEastAsia" w:cstheme="minorEastAsia"/>
                <w:color w:val="auto"/>
                <w:szCs w:val="21"/>
              </w:rPr>
              <w:t>MHz</w:t>
            </w:r>
          </w:p>
          <w:p w14:paraId="4E752455">
            <w:pPr>
              <w:pStyle w:val="1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4仪器检出限</w:t>
            </w:r>
          </w:p>
          <w:p w14:paraId="7FAF8638">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 仪器检出限：9Be＜0.5 ppt；115In ＜0.1 ppt；209Bi ＜0.1 ppt</w:t>
            </w:r>
          </w:p>
          <w:p w14:paraId="4ECC2E48">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灵敏度：9Be &gt; 14；115In &gt; 240；209Bi &gt; 160</w:t>
            </w:r>
          </w:p>
          <w:p w14:paraId="0C61EA7A">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 二价离子比率：Ce++ / Ce ＜ 3 %</w:t>
            </w:r>
          </w:p>
          <w:p w14:paraId="22B5217F">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 氧化物比率： CeO/Ce ＜ 2 %</w:t>
            </w:r>
          </w:p>
          <w:p w14:paraId="449B7FD9">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 背景噪音： ＜1cps @220amu</w:t>
            </w:r>
          </w:p>
          <w:p w14:paraId="22EA4E5B">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6.分辨率 ：0.5u-1.0u（5-225amu）</w:t>
            </w:r>
          </w:p>
          <w:p w14:paraId="5CB011A6">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 质量准确性 ：±0.1u（209Bi）</w:t>
            </w:r>
          </w:p>
          <w:p w14:paraId="151F7BCD">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 质量稳定性：0.03u/24Hr（115In）</w:t>
            </w:r>
          </w:p>
          <w:p w14:paraId="71803894">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 丰度灵敏度：低质量端≤10</w:t>
            </w:r>
            <w:r>
              <w:rPr>
                <w:rFonts w:hint="eastAsia" w:asciiTheme="minorEastAsia" w:hAnsiTheme="minorEastAsia" w:eastAsiaTheme="minorEastAsia" w:cstheme="minorEastAsia"/>
                <w:color w:val="auto"/>
                <w:szCs w:val="21"/>
                <w:vertAlign w:val="superscript"/>
              </w:rPr>
              <w:t>-7</w:t>
            </w:r>
            <w:r>
              <w:rPr>
                <w:rFonts w:hint="eastAsia" w:asciiTheme="minorEastAsia" w:hAnsiTheme="minorEastAsia" w:eastAsiaTheme="minorEastAsia" w:cstheme="minorEastAsia"/>
                <w:color w:val="auto"/>
                <w:szCs w:val="21"/>
              </w:rPr>
              <w:t>（133Cs）；高质量端≤1*10</w:t>
            </w:r>
            <w:r>
              <w:rPr>
                <w:rFonts w:hint="eastAsia" w:asciiTheme="minorEastAsia" w:hAnsiTheme="minorEastAsia" w:eastAsiaTheme="minorEastAsia" w:cstheme="minorEastAsia"/>
                <w:color w:val="auto"/>
                <w:szCs w:val="21"/>
                <w:vertAlign w:val="superscript"/>
              </w:rPr>
              <w:t>-7</w:t>
            </w:r>
            <w:r>
              <w:rPr>
                <w:rFonts w:hint="eastAsia" w:asciiTheme="minorEastAsia" w:hAnsiTheme="minorEastAsia" w:eastAsiaTheme="minorEastAsia" w:cstheme="minorEastAsia"/>
                <w:color w:val="auto"/>
                <w:szCs w:val="21"/>
              </w:rPr>
              <w:t>（133Cs）</w:t>
            </w:r>
          </w:p>
          <w:p w14:paraId="6289AB4D">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10. 短期稳定性(RSD): ≤2% </w:t>
            </w:r>
          </w:p>
          <w:p w14:paraId="3DDC3391">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 长期稳定性(RSD): ≤3%</w:t>
            </w:r>
          </w:p>
          <w:p w14:paraId="6388EDAA">
            <w:pPr>
              <w:widowControl w:val="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三.配置要求</w:t>
            </w:r>
          </w:p>
          <w:p w14:paraId="34B16986">
            <w:pPr>
              <w:pStyle w:val="18"/>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≥10kvA UPS电源一套</w:t>
            </w:r>
          </w:p>
          <w:p w14:paraId="7CBA35C9">
            <w:pPr>
              <w:pStyle w:val="20"/>
              <w:widowControl w:val="0"/>
              <w:ind w:firstLine="0" w:firstLineChars="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循环水冷系统1台</w:t>
            </w:r>
          </w:p>
          <w:p w14:paraId="12144067">
            <w:pPr>
              <w:widowControl w:val="0"/>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zCs w:val="21"/>
              </w:rPr>
              <w:t>四、电脑和打印机</w:t>
            </w:r>
          </w:p>
          <w:p w14:paraId="0B94090B">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电脑:处理器不低于CPUi5，内存≥16G，硬盘≥1TB，系统win10，≥27英寸显示屏。</w:t>
            </w:r>
          </w:p>
          <w:p w14:paraId="7A2B3968">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激光打印机:打印终端为鼓粉分离设计，速度≥30ppm，支持双面打印。</w:t>
            </w:r>
          </w:p>
          <w:p w14:paraId="6BADF8DB">
            <w:pPr>
              <w:pStyle w:val="20"/>
              <w:widowControl w:val="0"/>
              <w:ind w:firstLine="0" w:firstLineChars="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五、售后服务：</w:t>
            </w:r>
          </w:p>
          <w:p w14:paraId="5E247ADF">
            <w:pPr>
              <w:pStyle w:val="20"/>
              <w:widowControl w:val="0"/>
              <w:ind w:firstLine="0" w:firstLineChars="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1.设备要求免费现场安装调试及现场培训，达到能够独立操作的水平，保修期一年，终生负责维修。</w:t>
            </w:r>
          </w:p>
          <w:p w14:paraId="212FA83E">
            <w:pPr>
              <w:pStyle w:val="20"/>
              <w:widowControl w:val="0"/>
              <w:ind w:firstLine="0" w:firstLineChars="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16B2E6C2">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1台</w:t>
            </w:r>
          </w:p>
        </w:tc>
        <w:tc>
          <w:tcPr>
            <w:tcW w:w="723" w:type="dxa"/>
            <w:vAlign w:val="center"/>
          </w:tcPr>
          <w:p w14:paraId="0EBACDEE">
            <w:pPr>
              <w:widowControl/>
              <w:jc w:val="center"/>
              <w:textAlignment w:val="top"/>
              <w:rPr>
                <w:rFonts w:asciiTheme="minorEastAsia" w:hAnsiTheme="minorEastAsia" w:eastAsiaTheme="minorEastAsia" w:cstheme="minorEastAsia"/>
                <w:color w:val="auto"/>
                <w:szCs w:val="21"/>
              </w:rPr>
            </w:pPr>
          </w:p>
        </w:tc>
        <w:tc>
          <w:tcPr>
            <w:tcW w:w="641" w:type="dxa"/>
            <w:vAlign w:val="center"/>
          </w:tcPr>
          <w:p w14:paraId="53DBF3D2">
            <w:pPr>
              <w:widowControl w:val="0"/>
              <w:jc w:val="center"/>
              <w:rPr>
                <w:rFonts w:asciiTheme="minorEastAsia" w:hAnsiTheme="minorEastAsia" w:eastAsiaTheme="minorEastAsia" w:cstheme="minorEastAsia"/>
                <w:color w:val="auto"/>
                <w:szCs w:val="21"/>
              </w:rPr>
            </w:pPr>
          </w:p>
        </w:tc>
        <w:tc>
          <w:tcPr>
            <w:tcW w:w="655" w:type="dxa"/>
            <w:vAlign w:val="center"/>
          </w:tcPr>
          <w:p w14:paraId="30A618AC">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1103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trPr>
        <w:tc>
          <w:tcPr>
            <w:tcW w:w="603" w:type="dxa"/>
            <w:vAlign w:val="center"/>
          </w:tcPr>
          <w:p w14:paraId="6E5478DE">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w:t>
            </w:r>
          </w:p>
        </w:tc>
        <w:tc>
          <w:tcPr>
            <w:tcW w:w="1294" w:type="dxa"/>
            <w:vAlign w:val="center"/>
          </w:tcPr>
          <w:p w14:paraId="37075084">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电感耦合等离子体发射光谱仪ICP</w:t>
            </w:r>
          </w:p>
        </w:tc>
        <w:tc>
          <w:tcPr>
            <w:tcW w:w="645" w:type="dxa"/>
            <w:shd w:val="clear" w:color="auto" w:fill="auto"/>
            <w:vAlign w:val="center"/>
          </w:tcPr>
          <w:p w14:paraId="70E447CF">
            <w:pPr>
              <w:widowControl w:val="0"/>
              <w:spacing w:line="280" w:lineRule="atLeast"/>
              <w:jc w:val="center"/>
              <w:rPr>
                <w:rFonts w:asciiTheme="minorEastAsia" w:hAnsiTheme="minorEastAsia" w:eastAsiaTheme="minorEastAsia" w:cstheme="minorEastAsia"/>
                <w:color w:val="auto"/>
                <w:sz w:val="18"/>
                <w:szCs w:val="18"/>
              </w:rPr>
            </w:pPr>
          </w:p>
        </w:tc>
        <w:tc>
          <w:tcPr>
            <w:tcW w:w="3995" w:type="dxa"/>
            <w:shd w:val="clear" w:color="auto" w:fill="auto"/>
            <w:vAlign w:val="center"/>
          </w:tcPr>
          <w:p w14:paraId="0CC05506">
            <w:pPr>
              <w:widowControl w:val="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kern w:val="0"/>
                <w:szCs w:val="21"/>
              </w:rPr>
              <w:t>一、设备用途：</w:t>
            </w:r>
            <w:r>
              <w:rPr>
                <w:rFonts w:hint="eastAsia" w:asciiTheme="minorEastAsia" w:hAnsiTheme="minorEastAsia" w:eastAsiaTheme="minorEastAsia" w:cstheme="minorEastAsia"/>
                <w:color w:val="auto"/>
                <w:kern w:val="0"/>
                <w:szCs w:val="21"/>
              </w:rPr>
              <w:t>用于纺织品重金属检测配套设备</w:t>
            </w:r>
          </w:p>
          <w:p w14:paraId="47A24C1B">
            <w:pPr>
              <w:widowControl w:val="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二、技术要求：</w:t>
            </w:r>
          </w:p>
          <w:p w14:paraId="3D3A9906">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可同时进行定性、半定量和精确的定量分析，是常量、微量和痕量无机元素分析。</w:t>
            </w:r>
          </w:p>
          <w:p w14:paraId="0BD9722A">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  等离子体进样系统</w:t>
            </w:r>
          </w:p>
          <w:p w14:paraId="5169EE81">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 ICP观测方向：双向观测</w:t>
            </w:r>
          </w:p>
          <w:p w14:paraId="7A3D9B49">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 炬管方向：竖直向上放置，避免盐分沉积。</w:t>
            </w:r>
          </w:p>
          <w:p w14:paraId="39A65BAE">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 炬管：等离子体气流量可设定并长期稳定分析工作。</w:t>
            </w:r>
          </w:p>
          <w:p w14:paraId="5CC995C1">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 雾化器：高雾化效率。</w:t>
            </w:r>
          </w:p>
          <w:p w14:paraId="6F5B613B">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2气体控制系统</w:t>
            </w:r>
          </w:p>
          <w:p w14:paraId="60FB7C66">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 流量范围：等离子气：8~20L/min</w:t>
            </w:r>
          </w:p>
          <w:p w14:paraId="6F0DD737">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辅助气：0.5~2L/min</w:t>
            </w:r>
          </w:p>
          <w:p w14:paraId="21BA57FE">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载气：  0~2L/min</w:t>
            </w:r>
          </w:p>
          <w:p w14:paraId="26868FA7">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2.2等离子体气、辅助气、载气均需质量流量计控制（MFC）</w:t>
            </w:r>
          </w:p>
          <w:p w14:paraId="6BC2EF39">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  RF高频发生器</w:t>
            </w:r>
          </w:p>
          <w:p w14:paraId="74205894">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 RF功率：最大功率≥1.6KW，至少有30个以上不同的功率档位可选</w:t>
            </w:r>
          </w:p>
          <w:p w14:paraId="3456E967">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 分光器</w:t>
            </w:r>
          </w:p>
          <w:p w14:paraId="6D9EE0C2">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光室恒温，控温精度±0.1℃</w:t>
            </w:r>
          </w:p>
          <w:p w14:paraId="52A059A1">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5检测器</w:t>
            </w:r>
          </w:p>
          <w:p w14:paraId="27C0F0DE">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color w:val="auto"/>
                <w:szCs w:val="21"/>
              </w:rPr>
              <w:t>5.1 分析速度：每条测量谱线的积分时间≥10秒设定下，每分钟测定任意70个以上元素或谱线</w:t>
            </w:r>
          </w:p>
          <w:p w14:paraId="0A14C286">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5.2内标校正曝光方式：同时的内标校正，即内标元素和测量元素必须同时曝光；</w:t>
            </w:r>
          </w:p>
          <w:p w14:paraId="27AD65B6">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5.3检测器面积：≥1英寸</w:t>
            </w:r>
          </w:p>
          <w:p w14:paraId="3834F80B">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5.4关机前无需吹扫，可直接关机。</w:t>
            </w:r>
          </w:p>
          <w:p w14:paraId="650FB7C6">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5.5自动进样器:样品位≥50位</w:t>
            </w:r>
          </w:p>
          <w:p w14:paraId="27F4C475">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6 工作站软件  </w:t>
            </w:r>
          </w:p>
          <w:p w14:paraId="6E10039A">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6.1定性分析：用于建立在仪器内数据库进行分析</w:t>
            </w:r>
          </w:p>
          <w:p w14:paraId="19BA6E03">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6.2对每件样品应用校正基本数据，自动选择波长</w:t>
            </w:r>
          </w:p>
          <w:p w14:paraId="6DD060E6">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6.3定量分析：工作曲线法/标准加入法</w:t>
            </w:r>
          </w:p>
          <w:p w14:paraId="6633F9AC">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7测定波长</w:t>
            </w:r>
          </w:p>
          <w:p w14:paraId="08F044AB">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7.1对每个元素设置若干波长</w:t>
            </w:r>
          </w:p>
          <w:p w14:paraId="350329C5">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7.2 对每个样品自动选择波长</w:t>
            </w:r>
          </w:p>
          <w:p w14:paraId="1ECD712D">
            <w:pPr>
              <w:widowControl w:val="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7.3 用户可任意添加自定义波长。</w:t>
            </w:r>
          </w:p>
          <w:p w14:paraId="0336ECA2">
            <w:pPr>
              <w:widowControl w:val="0"/>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zCs w:val="21"/>
              </w:rPr>
              <w:t>三、电脑和打印机</w:t>
            </w:r>
          </w:p>
          <w:p w14:paraId="122AD4B3">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电脑:处理器不低于CPUi5，内存≥16G，硬盘≥1TB，系统win10，≥27英寸显示屏。</w:t>
            </w:r>
          </w:p>
          <w:p w14:paraId="14B92BAB">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激光打印机:打印终端为鼓粉分离设计，速度≥30ppm，支持双面打印。</w:t>
            </w:r>
          </w:p>
          <w:p w14:paraId="43207854">
            <w:pPr>
              <w:pStyle w:val="20"/>
              <w:widowControl w:val="0"/>
              <w:ind w:firstLine="0" w:firstLineChars="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四、售后服务：</w:t>
            </w:r>
          </w:p>
          <w:p w14:paraId="44793CDD">
            <w:pPr>
              <w:pStyle w:val="20"/>
              <w:widowControl w:val="0"/>
              <w:ind w:firstLine="0" w:firstLineChars="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1.设备要求免费现场安装调试及现场培训，达到能够独立操作的水平，保修期一年，终生负责维修。</w:t>
            </w:r>
          </w:p>
          <w:p w14:paraId="1511C046">
            <w:pPr>
              <w:pStyle w:val="20"/>
              <w:widowControl w:val="0"/>
              <w:ind w:firstLine="0" w:firstLineChars="0"/>
              <w:rPr>
                <w:rFonts w:asciiTheme="minorEastAsia" w:hAnsiTheme="minorEastAsia" w:eastAsiaTheme="minorEastAsia" w:cstheme="minorEastAsia"/>
                <w:color w:val="auto"/>
                <w:position w:val="6"/>
              </w:rPr>
            </w:pPr>
            <w:r>
              <w:rPr>
                <w:rFonts w:hint="eastAsia" w:asciiTheme="minorEastAsia" w:hAnsiTheme="minorEastAsia" w:eastAsiaTheme="minorEastAsia" w:cstheme="minorEastAsia"/>
                <w:color w:val="auto"/>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shd w:val="clear" w:color="auto" w:fill="auto"/>
            <w:vAlign w:val="center"/>
          </w:tcPr>
          <w:p w14:paraId="2ACB3342">
            <w:pPr>
              <w:widowControl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723" w:type="dxa"/>
            <w:shd w:val="clear" w:color="auto" w:fill="auto"/>
            <w:vAlign w:val="center"/>
          </w:tcPr>
          <w:p w14:paraId="56DCF4EA">
            <w:pPr>
              <w:widowControl w:val="0"/>
              <w:jc w:val="center"/>
              <w:rPr>
                <w:rFonts w:asciiTheme="minorEastAsia" w:hAnsiTheme="minorEastAsia" w:eastAsiaTheme="minorEastAsia" w:cstheme="minorEastAsia"/>
                <w:color w:val="auto"/>
                <w:szCs w:val="21"/>
              </w:rPr>
            </w:pPr>
          </w:p>
        </w:tc>
        <w:tc>
          <w:tcPr>
            <w:tcW w:w="641" w:type="dxa"/>
            <w:shd w:val="clear" w:color="auto" w:fill="auto"/>
            <w:vAlign w:val="center"/>
          </w:tcPr>
          <w:p w14:paraId="70D2AE77">
            <w:pPr>
              <w:widowControl w:val="0"/>
              <w:jc w:val="center"/>
              <w:rPr>
                <w:rFonts w:asciiTheme="minorEastAsia" w:hAnsiTheme="minorEastAsia" w:eastAsiaTheme="minorEastAsia" w:cstheme="minorEastAsia"/>
                <w:color w:val="auto"/>
                <w:szCs w:val="21"/>
              </w:rPr>
            </w:pPr>
          </w:p>
        </w:tc>
        <w:tc>
          <w:tcPr>
            <w:tcW w:w="655" w:type="dxa"/>
            <w:shd w:val="clear" w:color="auto" w:fill="auto"/>
            <w:vAlign w:val="center"/>
          </w:tcPr>
          <w:p w14:paraId="4C6B7427">
            <w:pPr>
              <w:widowControl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12F3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603" w:type="dxa"/>
            <w:vAlign w:val="center"/>
          </w:tcPr>
          <w:p w14:paraId="60934D9D">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w:t>
            </w:r>
          </w:p>
        </w:tc>
        <w:tc>
          <w:tcPr>
            <w:tcW w:w="1294" w:type="dxa"/>
            <w:vAlign w:val="center"/>
          </w:tcPr>
          <w:p w14:paraId="0BCDE314">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原子荧光光度计</w:t>
            </w:r>
          </w:p>
        </w:tc>
        <w:tc>
          <w:tcPr>
            <w:tcW w:w="645" w:type="dxa"/>
            <w:shd w:val="clear" w:color="auto" w:fill="auto"/>
            <w:vAlign w:val="center"/>
          </w:tcPr>
          <w:p w14:paraId="344CBE72">
            <w:pPr>
              <w:widowControl w:val="0"/>
              <w:spacing w:line="280" w:lineRule="atLeast"/>
              <w:jc w:val="center"/>
              <w:rPr>
                <w:rFonts w:asciiTheme="minorEastAsia" w:hAnsiTheme="minorEastAsia" w:eastAsiaTheme="minorEastAsia" w:cstheme="minorEastAsia"/>
                <w:color w:val="auto"/>
                <w:sz w:val="18"/>
                <w:szCs w:val="18"/>
              </w:rPr>
            </w:pPr>
          </w:p>
        </w:tc>
        <w:tc>
          <w:tcPr>
            <w:tcW w:w="3995" w:type="dxa"/>
            <w:shd w:val="clear" w:color="auto" w:fill="auto"/>
            <w:vAlign w:val="center"/>
          </w:tcPr>
          <w:p w14:paraId="1069FA61">
            <w:pPr>
              <w:widowControl w:val="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一、设备用途：</w:t>
            </w:r>
          </w:p>
          <w:p w14:paraId="2884623B">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1.用途：主要用于纺织材料及其产品（纺织品）中重金属镉、钴、铬、铜、镍、铅、锑、锌八种元素的测定。</w:t>
            </w:r>
          </w:p>
          <w:p w14:paraId="2401A4E7">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2.使用标准：GB/T 17593.1-2006 纺织品 重金属的测定</w:t>
            </w:r>
            <w:r>
              <w:rPr>
                <w:rFonts w:hint="eastAsia" w:asciiTheme="minorEastAsia" w:hAnsiTheme="minorEastAsia" w:eastAsiaTheme="minorEastAsia" w:cstheme="minorEastAsia"/>
                <w:color w:val="auto"/>
                <w:szCs w:val="21"/>
              </w:rPr>
              <w:drawing>
                <wp:inline distT="0" distB="0" distL="114300" distR="114300">
                  <wp:extent cx="635" cy="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9"/>
                          <a:stretch>
                            <a:fillRect/>
                          </a:stretch>
                        </pic:blipFill>
                        <pic:spPr>
                          <a:xfrm>
                            <a:off x="0" y="0"/>
                            <a:ext cx="635" cy="0"/>
                          </a:xfrm>
                          <a:prstGeom prst="rect">
                            <a:avLst/>
                          </a:prstGeom>
                          <a:noFill/>
                          <a:ln>
                            <a:noFill/>
                          </a:ln>
                        </pic:spPr>
                      </pic:pic>
                    </a:graphicData>
                  </a:graphic>
                </wp:inline>
              </w:drawing>
            </w:r>
            <w:r>
              <w:rPr>
                <w:rFonts w:hint="eastAsia" w:asciiTheme="minorEastAsia" w:hAnsiTheme="minorEastAsia" w:eastAsiaTheme="minorEastAsia" w:cstheme="minorEastAsia"/>
                <w:color w:val="auto"/>
                <w:szCs w:val="21"/>
              </w:rPr>
              <w:drawing>
                <wp:inline distT="0" distB="0" distL="114300" distR="114300">
                  <wp:extent cx="635" cy="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0"/>
                          <a:stretch>
                            <a:fillRect/>
                          </a:stretch>
                        </pic:blipFill>
                        <pic:spPr>
                          <a:xfrm>
                            <a:off x="0" y="0"/>
                            <a:ext cx="635" cy="0"/>
                          </a:xfrm>
                          <a:prstGeom prst="rect">
                            <a:avLst/>
                          </a:prstGeom>
                          <a:noFill/>
                          <a:ln>
                            <a:noFill/>
                          </a:ln>
                        </pic:spPr>
                      </pic:pic>
                    </a:graphicData>
                  </a:graphic>
                </wp:inline>
              </w:drawing>
            </w:r>
          </w:p>
          <w:p w14:paraId="3210BB50">
            <w:pPr>
              <w:widowControl w:val="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二、技术参数：</w:t>
            </w:r>
          </w:p>
          <w:p w14:paraId="6086147F">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1.检出限（D.L.）砷、锑、硒、铋、碲、汞、锡和铅元素&lt;0.01µg/L；汞（冷原子）&lt;0.001µg/L；镉&lt;0.001µg/L；锗&lt;0.05µg/L；锌&lt;1.0µg/L； </w:t>
            </w:r>
          </w:p>
          <w:p w14:paraId="4044A172">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2．测量精密度（RSD）：≤1.0% RSD。</w:t>
            </w:r>
          </w:p>
          <w:p w14:paraId="26ED6C31">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3．线性范围大于三个数量级。</w:t>
            </w:r>
          </w:p>
          <w:p w14:paraId="3240E127">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4．漂移：≤2.0%；噪声：≤2.0%；道间干扰（A道对D道）：≤±2.0% 。</w:t>
            </w:r>
          </w:p>
          <w:p w14:paraId="56B9F31E">
            <w:pPr>
              <w:widowControl w:val="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5.通讯接口：支持LAN/USB/RS-232。</w:t>
            </w:r>
          </w:p>
          <w:p w14:paraId="28688A99">
            <w:pPr>
              <w:widowControl w:val="0"/>
              <w:spacing w:line="280"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val="0"/>
                <w:color w:val="auto"/>
                <w:szCs w:val="21"/>
              </w:rPr>
              <w:t>*</w:t>
            </w:r>
            <w:r>
              <w:rPr>
                <w:rFonts w:hint="eastAsia" w:asciiTheme="minorEastAsia" w:hAnsiTheme="minorEastAsia" w:eastAsiaTheme="minorEastAsia" w:cstheme="minorEastAsia"/>
                <w:color w:val="auto"/>
                <w:szCs w:val="21"/>
              </w:rPr>
              <w:t>6．双光束立体光路，避免杂光影响；多灯位设计，可三种或三种以上元素同时测定，元素测定自动切换，提高仪器分析速度；所有通道支持参比漂移扣除功能，支持汞灯自动启辉，提高准确性和稳定性。</w:t>
            </w:r>
          </w:p>
          <w:p w14:paraId="59857A68">
            <w:pPr>
              <w:widowControl w:val="0"/>
              <w:spacing w:line="280"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7．直插式智能免调空心阴极灯。免调光源，即插即用，无需手动调节元素灯位置。</w:t>
            </w:r>
          </w:p>
          <w:p w14:paraId="35C02E4A">
            <w:pPr>
              <w:widowControl w:val="0"/>
              <w:spacing w:line="280"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8．灯电源自动激发启辉，保障仪器正常工作，支持元素灯使用计时，灯电流实时监控，随时掌握灯运行状态。</w:t>
            </w:r>
          </w:p>
          <w:p w14:paraId="4CE44881">
            <w:pPr>
              <w:widowControl w:val="0"/>
              <w:spacing w:line="280"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9．采用集束脉冲供电方式。</w:t>
            </w:r>
          </w:p>
          <w:p w14:paraId="3C8B816A">
            <w:pPr>
              <w:widowControl w:val="0"/>
              <w:spacing w:line="280"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10．原子化器：屏蔽式石英炉原子化器</w:t>
            </w:r>
            <w:r>
              <w:rPr>
                <w:rFonts w:hint="eastAsia" w:asciiTheme="minorEastAsia" w:hAnsiTheme="minorEastAsia" w:eastAsiaTheme="minorEastAsia" w:cstheme="minorEastAsia"/>
                <w:color w:val="auto"/>
                <w:szCs w:val="21"/>
                <w:lang w:eastAsia="zh-CN"/>
              </w:rPr>
              <w:t>。</w:t>
            </w:r>
          </w:p>
          <w:p w14:paraId="7B3DF35B">
            <w:pPr>
              <w:widowControl w:val="0"/>
              <w:spacing w:line="280"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val="0"/>
                <w:color w:val="auto"/>
                <w:szCs w:val="21"/>
              </w:rPr>
              <w:t>*</w:t>
            </w:r>
            <w:r>
              <w:rPr>
                <w:rFonts w:hint="eastAsia" w:asciiTheme="minorEastAsia" w:hAnsiTheme="minorEastAsia" w:eastAsiaTheme="minorEastAsia" w:cstheme="minorEastAsia"/>
                <w:color w:val="auto"/>
                <w:szCs w:val="21"/>
              </w:rPr>
              <w:t>11．具备温控原子化器功能，根据所测元素，自动匹配原子化器温度，获得更好的检测灵敏度原子化器高度可自动调节，无需手动调节。</w:t>
            </w:r>
          </w:p>
          <w:p w14:paraId="62EE1795">
            <w:pPr>
              <w:widowControl w:val="0"/>
              <w:spacing w:line="280"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12．气动泵+注射泵进样系统， </w:t>
            </w:r>
          </w:p>
          <w:p w14:paraId="20FD7BCD">
            <w:pPr>
              <w:widowControl w:val="0"/>
              <w:spacing w:line="280"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13．气液分离装置。在线自动去除硼氢化钾气泡</w:t>
            </w:r>
          </w:p>
          <w:p w14:paraId="70FB66BB">
            <w:pPr>
              <w:widowControl w:val="0"/>
              <w:spacing w:line="280"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14．排废方式：采用后排废。</w:t>
            </w:r>
          </w:p>
          <w:p w14:paraId="6356DC3B">
            <w:pPr>
              <w:widowControl w:val="0"/>
              <w:spacing w:line="280"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15．检测器：光电倍增管，寿命</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10年以上。</w:t>
            </w:r>
          </w:p>
          <w:p w14:paraId="701CDB9E">
            <w:pPr>
              <w:widowControl w:val="0"/>
              <w:spacing w:line="280" w:lineRule="atLeas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16．载气省气方式：可随时控制关闭气源，关机时自动切断气源，做样时气路自动开启。进样时载气流量正常，不进样时载气流量为维持仪器运转的最低流量。</w:t>
            </w:r>
          </w:p>
          <w:p w14:paraId="129D5219">
            <w:pPr>
              <w:widowControl w:val="0"/>
              <w:spacing w:line="280"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val="0"/>
                <w:color w:val="auto"/>
                <w:szCs w:val="21"/>
              </w:rPr>
              <w:t>*</w:t>
            </w:r>
            <w:r>
              <w:rPr>
                <w:rFonts w:hint="eastAsia" w:asciiTheme="minorEastAsia" w:hAnsiTheme="minorEastAsia" w:eastAsiaTheme="minorEastAsia" w:cstheme="minorEastAsia"/>
                <w:color w:val="auto"/>
                <w:szCs w:val="21"/>
              </w:rPr>
              <w:t>17．气路系统采用电子质量流量计，具备自动保护装置，无载气安全保护；关机可自动切断气路，同时具有实时压力、流速监测与报警功能。</w:t>
            </w:r>
          </w:p>
          <w:p w14:paraId="32315BBE">
            <w:pPr>
              <w:widowControl w:val="0"/>
              <w:spacing w:line="280"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18．同时具备形态分析扩展功能。预留元素形态分析串口。</w:t>
            </w:r>
          </w:p>
          <w:p w14:paraId="501EFFA3">
            <w:pPr>
              <w:widowControl w:val="0"/>
              <w:spacing w:line="280"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19．自动进样器：</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Cs w:val="21"/>
              </w:rPr>
              <w:t>50位进样器。</w:t>
            </w:r>
          </w:p>
          <w:p w14:paraId="58AB5A51">
            <w:pPr>
              <w:widowControl w:val="0"/>
              <w:spacing w:line="280"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20．数据处理系统： </w:t>
            </w:r>
          </w:p>
          <w:p w14:paraId="1F619E25">
            <w:pPr>
              <w:widowControl w:val="0"/>
              <w:spacing w:line="280"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硬件：台式商用电脑， I7及以上CPU,硬盘</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Cs w:val="21"/>
              </w:rPr>
              <w:t>1TB，内存</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Cs w:val="21"/>
              </w:rPr>
              <w:t xml:space="preserve">8GB，集成显卡，显示器1套，激光打印机（双面）。 </w:t>
            </w:r>
          </w:p>
          <w:p w14:paraId="5BDA4FD5">
            <w:pPr>
              <w:widowControl w:val="0"/>
              <w:spacing w:line="280"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软件：预装满足仪器使用要求的正版中文操作系统及文字处理办公软件等;</w:t>
            </w:r>
          </w:p>
          <w:p w14:paraId="515A52FA">
            <w:pPr>
              <w:widowControl w:val="0"/>
              <w:spacing w:line="280"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可实现全面的自检功能；</w:t>
            </w:r>
          </w:p>
          <w:p w14:paraId="3ED8466F">
            <w:pPr>
              <w:widowControl w:val="0"/>
              <w:spacing w:line="280"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val="0"/>
                <w:color w:val="auto"/>
                <w:szCs w:val="21"/>
              </w:rPr>
              <w:t>*</w:t>
            </w:r>
            <w:r>
              <w:rPr>
                <w:rFonts w:hint="eastAsia" w:asciiTheme="minorEastAsia" w:hAnsiTheme="minorEastAsia" w:eastAsiaTheme="minorEastAsia" w:cstheme="minorEastAsia"/>
                <w:color w:val="auto"/>
                <w:szCs w:val="21"/>
              </w:rPr>
              <w:t>具备集成的方法管理模块，图形化的设备状态监控，独立的数据分析模块；</w:t>
            </w:r>
          </w:p>
          <w:p w14:paraId="0FA851C9">
            <w:pPr>
              <w:widowControl w:val="0"/>
              <w:spacing w:line="280"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辅助信号曲线监测系统，包括数据表格和谱图、曲线及其参数；</w:t>
            </w:r>
          </w:p>
          <w:p w14:paraId="53630DCE">
            <w:pPr>
              <w:widowControl w:val="0"/>
              <w:spacing w:line="280"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自定义报告模板，测量结果可导出至Excel格式，支持复制、粘贴和图形存储，页眉页脚等多种报告形式的设置，以及支持多种打印格式；</w:t>
            </w:r>
          </w:p>
          <w:p w14:paraId="10A6E47E">
            <w:pPr>
              <w:widowControl w:val="0"/>
              <w:spacing w:line="280"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具备用户权限管理，审计追踪功能，管理员可对日志进行分类查阅和其他处理，自动记录用户的重要操作等功能；</w:t>
            </w:r>
          </w:p>
          <w:p w14:paraId="371CDEC1">
            <w:pPr>
              <w:widowControl w:val="0"/>
              <w:spacing w:line="280"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具备自动清洗、自动关机等功能。</w:t>
            </w:r>
          </w:p>
          <w:p w14:paraId="1E958331">
            <w:pPr>
              <w:widowControl w:val="0"/>
              <w:spacing w:line="280" w:lineRule="atLeas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21.配置清单</w:t>
            </w:r>
          </w:p>
          <w:p w14:paraId="7953D1DE">
            <w:pPr>
              <w:widowControl w:val="0"/>
              <w:spacing w:line="280" w:lineRule="atLeas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原子荧光光度计主机 一套                </w:t>
            </w:r>
          </w:p>
          <w:p w14:paraId="1887AA2D">
            <w:pPr>
              <w:widowControl w:val="0"/>
              <w:spacing w:line="280" w:lineRule="atLeas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配齐客户所需要的</w:t>
            </w:r>
            <w:r>
              <w:rPr>
                <w:rFonts w:hint="eastAsia" w:asciiTheme="minorEastAsia" w:hAnsiTheme="minorEastAsia" w:eastAsiaTheme="minorEastAsia" w:cstheme="minorEastAsia"/>
                <w:color w:val="auto"/>
                <w:szCs w:val="21"/>
              </w:rPr>
              <w:t xml:space="preserve">空心阴极灯一套           </w:t>
            </w:r>
          </w:p>
          <w:p w14:paraId="7290109D">
            <w:pPr>
              <w:widowControl w:val="0"/>
              <w:spacing w:line="280" w:lineRule="atLeas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极坐标式自动进样器 一台                 </w:t>
            </w:r>
          </w:p>
          <w:p w14:paraId="013D19E5">
            <w:pPr>
              <w:widowControl w:val="0"/>
              <w:spacing w:line="280" w:lineRule="atLeas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原子荧光数据工作站软件及软件加密狗  一套</w:t>
            </w:r>
          </w:p>
          <w:p w14:paraId="35A18373">
            <w:pPr>
              <w:widowControl w:val="0"/>
              <w:spacing w:line="280" w:lineRule="atLeas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仪器附件包 一套                         </w:t>
            </w:r>
          </w:p>
          <w:p w14:paraId="1963A2B2">
            <w:pPr>
              <w:widowControl w:val="0"/>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zCs w:val="21"/>
              </w:rPr>
              <w:t>三、电脑和打印机</w:t>
            </w:r>
          </w:p>
          <w:p w14:paraId="33D758B5">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电脑:处理器不低于CPUi5，内存≥16G，硬盘≥1TB，系统win10，≥27英寸显示屏。</w:t>
            </w:r>
          </w:p>
          <w:p w14:paraId="3B56F29C">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激光打印机:打印终端为鼓粉分离设计，速度≥30ppm，支持双面打印。</w:t>
            </w:r>
          </w:p>
          <w:p w14:paraId="6E045991">
            <w:pPr>
              <w:pStyle w:val="20"/>
              <w:widowControl w:val="0"/>
              <w:ind w:firstLine="0" w:firstLineChars="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四、售后服务：</w:t>
            </w:r>
          </w:p>
          <w:p w14:paraId="10A577C4">
            <w:pPr>
              <w:pStyle w:val="20"/>
              <w:widowControl w:val="0"/>
              <w:ind w:firstLine="0" w:firstLineChars="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1.设备要求免费现场安装调试及现场培训，达到能够独立操作的水平，保修期一年，终生负责维修。</w:t>
            </w:r>
          </w:p>
          <w:p w14:paraId="6204A186">
            <w:pPr>
              <w:pStyle w:val="20"/>
              <w:widowControl w:val="0"/>
              <w:ind w:firstLine="0" w:firstLineChars="0"/>
              <w:jc w:val="left"/>
              <w:rPr>
                <w:rFonts w:asciiTheme="minorEastAsia" w:hAnsiTheme="minorEastAsia" w:eastAsiaTheme="minorEastAsia" w:cstheme="minorEastAsia"/>
                <w:color w:val="auto"/>
                <w:position w:val="6"/>
              </w:rPr>
            </w:pPr>
            <w:r>
              <w:rPr>
                <w:rFonts w:hint="eastAsia" w:asciiTheme="minorEastAsia" w:hAnsiTheme="minorEastAsia" w:eastAsiaTheme="minorEastAsia" w:cstheme="minorEastAsia"/>
                <w:color w:val="auto"/>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shd w:val="clear" w:color="auto" w:fill="auto"/>
            <w:vAlign w:val="center"/>
          </w:tcPr>
          <w:p w14:paraId="27BE0694">
            <w:pPr>
              <w:widowControl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723" w:type="dxa"/>
            <w:shd w:val="clear" w:color="auto" w:fill="auto"/>
            <w:vAlign w:val="center"/>
          </w:tcPr>
          <w:p w14:paraId="4A670F35">
            <w:pPr>
              <w:widowControl w:val="0"/>
              <w:jc w:val="center"/>
              <w:rPr>
                <w:rFonts w:asciiTheme="minorEastAsia" w:hAnsiTheme="minorEastAsia" w:eastAsiaTheme="minorEastAsia" w:cstheme="minorEastAsia"/>
                <w:color w:val="auto"/>
                <w:szCs w:val="21"/>
              </w:rPr>
            </w:pPr>
          </w:p>
        </w:tc>
        <w:tc>
          <w:tcPr>
            <w:tcW w:w="641" w:type="dxa"/>
            <w:shd w:val="clear" w:color="auto" w:fill="auto"/>
            <w:vAlign w:val="center"/>
          </w:tcPr>
          <w:p w14:paraId="4C75BB0A">
            <w:pPr>
              <w:widowControl w:val="0"/>
              <w:jc w:val="center"/>
              <w:rPr>
                <w:rFonts w:asciiTheme="minorEastAsia" w:hAnsiTheme="minorEastAsia" w:eastAsiaTheme="minorEastAsia" w:cstheme="minorEastAsia"/>
                <w:color w:val="auto"/>
                <w:szCs w:val="21"/>
              </w:rPr>
            </w:pPr>
          </w:p>
        </w:tc>
        <w:tc>
          <w:tcPr>
            <w:tcW w:w="655" w:type="dxa"/>
            <w:shd w:val="clear" w:color="auto" w:fill="auto"/>
            <w:vAlign w:val="center"/>
          </w:tcPr>
          <w:p w14:paraId="42B41483">
            <w:pPr>
              <w:widowControl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4721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603" w:type="dxa"/>
            <w:vAlign w:val="center"/>
          </w:tcPr>
          <w:p w14:paraId="6BDA2D8E">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w:t>
            </w:r>
          </w:p>
        </w:tc>
        <w:tc>
          <w:tcPr>
            <w:tcW w:w="1294" w:type="dxa"/>
            <w:vAlign w:val="center"/>
          </w:tcPr>
          <w:p w14:paraId="2D82CBC1">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火焰-石墨炉原子吸收光谱仪</w:t>
            </w:r>
          </w:p>
        </w:tc>
        <w:tc>
          <w:tcPr>
            <w:tcW w:w="645" w:type="dxa"/>
            <w:shd w:val="clear" w:color="auto" w:fill="auto"/>
            <w:vAlign w:val="center"/>
          </w:tcPr>
          <w:p w14:paraId="3C51440F">
            <w:pPr>
              <w:widowControl w:val="0"/>
              <w:spacing w:line="280" w:lineRule="atLeast"/>
              <w:jc w:val="center"/>
              <w:rPr>
                <w:rFonts w:asciiTheme="minorEastAsia" w:hAnsiTheme="minorEastAsia" w:eastAsiaTheme="minorEastAsia" w:cstheme="minorEastAsia"/>
                <w:color w:val="auto"/>
                <w:sz w:val="18"/>
                <w:szCs w:val="18"/>
              </w:rPr>
            </w:pPr>
          </w:p>
        </w:tc>
        <w:tc>
          <w:tcPr>
            <w:tcW w:w="3995" w:type="dxa"/>
            <w:shd w:val="clear" w:color="auto" w:fill="auto"/>
            <w:vAlign w:val="center"/>
          </w:tcPr>
          <w:p w14:paraId="0304955B">
            <w:pPr>
              <w:widowControl w:val="0"/>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t>一、设备用途：</w:t>
            </w:r>
            <w:r>
              <w:rPr>
                <w:rFonts w:hint="eastAsia" w:asciiTheme="minorEastAsia" w:hAnsiTheme="minorEastAsia" w:eastAsiaTheme="minorEastAsia" w:cstheme="minorEastAsia"/>
                <w:color w:val="auto"/>
              </w:rPr>
              <w:t>用于纺织品重金属检测配套设备</w:t>
            </w:r>
          </w:p>
          <w:p w14:paraId="226D9D51">
            <w:pPr>
              <w:widowControl w:val="0"/>
              <w:jc w:val="left"/>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二、技术要求：</w:t>
            </w:r>
          </w:p>
          <w:p w14:paraId="004DAC2F">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2.1分析方法：火焰法和石墨炉法原子吸收分析，火焰——石墨炉自动转换；</w:t>
            </w:r>
          </w:p>
          <w:p w14:paraId="2342CF41">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2.2背景校正：氚灯、自吸双重背景校正系统。</w:t>
            </w:r>
          </w:p>
          <w:p w14:paraId="7621FAB5">
            <w:pPr>
              <w:widowControl w:val="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2.3波长范围:190nm-900nm/自动寻峰设置。</w:t>
            </w:r>
          </w:p>
          <w:p w14:paraId="4B3A5B80">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2.4波长准确度:≤±0.25nm</w:t>
            </w:r>
          </w:p>
          <w:p w14:paraId="66AC796D">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2.5波长重复性:≤0.15nm</w:t>
            </w:r>
          </w:p>
          <w:p w14:paraId="7DB0CBB2">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2.6分辨率:≤0.3nm， </w:t>
            </w:r>
          </w:p>
          <w:p w14:paraId="1D9B6AD0">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2.7基线稳定性:≤0.004Abs/30min</w:t>
            </w:r>
          </w:p>
          <w:p w14:paraId="07819816">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3元素灯系统</w:t>
            </w:r>
          </w:p>
          <w:p w14:paraId="56554F28">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3.1灯座数:每个灯架装≥8只灯</w:t>
            </w:r>
          </w:p>
          <w:p w14:paraId="7C7C9B15">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3.2灯位置:灯位自动设定,自动微调。</w:t>
            </w:r>
          </w:p>
          <w:p w14:paraId="1E87A0B4">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4火焰部分</w:t>
            </w:r>
          </w:p>
          <w:p w14:paraId="5BB14FF4">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4.1扣背景:氘灯、自吸全波段扣背景</w:t>
            </w:r>
          </w:p>
          <w:p w14:paraId="2061368F">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4.2点火方式:自动点火</w:t>
            </w:r>
          </w:p>
          <w:p w14:paraId="0FA2723B">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4.3燃烧条件设置:质量流量控制器自动设置燃烧条件</w:t>
            </w:r>
          </w:p>
          <w:p w14:paraId="7199E966">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4.4特征浓度:铜≤0.02ug/ml/1%</w:t>
            </w:r>
          </w:p>
          <w:p w14:paraId="2FF9D6BC">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4.5精密度:铜≤0.7%</w:t>
            </w:r>
          </w:p>
          <w:p w14:paraId="664E3D61">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4.6检出极限:铜≤0.004ug/ml</w:t>
            </w:r>
          </w:p>
          <w:p w14:paraId="44D32556">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4.7使用氘灯扣背景时：具有自动切入半透半反镜装置功能。</w:t>
            </w:r>
          </w:p>
          <w:p w14:paraId="720D31FA">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4.8自动控制波长扫描及自动寻峰。</w:t>
            </w:r>
          </w:p>
          <w:p w14:paraId="06C491EA">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4.9自动调整负高压、灯电流、两路光平衡、自动流量控制、自动点火、自动熄火保护。</w:t>
            </w:r>
          </w:p>
          <w:p w14:paraId="48100399">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5石墨炉分析</w:t>
            </w:r>
          </w:p>
          <w:p w14:paraId="45DD5CA5">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5.1检出限：（Cd）1.0×10</w:t>
            </w:r>
            <w:r>
              <w:rPr>
                <w:rFonts w:hint="eastAsia" w:asciiTheme="minorEastAsia" w:hAnsiTheme="minorEastAsia" w:eastAsiaTheme="minorEastAsia" w:cstheme="minorEastAsia"/>
                <w:bCs/>
                <w:color w:val="auto"/>
                <w:szCs w:val="21"/>
                <w:vertAlign w:val="superscript"/>
              </w:rPr>
              <w:t>-12</w:t>
            </w:r>
            <w:r>
              <w:rPr>
                <w:rFonts w:hint="eastAsia" w:asciiTheme="minorEastAsia" w:hAnsiTheme="minorEastAsia" w:eastAsiaTheme="minorEastAsia" w:cstheme="minorEastAsia"/>
                <w:bCs/>
                <w:color w:val="auto"/>
                <w:szCs w:val="21"/>
              </w:rPr>
              <w:t>g</w:t>
            </w:r>
          </w:p>
          <w:p w14:paraId="278456D9">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5.2精密度：RSD≤2%</w:t>
            </w:r>
          </w:p>
          <w:p w14:paraId="77ACD038">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5.3加热范围：室温—3000℃</w:t>
            </w:r>
          </w:p>
          <w:p w14:paraId="777C6350">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5.4火焰与石墨炉原子化器的自动切换:</w:t>
            </w:r>
          </w:p>
          <w:p w14:paraId="38943633">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5.5自动设置燃气流量</w:t>
            </w:r>
          </w:p>
          <w:p w14:paraId="3BB89C94">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5.6自动设定最佳火焰高度及原子化器的前后位置</w:t>
            </w:r>
          </w:p>
          <w:p w14:paraId="7EE6FBDF">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5.7自动控制波长扫描及自动寻峰。</w:t>
            </w:r>
          </w:p>
          <w:p w14:paraId="7EB09CFA">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
                <w:bCs w:val="0"/>
                <w:color w:val="auto"/>
                <w:szCs w:val="21"/>
              </w:rPr>
              <w:t>*</w:t>
            </w:r>
            <w:r>
              <w:rPr>
                <w:rFonts w:hint="eastAsia" w:asciiTheme="minorEastAsia" w:hAnsiTheme="minorEastAsia" w:eastAsiaTheme="minorEastAsia" w:cstheme="minorEastAsia"/>
                <w:bCs/>
                <w:color w:val="auto"/>
                <w:szCs w:val="21"/>
              </w:rPr>
              <w:t>5.8自动更换光谱带宽。</w:t>
            </w:r>
          </w:p>
          <w:p w14:paraId="290CDFF2">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
                <w:bCs w:val="0"/>
                <w:color w:val="auto"/>
                <w:szCs w:val="21"/>
              </w:rPr>
              <w:t>*</w:t>
            </w:r>
            <w:r>
              <w:rPr>
                <w:rFonts w:hint="eastAsia" w:asciiTheme="minorEastAsia" w:hAnsiTheme="minorEastAsia" w:eastAsiaTheme="minorEastAsia" w:cstheme="minorEastAsia"/>
                <w:bCs/>
                <w:color w:val="auto"/>
                <w:szCs w:val="21"/>
              </w:rPr>
              <w:t>5.9自动调整负高压、灯电流、两路光平衡、自动流量控制、自动点火、自动熄火保护。</w:t>
            </w:r>
          </w:p>
          <w:p w14:paraId="4D37BC05">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6、数据处理</w:t>
            </w:r>
          </w:p>
          <w:p w14:paraId="168D33AD">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6.1数据输入方式:计算机自动在线采样,人工离线输入</w:t>
            </w:r>
          </w:p>
          <w:p w14:paraId="6D0D609F">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6.2信号实行自动采集,自动处理</w:t>
            </w:r>
          </w:p>
          <w:p w14:paraId="55159C02">
            <w:pPr>
              <w:widowControl w:val="0"/>
              <w:ind w:left="86" w:leftChars="4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可打印测试数据和最终分析报告</w:t>
            </w:r>
          </w:p>
          <w:p w14:paraId="05DF740E">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6.3可自动计算相对标准偏差,相关系数，绘制标准曲线，自动计算样品浓度及样品实际浓度</w:t>
            </w:r>
          </w:p>
          <w:p w14:paraId="59ED6819">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7原子吸收分光光度计 (火焰/石墨炉)配置清单</w:t>
            </w:r>
          </w:p>
          <w:p w14:paraId="048D0E28">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7.1主机（火焰石墨炉一体机）：1套</w:t>
            </w:r>
          </w:p>
          <w:p w14:paraId="0CA25619">
            <w:pPr>
              <w:widowControl w:val="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7.2自动进样器：1套</w:t>
            </w:r>
          </w:p>
          <w:p w14:paraId="2C8FA7FC">
            <w:pPr>
              <w:widowControl w:val="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7.3无油空气压缩机：1套</w:t>
            </w:r>
          </w:p>
          <w:p w14:paraId="0C591CBD">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7.4自动控温冷却循环水装置:1套</w:t>
            </w:r>
          </w:p>
          <w:p w14:paraId="1FD1638D">
            <w:pPr>
              <w:widowContro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7.5减压阀一套，高纯氩气（＞99.995%）及钢瓶、减压阀一套</w:t>
            </w:r>
          </w:p>
          <w:p w14:paraId="377CAFE4">
            <w:pPr>
              <w:pStyle w:val="18"/>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7.6 气瓶柜</w:t>
            </w:r>
            <w:r>
              <w:rPr>
                <w:rFonts w:hint="eastAsia" w:asciiTheme="minorEastAsia" w:hAnsiTheme="minorEastAsia" w:eastAsiaTheme="minorEastAsia" w:cstheme="minorEastAsia"/>
                <w:b w:val="0"/>
                <w:bCs w:val="0"/>
                <w:color w:val="auto"/>
                <w:lang w:eastAsia="zh-CN"/>
              </w:rPr>
              <w:t>≥</w:t>
            </w:r>
            <w:r>
              <w:rPr>
                <w:rFonts w:hint="eastAsia" w:asciiTheme="minorEastAsia" w:hAnsiTheme="minorEastAsia" w:eastAsiaTheme="minorEastAsia" w:cstheme="minorEastAsia"/>
                <w:b w:val="0"/>
                <w:bCs w:val="0"/>
                <w:color w:val="auto"/>
              </w:rPr>
              <w:t>2个</w:t>
            </w:r>
          </w:p>
          <w:p w14:paraId="10B21601">
            <w:pPr>
              <w:pStyle w:val="20"/>
              <w:widowControl w:val="0"/>
              <w:ind w:left="0" w:leftChars="0" w:firstLine="0" w:firstLineChars="0"/>
              <w:rPr>
                <w:rFonts w:hint="default" w:eastAsiaTheme="minorEastAsia"/>
                <w:color w:val="auto"/>
                <w:lang w:val="en-US" w:eastAsia="zh-CN"/>
              </w:rPr>
            </w:pPr>
            <w:r>
              <w:rPr>
                <w:rFonts w:hint="eastAsia" w:asciiTheme="minorEastAsia" w:hAnsiTheme="minorEastAsia" w:eastAsiaTheme="minorEastAsia" w:cstheme="minorEastAsia"/>
                <w:b w:val="0"/>
                <w:bCs w:val="0"/>
                <w:color w:val="auto"/>
                <w:lang w:val="en-US" w:eastAsia="zh-CN"/>
              </w:rPr>
              <w:t>7.7配齐客户所需要的所有元素灯</w:t>
            </w:r>
          </w:p>
          <w:p w14:paraId="5F6FF7A7">
            <w:pPr>
              <w:widowControl w:val="0"/>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zCs w:val="21"/>
              </w:rPr>
              <w:t>三、电脑和打印机</w:t>
            </w:r>
          </w:p>
          <w:p w14:paraId="10E3C0A2">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电脑:处理器不低于CPUi5，内存≥16G，硬盘≥1TB，系统win10，≥27英寸显示屏。</w:t>
            </w:r>
          </w:p>
          <w:p w14:paraId="0B37E2F2">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激光打印机:打印终端为鼓粉分离设计，速度≥30ppm，支持双面打印。</w:t>
            </w:r>
          </w:p>
          <w:p w14:paraId="7979CF13">
            <w:pPr>
              <w:pStyle w:val="20"/>
              <w:widowControl w:val="0"/>
              <w:ind w:firstLine="0" w:firstLineChars="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四、售后服务：</w:t>
            </w:r>
          </w:p>
          <w:p w14:paraId="3501B0A2">
            <w:pPr>
              <w:pStyle w:val="20"/>
              <w:widowControl w:val="0"/>
              <w:ind w:firstLine="0" w:firstLineChars="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1.设备要求免费现场安装调试及现场培训，达到能够独立操作的水平，保修期一年，终生负责维修。</w:t>
            </w:r>
          </w:p>
          <w:p w14:paraId="3C615030">
            <w:pPr>
              <w:widowControl w:val="0"/>
              <w:rPr>
                <w:rFonts w:asciiTheme="minorEastAsia" w:hAnsiTheme="minorEastAsia" w:eastAsiaTheme="minorEastAsia" w:cstheme="minorEastAsia"/>
                <w:color w:val="auto"/>
                <w:position w:val="6"/>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shd w:val="clear" w:color="auto" w:fill="auto"/>
            <w:vAlign w:val="center"/>
          </w:tcPr>
          <w:p w14:paraId="681AA962">
            <w:pPr>
              <w:widowControl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723" w:type="dxa"/>
            <w:shd w:val="clear" w:color="auto" w:fill="auto"/>
            <w:vAlign w:val="center"/>
          </w:tcPr>
          <w:p w14:paraId="5640180F">
            <w:pPr>
              <w:widowControl w:val="0"/>
              <w:jc w:val="center"/>
              <w:rPr>
                <w:rFonts w:asciiTheme="minorEastAsia" w:hAnsiTheme="minorEastAsia" w:eastAsiaTheme="minorEastAsia" w:cstheme="minorEastAsia"/>
                <w:color w:val="auto"/>
                <w:szCs w:val="21"/>
              </w:rPr>
            </w:pPr>
          </w:p>
        </w:tc>
        <w:tc>
          <w:tcPr>
            <w:tcW w:w="641" w:type="dxa"/>
            <w:shd w:val="clear" w:color="auto" w:fill="auto"/>
            <w:vAlign w:val="center"/>
          </w:tcPr>
          <w:p w14:paraId="2ABD4C21">
            <w:pPr>
              <w:widowControl w:val="0"/>
              <w:jc w:val="center"/>
              <w:rPr>
                <w:rFonts w:asciiTheme="minorEastAsia" w:hAnsiTheme="minorEastAsia" w:eastAsiaTheme="minorEastAsia" w:cstheme="minorEastAsia"/>
                <w:color w:val="auto"/>
                <w:szCs w:val="21"/>
              </w:rPr>
            </w:pPr>
          </w:p>
        </w:tc>
        <w:tc>
          <w:tcPr>
            <w:tcW w:w="655" w:type="dxa"/>
            <w:shd w:val="clear" w:color="auto" w:fill="auto"/>
            <w:vAlign w:val="center"/>
          </w:tcPr>
          <w:p w14:paraId="3BD85403">
            <w:pPr>
              <w:widowControl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509B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603" w:type="dxa"/>
            <w:vAlign w:val="center"/>
          </w:tcPr>
          <w:p w14:paraId="2BCED9FF">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w:t>
            </w:r>
          </w:p>
        </w:tc>
        <w:tc>
          <w:tcPr>
            <w:tcW w:w="1294" w:type="dxa"/>
            <w:vAlign w:val="center"/>
          </w:tcPr>
          <w:p w14:paraId="294FC4B0">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氙灯耐气候老化试验箱</w:t>
            </w:r>
          </w:p>
        </w:tc>
        <w:tc>
          <w:tcPr>
            <w:tcW w:w="645" w:type="dxa"/>
            <w:vAlign w:val="center"/>
          </w:tcPr>
          <w:p w14:paraId="0404335B">
            <w:pPr>
              <w:widowControl w:val="0"/>
              <w:rPr>
                <w:rFonts w:asciiTheme="minorEastAsia" w:hAnsiTheme="minorEastAsia" w:eastAsiaTheme="minorEastAsia" w:cstheme="minorEastAsia"/>
                <w:color w:val="auto"/>
                <w:sz w:val="28"/>
                <w:szCs w:val="28"/>
              </w:rPr>
            </w:pPr>
          </w:p>
        </w:tc>
        <w:tc>
          <w:tcPr>
            <w:tcW w:w="3995" w:type="dxa"/>
            <w:shd w:val="clear" w:color="auto" w:fill="auto"/>
            <w:vAlign w:val="center"/>
          </w:tcPr>
          <w:p w14:paraId="639EA304">
            <w:pPr>
              <w:widowControl/>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18"/>
                <w:szCs w:val="18"/>
              </w:rPr>
              <w:t>一、设备用途：</w:t>
            </w:r>
            <w:r>
              <w:rPr>
                <w:rFonts w:hint="eastAsia" w:asciiTheme="minorEastAsia" w:hAnsiTheme="minorEastAsia" w:eastAsiaTheme="minorEastAsia" w:cstheme="minorEastAsia"/>
                <w:color w:val="auto"/>
                <w:szCs w:val="21"/>
              </w:rPr>
              <w:t>主要用于纺织产品中耐光色牢度的测定。</w:t>
            </w:r>
          </w:p>
          <w:p w14:paraId="00603D4E">
            <w:pPr>
              <w:widowControl w:val="0"/>
              <w:jc w:val="left"/>
              <w:rPr>
                <w:rFonts w:asciiTheme="minorEastAsia" w:hAnsiTheme="minorEastAsia" w:eastAsiaTheme="minorEastAsia" w:cstheme="minorEastAsia"/>
                <w:color w:val="auto"/>
                <w:position w:val="6"/>
                <w:szCs w:val="21"/>
              </w:rPr>
            </w:pPr>
            <w:r>
              <w:rPr>
                <w:rFonts w:hint="eastAsia" w:asciiTheme="minorEastAsia" w:hAnsiTheme="minorEastAsia" w:eastAsiaTheme="minorEastAsia" w:cstheme="minorEastAsia"/>
                <w:b/>
                <w:bCs/>
                <w:color w:val="auto"/>
                <w:sz w:val="18"/>
                <w:szCs w:val="18"/>
              </w:rPr>
              <w:t>二、满足使用标准：</w:t>
            </w:r>
            <w:r>
              <w:rPr>
                <w:rFonts w:hint="eastAsia" w:asciiTheme="minorEastAsia" w:hAnsiTheme="minorEastAsia" w:eastAsiaTheme="minorEastAsia" w:cstheme="minorEastAsia"/>
                <w:color w:val="auto"/>
                <w:szCs w:val="21"/>
              </w:rPr>
              <w:t>符合AATCC M16-2003《耐光色牢度》、GBT8427-2019《纺织品 色牢度试验 耐人造光色牢度:氙弧》等标准</w:t>
            </w:r>
          </w:p>
          <w:p w14:paraId="5B9575E2">
            <w:pPr>
              <w:widowControl/>
              <w:rPr>
                <w:rFonts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三、技术参数</w:t>
            </w:r>
          </w:p>
          <w:p w14:paraId="6B447079">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3.1温度范围 20℃～80℃可调</w:t>
            </w:r>
          </w:p>
          <w:p w14:paraId="130B85CE">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3.2湿度范围 40～98% R•H可调（±2.5%R.H(湿度≥75%R.H)、±3%R.H(湿度≤75%R.H)（不开光照的情况下））</w:t>
            </w:r>
          </w:p>
          <w:p w14:paraId="66F52457">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3.3黑板温度 45℃～100℃（±3℃）</w:t>
            </w:r>
          </w:p>
          <w:p w14:paraId="1C840D2B">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3.4温度波动度 ±0.5℃</w:t>
            </w:r>
          </w:p>
          <w:p w14:paraId="786C07E4">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3.5温度偏差度 ±2.0℃</w:t>
            </w:r>
          </w:p>
          <w:p w14:paraId="7E1B6658">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3.6玻璃窗滤光片</w:t>
            </w:r>
          </w:p>
          <w:p w14:paraId="53732050">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3.7湿度偏差 ≤±2%</w:t>
            </w:r>
          </w:p>
          <w:p w14:paraId="5E38C807">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3.8氙灯灯源  风冷式氙灯灯管备用氙灯灯管数量 不少于5支</w:t>
            </w:r>
          </w:p>
          <w:p w14:paraId="38DC43B5">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3.9降雨时间  0～9999min，连续降雨可调</w:t>
            </w:r>
          </w:p>
          <w:p w14:paraId="46DD2247">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3.10降雨周期  0～240min，间隔(断)降雨可调</w:t>
            </w:r>
          </w:p>
          <w:p w14:paraId="7ED0E1D9">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3.11喷水周期  (喷水时间/不喷水时间)：18min/102min或12min/48min</w:t>
            </w:r>
          </w:p>
          <w:p w14:paraId="220273A4">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3.12淋雨水压  0.12～0.15Mpa</w:t>
            </w:r>
          </w:p>
          <w:p w14:paraId="537F4C2E">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3.13氙灯功率  1.8 KW/每根*1</w:t>
            </w:r>
          </w:p>
          <w:p w14:paraId="41CDE8CE">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3.14加热功率  不小于2KW</w:t>
            </w:r>
          </w:p>
          <w:p w14:paraId="069B7A24">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3.15加湿功率 不小于2KW</w:t>
            </w:r>
          </w:p>
          <w:p w14:paraId="3716E965">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3.16样品架与灯距离 200～300mm</w:t>
            </w:r>
          </w:p>
          <w:p w14:paraId="2B83E38E">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3.17波长290～800nm</w:t>
            </w:r>
          </w:p>
          <w:p w14:paraId="71D9BAFE">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3.18光照周期连续可调  时间：1～999h、m、s  </w:t>
            </w:r>
          </w:p>
          <w:p w14:paraId="79ADF79C">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3.19辐照度控制范围</w:t>
            </w:r>
          </w:p>
          <w:p w14:paraId="70942367">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（1）340nm  0.51～1.5 W/CM2</w:t>
            </w:r>
          </w:p>
          <w:p w14:paraId="5CC25918">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（2）300-400um 50～200W/CM2</w:t>
            </w:r>
          </w:p>
          <w:p w14:paraId="31B82240">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（3）300-400um  50～1000W/ CM2</w:t>
            </w:r>
          </w:p>
          <w:p w14:paraId="0EE59332">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四、电脑和打印机</w:t>
            </w:r>
          </w:p>
          <w:p w14:paraId="30F76844">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笔记本电脑：配有用于数据查看、分析的国产品牌便携式移动终端设备，配置要求：CPU为I5以上，内存容量≥16G，固态硬盘容量≥1T，显示屏幕≥14寸。</w:t>
            </w:r>
          </w:p>
          <w:p w14:paraId="6CF42318">
            <w:pPr>
              <w:widowControl w:val="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激光打印机:打印终端为鼓粉分离设计，速度≥30ppm，支持双面打印。</w:t>
            </w:r>
          </w:p>
          <w:p w14:paraId="5A5118C8">
            <w:pPr>
              <w:pStyle w:val="20"/>
              <w:widowControl w:val="0"/>
              <w:ind w:firstLine="0" w:firstLineChars="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五、售后服务：</w:t>
            </w:r>
          </w:p>
          <w:p w14:paraId="2E0B969A">
            <w:pPr>
              <w:pStyle w:val="20"/>
              <w:widowControl w:val="0"/>
              <w:ind w:firstLine="0" w:firstLineChars="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1.设备要求免费现场安装调试及现场培训，达到能够独立操作的水平，保修期一年，终生负责维修。</w:t>
            </w:r>
          </w:p>
          <w:p w14:paraId="21464EE4">
            <w:pPr>
              <w:pStyle w:val="20"/>
              <w:widowControl w:val="0"/>
              <w:ind w:firstLine="0" w:firstLineChars="0"/>
              <w:rPr>
                <w:rFonts w:asciiTheme="minorEastAsia" w:hAnsiTheme="minorEastAsia" w:eastAsiaTheme="minorEastAsia" w:cstheme="minorEastAsia"/>
                <w:color w:val="auto"/>
                <w:position w:val="6"/>
              </w:rPr>
            </w:pPr>
            <w:r>
              <w:rPr>
                <w:rFonts w:hint="eastAsia" w:asciiTheme="minorEastAsia" w:hAnsiTheme="minorEastAsia" w:eastAsiaTheme="minorEastAsia" w:cstheme="minorEastAsia"/>
                <w:color w:val="auto"/>
              </w:rPr>
              <w:t>2.保修期：自安装验收之日起计算12个月内免费保修，如发生严重质量问题，负责免费更换。有专职的维修工程师负责仪器维修，仪器出现故障，必须在48小时内响应，5个工作日内赶赴现场进行维修。</w:t>
            </w:r>
          </w:p>
          <w:p w14:paraId="6DC67CF3">
            <w:pPr>
              <w:pStyle w:val="20"/>
              <w:widowControl w:val="0"/>
              <w:ind w:firstLine="420"/>
              <w:rPr>
                <w:rFonts w:asciiTheme="minorEastAsia" w:hAnsiTheme="minorEastAsia" w:eastAsiaTheme="minorEastAsia" w:cstheme="minorEastAsia"/>
                <w:color w:val="auto"/>
              </w:rPr>
            </w:pPr>
          </w:p>
        </w:tc>
        <w:tc>
          <w:tcPr>
            <w:tcW w:w="586" w:type="dxa"/>
            <w:shd w:val="clear" w:color="auto" w:fill="auto"/>
            <w:vAlign w:val="center"/>
          </w:tcPr>
          <w:p w14:paraId="3346D3D5">
            <w:pPr>
              <w:widowControl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1套</w:t>
            </w:r>
          </w:p>
        </w:tc>
        <w:tc>
          <w:tcPr>
            <w:tcW w:w="723" w:type="dxa"/>
            <w:shd w:val="clear" w:color="auto" w:fill="auto"/>
            <w:vAlign w:val="center"/>
          </w:tcPr>
          <w:p w14:paraId="02D38987">
            <w:pPr>
              <w:widowControl w:val="0"/>
              <w:jc w:val="center"/>
              <w:rPr>
                <w:rFonts w:asciiTheme="minorEastAsia" w:hAnsiTheme="minorEastAsia" w:eastAsiaTheme="minorEastAsia" w:cstheme="minorEastAsia"/>
                <w:color w:val="auto"/>
                <w:szCs w:val="21"/>
              </w:rPr>
            </w:pPr>
          </w:p>
        </w:tc>
        <w:tc>
          <w:tcPr>
            <w:tcW w:w="641" w:type="dxa"/>
            <w:shd w:val="clear" w:color="auto" w:fill="auto"/>
            <w:vAlign w:val="center"/>
          </w:tcPr>
          <w:p w14:paraId="6A94D3D8">
            <w:pPr>
              <w:widowControl w:val="0"/>
              <w:jc w:val="center"/>
              <w:rPr>
                <w:rFonts w:asciiTheme="minorEastAsia" w:hAnsiTheme="minorEastAsia" w:eastAsiaTheme="minorEastAsia" w:cstheme="minorEastAsia"/>
                <w:color w:val="auto"/>
                <w:szCs w:val="21"/>
              </w:rPr>
            </w:pPr>
          </w:p>
        </w:tc>
        <w:tc>
          <w:tcPr>
            <w:tcW w:w="655" w:type="dxa"/>
            <w:shd w:val="clear" w:color="auto" w:fill="auto"/>
            <w:vAlign w:val="center"/>
          </w:tcPr>
          <w:p w14:paraId="34C432FD">
            <w:pPr>
              <w:widowControl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2E2D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03" w:type="dxa"/>
            <w:vAlign w:val="center"/>
          </w:tcPr>
          <w:p w14:paraId="3A958242">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w:t>
            </w:r>
          </w:p>
        </w:tc>
        <w:tc>
          <w:tcPr>
            <w:tcW w:w="1294" w:type="dxa"/>
            <w:vAlign w:val="center"/>
          </w:tcPr>
          <w:p w14:paraId="150F70C7">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微机控制电子万能试验机</w:t>
            </w:r>
          </w:p>
        </w:tc>
        <w:tc>
          <w:tcPr>
            <w:tcW w:w="645" w:type="dxa"/>
            <w:vAlign w:val="center"/>
          </w:tcPr>
          <w:p w14:paraId="42BFC864">
            <w:pPr>
              <w:widowControl w:val="0"/>
              <w:rPr>
                <w:rFonts w:asciiTheme="minorEastAsia" w:hAnsiTheme="minorEastAsia" w:eastAsiaTheme="minorEastAsia" w:cstheme="minorEastAsia"/>
                <w:color w:val="auto"/>
                <w:sz w:val="28"/>
                <w:szCs w:val="28"/>
              </w:rPr>
            </w:pPr>
          </w:p>
        </w:tc>
        <w:tc>
          <w:tcPr>
            <w:tcW w:w="3995" w:type="dxa"/>
            <w:shd w:val="clear" w:color="auto" w:fill="auto"/>
            <w:vAlign w:val="center"/>
          </w:tcPr>
          <w:p w14:paraId="7CD496F3">
            <w:pPr>
              <w:widowControl/>
              <w:spacing w:line="280" w:lineRule="atLeas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bCs/>
                <w:color w:val="auto"/>
                <w:sz w:val="18"/>
                <w:szCs w:val="18"/>
              </w:rPr>
              <w:t>一、设备用途：</w:t>
            </w:r>
            <w:r>
              <w:rPr>
                <w:rFonts w:hint="eastAsia" w:asciiTheme="minorEastAsia" w:hAnsiTheme="minorEastAsia" w:eastAsiaTheme="minorEastAsia" w:cstheme="minorEastAsia"/>
                <w:color w:val="auto"/>
                <w:sz w:val="18"/>
                <w:szCs w:val="18"/>
              </w:rPr>
              <w:t>主要用于纺织产品中纺织品的力学性能试验。</w:t>
            </w:r>
          </w:p>
          <w:p w14:paraId="7DB81D83">
            <w:pPr>
              <w:widowControl/>
              <w:spacing w:line="280" w:lineRule="atLeas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bCs/>
                <w:color w:val="auto"/>
                <w:sz w:val="18"/>
                <w:szCs w:val="18"/>
              </w:rPr>
              <w:t>二、满足使用标准：</w:t>
            </w:r>
            <w:r>
              <w:rPr>
                <w:rFonts w:hint="eastAsia" w:asciiTheme="minorEastAsia" w:hAnsiTheme="minorEastAsia" w:eastAsiaTheme="minorEastAsia" w:cstheme="minorEastAsia"/>
                <w:color w:val="auto"/>
                <w:sz w:val="18"/>
                <w:szCs w:val="18"/>
              </w:rPr>
              <w:t>符合FZ/T01030-2016《针织物和弹性机织物　接缝强力和扩张度的测定　顶破法》、GB/T 14344-2022《化学纤维 长丝拉伸性能试验方法》等标准</w:t>
            </w:r>
          </w:p>
          <w:p w14:paraId="49D7801D">
            <w:pPr>
              <w:widowControl/>
              <w:spacing w:line="280" w:lineRule="atLeast"/>
              <w:rPr>
                <w:rFonts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三、技术参数</w:t>
            </w:r>
          </w:p>
          <w:p w14:paraId="51F54D60">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1.最大试验力：5kN</w:t>
            </w:r>
          </w:p>
          <w:p w14:paraId="6265B9D4">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2.准确度等级：≤0.5级；</w:t>
            </w:r>
          </w:p>
          <w:p w14:paraId="39D91B6A">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3.主机结构形式：门式</w:t>
            </w:r>
          </w:p>
          <w:p w14:paraId="0D0C1D9B">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4.试验力测量范围：0.4%～100%F•S</w:t>
            </w:r>
          </w:p>
          <w:p w14:paraId="4F13FFC3">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5.试验力示值准确度：±0.5%</w:t>
            </w:r>
          </w:p>
          <w:p w14:paraId="4C82339B">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6.试验力分辨率：≥±1000000</w:t>
            </w:r>
          </w:p>
          <w:p w14:paraId="60C994D4">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7.变形测量范围：0.2%～100%F•S</w:t>
            </w:r>
          </w:p>
          <w:p w14:paraId="7F4A4499">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8.变形示值准确度：≤±0.5%</w:t>
            </w:r>
          </w:p>
          <w:p w14:paraId="2983F949">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9.变形分辨率：≥±10000000码</w:t>
            </w:r>
          </w:p>
          <w:p w14:paraId="7F115610">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10.数据采集频率≥5000Hz </w:t>
            </w:r>
          </w:p>
          <w:p w14:paraId="6F27C38B">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11.位移示值准确度：≤±0.5%</w:t>
            </w:r>
          </w:p>
          <w:p w14:paraId="395A6AE0">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12.位移分辨率：≤0.027μm</w:t>
            </w:r>
          </w:p>
          <w:p w14:paraId="058BA7EE">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13.横梁移动速度调节范围：0.001～1000mm/min（实验过程，无级可调）</w:t>
            </w:r>
          </w:p>
          <w:p w14:paraId="7D4D9A59">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14.横梁移动速度相对误差设定速度≤0.01mm/min,设定值±1.0%以内；</w:t>
            </w:r>
          </w:p>
          <w:p w14:paraId="55491DA7">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设定速度＞0.01mm/min,设定值±0.5%以内；</w:t>
            </w:r>
          </w:p>
          <w:p w14:paraId="768C32EB">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15.夹具间最大距离：≥1100mm（不含夹具）</w:t>
            </w:r>
          </w:p>
          <w:p w14:paraId="687EB45B">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16.有效试验宽度：≥420mm</w:t>
            </w:r>
          </w:p>
          <w:p w14:paraId="1399746B">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17.电源：220V±10% 50Hz   功率：≤500W</w:t>
            </w:r>
          </w:p>
          <w:p w14:paraId="7405C667">
            <w:pPr>
              <w:widowControl w:val="0"/>
              <w:spacing w:line="280" w:lineRule="atLeast"/>
              <w:jc w:val="left"/>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18.安装尺寸：不超过800*600*1900</w:t>
            </w:r>
            <w:r>
              <w:rPr>
                <w:rFonts w:hint="eastAsia" w:asciiTheme="minorEastAsia" w:hAnsiTheme="minorEastAsia" w:eastAsiaTheme="minorEastAsia" w:cstheme="minorEastAsia"/>
                <w:color w:val="auto"/>
                <w:sz w:val="18"/>
                <w:szCs w:val="18"/>
                <w:lang w:val="en-US" w:eastAsia="zh-CN"/>
              </w:rPr>
              <w:t>mm</w:t>
            </w:r>
          </w:p>
          <w:p w14:paraId="3B219321">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19.安全性能：同时力过载保护（120%），位移机械限位，电压过载保护</w:t>
            </w:r>
          </w:p>
          <w:p w14:paraId="6E2AD206">
            <w:pPr>
              <w:widowControl/>
              <w:spacing w:line="280" w:lineRule="atLeast"/>
              <w:rPr>
                <w:rFonts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四、配套配置</w:t>
            </w:r>
          </w:p>
          <w:p w14:paraId="4D7C7DB7">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 主机1台</w:t>
            </w:r>
          </w:p>
          <w:p w14:paraId="5EF2AFF5">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2.原装力传感器（具备自识别自校准功能，力值标定系数记录在传感器内，试验机可自动识别、自动校准）5KN、500N、 200N  20N 4套</w:t>
            </w:r>
          </w:p>
          <w:p w14:paraId="3983AC96">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 试验机软件1套，必须具备以下功能：</w:t>
            </w:r>
          </w:p>
          <w:p w14:paraId="59BBD522">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a.客户可自行编辑、修改、导入、导出各类试验参数，也可参照国内外各类标准或实际科研需求，自行编辑试验方案，流程图控制。</w:t>
            </w:r>
          </w:p>
          <w:p w14:paraId="6E4CFD7F">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b.终身免费，且可任意电脑安装，免费升级。</w:t>
            </w:r>
          </w:p>
          <w:p w14:paraId="1875D7BA">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c.支持用户参数/结果参数隐藏和显示，表格数据复制功能。手控盒与软件具备急停功能，试样预加载功能。</w:t>
            </w:r>
          </w:p>
          <w:p w14:paraId="10B85E1F">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d.软件可自动读取千分表、挠度计数据，自动求取弹性模量、挠度并形成相关曲线。</w:t>
            </w:r>
          </w:p>
          <w:p w14:paraId="03C2DF0C">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e.试验数据管理软件1套，便于后期实验室数据管理。</w:t>
            </w:r>
          </w:p>
          <w:p w14:paraId="1FE79E96">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5.直径Φ150找平压盘 1套  拉伸夹具1套</w:t>
            </w:r>
          </w:p>
          <w:p w14:paraId="2D2999C1">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6.大变形引伸计1套 量程不小于5-800mm，显示小数点后5位。</w:t>
            </w:r>
          </w:p>
          <w:p w14:paraId="435410F1">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7.定制相关实验夹具(防水卷材拉伸夹具1套,橡胶、棚膜拉伸夹具 1套,绝缘皮拉伸夹具1套,地膜拉伸夹具自重小于1.6N 1套,板材夹具2套)</w:t>
            </w:r>
          </w:p>
          <w:p w14:paraId="4874E1A4">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8.试验机台柜1套  </w:t>
            </w:r>
          </w:p>
          <w:p w14:paraId="412F6975">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 液晶屏手持控制盒 1套 同步显示位移、负荷、无级别调速等功能。</w:t>
            </w:r>
          </w:p>
          <w:p w14:paraId="2571D828">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10.随机维修工具包：1套  含活动扳手、内六角、勾型扳手、6头螺丝刀、接地线、设备插销。</w:t>
            </w:r>
          </w:p>
          <w:p w14:paraId="5E0034BB">
            <w:pPr>
              <w:widowControl w:val="0"/>
              <w:spacing w:line="28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11.2500W品牌插排1套。</w:t>
            </w:r>
          </w:p>
          <w:p w14:paraId="43C5335E">
            <w:pPr>
              <w:widowControl w:val="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五、电脑和打印机</w:t>
            </w:r>
          </w:p>
          <w:p w14:paraId="43B51272">
            <w:pPr>
              <w:widowControl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电脑:处理器不低于CPUi5，内存≥16G，硬盘≥1TB，系统win10，≥27英寸显示屏。</w:t>
            </w:r>
          </w:p>
          <w:p w14:paraId="2FCE47B8">
            <w:pPr>
              <w:widowControl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激光打印机:打印终端为鼓粉分离设计，速度≥30ppm，支持双面打印。</w:t>
            </w:r>
          </w:p>
          <w:p w14:paraId="1489E129">
            <w:pPr>
              <w:pStyle w:val="20"/>
              <w:widowControl w:val="0"/>
              <w:ind w:firstLine="0" w:firstLineChars="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六、售后服务：</w:t>
            </w:r>
          </w:p>
          <w:p w14:paraId="187B1495">
            <w:pPr>
              <w:widowControl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1.设备要求免费现场安装调试及现场培训，达到能够独立操作的水平，保修期一年，终生负责维修。</w:t>
            </w:r>
          </w:p>
          <w:p w14:paraId="5658DDB9">
            <w:pPr>
              <w:widowControl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shd w:val="clear" w:color="auto" w:fill="auto"/>
            <w:vAlign w:val="center"/>
          </w:tcPr>
          <w:p w14:paraId="337698F8">
            <w:pPr>
              <w:widowControl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1套</w:t>
            </w:r>
          </w:p>
        </w:tc>
        <w:tc>
          <w:tcPr>
            <w:tcW w:w="723" w:type="dxa"/>
            <w:shd w:val="clear" w:color="auto" w:fill="auto"/>
            <w:vAlign w:val="center"/>
          </w:tcPr>
          <w:p w14:paraId="16F0758E">
            <w:pPr>
              <w:widowControl w:val="0"/>
              <w:jc w:val="center"/>
              <w:rPr>
                <w:rFonts w:asciiTheme="minorEastAsia" w:hAnsiTheme="minorEastAsia" w:eastAsiaTheme="minorEastAsia" w:cstheme="minorEastAsia"/>
                <w:color w:val="auto"/>
                <w:szCs w:val="21"/>
              </w:rPr>
            </w:pPr>
          </w:p>
        </w:tc>
        <w:tc>
          <w:tcPr>
            <w:tcW w:w="641" w:type="dxa"/>
            <w:shd w:val="clear" w:color="auto" w:fill="auto"/>
            <w:vAlign w:val="center"/>
          </w:tcPr>
          <w:p w14:paraId="54B3F210">
            <w:pPr>
              <w:widowControl w:val="0"/>
              <w:jc w:val="center"/>
              <w:rPr>
                <w:rFonts w:asciiTheme="minorEastAsia" w:hAnsiTheme="minorEastAsia" w:eastAsiaTheme="minorEastAsia" w:cstheme="minorEastAsia"/>
                <w:color w:val="auto"/>
                <w:szCs w:val="21"/>
              </w:rPr>
            </w:pPr>
          </w:p>
        </w:tc>
        <w:tc>
          <w:tcPr>
            <w:tcW w:w="655" w:type="dxa"/>
            <w:shd w:val="clear" w:color="auto" w:fill="auto"/>
            <w:vAlign w:val="center"/>
          </w:tcPr>
          <w:p w14:paraId="205A84ED">
            <w:pPr>
              <w:widowControl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669B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603" w:type="dxa"/>
            <w:vAlign w:val="center"/>
          </w:tcPr>
          <w:p w14:paraId="3D4B1DC6">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w:t>
            </w:r>
          </w:p>
        </w:tc>
        <w:tc>
          <w:tcPr>
            <w:tcW w:w="1294" w:type="dxa"/>
            <w:vAlign w:val="center"/>
          </w:tcPr>
          <w:p w14:paraId="3C849429">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电子显微镜</w:t>
            </w:r>
          </w:p>
        </w:tc>
        <w:tc>
          <w:tcPr>
            <w:tcW w:w="645" w:type="dxa"/>
            <w:vAlign w:val="center"/>
          </w:tcPr>
          <w:p w14:paraId="2AC11B6A">
            <w:pPr>
              <w:widowControl w:val="0"/>
              <w:rPr>
                <w:rFonts w:asciiTheme="minorEastAsia" w:hAnsiTheme="minorEastAsia" w:eastAsiaTheme="minorEastAsia" w:cstheme="minorEastAsia"/>
                <w:color w:val="auto"/>
                <w:sz w:val="28"/>
                <w:szCs w:val="28"/>
              </w:rPr>
            </w:pPr>
          </w:p>
        </w:tc>
        <w:tc>
          <w:tcPr>
            <w:tcW w:w="3995" w:type="dxa"/>
            <w:shd w:val="clear" w:color="auto" w:fill="auto"/>
            <w:vAlign w:val="center"/>
          </w:tcPr>
          <w:p w14:paraId="4DE97AFE">
            <w:pPr>
              <w:widowControl/>
              <w:spacing w:line="280" w:lineRule="atLeas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bCs/>
                <w:color w:val="auto"/>
                <w:sz w:val="18"/>
                <w:szCs w:val="18"/>
              </w:rPr>
              <w:t>一、设备用途：</w:t>
            </w:r>
            <w:r>
              <w:rPr>
                <w:rFonts w:hint="eastAsia" w:asciiTheme="minorEastAsia" w:hAnsiTheme="minorEastAsia" w:eastAsiaTheme="minorEastAsia" w:cstheme="minorEastAsia"/>
                <w:color w:val="auto"/>
                <w:sz w:val="18"/>
                <w:szCs w:val="18"/>
              </w:rPr>
              <w:t>主要用于纺织产品中纤维直径的测定。</w:t>
            </w:r>
          </w:p>
          <w:p w14:paraId="7312E0CA">
            <w:pPr>
              <w:widowControl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bCs/>
                <w:color w:val="auto"/>
                <w:sz w:val="18"/>
                <w:szCs w:val="18"/>
              </w:rPr>
              <w:t>二、满足使用标准：</w:t>
            </w:r>
            <w:r>
              <w:rPr>
                <w:rFonts w:hint="eastAsia" w:asciiTheme="minorEastAsia" w:hAnsiTheme="minorEastAsia" w:eastAsiaTheme="minorEastAsia" w:cstheme="minorEastAsia"/>
                <w:color w:val="auto"/>
                <w:sz w:val="18"/>
                <w:szCs w:val="18"/>
              </w:rPr>
              <w:t>符合GB/T10685-2007《羊毛纤维直径法 投影显微法》</w:t>
            </w:r>
          </w:p>
          <w:p w14:paraId="3D3D22EB">
            <w:pPr>
              <w:widowControl w:val="0"/>
              <w:rPr>
                <w:rFonts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三、技术参数</w:t>
            </w:r>
          </w:p>
          <w:p w14:paraId="010E22FE">
            <w:pPr>
              <w:widowControl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1、重复定位精度±5μm</w:t>
            </w:r>
          </w:p>
          <w:p w14:paraId="6C41CE93">
            <w:pPr>
              <w:widowControl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2、支持软件控制（与PC通过串口连接）</w:t>
            </w:r>
          </w:p>
          <w:p w14:paraId="2C9E75F9">
            <w:pPr>
              <w:widowControl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3、高精度测微尺，格值0.01mm(至少2副）</w:t>
            </w:r>
          </w:p>
          <w:p w14:paraId="69209363">
            <w:pPr>
              <w:widowControl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4、无限远长工作距</w:t>
            </w:r>
            <w:r>
              <w:rPr>
                <w:rFonts w:hint="eastAsia" w:asciiTheme="minorEastAsia" w:hAnsiTheme="minorEastAsia" w:eastAsiaTheme="minorEastAsia" w:cstheme="minorEastAsia"/>
                <w:color w:val="auto"/>
                <w:sz w:val="18"/>
                <w:szCs w:val="18"/>
                <w:lang w:eastAsia="zh-CN"/>
              </w:rPr>
              <w:t>，全复消差明暗场</w:t>
            </w:r>
            <w:r>
              <w:rPr>
                <w:rFonts w:hint="eastAsia" w:asciiTheme="minorEastAsia" w:hAnsiTheme="minorEastAsia" w:eastAsiaTheme="minorEastAsia" w:cstheme="minorEastAsia"/>
                <w:color w:val="auto"/>
                <w:sz w:val="18"/>
                <w:szCs w:val="18"/>
              </w:rPr>
              <w:t>金相物镜10X、20X、50X、100X</w:t>
            </w:r>
          </w:p>
          <w:p w14:paraId="6239D22A">
            <w:pPr>
              <w:widowControl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5、成像系统相机≥630万3.0 C口 1/1.8英寸</w:t>
            </w:r>
          </w:p>
          <w:p w14:paraId="4ABA9781">
            <w:pPr>
              <w:widowControl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6、上照明系统</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自适应宽电压，反射灯室，暖色，柯拉照明，带视场光阑与孔径光阑，中心可调，</w:t>
            </w:r>
          </w:p>
          <w:p w14:paraId="72BCAF67">
            <w:pPr>
              <w:widowControl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下照明系统</w:t>
            </w:r>
          </w:p>
          <w:p w14:paraId="1428D8E1">
            <w:pPr>
              <w:widowControl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bCs/>
                <w:color w:val="auto"/>
                <w:sz w:val="18"/>
                <w:szCs w:val="18"/>
              </w:rPr>
              <w:t>*</w:t>
            </w:r>
            <w:r>
              <w:rPr>
                <w:rFonts w:hint="eastAsia" w:asciiTheme="minorEastAsia" w:hAnsiTheme="minorEastAsia" w:eastAsiaTheme="minorEastAsia" w:cstheme="minorEastAsia"/>
                <w:color w:val="auto"/>
                <w:sz w:val="18"/>
                <w:szCs w:val="18"/>
              </w:rPr>
              <w:t>7、自适应宽电压，透射灯室，单颗大功率≥10WLED，暖色</w:t>
            </w:r>
          </w:p>
          <w:p w14:paraId="2F557835">
            <w:pPr>
              <w:widowControl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8、聚光镜，带可变孔径光阑，中心可调</w:t>
            </w:r>
          </w:p>
          <w:p w14:paraId="67B5327A">
            <w:pPr>
              <w:widowControl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9、单步距离最小可调整到0.1um/步</w:t>
            </w:r>
          </w:p>
          <w:p w14:paraId="15F8C1DA">
            <w:pPr>
              <w:widowControl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10、XY轴电动控制器</w:t>
            </w:r>
          </w:p>
          <w:p w14:paraId="16FD6331">
            <w:pPr>
              <w:widowControl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11、高清液晶触摸屏，支持移动控制，参数设置</w:t>
            </w:r>
          </w:p>
          <w:p w14:paraId="475CDB09">
            <w:pPr>
              <w:widowControl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12、支持细分调节（1600到6400，快捷设置），可以预设800-26000细分</w:t>
            </w:r>
          </w:p>
          <w:p w14:paraId="037083C8">
            <w:pPr>
              <w:widowControl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13、支持可调速摇杆控制</w:t>
            </w:r>
          </w:p>
          <w:p w14:paraId="5B5DD3F7">
            <w:pPr>
              <w:widowControl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14、支持软件控制（与PC通过串口连接）</w:t>
            </w:r>
          </w:p>
          <w:p w14:paraId="50362F5B">
            <w:pPr>
              <w:pStyle w:val="20"/>
              <w:widowControl w:val="0"/>
              <w:ind w:firstLine="0" w:firstLineChars="0"/>
              <w:rPr>
                <w:rFonts w:asciiTheme="minorEastAsia" w:hAnsiTheme="minorEastAsia" w:eastAsiaTheme="minorEastAsia" w:cstheme="minorEastAsia"/>
                <w:color w:val="auto"/>
                <w:position w:val="6"/>
                <w:sz w:val="18"/>
                <w:szCs w:val="18"/>
              </w:rPr>
            </w:pPr>
            <w:r>
              <w:rPr>
                <w:rFonts w:hint="eastAsia" w:asciiTheme="minorEastAsia" w:hAnsiTheme="minorEastAsia" w:eastAsiaTheme="minorEastAsia" w:cstheme="minorEastAsia"/>
                <w:color w:val="auto"/>
                <w:position w:val="6"/>
                <w:sz w:val="18"/>
                <w:szCs w:val="18"/>
              </w:rPr>
              <w:t>15、需配置相关分析软件一套</w:t>
            </w:r>
          </w:p>
          <w:p w14:paraId="7E6C53D6">
            <w:pPr>
              <w:widowControl w:val="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四、电脑和打印机</w:t>
            </w:r>
          </w:p>
          <w:p w14:paraId="13901353">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电脑:处理器不低于CPUi5，内存≥16G，硬盘≥1TB，系统win10，≥27英寸显示屏。</w:t>
            </w:r>
          </w:p>
          <w:p w14:paraId="1B2ED90E">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彩色打印机:打印终端为鼓粉分离设计，速度≥30ppm，支持双面打印。</w:t>
            </w:r>
          </w:p>
          <w:p w14:paraId="1115409E">
            <w:pPr>
              <w:pStyle w:val="20"/>
              <w:widowControl w:val="0"/>
              <w:ind w:firstLine="0" w:firstLineChars="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五、售后服务：</w:t>
            </w:r>
          </w:p>
          <w:p w14:paraId="0266C225">
            <w:pPr>
              <w:pStyle w:val="20"/>
              <w:widowControl w:val="0"/>
              <w:ind w:firstLine="0" w:firstLineChars="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1.设备要求免费现场安装调试及现场培训，达到能够独立操作的水平，保修期一年，终生负责维修。</w:t>
            </w:r>
          </w:p>
          <w:p w14:paraId="565DB6F7">
            <w:pPr>
              <w:pStyle w:val="20"/>
              <w:widowControl w:val="0"/>
              <w:ind w:firstLine="0" w:firstLineChars="0"/>
              <w:rPr>
                <w:rFonts w:asciiTheme="minorEastAsia" w:hAnsiTheme="minorEastAsia" w:eastAsiaTheme="minorEastAsia" w:cstheme="minorEastAsia"/>
                <w:color w:val="auto"/>
                <w:position w:val="6"/>
              </w:rPr>
            </w:pPr>
            <w:r>
              <w:rPr>
                <w:rFonts w:hint="eastAsia" w:asciiTheme="minorEastAsia" w:hAnsiTheme="minorEastAsia" w:eastAsiaTheme="minorEastAsia" w:cstheme="minorEastAsia"/>
                <w:color w:val="auto"/>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shd w:val="clear" w:color="auto" w:fill="auto"/>
            <w:vAlign w:val="center"/>
          </w:tcPr>
          <w:p w14:paraId="278A0DC9">
            <w:pPr>
              <w:widowControl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723" w:type="dxa"/>
            <w:shd w:val="clear" w:color="auto" w:fill="auto"/>
            <w:vAlign w:val="center"/>
          </w:tcPr>
          <w:p w14:paraId="07C90388">
            <w:pPr>
              <w:widowControl w:val="0"/>
              <w:jc w:val="center"/>
              <w:rPr>
                <w:rFonts w:asciiTheme="minorEastAsia" w:hAnsiTheme="minorEastAsia" w:eastAsiaTheme="minorEastAsia" w:cstheme="minorEastAsia"/>
                <w:color w:val="auto"/>
                <w:szCs w:val="21"/>
              </w:rPr>
            </w:pPr>
          </w:p>
        </w:tc>
        <w:tc>
          <w:tcPr>
            <w:tcW w:w="641" w:type="dxa"/>
            <w:shd w:val="clear" w:color="auto" w:fill="auto"/>
            <w:vAlign w:val="center"/>
          </w:tcPr>
          <w:p w14:paraId="6DD0E519">
            <w:pPr>
              <w:widowControl w:val="0"/>
              <w:jc w:val="center"/>
              <w:rPr>
                <w:rFonts w:asciiTheme="minorEastAsia" w:hAnsiTheme="minorEastAsia" w:eastAsiaTheme="minorEastAsia" w:cstheme="minorEastAsia"/>
                <w:color w:val="auto"/>
                <w:szCs w:val="21"/>
              </w:rPr>
            </w:pPr>
          </w:p>
        </w:tc>
        <w:tc>
          <w:tcPr>
            <w:tcW w:w="655" w:type="dxa"/>
            <w:shd w:val="clear" w:color="auto" w:fill="auto"/>
            <w:vAlign w:val="center"/>
          </w:tcPr>
          <w:p w14:paraId="323A582C">
            <w:pPr>
              <w:widowControl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313D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603" w:type="dxa"/>
            <w:vAlign w:val="center"/>
          </w:tcPr>
          <w:p w14:paraId="0308E113">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13</w:t>
            </w:r>
          </w:p>
        </w:tc>
        <w:tc>
          <w:tcPr>
            <w:tcW w:w="1294" w:type="dxa"/>
            <w:vAlign w:val="center"/>
          </w:tcPr>
          <w:p w14:paraId="7876B52A">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床垫四合一测试机</w:t>
            </w:r>
          </w:p>
        </w:tc>
        <w:tc>
          <w:tcPr>
            <w:tcW w:w="645" w:type="dxa"/>
            <w:vAlign w:val="center"/>
          </w:tcPr>
          <w:p w14:paraId="1A7AC0D2">
            <w:pPr>
              <w:widowControl w:val="0"/>
              <w:rPr>
                <w:rFonts w:asciiTheme="minorEastAsia" w:hAnsiTheme="minorEastAsia" w:eastAsiaTheme="minorEastAsia" w:cstheme="minorEastAsia"/>
                <w:color w:val="auto"/>
                <w:sz w:val="28"/>
                <w:szCs w:val="28"/>
              </w:rPr>
            </w:pPr>
          </w:p>
        </w:tc>
        <w:tc>
          <w:tcPr>
            <w:tcW w:w="3995" w:type="dxa"/>
          </w:tcPr>
          <w:p w14:paraId="5C29D523">
            <w:pPr>
              <w:widowControl/>
              <w:numPr>
                <w:ilvl w:val="0"/>
                <w:numId w:val="8"/>
              </w:numPr>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设备用途</w:t>
            </w:r>
          </w:p>
          <w:p w14:paraId="752C674F">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用于弹簧软床垫 “边部边压耐久、床垫硬度、床铺面滚压耐久、床垫高度”测试，电脑能直接读取数据，四项测试合成一体，适用市面上最大的床垫尺寸 2.2*2 米。</w:t>
            </w:r>
          </w:p>
          <w:p w14:paraId="6851D8A8">
            <w:pPr>
              <w:widowControl/>
              <w:numPr>
                <w:ilvl w:val="0"/>
                <w:numId w:val="8"/>
              </w:numPr>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符合标准</w:t>
            </w:r>
          </w:p>
          <w:p w14:paraId="15C539D5">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QB/T 1952.2-2023</w:t>
            </w:r>
            <w:bookmarkStart w:id="22" w:name="OLE_LINK7"/>
            <w:bookmarkStart w:id="23" w:name="OLE_LINK8"/>
            <w:r>
              <w:rPr>
                <w:rFonts w:hint="eastAsia" w:asciiTheme="minorEastAsia" w:hAnsiTheme="minorEastAsia" w:eastAsiaTheme="minorEastAsia" w:cstheme="minorEastAsia"/>
                <w:color w:val="auto"/>
                <w:szCs w:val="21"/>
              </w:rPr>
              <w:t>、</w:t>
            </w:r>
            <w:bookmarkEnd w:id="22"/>
            <w:bookmarkEnd w:id="23"/>
            <w:r>
              <w:rPr>
                <w:rFonts w:hint="eastAsia" w:asciiTheme="minorEastAsia" w:hAnsiTheme="minorEastAsia" w:eastAsiaTheme="minorEastAsia" w:cstheme="minorEastAsia"/>
                <w:color w:val="auto"/>
                <w:szCs w:val="21"/>
              </w:rPr>
              <w:t>GB/T 26706、ASTM 1566、BS EN 1957等。</w:t>
            </w:r>
          </w:p>
          <w:p w14:paraId="3A677357">
            <w:pPr>
              <w:widowControl/>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三、技术指标</w:t>
            </w:r>
          </w:p>
          <w:p w14:paraId="45379CEB">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1、控制器：PCB 控制板+电脑操作</w:t>
            </w:r>
          </w:p>
          <w:p w14:paraId="5420727C">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2、测试行程：</w:t>
            </w:r>
          </w:p>
          <w:p w14:paraId="31831D70">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GB/T 26706：床垫中线左右各 250mm  </w:t>
            </w:r>
          </w:p>
          <w:p w14:paraId="1DD456D5">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QB/T 1952.2：床垫中线左右各 250mm 测试速度：0-20r/min</w:t>
            </w:r>
          </w:p>
          <w:p w14:paraId="7C39FD31">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ASTM 1566：Max.床垫宽度、Min.床垫宽度的70%或 38in(965mm)二者取小的值</w:t>
            </w:r>
          </w:p>
          <w:p w14:paraId="02100036">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BS EN 1957：床垫中线左右各 250mm </w:t>
            </w:r>
          </w:p>
          <w:p w14:paraId="559197AD">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3、传动装置：高精度伺服系统，链条传动</w:t>
            </w:r>
          </w:p>
          <w:p w14:paraId="03538D65">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4、床垫边缘：</w:t>
            </w:r>
          </w:p>
          <w:p w14:paraId="39204041">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A、测试次数：0-</w:t>
            </w:r>
            <w:r>
              <w:rPr>
                <w:rFonts w:hint="eastAsia" w:asciiTheme="minorEastAsia" w:hAnsiTheme="minorEastAsia" w:eastAsiaTheme="minorEastAsia" w:cstheme="minorEastAsia"/>
                <w:color w:val="auto"/>
                <w:szCs w:val="21"/>
                <w:u w:val="single"/>
              </w:rPr>
              <w:t>5000 次</w:t>
            </w:r>
          </w:p>
          <w:p w14:paraId="59CDF6FE">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B、保压时间：3 秒  </w:t>
            </w:r>
          </w:p>
          <w:p w14:paraId="089A48AF">
            <w:pPr>
              <w:widowControl/>
              <w:textAlignment w:val="top"/>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C、测试力值：</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1000N</w:t>
            </w:r>
          </w:p>
          <w:p w14:paraId="0FE0713B">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5、提供投标设备完整的中文教学视频</w:t>
            </w:r>
          </w:p>
          <w:p w14:paraId="7FF2DBDF">
            <w:pPr>
              <w:widowControl/>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四、设备配置</w:t>
            </w:r>
          </w:p>
          <w:p w14:paraId="0A024915">
            <w:pPr>
              <w:widowControl/>
              <w:numPr>
                <w:ilvl w:val="0"/>
                <w:numId w:val="9"/>
              </w:numP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主机1台</w:t>
            </w:r>
          </w:p>
          <w:p w14:paraId="1A687427">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u w:val="single"/>
              </w:rPr>
              <w:t>电脑</w:t>
            </w:r>
            <w:r>
              <w:rPr>
                <w:rFonts w:hint="eastAsia" w:asciiTheme="minorEastAsia" w:hAnsiTheme="minorEastAsia" w:eastAsiaTheme="minorEastAsia" w:cstheme="minorEastAsia"/>
                <w:color w:val="auto"/>
                <w:szCs w:val="21"/>
              </w:rPr>
              <w:t>1台（处理器不低于CPUi5，内存≥16G，硬盘≥1TB，系统win10，≥32英寸显示屏。</w:t>
            </w:r>
            <w:r>
              <w:rPr>
                <w:rFonts w:hint="eastAsia" w:asciiTheme="minorEastAsia" w:hAnsiTheme="minorEastAsia" w:eastAsiaTheme="minorEastAsia" w:cstheme="minorEastAsia"/>
                <w:color w:val="auto"/>
                <w:szCs w:val="21"/>
              </w:rPr>
              <mc:AlternateContent>
                <mc:Choice Requires="wps">
                  <w:drawing>
                    <wp:anchor distT="0" distB="0" distL="114300" distR="114300" simplePos="0" relativeHeight="251666432" behindDoc="0" locked="0" layoutInCell="1" allowOverlap="1">
                      <wp:simplePos x="0" y="0"/>
                      <wp:positionH relativeFrom="column">
                        <wp:posOffset>3230880</wp:posOffset>
                      </wp:positionH>
                      <wp:positionV relativeFrom="paragraph">
                        <wp:posOffset>2599690</wp:posOffset>
                      </wp:positionV>
                      <wp:extent cx="3258820" cy="1787525"/>
                      <wp:effectExtent l="4445" t="4445" r="13335" b="17780"/>
                      <wp:wrapNone/>
                      <wp:docPr id="1" name="文本框 1"/>
                      <wp:cNvGraphicFramePr/>
                      <a:graphic xmlns:a="http://schemas.openxmlformats.org/drawingml/2006/main">
                        <a:graphicData uri="http://schemas.microsoft.com/office/word/2010/wordprocessingShape">
                          <wps:wsp>
                            <wps:cNvSpPr txBox="1"/>
                            <wps:spPr>
                              <a:xfrm>
                                <a:off x="0" y="0"/>
                                <a:ext cx="3258820" cy="178752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DDA1BCF"/>
                              </w:txbxContent>
                            </wps:txbx>
                            <wps:bodyPr upright="1">
                              <a:spAutoFit/>
                            </wps:bodyPr>
                          </wps:wsp>
                        </a:graphicData>
                      </a:graphic>
                    </wp:anchor>
                  </w:drawing>
                </mc:Choice>
                <mc:Fallback>
                  <w:pict>
                    <v:shape id="_x0000_s1026" o:spid="_x0000_s1026" o:spt="202" type="#_x0000_t202" style="position:absolute;left:0pt;margin-left:254.4pt;margin-top:204.7pt;height:140.75pt;width:256.6pt;z-index:251666432;mso-width-relative:page;mso-height-relative:page;" fillcolor="#FFFFFF" filled="t" stroked="t" coordsize="21600,21600" o:gfxdata="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cnt0U2wAAAAwBAAAPAAAAAAAA&#10;AAEAIAAAACIAAABkcnMvZG93bnJldi54bWxQSwECFAAUAAAACACHTuJA5tw40w8CAABRBAAADgAA&#10;AAAAAAABACAAAAAqAQAAZHJzL2Uyb0RvYy54bWxQSwUGAAAAAAYABgBZAQAAqwUAAAAA&#10;">
                      <v:fill on="t" focussize="0,0"/>
                      <v:stroke color="#FFFFFF" joinstyle="miter"/>
                      <v:imagedata o:title=""/>
                      <o:lock v:ext="edit" aspectratio="f"/>
                      <v:textbox style="mso-fit-shape-to-text:t;">
                        <w:txbxContent>
                          <w:p w14:paraId="3DDA1BCF"/>
                        </w:txbxContent>
                      </v:textbox>
                    </v:shape>
                  </w:pict>
                </mc:Fallback>
              </mc:AlternateContent>
            </w:r>
            <w:r>
              <w:rPr>
                <w:rFonts w:hint="eastAsia" w:asciiTheme="minorEastAsia" w:hAnsiTheme="minorEastAsia" w:eastAsiaTheme="minorEastAsia" w:cstheme="minorEastAsia"/>
                <w:color w:val="auto"/>
                <w:szCs w:val="21"/>
              </w:rPr>
              <w:t>）</w:t>
            </w:r>
          </w:p>
          <w:p w14:paraId="12CA3766">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3、笔记本电脑1台：配有用于数据查看、分析的国产品牌便携式移动终端设备，配置要求：CPU为I5以上，内存容量≥16G，固态硬盘容量≥1T，显示屏幕≥14寸。</w:t>
            </w:r>
          </w:p>
          <w:p w14:paraId="3C9111A3">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4、产品说明书一份.</w:t>
            </w:r>
          </w:p>
          <w:p w14:paraId="463B94E6">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五、售后服务：</w:t>
            </w:r>
          </w:p>
          <w:p w14:paraId="625F6BD1">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0BF3F440">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1DEC6C38">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1台</w:t>
            </w:r>
          </w:p>
        </w:tc>
        <w:tc>
          <w:tcPr>
            <w:tcW w:w="723" w:type="dxa"/>
            <w:vAlign w:val="center"/>
          </w:tcPr>
          <w:p w14:paraId="19C4698E">
            <w:pPr>
              <w:widowControl/>
              <w:textAlignment w:val="top"/>
              <w:rPr>
                <w:rFonts w:asciiTheme="minorEastAsia" w:hAnsiTheme="minorEastAsia" w:eastAsiaTheme="minorEastAsia" w:cstheme="minorEastAsia"/>
                <w:color w:val="auto"/>
                <w:szCs w:val="21"/>
              </w:rPr>
            </w:pPr>
          </w:p>
        </w:tc>
        <w:tc>
          <w:tcPr>
            <w:tcW w:w="641" w:type="dxa"/>
            <w:vAlign w:val="center"/>
          </w:tcPr>
          <w:p w14:paraId="3F06E7DA">
            <w:pPr>
              <w:widowControl w:val="0"/>
              <w:jc w:val="center"/>
              <w:rPr>
                <w:rFonts w:asciiTheme="minorEastAsia" w:hAnsiTheme="minorEastAsia" w:eastAsiaTheme="minorEastAsia" w:cstheme="minorEastAsia"/>
                <w:color w:val="auto"/>
                <w:szCs w:val="21"/>
              </w:rPr>
            </w:pPr>
          </w:p>
        </w:tc>
        <w:tc>
          <w:tcPr>
            <w:tcW w:w="655" w:type="dxa"/>
            <w:vAlign w:val="center"/>
          </w:tcPr>
          <w:p w14:paraId="26E7C9FC">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5830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603" w:type="dxa"/>
            <w:vAlign w:val="center"/>
          </w:tcPr>
          <w:p w14:paraId="73782A7A">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14</w:t>
            </w:r>
          </w:p>
        </w:tc>
        <w:tc>
          <w:tcPr>
            <w:tcW w:w="1294" w:type="dxa"/>
            <w:vAlign w:val="center"/>
          </w:tcPr>
          <w:p w14:paraId="3DFCC274">
            <w:pPr>
              <w:widowControl/>
              <w:jc w:val="center"/>
              <w:textAlignment w:val="top"/>
              <w:rPr>
                <w:rFonts w:asciiTheme="minorEastAsia" w:hAnsiTheme="minorEastAsia" w:eastAsiaTheme="minorEastAsia" w:cstheme="minorEastAsia"/>
                <w:color w:val="auto"/>
                <w:szCs w:val="21"/>
              </w:rPr>
            </w:pPr>
            <w:bookmarkStart w:id="24" w:name="OLE_LINK4"/>
            <w:bookmarkStart w:id="25" w:name="OLE_LINK3"/>
            <w:r>
              <w:rPr>
                <w:rFonts w:hint="eastAsia" w:asciiTheme="minorEastAsia" w:hAnsiTheme="minorEastAsia" w:eastAsiaTheme="minorEastAsia" w:cstheme="minorEastAsia"/>
                <w:color w:val="auto"/>
                <w:szCs w:val="21"/>
              </w:rPr>
              <w:t>羽绒蓬松度测试仪</w:t>
            </w:r>
            <w:bookmarkEnd w:id="24"/>
            <w:bookmarkEnd w:id="25"/>
          </w:p>
        </w:tc>
        <w:tc>
          <w:tcPr>
            <w:tcW w:w="645" w:type="dxa"/>
            <w:vAlign w:val="center"/>
          </w:tcPr>
          <w:p w14:paraId="179A2FCE">
            <w:pPr>
              <w:widowControl/>
              <w:textAlignment w:val="top"/>
              <w:rPr>
                <w:rFonts w:asciiTheme="minorEastAsia" w:hAnsiTheme="minorEastAsia" w:eastAsiaTheme="minorEastAsia" w:cstheme="minorEastAsia"/>
                <w:color w:val="auto"/>
                <w:szCs w:val="21"/>
              </w:rPr>
            </w:pPr>
          </w:p>
        </w:tc>
        <w:tc>
          <w:tcPr>
            <w:tcW w:w="3995" w:type="dxa"/>
          </w:tcPr>
          <w:p w14:paraId="3944099D">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lang w:eastAsia="zh-CN"/>
              </w:rPr>
              <w:t>一、</w:t>
            </w:r>
            <w:r>
              <w:rPr>
                <w:rFonts w:hint="eastAsia" w:asciiTheme="minorEastAsia" w:hAnsiTheme="minorEastAsia" w:eastAsiaTheme="minorEastAsia" w:cstheme="minorEastAsia"/>
                <w:b/>
                <w:bCs/>
                <w:color w:val="auto"/>
                <w:szCs w:val="21"/>
              </w:rPr>
              <w:t>设备用途：</w:t>
            </w:r>
            <w:r>
              <w:rPr>
                <w:rFonts w:hint="eastAsia" w:asciiTheme="minorEastAsia" w:hAnsiTheme="minorEastAsia" w:eastAsiaTheme="minorEastAsia" w:cstheme="minorEastAsia"/>
                <w:color w:val="auto"/>
                <w:szCs w:val="21"/>
              </w:rPr>
              <w:t>适用纺织品服装羽绒蓬松度的检测。</w:t>
            </w:r>
          </w:p>
          <w:p w14:paraId="6DBEE8AD">
            <w:pPr>
              <w:widowControl/>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eastAsia="zh-CN"/>
              </w:rPr>
              <w:t>二、</w:t>
            </w:r>
            <w:r>
              <w:rPr>
                <w:rFonts w:hint="eastAsia" w:asciiTheme="minorEastAsia" w:hAnsiTheme="minorEastAsia" w:eastAsiaTheme="minorEastAsia" w:cstheme="minorEastAsia"/>
                <w:b/>
                <w:bCs/>
                <w:color w:val="auto"/>
                <w:szCs w:val="21"/>
              </w:rPr>
              <w:t>符合标准：</w:t>
            </w:r>
            <w:r>
              <w:rPr>
                <w:rFonts w:hint="eastAsia" w:asciiTheme="minorEastAsia" w:hAnsiTheme="minorEastAsia" w:eastAsiaTheme="minorEastAsia" w:cstheme="minorEastAsia"/>
                <w:color w:val="auto"/>
                <w:szCs w:val="21"/>
              </w:rPr>
              <w:t>GB/T14272-2021、</w:t>
            </w:r>
            <w:r>
              <w:rPr>
                <w:rFonts w:asciiTheme="minorEastAsia" w:hAnsiTheme="minorEastAsia" w:eastAsiaTheme="minorEastAsia" w:cstheme="minorEastAsia"/>
                <w:color w:val="auto"/>
                <w:szCs w:val="21"/>
              </w:rPr>
              <w:t>GB/T10288</w:t>
            </w:r>
            <w:r>
              <w:rPr>
                <w:rFonts w:hint="eastAsia" w:asciiTheme="minorEastAsia" w:hAnsiTheme="minorEastAsia" w:eastAsiaTheme="minorEastAsia" w:cstheme="minorEastAsia"/>
                <w:color w:val="auto"/>
                <w:szCs w:val="21"/>
              </w:rPr>
              <w:t>-2016</w:t>
            </w:r>
          </w:p>
          <w:p w14:paraId="23BE2864">
            <w:pPr>
              <w:widowControl/>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eastAsia="zh-CN"/>
              </w:rPr>
              <w:t>三</w:t>
            </w:r>
            <w:r>
              <w:rPr>
                <w:rFonts w:hint="eastAsia" w:asciiTheme="minorEastAsia" w:hAnsiTheme="minorEastAsia" w:eastAsiaTheme="minorEastAsia" w:cstheme="minorEastAsia"/>
                <w:b/>
                <w:bCs/>
                <w:color w:val="auto"/>
                <w:szCs w:val="21"/>
              </w:rPr>
              <w:t>、技术参数：</w:t>
            </w:r>
          </w:p>
          <w:p w14:paraId="0270F9FC">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1、测量精度：0.1mm</w:t>
            </w:r>
          </w:p>
          <w:p w14:paraId="712FA298">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2、测量高度：600mm，符合新的国家标准</w:t>
            </w:r>
          </w:p>
          <w:p w14:paraId="147A1C28">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3、测量速度：(0～9999)mm/min</w:t>
            </w:r>
            <w:r>
              <w:rPr>
                <w:rFonts w:hint="eastAsia" w:asciiTheme="minorEastAsia" w:hAnsiTheme="minorEastAsia" w:eastAsiaTheme="minorEastAsia" w:cstheme="minorEastAsia"/>
                <w:color w:val="auto"/>
                <w:szCs w:val="21"/>
                <w:u w:val="single"/>
              </w:rPr>
              <w:t>可设定</w:t>
            </w:r>
          </w:p>
          <w:p w14:paraId="09CA542D">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4、量筒内径：288mm（GB/T14272）、</w:t>
            </w:r>
          </w:p>
          <w:p w14:paraId="3B6F4CCD">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5、测量压盘：94.25g 直径284mm</w:t>
            </w:r>
          </w:p>
          <w:p w14:paraId="00F77BB6">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6、送风速度：(2～40)L/S可调节</w:t>
            </w:r>
          </w:p>
          <w:p w14:paraId="113E537B">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7、压板上升下降速度：(1～9999)mm/min可设定</w:t>
            </w:r>
          </w:p>
          <w:p w14:paraId="2E44E956">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8、压绒板下降速度：(1～9999)mm/min可设定</w:t>
            </w:r>
          </w:p>
          <w:p w14:paraId="29DB6DB7">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9、吹绒时间0:00～59:59  分、秒 可设定</w:t>
            </w:r>
          </w:p>
          <w:p w14:paraId="2C20D153">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10、压绒时间：0:00～59:59  分、秒 可设定</w:t>
            </w:r>
          </w:p>
          <w:p w14:paraId="64B01562">
            <w:pPr>
              <w:widowControl/>
              <w:textAlignment w:val="top"/>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11、电源输入：AC220V±10%   50Hz   </w:t>
            </w:r>
          </w:p>
          <w:p w14:paraId="4EB2563D">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12、提供投标设备完整的中文教学视频</w:t>
            </w:r>
          </w:p>
          <w:p w14:paraId="5F5314FD">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二、 售后服务：</w:t>
            </w:r>
          </w:p>
          <w:p w14:paraId="245A58C6">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50B1FE37">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76F9ABE0">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1台</w:t>
            </w:r>
          </w:p>
        </w:tc>
        <w:tc>
          <w:tcPr>
            <w:tcW w:w="723" w:type="dxa"/>
            <w:vAlign w:val="center"/>
          </w:tcPr>
          <w:p w14:paraId="5EBE40FA">
            <w:pPr>
              <w:widowControl/>
              <w:jc w:val="center"/>
              <w:textAlignment w:val="top"/>
              <w:rPr>
                <w:rFonts w:asciiTheme="minorEastAsia" w:hAnsiTheme="minorEastAsia" w:eastAsiaTheme="minorEastAsia" w:cstheme="minorEastAsia"/>
                <w:color w:val="auto"/>
                <w:szCs w:val="21"/>
              </w:rPr>
            </w:pPr>
          </w:p>
        </w:tc>
        <w:tc>
          <w:tcPr>
            <w:tcW w:w="641" w:type="dxa"/>
            <w:vAlign w:val="center"/>
          </w:tcPr>
          <w:p w14:paraId="79FF31D3">
            <w:pPr>
              <w:widowControl w:val="0"/>
              <w:jc w:val="center"/>
              <w:rPr>
                <w:rFonts w:asciiTheme="minorEastAsia" w:hAnsiTheme="minorEastAsia" w:eastAsiaTheme="minorEastAsia" w:cstheme="minorEastAsia"/>
                <w:color w:val="auto"/>
                <w:szCs w:val="21"/>
              </w:rPr>
            </w:pPr>
          </w:p>
        </w:tc>
        <w:tc>
          <w:tcPr>
            <w:tcW w:w="655" w:type="dxa"/>
            <w:vAlign w:val="center"/>
          </w:tcPr>
          <w:p w14:paraId="407EC3ED">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302C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03" w:type="dxa"/>
            <w:vAlign w:val="center"/>
          </w:tcPr>
          <w:p w14:paraId="6A6B436B">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w:t>
            </w:r>
          </w:p>
        </w:tc>
        <w:tc>
          <w:tcPr>
            <w:tcW w:w="1294" w:type="dxa"/>
            <w:vAlign w:val="center"/>
          </w:tcPr>
          <w:p w14:paraId="4A29E3CC">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织物防钻绒性能测试仪</w:t>
            </w:r>
          </w:p>
        </w:tc>
        <w:tc>
          <w:tcPr>
            <w:tcW w:w="645" w:type="dxa"/>
            <w:vAlign w:val="center"/>
          </w:tcPr>
          <w:p w14:paraId="2FB0BD09">
            <w:pPr>
              <w:widowControl/>
              <w:textAlignment w:val="top"/>
              <w:rPr>
                <w:rFonts w:asciiTheme="minorEastAsia" w:hAnsiTheme="minorEastAsia" w:eastAsiaTheme="minorEastAsia" w:cstheme="minorEastAsia"/>
                <w:color w:val="auto"/>
                <w:szCs w:val="21"/>
              </w:rPr>
            </w:pPr>
          </w:p>
        </w:tc>
        <w:tc>
          <w:tcPr>
            <w:tcW w:w="3995" w:type="dxa"/>
          </w:tcPr>
          <w:p w14:paraId="523880AB">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一、设备用途</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rPr>
              <w:t>主要用于各种织物阻止钻绒或羽毛从接缝间钻漏性能的测试。</w:t>
            </w:r>
            <w:bookmarkStart w:id="26" w:name="OLE_LINK6"/>
            <w:bookmarkStart w:id="27" w:name="OLE_LINK5"/>
            <w:r>
              <w:rPr>
                <w:rFonts w:hint="eastAsia" w:asciiTheme="minorEastAsia" w:hAnsiTheme="minorEastAsia" w:eastAsiaTheme="minorEastAsia" w:cstheme="minorEastAsia"/>
                <w:color w:val="auto"/>
                <w:szCs w:val="21"/>
              </w:rPr>
              <w:t>适用GB/T14272-2021</w:t>
            </w:r>
            <w:bookmarkEnd w:id="26"/>
            <w:bookmarkEnd w:id="27"/>
            <w:r>
              <w:rPr>
                <w:rFonts w:hint="eastAsia" w:asciiTheme="minorEastAsia" w:hAnsiTheme="minorEastAsia" w:eastAsiaTheme="minorEastAsia" w:cstheme="minorEastAsia"/>
                <w:color w:val="auto"/>
                <w:szCs w:val="21"/>
              </w:rPr>
              <w:t xml:space="preserve">附录D大箱体成衣转箱法。 </w:t>
            </w:r>
          </w:p>
          <w:p w14:paraId="3770D125">
            <w:pPr>
              <w:widowControl/>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二、技术参数</w:t>
            </w:r>
          </w:p>
          <w:p w14:paraId="300603DB">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1、全暴露无框有机玻璃版面；</w:t>
            </w:r>
          </w:p>
          <w:p w14:paraId="7C93AE76">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2、单面分区标记；</w:t>
            </w:r>
          </w:p>
          <w:p w14:paraId="757B05C6">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3、分散照明辅助系统，计数区深色背景；</w:t>
            </w:r>
          </w:p>
          <w:p w14:paraId="464A8D0F">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4、空间消除静电系统；</w:t>
            </w:r>
          </w:p>
          <w:p w14:paraId="409C5835">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5、进口交流伺服驱动，运转平静精准；6、不小于18mm厚有机玻璃箱体，降噪防刮；</w:t>
            </w:r>
          </w:p>
          <w:p w14:paraId="2D2F9466">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7、掀开门，气撑杆结构，方便取放样。</w:t>
            </w:r>
          </w:p>
          <w:p w14:paraId="12A272B0">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8、回转箱体内尺寸:不小于(60±0.5)cm×(60±0.5)cm×(60±0.5)cm</w:t>
            </w:r>
          </w:p>
          <w:p w14:paraId="7EBD84A7">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9、回转箱转速:(42±1)r／min（可正反转，1～60可调）</w:t>
            </w:r>
          </w:p>
          <w:p w14:paraId="08A4E52C">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10、旋转次数设定:1～99999次</w:t>
            </w:r>
          </w:p>
          <w:p w14:paraId="12126185">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11、运行噪音＜75分贝</w:t>
            </w:r>
          </w:p>
          <w:p w14:paraId="0A57CF02">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12、硅橡胶异形球:数量：</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color w:val="auto"/>
                <w:szCs w:val="21"/>
              </w:rPr>
              <w:t>24只</w:t>
            </w:r>
          </w:p>
          <w:p w14:paraId="0F6CC805">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邵尔硬度:(55±5)A、质量:(23.75±0.5)g、</w:t>
            </w:r>
          </w:p>
          <w:p w14:paraId="33422750">
            <w:pPr>
              <w:widowControl/>
              <w:textAlignment w:val="top"/>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尺寸：上圆 (Φ31±2)mm×下圆(Φ37±2)mm×高(22±2)mm</w:t>
            </w:r>
          </w:p>
          <w:p w14:paraId="6D715E3F">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13、提供投标设备完整的中文教学视频</w:t>
            </w:r>
          </w:p>
          <w:p w14:paraId="2E2A017F">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三、售后服务</w:t>
            </w:r>
          </w:p>
          <w:p w14:paraId="76F03F82">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584FA481">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1A4C4E58">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1台</w:t>
            </w:r>
          </w:p>
        </w:tc>
        <w:tc>
          <w:tcPr>
            <w:tcW w:w="723" w:type="dxa"/>
            <w:vAlign w:val="center"/>
          </w:tcPr>
          <w:p w14:paraId="1C5E6113">
            <w:pPr>
              <w:widowControl/>
              <w:jc w:val="center"/>
              <w:textAlignment w:val="top"/>
              <w:rPr>
                <w:rFonts w:asciiTheme="minorEastAsia" w:hAnsiTheme="minorEastAsia" w:eastAsiaTheme="minorEastAsia" w:cstheme="minorEastAsia"/>
                <w:color w:val="auto"/>
                <w:szCs w:val="21"/>
              </w:rPr>
            </w:pPr>
          </w:p>
        </w:tc>
        <w:tc>
          <w:tcPr>
            <w:tcW w:w="641" w:type="dxa"/>
            <w:vAlign w:val="center"/>
          </w:tcPr>
          <w:p w14:paraId="79727B3F">
            <w:pPr>
              <w:widowControl w:val="0"/>
              <w:jc w:val="center"/>
              <w:rPr>
                <w:rFonts w:asciiTheme="minorEastAsia" w:hAnsiTheme="minorEastAsia" w:eastAsiaTheme="minorEastAsia" w:cstheme="minorEastAsia"/>
                <w:color w:val="auto"/>
                <w:szCs w:val="21"/>
              </w:rPr>
            </w:pPr>
          </w:p>
        </w:tc>
        <w:tc>
          <w:tcPr>
            <w:tcW w:w="655" w:type="dxa"/>
            <w:vAlign w:val="center"/>
          </w:tcPr>
          <w:p w14:paraId="37843676">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59B6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603" w:type="dxa"/>
            <w:vAlign w:val="center"/>
          </w:tcPr>
          <w:p w14:paraId="58E53CB4">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16</w:t>
            </w:r>
          </w:p>
        </w:tc>
        <w:tc>
          <w:tcPr>
            <w:tcW w:w="1294" w:type="dxa"/>
            <w:vAlign w:val="center"/>
          </w:tcPr>
          <w:p w14:paraId="2BFD0D17">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电子胀破强度仪</w:t>
            </w:r>
          </w:p>
        </w:tc>
        <w:tc>
          <w:tcPr>
            <w:tcW w:w="645" w:type="dxa"/>
            <w:vAlign w:val="center"/>
          </w:tcPr>
          <w:p w14:paraId="6A131C10">
            <w:pPr>
              <w:widowControl/>
              <w:textAlignment w:val="top"/>
              <w:rPr>
                <w:rFonts w:asciiTheme="minorEastAsia" w:hAnsiTheme="minorEastAsia" w:eastAsiaTheme="minorEastAsia" w:cstheme="minorEastAsia"/>
                <w:color w:val="auto"/>
                <w:szCs w:val="21"/>
              </w:rPr>
            </w:pPr>
          </w:p>
        </w:tc>
        <w:tc>
          <w:tcPr>
            <w:tcW w:w="3995" w:type="dxa"/>
          </w:tcPr>
          <w:p w14:paraId="1650E71B">
            <w:pPr>
              <w:widowControl/>
              <w:numPr>
                <w:ilvl w:val="0"/>
                <w:numId w:val="10"/>
              </w:numPr>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设备用途</w:t>
            </w:r>
          </w:p>
          <w:p w14:paraId="17BBE06F">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用于各种纺织品、非织布、皮革等材料，在经纬及各个方向同时受力时，扩张力和扩张度的性能测定。（液压弹性膜片法）。执行标准《GB/T7742.1-2005纺织品 织物胀破性能 第 1 胀破强力和胀破扩张度的测定 部分: 液压法》</w:t>
            </w:r>
          </w:p>
          <w:p w14:paraId="488DFE72">
            <w:pPr>
              <w:widowControl/>
              <w:numPr>
                <w:ilvl w:val="0"/>
                <w:numId w:val="10"/>
              </w:numPr>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技术参数</w:t>
            </w:r>
          </w:p>
          <w:p w14:paraId="5B4EB839">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1.测量范围：0～2Mpa,分辨率不高于0.002Mpa；</w:t>
            </w:r>
          </w:p>
          <w:p w14:paraId="3D6E0884">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2.测试面积：Φ79.8±0.05mm（50cm</w:t>
            </w:r>
            <w:r>
              <w:rPr>
                <w:rFonts w:hint="eastAsia" w:asciiTheme="minorEastAsia" w:hAnsiTheme="minorEastAsia" w:eastAsiaTheme="minorEastAsia" w:cstheme="minorEastAsia"/>
                <w:color w:val="auto"/>
                <w:szCs w:val="21"/>
                <w:vertAlign w:val="superscript"/>
              </w:rPr>
              <w:t>2</w:t>
            </w:r>
            <w:r>
              <w:rPr>
                <w:rFonts w:hint="eastAsia" w:asciiTheme="minorEastAsia" w:hAnsiTheme="minorEastAsia" w:eastAsiaTheme="minorEastAsia" w:cstheme="minorEastAsia"/>
                <w:color w:val="auto"/>
                <w:szCs w:val="21"/>
              </w:rPr>
              <w:t>），Φ30.5mm（7.3cm</w:t>
            </w:r>
            <w:r>
              <w:rPr>
                <w:rFonts w:hint="eastAsia" w:asciiTheme="minorEastAsia" w:hAnsiTheme="minorEastAsia" w:eastAsiaTheme="minorEastAsia" w:cstheme="minorEastAsia"/>
                <w:color w:val="auto"/>
                <w:szCs w:val="21"/>
                <w:vertAlign w:val="superscript"/>
              </w:rPr>
              <w:t>2</w:t>
            </w:r>
            <w:r>
              <w:rPr>
                <w:rFonts w:hint="eastAsia" w:asciiTheme="minorEastAsia" w:hAnsiTheme="minorEastAsia" w:eastAsiaTheme="minorEastAsia" w:cstheme="minorEastAsia"/>
                <w:color w:val="auto"/>
                <w:szCs w:val="21"/>
              </w:rPr>
              <w:t>）；</w:t>
            </w:r>
          </w:p>
          <w:p w14:paraId="0C606659">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3.最大扩张度不小于70mm，最小分度值：0.1mm；</w:t>
            </w:r>
          </w:p>
          <w:p w14:paraId="7B3B2150">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4.加压速率：100ml/min～500ml/min可数字设定；</w:t>
            </w:r>
          </w:p>
          <w:p w14:paraId="00D5194F">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5.显示形式：彩色触屏，中文、英文可选；</w:t>
            </w:r>
          </w:p>
          <w:p w14:paraId="32487102">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6.设备内置校准功能，方便用户不定期自行校准，有“压力校准”和“高度校准”，须提供对应实物界面；</w:t>
            </w:r>
          </w:p>
          <w:p w14:paraId="0A6FF7BA">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7.设备有数据检索功能，可对历史测试数据进行检索查询，有胀破压力、胀破强力、扩张度、时间等数据检索查询，须提供对应实物界面；</w:t>
            </w:r>
          </w:p>
          <w:p w14:paraId="276CF6D9">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8.胀破高度通过位移传感器高精度测试位移变化；</w:t>
            </w:r>
          </w:p>
          <w:p w14:paraId="7A21472E">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9.提供投标设备完整的教学视频（带中文讲解字幕），方便初学者反复观看学习；</w:t>
            </w:r>
          </w:p>
          <w:p w14:paraId="09B77BAB">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10.夹持方式：</w:t>
            </w:r>
            <w:r>
              <w:rPr>
                <w:rFonts w:hint="eastAsia" w:asciiTheme="minorEastAsia" w:hAnsiTheme="minorEastAsia" w:eastAsiaTheme="minorEastAsia" w:cstheme="minorEastAsia"/>
                <w:color w:val="auto"/>
                <w:szCs w:val="21"/>
                <w:lang w:eastAsia="zh-CN"/>
              </w:rPr>
              <w:t>自动</w:t>
            </w:r>
            <w:r>
              <w:rPr>
                <w:rFonts w:hint="eastAsia" w:asciiTheme="minorEastAsia" w:hAnsiTheme="minorEastAsia" w:eastAsiaTheme="minorEastAsia" w:cstheme="minorEastAsia"/>
                <w:color w:val="auto"/>
                <w:szCs w:val="21"/>
              </w:rPr>
              <w:t>夹持；</w:t>
            </w:r>
          </w:p>
          <w:p w14:paraId="0D2DA158">
            <w:pPr>
              <w:widowControl/>
              <w:textAlignment w:val="top"/>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11.配废液收集装置，防止仪器渗漏污染；</w:t>
            </w:r>
          </w:p>
          <w:p w14:paraId="6166EE1E">
            <w:pPr>
              <w:widowControl/>
              <w:textAlignment w:val="top"/>
              <w:rPr>
                <w:rFonts w:asciiTheme="minorEastAsia" w:hAnsiTheme="minorEastAsia" w:eastAsiaTheme="minorEastAsia" w:cstheme="minorEastAsia"/>
                <w:color w:val="auto"/>
                <w:szCs w:val="21"/>
              </w:rPr>
            </w:pPr>
            <w:bookmarkStart w:id="28" w:name="OLE_LINK13"/>
            <w:bookmarkStart w:id="29" w:name="OLE_LINK12"/>
            <w:r>
              <w:rPr>
                <w:rFonts w:hint="eastAsia" w:asciiTheme="minorEastAsia" w:hAnsiTheme="minorEastAsia" w:eastAsiaTheme="minorEastAsia" w:cstheme="minorEastAsia"/>
                <w:color w:val="auto"/>
                <w:szCs w:val="21"/>
              </w:rPr>
              <w:t>12、提供投标设备完整的中文教学视频</w:t>
            </w:r>
          </w:p>
          <w:bookmarkEnd w:id="28"/>
          <w:bookmarkEnd w:id="29"/>
          <w:p w14:paraId="0B5CDB7B">
            <w:pPr>
              <w:widowControl w:val="0"/>
              <w:jc w:val="left"/>
              <w:rPr>
                <w:rFonts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三、配件清单：</w:t>
            </w:r>
          </w:p>
          <w:p w14:paraId="20106BEE">
            <w:pPr>
              <w:pStyle w:val="20"/>
              <w:widowControl w:val="0"/>
              <w:ind w:firstLine="0" w:firstLineChars="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1、笔记本电脑配置要求：CPU为Intel® Core™ Ultra 7 255H以上，内存容量≥32GB LPDDR5X 8400MT/s，固态硬盘容量≥1TB PCIe 4.0 SSD*，显示屏幕≥16寸，不低于win11系统，全尺寸键盘，四种键盘背光模式，大尺寸触控板。</w:t>
            </w:r>
          </w:p>
          <w:p w14:paraId="33A7C720">
            <w:pPr>
              <w:pStyle w:val="20"/>
              <w:widowControl w:val="0"/>
              <w:ind w:firstLine="0" w:firstLineChars="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2、电脑:处理器不低于CPUi5 13代，内存≥32G，固态硬盘≥1TB，系统win11，≥32英寸显示屏，主板附带无线蓝牙功能，三模键鼠套装。 </w:t>
            </w:r>
          </w:p>
          <w:p w14:paraId="20FBD2CE">
            <w:pPr>
              <w:widowControl w:val="0"/>
              <w:jc w:val="left"/>
              <w:rPr>
                <w:rFonts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color w:val="auto"/>
                <w:szCs w:val="21"/>
              </w:rPr>
              <w:t>3、打印复印一体机：激光黑白打印、复印、扫描、wifi连接、不少于30页/分钟高速打印；</w:t>
            </w:r>
          </w:p>
          <w:p w14:paraId="34350249">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四、售后服务：</w:t>
            </w:r>
          </w:p>
          <w:p w14:paraId="1E1E8D97">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4699EFFE">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69412B48">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1台</w:t>
            </w:r>
          </w:p>
        </w:tc>
        <w:tc>
          <w:tcPr>
            <w:tcW w:w="723" w:type="dxa"/>
            <w:vAlign w:val="center"/>
          </w:tcPr>
          <w:p w14:paraId="0F04A510">
            <w:pPr>
              <w:widowControl/>
              <w:jc w:val="center"/>
              <w:textAlignment w:val="top"/>
              <w:rPr>
                <w:rFonts w:asciiTheme="minorEastAsia" w:hAnsiTheme="minorEastAsia" w:eastAsiaTheme="minorEastAsia" w:cstheme="minorEastAsia"/>
                <w:color w:val="auto"/>
                <w:szCs w:val="21"/>
              </w:rPr>
            </w:pPr>
          </w:p>
        </w:tc>
        <w:tc>
          <w:tcPr>
            <w:tcW w:w="641" w:type="dxa"/>
            <w:vAlign w:val="center"/>
          </w:tcPr>
          <w:p w14:paraId="0D3A5D40">
            <w:pPr>
              <w:widowControl w:val="0"/>
              <w:jc w:val="center"/>
              <w:rPr>
                <w:rFonts w:asciiTheme="minorEastAsia" w:hAnsiTheme="minorEastAsia" w:eastAsiaTheme="minorEastAsia" w:cstheme="minorEastAsia"/>
                <w:color w:val="auto"/>
                <w:szCs w:val="21"/>
              </w:rPr>
            </w:pPr>
          </w:p>
        </w:tc>
        <w:tc>
          <w:tcPr>
            <w:tcW w:w="655" w:type="dxa"/>
            <w:vAlign w:val="center"/>
          </w:tcPr>
          <w:p w14:paraId="1A87E68E">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39C9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03" w:type="dxa"/>
            <w:vAlign w:val="center"/>
          </w:tcPr>
          <w:p w14:paraId="225658A8">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17</w:t>
            </w:r>
          </w:p>
        </w:tc>
        <w:tc>
          <w:tcPr>
            <w:tcW w:w="1294" w:type="dxa"/>
            <w:vAlign w:val="center"/>
          </w:tcPr>
          <w:p w14:paraId="64CAE7AA">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涂覆织物低温弯曲试验机</w:t>
            </w:r>
          </w:p>
        </w:tc>
        <w:tc>
          <w:tcPr>
            <w:tcW w:w="645" w:type="dxa"/>
            <w:vAlign w:val="center"/>
          </w:tcPr>
          <w:p w14:paraId="378581BE">
            <w:pPr>
              <w:widowControl/>
              <w:textAlignment w:val="top"/>
              <w:rPr>
                <w:rFonts w:asciiTheme="minorEastAsia" w:hAnsiTheme="minorEastAsia" w:eastAsiaTheme="minorEastAsia" w:cstheme="minorEastAsia"/>
                <w:color w:val="auto"/>
                <w:szCs w:val="21"/>
              </w:rPr>
            </w:pPr>
          </w:p>
        </w:tc>
        <w:tc>
          <w:tcPr>
            <w:tcW w:w="3995" w:type="dxa"/>
          </w:tcPr>
          <w:p w14:paraId="544B2323">
            <w:pPr>
              <w:widowControl/>
              <w:numPr>
                <w:ilvl w:val="0"/>
                <w:numId w:val="11"/>
              </w:numPr>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设备用途</w:t>
            </w:r>
          </w:p>
          <w:p w14:paraId="7C74684D">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用于警示服、中小学生校准等橡胶涂覆织物低温弯曲测试。执行标准： GB/T 28468-2012《中小学生交通安全反光校服》、GB 20653-2020《防护服装 职业用高可视性警示服》7.5.3 、GB/T 18426-2021《橡胶或塑料涂覆织物 低温弯曲试验》。</w:t>
            </w:r>
          </w:p>
          <w:p w14:paraId="375F06DF">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二、技术指标：</w:t>
            </w:r>
            <w:r>
              <w:rPr>
                <w:rFonts w:hint="eastAsia" w:asciiTheme="minorEastAsia" w:hAnsiTheme="minorEastAsia" w:eastAsiaTheme="minorEastAsia" w:cstheme="minorEastAsia"/>
                <w:color w:val="auto"/>
                <w:szCs w:val="21"/>
              </w:rPr>
              <w:tab/>
            </w:r>
          </w:p>
          <w:p w14:paraId="5085EB0A">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1、低温箱</w:t>
            </w:r>
          </w:p>
          <w:p w14:paraId="4830422C">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 温度范围： -30℃～+100℃；</w:t>
            </w:r>
          </w:p>
          <w:p w14:paraId="4F69660D">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 温度波动度：≤±0.3℃；</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rPr>
              <w:t>1.3 温度均匀度：≤1℃；</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rPr>
              <w:t>1.4降温时间：+25℃→-20℃≤45min.</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rPr>
              <w:t>1.5 内、外箱材质:耐热耐寒材质</w:t>
            </w:r>
          </w:p>
          <w:p w14:paraId="74A1A2D7">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1.6 制冷系统:进口品牌压缩机；</w:t>
            </w:r>
          </w:p>
          <w:p w14:paraId="221554D2">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1.7 控制系统：不小于7寸的彩色液晶触摸屏；</w:t>
            </w:r>
          </w:p>
          <w:p w14:paraId="33E1C021">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1.8低温弯曲试样架：符合GB/T 18426－2001图1、图2要求</w:t>
            </w:r>
          </w:p>
          <w:p w14:paraId="6215BD35">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1.9</w:t>
            </w:r>
            <w:r>
              <w:rPr>
                <w:rFonts w:hint="eastAsia" w:asciiTheme="minorEastAsia" w:hAnsiTheme="minorEastAsia" w:eastAsiaTheme="minorEastAsia" w:cstheme="minorEastAsia"/>
                <w:color w:val="auto"/>
                <w:szCs w:val="21"/>
              </w:rPr>
              <w:t xml:space="preserve"> 提供投标设备完整的中文教学视频</w:t>
            </w:r>
          </w:p>
          <w:p w14:paraId="4D58EB35">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三、售后服务：</w:t>
            </w:r>
          </w:p>
          <w:p w14:paraId="52B644D0">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6E987890">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23329B61">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1台</w:t>
            </w:r>
          </w:p>
        </w:tc>
        <w:tc>
          <w:tcPr>
            <w:tcW w:w="723" w:type="dxa"/>
            <w:vAlign w:val="center"/>
          </w:tcPr>
          <w:p w14:paraId="6555F2B0">
            <w:pPr>
              <w:widowControl/>
              <w:jc w:val="center"/>
              <w:textAlignment w:val="top"/>
              <w:rPr>
                <w:rFonts w:asciiTheme="minorEastAsia" w:hAnsiTheme="minorEastAsia" w:eastAsiaTheme="minorEastAsia" w:cstheme="minorEastAsia"/>
                <w:color w:val="auto"/>
                <w:szCs w:val="21"/>
              </w:rPr>
            </w:pPr>
          </w:p>
        </w:tc>
        <w:tc>
          <w:tcPr>
            <w:tcW w:w="641" w:type="dxa"/>
            <w:vAlign w:val="center"/>
          </w:tcPr>
          <w:p w14:paraId="15D10417">
            <w:pPr>
              <w:widowControl w:val="0"/>
              <w:jc w:val="center"/>
              <w:rPr>
                <w:rFonts w:asciiTheme="minorEastAsia" w:hAnsiTheme="minorEastAsia" w:eastAsiaTheme="minorEastAsia" w:cstheme="minorEastAsia"/>
                <w:color w:val="auto"/>
                <w:szCs w:val="21"/>
              </w:rPr>
            </w:pPr>
          </w:p>
        </w:tc>
        <w:tc>
          <w:tcPr>
            <w:tcW w:w="655" w:type="dxa"/>
            <w:vAlign w:val="center"/>
          </w:tcPr>
          <w:p w14:paraId="76E3EDBF">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6A42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603" w:type="dxa"/>
            <w:vAlign w:val="center"/>
          </w:tcPr>
          <w:p w14:paraId="45945A83">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18</w:t>
            </w:r>
          </w:p>
        </w:tc>
        <w:tc>
          <w:tcPr>
            <w:tcW w:w="1294" w:type="dxa"/>
            <w:vAlign w:val="center"/>
          </w:tcPr>
          <w:p w14:paraId="25CA46E6">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Mattia 屈挠试验机</w:t>
            </w:r>
          </w:p>
        </w:tc>
        <w:tc>
          <w:tcPr>
            <w:tcW w:w="645" w:type="dxa"/>
            <w:vAlign w:val="center"/>
          </w:tcPr>
          <w:p w14:paraId="5A6DD409">
            <w:pPr>
              <w:widowControl/>
              <w:textAlignment w:val="top"/>
              <w:rPr>
                <w:rFonts w:asciiTheme="minorEastAsia" w:hAnsiTheme="minorEastAsia" w:eastAsiaTheme="minorEastAsia" w:cstheme="minorEastAsia"/>
                <w:color w:val="auto"/>
                <w:szCs w:val="21"/>
              </w:rPr>
            </w:pPr>
          </w:p>
        </w:tc>
        <w:tc>
          <w:tcPr>
            <w:tcW w:w="3995" w:type="dxa"/>
          </w:tcPr>
          <w:p w14:paraId="5E7164B8">
            <w:pPr>
              <w:widowControl/>
              <w:numPr>
                <w:ilvl w:val="0"/>
                <w:numId w:val="12"/>
              </w:numPr>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设备用途</w:t>
            </w:r>
          </w:p>
          <w:p w14:paraId="712E59FA">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用于对涂覆织物耐反复屈挠破坏性能。</w:t>
            </w:r>
          </w:p>
          <w:p w14:paraId="408E48D5">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执行标准： GB/T 28468-2012《中小学生交通安全反光校服》、GB 20653-2020《防护服装 职业用高可视性警示服》7.5.2、GB/T 12586-2003《橡胶或塑料涂覆织物耐屈挠破坏性的测定》方法A（De Mattia屈挠性测试）。</w:t>
            </w:r>
          </w:p>
          <w:p w14:paraId="0DA5EA8F">
            <w:pPr>
              <w:widowControl/>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二、技术指标</w:t>
            </w:r>
          </w:p>
          <w:p w14:paraId="1AA8658A">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1、夹具：≥12组</w:t>
            </w:r>
          </w:p>
          <w:p w14:paraId="30ECCAE1">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2、测试速度：≥5.0Hz±0.2Hz（300±12r/min）</w:t>
            </w:r>
          </w:p>
          <w:p w14:paraId="7915678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3、测试轨迹：垂直往复运动</w:t>
            </w:r>
          </w:p>
          <w:p w14:paraId="08A5267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4、测试行程：57mm</w:t>
            </w:r>
          </w:p>
          <w:p w14:paraId="6419C496">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5、夹具最小间距：13mm±0.5mm</w:t>
            </w:r>
          </w:p>
          <w:p w14:paraId="05ED077C">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6、夹具最大间距：70mm±1mm</w:t>
            </w:r>
          </w:p>
          <w:p w14:paraId="4C83A471">
            <w:pPr>
              <w:widowControl/>
              <w:jc w:val="left"/>
              <w:textAlignment w:val="top"/>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7、试样尺寸：37.5mmx125mm</w:t>
            </w:r>
          </w:p>
          <w:p w14:paraId="6AAF5F30">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8、提供投标设备完整的中文教学视频</w:t>
            </w:r>
          </w:p>
          <w:p w14:paraId="1A7056DE">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三、售后服务</w:t>
            </w:r>
          </w:p>
          <w:p w14:paraId="4767A194">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0DBF6674">
            <w:pPr>
              <w:widowControl/>
              <w:textAlignment w:val="top"/>
              <w:rPr>
                <w:rFonts w:asciiTheme="minorEastAsia" w:hAnsiTheme="minorEastAsia" w:eastAsiaTheme="minorEastAsia" w:cstheme="minorEastAsia"/>
                <w:strike/>
                <w:color w:val="auto"/>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4B1C1AA5">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1台</w:t>
            </w:r>
          </w:p>
        </w:tc>
        <w:tc>
          <w:tcPr>
            <w:tcW w:w="723" w:type="dxa"/>
            <w:vAlign w:val="center"/>
          </w:tcPr>
          <w:p w14:paraId="0980ED8C">
            <w:pPr>
              <w:widowControl/>
              <w:jc w:val="center"/>
              <w:textAlignment w:val="top"/>
              <w:rPr>
                <w:rFonts w:asciiTheme="minorEastAsia" w:hAnsiTheme="minorEastAsia" w:eastAsiaTheme="minorEastAsia" w:cstheme="minorEastAsia"/>
                <w:color w:val="auto"/>
                <w:szCs w:val="21"/>
              </w:rPr>
            </w:pPr>
          </w:p>
        </w:tc>
        <w:tc>
          <w:tcPr>
            <w:tcW w:w="641" w:type="dxa"/>
            <w:vAlign w:val="center"/>
          </w:tcPr>
          <w:p w14:paraId="291A290E">
            <w:pPr>
              <w:widowControl w:val="0"/>
              <w:jc w:val="center"/>
              <w:rPr>
                <w:rFonts w:asciiTheme="minorEastAsia" w:hAnsiTheme="minorEastAsia" w:eastAsiaTheme="minorEastAsia" w:cstheme="minorEastAsia"/>
                <w:color w:val="auto"/>
                <w:szCs w:val="21"/>
              </w:rPr>
            </w:pPr>
          </w:p>
        </w:tc>
        <w:tc>
          <w:tcPr>
            <w:tcW w:w="655" w:type="dxa"/>
            <w:vAlign w:val="center"/>
          </w:tcPr>
          <w:p w14:paraId="12351D25">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691F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603" w:type="dxa"/>
            <w:vAlign w:val="center"/>
          </w:tcPr>
          <w:p w14:paraId="012CF4FC">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19</w:t>
            </w:r>
          </w:p>
        </w:tc>
        <w:tc>
          <w:tcPr>
            <w:tcW w:w="1294" w:type="dxa"/>
            <w:vAlign w:val="center"/>
          </w:tcPr>
          <w:p w14:paraId="07ACCFF7">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织物摩擦电荷量测试仪</w:t>
            </w:r>
          </w:p>
        </w:tc>
        <w:tc>
          <w:tcPr>
            <w:tcW w:w="645" w:type="dxa"/>
            <w:vAlign w:val="center"/>
          </w:tcPr>
          <w:p w14:paraId="4D965D8A">
            <w:pPr>
              <w:widowControl w:val="0"/>
              <w:rPr>
                <w:rFonts w:asciiTheme="minorEastAsia" w:hAnsiTheme="minorEastAsia" w:eastAsiaTheme="minorEastAsia" w:cstheme="minorEastAsia"/>
                <w:color w:val="auto"/>
                <w:sz w:val="28"/>
                <w:szCs w:val="28"/>
              </w:rPr>
            </w:pPr>
          </w:p>
        </w:tc>
        <w:tc>
          <w:tcPr>
            <w:tcW w:w="3995" w:type="dxa"/>
          </w:tcPr>
          <w:p w14:paraId="00DEAD4C">
            <w:pPr>
              <w:pStyle w:val="2"/>
              <w:widowControl w:val="0"/>
              <w:shd w:val="clear" w:color="auto" w:fill="FFFFFF"/>
              <w:spacing w:line="240" w:lineRule="auto"/>
              <w:jc w:val="left"/>
              <w:outlineLvl w:val="0"/>
              <w:rPr>
                <w:rFonts w:asciiTheme="minorEastAsia" w:hAnsiTheme="minorEastAsia" w:eastAsiaTheme="minorEastAsia" w:cstheme="minorEastAsia"/>
                <w:b w:val="0"/>
                <w:bCs w:val="0"/>
                <w:color w:val="auto"/>
                <w:spacing w:val="0"/>
                <w:sz w:val="21"/>
                <w:szCs w:val="21"/>
              </w:rPr>
            </w:pPr>
            <w:bookmarkStart w:id="30" w:name="_Toc26372"/>
            <w:r>
              <w:rPr>
                <w:rFonts w:hint="eastAsia" w:asciiTheme="minorEastAsia" w:hAnsiTheme="minorEastAsia" w:eastAsiaTheme="minorEastAsia" w:cstheme="minorEastAsia"/>
                <w:color w:val="auto"/>
                <w:spacing w:val="0"/>
                <w:sz w:val="21"/>
                <w:szCs w:val="21"/>
              </w:rPr>
              <w:t>一、设备用途</w:t>
            </w:r>
            <w:r>
              <w:rPr>
                <w:rFonts w:hint="eastAsia" w:asciiTheme="minorEastAsia" w:hAnsiTheme="minorEastAsia" w:eastAsiaTheme="minorEastAsia" w:cstheme="minorEastAsia"/>
                <w:b w:val="0"/>
                <w:bCs w:val="0"/>
                <w:color w:val="auto"/>
                <w:spacing w:val="0"/>
                <w:sz w:val="21"/>
                <w:szCs w:val="21"/>
              </w:rPr>
              <w:br w:type="textWrapping"/>
            </w:r>
            <w:r>
              <w:rPr>
                <w:rFonts w:hint="eastAsia" w:asciiTheme="minorEastAsia" w:hAnsiTheme="minorEastAsia" w:eastAsiaTheme="minorEastAsia" w:cstheme="minorEastAsia"/>
                <w:b w:val="0"/>
                <w:bCs w:val="0"/>
                <w:color w:val="auto"/>
                <w:spacing w:val="0"/>
                <w:sz w:val="21"/>
                <w:szCs w:val="21"/>
              </w:rPr>
              <w:t>用于防静电服装防静电性能的测试。执行标准： GB12014-2019《防护服装 防静电服》附录B， GB/T12703.2-2009《纺织品 静电性能的评定 第2部分 电荷面密度》。</w:t>
            </w:r>
            <w:bookmarkEnd w:id="30"/>
          </w:p>
          <w:p w14:paraId="570E7994">
            <w:pPr>
              <w:widowControl w:val="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二、技术指标</w:t>
            </w:r>
          </w:p>
          <w:p w14:paraId="723730F3">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1.静电电荷测定范围：2nC～2μC；</w:t>
            </w:r>
          </w:p>
          <w:p w14:paraId="1DC5DEDF">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2.精度：±1％；</w:t>
            </w:r>
          </w:p>
          <w:p w14:paraId="46299FE3">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3.输入阻抗：＞1012Ω；</w:t>
            </w:r>
          </w:p>
          <w:p w14:paraId="3D197ECC">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4.磨擦布为锦纶或GB12014聚丙烯腈布），尺寸：400mm×450mm；</w:t>
            </w:r>
          </w:p>
          <w:p w14:paraId="75AA0DF9">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5.绝缘棒：丙烯酸树脂制成，直径:20mm,长度：500mm；</w:t>
            </w:r>
          </w:p>
          <w:p w14:paraId="73C41E66">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6.试样按经、纬向三块，试样尺寸为：250mm×350mm；</w:t>
            </w:r>
          </w:p>
          <w:p w14:paraId="5F55039E">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7.滚筒磨擦机运转条件：运转时间：15min转,鼓内温度：(60±10)℃；</w:t>
            </w:r>
          </w:p>
          <w:p w14:paraId="6B1591DA">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8.滚筒磨擦机转鼓内径：≥(650±5)mm；转鼓口径≥4200mm；转鼓转速≥56r/min；</w:t>
            </w:r>
          </w:p>
          <w:p w14:paraId="4F3F8031">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9.提供投标设备完整的中文教学视频。</w:t>
            </w:r>
          </w:p>
          <w:p w14:paraId="05872AD4">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三、售后服务</w:t>
            </w:r>
          </w:p>
          <w:p w14:paraId="298FAB74">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088BF998">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68F92A2C">
            <w:pPr>
              <w:widowControl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1台</w:t>
            </w:r>
          </w:p>
        </w:tc>
        <w:tc>
          <w:tcPr>
            <w:tcW w:w="723" w:type="dxa"/>
            <w:vAlign w:val="center"/>
          </w:tcPr>
          <w:p w14:paraId="46ECF6ED">
            <w:pPr>
              <w:widowControl w:val="0"/>
              <w:jc w:val="center"/>
              <w:rPr>
                <w:rFonts w:asciiTheme="minorEastAsia" w:hAnsiTheme="minorEastAsia" w:eastAsiaTheme="minorEastAsia" w:cstheme="minorEastAsia"/>
                <w:color w:val="auto"/>
                <w:szCs w:val="21"/>
              </w:rPr>
            </w:pPr>
          </w:p>
        </w:tc>
        <w:tc>
          <w:tcPr>
            <w:tcW w:w="641" w:type="dxa"/>
            <w:vAlign w:val="center"/>
          </w:tcPr>
          <w:p w14:paraId="20966FB5">
            <w:pPr>
              <w:widowControl w:val="0"/>
              <w:jc w:val="center"/>
              <w:rPr>
                <w:rFonts w:asciiTheme="minorEastAsia" w:hAnsiTheme="minorEastAsia" w:eastAsiaTheme="minorEastAsia" w:cstheme="minorEastAsia"/>
                <w:color w:val="auto"/>
                <w:szCs w:val="21"/>
              </w:rPr>
            </w:pPr>
          </w:p>
        </w:tc>
        <w:tc>
          <w:tcPr>
            <w:tcW w:w="655" w:type="dxa"/>
            <w:vAlign w:val="center"/>
          </w:tcPr>
          <w:p w14:paraId="307B0639">
            <w:pPr>
              <w:widowControl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6456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603" w:type="dxa"/>
            <w:vAlign w:val="center"/>
          </w:tcPr>
          <w:p w14:paraId="733DFE31">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w:t>
            </w:r>
          </w:p>
        </w:tc>
        <w:tc>
          <w:tcPr>
            <w:tcW w:w="1294" w:type="dxa"/>
            <w:vAlign w:val="center"/>
          </w:tcPr>
          <w:p w14:paraId="1E55C86D">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织物电阻率测试仪</w:t>
            </w:r>
          </w:p>
        </w:tc>
        <w:tc>
          <w:tcPr>
            <w:tcW w:w="645" w:type="dxa"/>
            <w:vAlign w:val="center"/>
          </w:tcPr>
          <w:p w14:paraId="65D0AAD7">
            <w:pPr>
              <w:widowControl w:val="0"/>
              <w:rPr>
                <w:rFonts w:asciiTheme="minorEastAsia" w:hAnsiTheme="minorEastAsia" w:eastAsiaTheme="minorEastAsia" w:cstheme="minorEastAsia"/>
                <w:color w:val="auto"/>
                <w:sz w:val="28"/>
                <w:szCs w:val="28"/>
              </w:rPr>
            </w:pPr>
          </w:p>
        </w:tc>
        <w:tc>
          <w:tcPr>
            <w:tcW w:w="3995" w:type="dxa"/>
          </w:tcPr>
          <w:p w14:paraId="69F71EF9">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一、设备用途</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rPr>
              <w:t xml:space="preserve">用于防静电服等各种织物及其他材料的点对点电阻、表面电阻及体积电阻率。执行标准： GB12014-2019《防护服装 防静电服》附录A, FZ/T80012-2012 《洁净室服装 点对点电阻检测方法》GB/T22042 GB/T 12703.4  GB/T22043  GB 12014  </w:t>
            </w:r>
          </w:p>
          <w:p w14:paraId="4227D13F">
            <w:pPr>
              <w:widowControl/>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二、设备功能</w:t>
            </w:r>
          </w:p>
          <w:p w14:paraId="08608E7F">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(1)数字显示，桥式测量电路；</w:t>
            </w:r>
          </w:p>
          <w:p w14:paraId="0F9106F1">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(2)自动升降；</w:t>
            </w:r>
          </w:p>
          <w:p w14:paraId="1B51C340">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(3)电池或外接电源两种供电方式；</w:t>
            </w:r>
          </w:p>
          <w:p w14:paraId="6941850A">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(4)自动读数锁定；</w:t>
            </w:r>
          </w:p>
          <w:p w14:paraId="1A1EE505">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(5)点对点测试，电极手动或自动加载可选择。</w:t>
            </w:r>
          </w:p>
          <w:p w14:paraId="132140DE">
            <w:pPr>
              <w:widowControl/>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三、参数指标</w:t>
            </w:r>
          </w:p>
          <w:p w14:paraId="40597B14">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1、量程范围：(0～2)×1015Ω</w:t>
            </w:r>
          </w:p>
          <w:p w14:paraId="04A2E0F9">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2、测试电压为DC100、250V、500或1000V</w:t>
            </w:r>
          </w:p>
          <w:p w14:paraId="2BD09E92">
            <w:pPr>
              <w:widowControl/>
              <w:textAlignment w:val="top"/>
              <w:rPr>
                <w:rFonts w:asciiTheme="minorEastAsia" w:hAnsiTheme="minorEastAsia" w:eastAsiaTheme="minorEastAsia" w:cstheme="minorEastAsia"/>
                <w:strike/>
                <w:color w:val="auto"/>
                <w:szCs w:val="21"/>
              </w:rPr>
            </w:pP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仪器在稳定的工作电压及无信号输入时15～105秒之间零点漂移小于±5%</w:t>
            </w:r>
          </w:p>
          <w:p w14:paraId="061FEF53">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4、仪器对标准电阻测量的基本误差：≤±10%</w:t>
            </w:r>
          </w:p>
          <w:p w14:paraId="53AD938A">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5、测试点距离：300mm</w:t>
            </w:r>
          </w:p>
          <w:p w14:paraId="4579733B">
            <w:pPr>
              <w:widowControl/>
              <w:textAlignment w:val="top"/>
              <w:rPr>
                <w:rFonts w:asciiTheme="minorEastAsia" w:hAnsiTheme="minorEastAsia" w:eastAsiaTheme="minorEastAsia" w:cstheme="minorEastAsia"/>
                <w:color w:val="auto"/>
                <w:szCs w:val="21"/>
              </w:rPr>
            </w:pPr>
            <w:bookmarkStart w:id="31" w:name="OLE_LINK9"/>
            <w:bookmarkStart w:id="32" w:name="OLE_LINK11"/>
            <w:bookmarkStart w:id="33" w:name="OLE_LINK10"/>
            <w:r>
              <w:rPr>
                <w:rFonts w:hint="eastAsia" w:asciiTheme="minorEastAsia" w:hAnsiTheme="minorEastAsia" w:eastAsiaTheme="minorEastAsia" w:cstheme="minorEastAsia"/>
                <w:color w:val="auto"/>
                <w:szCs w:val="21"/>
              </w:rPr>
              <w:t>6、提供投标设备完整的中文教学视频</w:t>
            </w:r>
          </w:p>
          <w:bookmarkEnd w:id="31"/>
          <w:bookmarkEnd w:id="32"/>
          <w:bookmarkEnd w:id="33"/>
          <w:p w14:paraId="76E214F9">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四、售后服务</w:t>
            </w:r>
          </w:p>
          <w:p w14:paraId="14F5EB3B">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70F7D2EC">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002C5FD4">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1台</w:t>
            </w:r>
          </w:p>
        </w:tc>
        <w:tc>
          <w:tcPr>
            <w:tcW w:w="723" w:type="dxa"/>
            <w:vAlign w:val="center"/>
          </w:tcPr>
          <w:p w14:paraId="3F849172">
            <w:pPr>
              <w:widowControl/>
              <w:jc w:val="center"/>
              <w:textAlignment w:val="top"/>
              <w:rPr>
                <w:rFonts w:asciiTheme="minorEastAsia" w:hAnsiTheme="minorEastAsia" w:eastAsiaTheme="minorEastAsia" w:cstheme="minorEastAsia"/>
                <w:color w:val="auto"/>
                <w:szCs w:val="21"/>
              </w:rPr>
            </w:pPr>
          </w:p>
        </w:tc>
        <w:tc>
          <w:tcPr>
            <w:tcW w:w="641" w:type="dxa"/>
            <w:vAlign w:val="center"/>
          </w:tcPr>
          <w:p w14:paraId="6D9DEB6C">
            <w:pPr>
              <w:widowControl w:val="0"/>
              <w:jc w:val="center"/>
              <w:rPr>
                <w:rFonts w:asciiTheme="minorEastAsia" w:hAnsiTheme="minorEastAsia" w:eastAsiaTheme="minorEastAsia" w:cstheme="minorEastAsia"/>
                <w:color w:val="auto"/>
                <w:szCs w:val="21"/>
              </w:rPr>
            </w:pPr>
          </w:p>
        </w:tc>
        <w:tc>
          <w:tcPr>
            <w:tcW w:w="655" w:type="dxa"/>
            <w:vAlign w:val="center"/>
          </w:tcPr>
          <w:p w14:paraId="407E1127">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1BB7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603" w:type="dxa"/>
            <w:vAlign w:val="center"/>
          </w:tcPr>
          <w:p w14:paraId="1F3EFE06">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21</w:t>
            </w:r>
          </w:p>
        </w:tc>
        <w:tc>
          <w:tcPr>
            <w:tcW w:w="1294" w:type="dxa"/>
            <w:vAlign w:val="center"/>
          </w:tcPr>
          <w:p w14:paraId="6D274B37">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耐洗色牢度试验机</w:t>
            </w:r>
          </w:p>
        </w:tc>
        <w:tc>
          <w:tcPr>
            <w:tcW w:w="645" w:type="dxa"/>
            <w:vAlign w:val="center"/>
          </w:tcPr>
          <w:p w14:paraId="649B8428">
            <w:pPr>
              <w:widowControl w:val="0"/>
              <w:rPr>
                <w:rFonts w:asciiTheme="minorEastAsia" w:hAnsiTheme="minorEastAsia" w:eastAsiaTheme="minorEastAsia" w:cstheme="minorEastAsia"/>
                <w:color w:val="auto"/>
                <w:sz w:val="28"/>
                <w:szCs w:val="28"/>
              </w:rPr>
            </w:pPr>
          </w:p>
        </w:tc>
        <w:tc>
          <w:tcPr>
            <w:tcW w:w="3995" w:type="dxa"/>
          </w:tcPr>
          <w:p w14:paraId="2DEEE7C0">
            <w:pPr>
              <w:widowControl/>
              <w:numPr>
                <w:ilvl w:val="0"/>
                <w:numId w:val="13"/>
              </w:numPr>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设备用途</w:t>
            </w:r>
          </w:p>
          <w:p w14:paraId="1B103964">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用于纺织品耐皂洗色牢度性能的试验。执行标准GB/T3921-2008《纺织品 色牢度试验 耐皂洗色牢度》</w:t>
            </w:r>
          </w:p>
          <w:p w14:paraId="3E5A7345">
            <w:pPr>
              <w:widowControl/>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二、技术要求</w:t>
            </w:r>
          </w:p>
          <w:p w14:paraId="49D80D34">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1.试杯：550ml（φ75mm×120mm）试杯数量：</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color w:val="auto"/>
                <w:szCs w:val="21"/>
              </w:rPr>
              <w:t xml:space="preserve"> 24个；</w:t>
            </w:r>
          </w:p>
          <w:p w14:paraId="525C5781">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2.旋转架中心至试杯底距离：45mm；</w:t>
            </w:r>
          </w:p>
          <w:p w14:paraId="50DE1171">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3.旋转速度：40±2r/min；</w:t>
            </w:r>
          </w:p>
          <w:p w14:paraId="4F1D4EF7">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4.时间控制范围：0～999min59s，时间控制误差：≤±2s；</w:t>
            </w:r>
          </w:p>
          <w:p w14:paraId="00340BD6">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5.大屏幕彩色触屏控制，内置标定功能；</w:t>
            </w:r>
          </w:p>
          <w:p w14:paraId="44261284">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6.温度控制范围：室温～99.9℃；误差：≤±1℃；</w:t>
            </w:r>
          </w:p>
          <w:p w14:paraId="39FD573C">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trike/>
                <w:color w:val="auto"/>
                <w:szCs w:val="21"/>
              </w:rPr>
              <w:t>7.</w:t>
            </w:r>
            <w:r>
              <w:rPr>
                <w:rFonts w:hint="eastAsia" w:asciiTheme="minorEastAsia" w:hAnsiTheme="minorEastAsia" w:eastAsiaTheme="minorEastAsia" w:cstheme="minorEastAsia"/>
                <w:color w:val="auto"/>
                <w:szCs w:val="21"/>
              </w:rPr>
              <w:t>操作界面触摸屏控制；</w:t>
            </w:r>
          </w:p>
          <w:p w14:paraId="196C25D1">
            <w:pPr>
              <w:widowControl/>
              <w:textAlignment w:val="top"/>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8.水位自动控制，自动进水、排水，并设防止干烧功能，设有门触安全开关和止回装置，避免烫伤、轧伤；</w:t>
            </w:r>
          </w:p>
          <w:p w14:paraId="1C154403">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9．提供投标设备完整的中文教学视频</w:t>
            </w:r>
          </w:p>
          <w:p w14:paraId="3942FBC9">
            <w:pPr>
              <w:widowControl/>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三、设备配置</w:t>
            </w:r>
          </w:p>
          <w:p w14:paraId="28D602E1">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主机：1台</w:t>
            </w:r>
          </w:p>
          <w:p w14:paraId="40B21181">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旋转架：2只</w:t>
            </w:r>
          </w:p>
          <w:p w14:paraId="586A3CEE">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钢珠匙：1把</w:t>
            </w:r>
          </w:p>
          <w:p w14:paraId="69195DBC">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国标试杯：24只</w:t>
            </w:r>
          </w:p>
          <w:p w14:paraId="1CBD9C6E">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两杯：1只  （100ml）</w:t>
            </w:r>
          </w:p>
          <w:p w14:paraId="008939C6">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不锈钢珠：150粒（φ6mm） </w:t>
            </w:r>
          </w:p>
          <w:p w14:paraId="5D5533D5">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进水管：1只</w:t>
            </w:r>
          </w:p>
          <w:p w14:paraId="1FBFE9C4">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试杯橡皮密封圈：12只（备件</w:t>
            </w:r>
          </w:p>
          <w:p w14:paraId="7FBCBFF0">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四、售后服务：</w:t>
            </w:r>
          </w:p>
          <w:p w14:paraId="4A212A4B">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4FDC77BA">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4237484F">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1台</w:t>
            </w:r>
          </w:p>
        </w:tc>
        <w:tc>
          <w:tcPr>
            <w:tcW w:w="723" w:type="dxa"/>
            <w:vAlign w:val="center"/>
          </w:tcPr>
          <w:p w14:paraId="1A42FBF5">
            <w:pPr>
              <w:widowControl/>
              <w:jc w:val="center"/>
              <w:textAlignment w:val="top"/>
              <w:rPr>
                <w:rFonts w:asciiTheme="minorEastAsia" w:hAnsiTheme="minorEastAsia" w:eastAsiaTheme="minorEastAsia" w:cstheme="minorEastAsia"/>
                <w:color w:val="auto"/>
                <w:szCs w:val="21"/>
              </w:rPr>
            </w:pPr>
          </w:p>
        </w:tc>
        <w:tc>
          <w:tcPr>
            <w:tcW w:w="641" w:type="dxa"/>
            <w:vAlign w:val="center"/>
          </w:tcPr>
          <w:p w14:paraId="43981607">
            <w:pPr>
              <w:widowControl w:val="0"/>
              <w:jc w:val="center"/>
              <w:rPr>
                <w:rFonts w:asciiTheme="minorEastAsia" w:hAnsiTheme="minorEastAsia" w:eastAsiaTheme="minorEastAsia" w:cstheme="minorEastAsia"/>
                <w:color w:val="auto"/>
                <w:szCs w:val="21"/>
              </w:rPr>
            </w:pPr>
          </w:p>
        </w:tc>
        <w:tc>
          <w:tcPr>
            <w:tcW w:w="655" w:type="dxa"/>
            <w:vAlign w:val="center"/>
          </w:tcPr>
          <w:p w14:paraId="506AEBE7">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76D6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603" w:type="dxa"/>
            <w:vAlign w:val="center"/>
          </w:tcPr>
          <w:p w14:paraId="12851852">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22</w:t>
            </w:r>
          </w:p>
        </w:tc>
        <w:tc>
          <w:tcPr>
            <w:tcW w:w="1294" w:type="dxa"/>
            <w:vAlign w:val="center"/>
          </w:tcPr>
          <w:p w14:paraId="3981BA67">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色牢度烘箱</w:t>
            </w:r>
          </w:p>
        </w:tc>
        <w:tc>
          <w:tcPr>
            <w:tcW w:w="645" w:type="dxa"/>
            <w:vAlign w:val="center"/>
          </w:tcPr>
          <w:p w14:paraId="7F6DC35A">
            <w:pPr>
              <w:widowControl w:val="0"/>
              <w:rPr>
                <w:rFonts w:asciiTheme="minorEastAsia" w:hAnsiTheme="minorEastAsia" w:eastAsiaTheme="minorEastAsia" w:cstheme="minorEastAsia"/>
                <w:color w:val="auto"/>
                <w:sz w:val="24"/>
              </w:rPr>
            </w:pPr>
          </w:p>
        </w:tc>
        <w:tc>
          <w:tcPr>
            <w:tcW w:w="3995" w:type="dxa"/>
          </w:tcPr>
          <w:p w14:paraId="1377885E">
            <w:pPr>
              <w:widowControl/>
              <w:numPr>
                <w:ilvl w:val="0"/>
                <w:numId w:val="14"/>
              </w:numPr>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设备用途</w:t>
            </w:r>
          </w:p>
          <w:p w14:paraId="37B4432E">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用于各种纺织品料的干燥、含水率测试及高温等试验。 执行标准：GB/T3922-2013 《色牢度试验 耐汗渍色牢度》；GB/T5713-2013；GB/T5714-2019；GB/T18886-2019；GB8965.1-2009 等标准。</w:t>
            </w:r>
          </w:p>
          <w:p w14:paraId="22FC1E9B">
            <w:pPr>
              <w:widowControl/>
              <w:numPr>
                <w:ilvl w:val="0"/>
                <w:numId w:val="14"/>
              </w:numPr>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技术要求</w:t>
            </w:r>
          </w:p>
          <w:p w14:paraId="2C9D1F7C">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1、箱体内外采用优质钢板； 2、门带观察窗； 3、微电脑智能数显控温仪、同时显示设定温度和箱内温度； 4、具有超温过热、漏电、传感器故障报警功能，定时功能； 5、采用低噪声风机和合适风道组成热风循环系统； </w:t>
            </w:r>
          </w:p>
          <w:p w14:paraId="6BA40942">
            <w:pPr>
              <w:widowControl/>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三、技术参数</w:t>
            </w:r>
          </w:p>
          <w:p w14:paraId="36D11A97">
            <w:pPr>
              <w:widowControl/>
              <w:textAlignment w:val="top"/>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1、温度控制范围及精度: RT+10-300℃</w:t>
            </w:r>
          </w:p>
          <w:p w14:paraId="4F4CDDF1">
            <w:pPr>
              <w:widowControl/>
              <w:textAlignment w:val="top"/>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2、温度分辨率及波动度：0.1；±0.5℃； 3、工作室尺寸:≥ 450</w:t>
            </w:r>
            <w:r>
              <w:rPr>
                <w:rFonts w:hint="eastAsia" w:asciiTheme="minorEastAsia" w:hAnsiTheme="minorEastAsia" w:eastAsiaTheme="minorEastAsia" w:cstheme="minorEastAsia"/>
                <w:color w:val="auto"/>
                <w:szCs w:val="21"/>
                <w:lang w:val="en-US" w:eastAsia="zh-CN"/>
              </w:rPr>
              <w:t>mm</w:t>
            </w:r>
            <w:r>
              <w:rPr>
                <w:rFonts w:hint="eastAsia" w:asciiTheme="minorEastAsia" w:hAnsiTheme="minorEastAsia" w:eastAsiaTheme="minorEastAsia" w:cstheme="minorEastAsia"/>
                <w:color w:val="auto"/>
                <w:szCs w:val="21"/>
              </w:rPr>
              <w:t>×500</w:t>
            </w:r>
            <w:r>
              <w:rPr>
                <w:rFonts w:hint="eastAsia" w:asciiTheme="minorEastAsia" w:hAnsiTheme="minorEastAsia" w:eastAsiaTheme="minorEastAsia" w:cstheme="minorEastAsia"/>
                <w:color w:val="auto"/>
                <w:szCs w:val="21"/>
                <w:lang w:val="en-US" w:eastAsia="zh-CN"/>
              </w:rPr>
              <w:t>mm</w:t>
            </w:r>
            <w:r>
              <w:rPr>
                <w:rFonts w:hint="eastAsia" w:asciiTheme="minorEastAsia" w:hAnsiTheme="minorEastAsia" w:eastAsiaTheme="minorEastAsia" w:cstheme="minorEastAsia"/>
                <w:color w:val="auto"/>
                <w:szCs w:val="21"/>
              </w:rPr>
              <w:t>×550</w:t>
            </w:r>
            <w:r>
              <w:rPr>
                <w:rFonts w:hint="eastAsia" w:asciiTheme="minorEastAsia" w:hAnsiTheme="minorEastAsia" w:eastAsiaTheme="minorEastAsia" w:cstheme="minorEastAsia"/>
                <w:color w:val="auto"/>
                <w:szCs w:val="21"/>
                <w:lang w:val="en-US" w:eastAsia="zh-CN"/>
              </w:rPr>
              <w:t>mm</w:t>
            </w:r>
            <w:r>
              <w:rPr>
                <w:rFonts w:hint="eastAsia" w:asciiTheme="minorEastAsia" w:hAnsiTheme="minorEastAsia" w:eastAsiaTheme="minorEastAsia" w:cstheme="minorEastAsia"/>
                <w:color w:val="auto"/>
                <w:szCs w:val="21"/>
              </w:rPr>
              <w:t xml:space="preserve"> (L×W×H)； </w:t>
            </w:r>
          </w:p>
          <w:p w14:paraId="1B4B4527">
            <w:pPr>
              <w:widowControl/>
              <w:textAlignment w:val="top"/>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4、产品具有测量温度达到设定温度的定时恒温功能； </w:t>
            </w:r>
          </w:p>
          <w:p w14:paraId="7D238418">
            <w:pPr>
              <w:widowControl/>
              <w:textAlignment w:val="top"/>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5、定时范围：0～999min； </w:t>
            </w:r>
          </w:p>
          <w:p w14:paraId="5DA1A832">
            <w:pPr>
              <w:widowControl/>
              <w:textAlignment w:val="top"/>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、两层不锈钢网架；</w:t>
            </w:r>
          </w:p>
          <w:p w14:paraId="18B95080">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、提供投标设备完整的中文教学视频</w:t>
            </w:r>
          </w:p>
          <w:p w14:paraId="12E7623A">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四、售后服务</w:t>
            </w:r>
          </w:p>
          <w:p w14:paraId="5FB5B356">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5860D349">
            <w:pPr>
              <w:widowControl/>
              <w:textAlignment w:val="top"/>
              <w:rPr>
                <w:rFonts w:asciiTheme="minorEastAsia" w:hAnsiTheme="minorEastAsia" w:eastAsiaTheme="minorEastAsia" w:cstheme="minorEastAsia"/>
                <w:strike/>
                <w:color w:val="auto"/>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766E5B58">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1台</w:t>
            </w:r>
          </w:p>
        </w:tc>
        <w:tc>
          <w:tcPr>
            <w:tcW w:w="723" w:type="dxa"/>
            <w:vAlign w:val="center"/>
          </w:tcPr>
          <w:p w14:paraId="17D5F7E3">
            <w:pPr>
              <w:widowControl/>
              <w:jc w:val="center"/>
              <w:textAlignment w:val="top"/>
              <w:rPr>
                <w:rFonts w:asciiTheme="minorEastAsia" w:hAnsiTheme="minorEastAsia" w:eastAsiaTheme="minorEastAsia" w:cstheme="minorEastAsia"/>
                <w:color w:val="auto"/>
                <w:szCs w:val="21"/>
              </w:rPr>
            </w:pPr>
          </w:p>
        </w:tc>
        <w:tc>
          <w:tcPr>
            <w:tcW w:w="641" w:type="dxa"/>
            <w:vAlign w:val="center"/>
          </w:tcPr>
          <w:p w14:paraId="5717C8A7">
            <w:pPr>
              <w:widowControl w:val="0"/>
              <w:jc w:val="center"/>
              <w:rPr>
                <w:rFonts w:asciiTheme="minorEastAsia" w:hAnsiTheme="minorEastAsia" w:eastAsiaTheme="minorEastAsia" w:cstheme="minorEastAsia"/>
                <w:color w:val="auto"/>
                <w:szCs w:val="21"/>
              </w:rPr>
            </w:pPr>
          </w:p>
        </w:tc>
        <w:tc>
          <w:tcPr>
            <w:tcW w:w="655" w:type="dxa"/>
            <w:vAlign w:val="center"/>
          </w:tcPr>
          <w:p w14:paraId="033DC4DC">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41B1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603" w:type="dxa"/>
            <w:vAlign w:val="center"/>
          </w:tcPr>
          <w:p w14:paraId="375A63E5">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23</w:t>
            </w:r>
          </w:p>
        </w:tc>
        <w:tc>
          <w:tcPr>
            <w:tcW w:w="1294" w:type="dxa"/>
            <w:vAlign w:val="center"/>
          </w:tcPr>
          <w:p w14:paraId="1D742971">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汗渍色牢度仪</w:t>
            </w:r>
          </w:p>
        </w:tc>
        <w:tc>
          <w:tcPr>
            <w:tcW w:w="645" w:type="dxa"/>
            <w:vAlign w:val="center"/>
          </w:tcPr>
          <w:p w14:paraId="760D2618">
            <w:pPr>
              <w:widowControl w:val="0"/>
              <w:jc w:val="center"/>
              <w:rPr>
                <w:rFonts w:asciiTheme="minorEastAsia" w:hAnsiTheme="minorEastAsia" w:eastAsiaTheme="minorEastAsia" w:cstheme="minorEastAsia"/>
                <w:color w:val="auto"/>
                <w:sz w:val="28"/>
                <w:szCs w:val="28"/>
              </w:rPr>
            </w:pPr>
          </w:p>
        </w:tc>
        <w:tc>
          <w:tcPr>
            <w:tcW w:w="3995" w:type="dxa"/>
          </w:tcPr>
          <w:p w14:paraId="6D9C49A7">
            <w:pPr>
              <w:widowControl/>
              <w:numPr>
                <w:ilvl w:val="0"/>
                <w:numId w:val="15"/>
              </w:numPr>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设备用途</w:t>
            </w:r>
          </w:p>
          <w:p w14:paraId="361336D3">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用于各类纺织品的耐汗渍色牢度试验和测定各类着色、有色纺织品的耐水、耐海水、耐唾液色牢度性能。执行标准GB/T3922-2013 《 纺织品  色牢度试验 耐汗渍色牢度》 </w:t>
            </w:r>
          </w:p>
          <w:p w14:paraId="054AA624">
            <w:pPr>
              <w:widowControl/>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二、技术参数</w:t>
            </w:r>
          </w:p>
          <w:p w14:paraId="6B0B9B9D">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1．重锤：45N±1％；5N±1％</w:t>
            </w:r>
          </w:p>
          <w:p w14:paraId="7346E296">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2．夹板尺寸：(115×60×1.5)mm</w:t>
            </w:r>
          </w:p>
          <w:p w14:paraId="5D15ABDA">
            <w:pPr>
              <w:widowControl/>
              <w:textAlignment w:val="top"/>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压强: GB:12.5kPa;AATCC:12kPa</w:t>
            </w:r>
          </w:p>
          <w:p w14:paraId="6F0B60E1">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4.提供投标设备完整的中文教学视频</w:t>
            </w:r>
          </w:p>
          <w:p w14:paraId="01EB6139">
            <w:pPr>
              <w:widowControl/>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三、售后服务</w:t>
            </w:r>
          </w:p>
          <w:p w14:paraId="06A6797B">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7032F207">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1C453219">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2个</w:t>
            </w:r>
          </w:p>
        </w:tc>
        <w:tc>
          <w:tcPr>
            <w:tcW w:w="723" w:type="dxa"/>
            <w:vAlign w:val="center"/>
          </w:tcPr>
          <w:p w14:paraId="7ED7D1A1">
            <w:pPr>
              <w:widowControl/>
              <w:jc w:val="center"/>
              <w:textAlignment w:val="top"/>
              <w:rPr>
                <w:rFonts w:asciiTheme="minorEastAsia" w:hAnsiTheme="minorEastAsia" w:eastAsiaTheme="minorEastAsia" w:cstheme="minorEastAsia"/>
                <w:color w:val="auto"/>
                <w:szCs w:val="21"/>
              </w:rPr>
            </w:pPr>
          </w:p>
        </w:tc>
        <w:tc>
          <w:tcPr>
            <w:tcW w:w="641" w:type="dxa"/>
            <w:vAlign w:val="center"/>
          </w:tcPr>
          <w:p w14:paraId="56DD6147">
            <w:pPr>
              <w:widowControl w:val="0"/>
              <w:jc w:val="center"/>
              <w:rPr>
                <w:rFonts w:asciiTheme="minorEastAsia" w:hAnsiTheme="minorEastAsia" w:eastAsiaTheme="minorEastAsia" w:cstheme="minorEastAsia"/>
                <w:color w:val="auto"/>
                <w:szCs w:val="21"/>
              </w:rPr>
            </w:pPr>
          </w:p>
        </w:tc>
        <w:tc>
          <w:tcPr>
            <w:tcW w:w="655" w:type="dxa"/>
            <w:vAlign w:val="center"/>
          </w:tcPr>
          <w:p w14:paraId="2DA2273E">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25C9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03" w:type="dxa"/>
            <w:vAlign w:val="center"/>
          </w:tcPr>
          <w:p w14:paraId="74B6C6F9">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24</w:t>
            </w:r>
          </w:p>
        </w:tc>
        <w:tc>
          <w:tcPr>
            <w:tcW w:w="1294" w:type="dxa"/>
            <w:vAlign w:val="center"/>
          </w:tcPr>
          <w:p w14:paraId="4254090C">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标准光源箱</w:t>
            </w:r>
          </w:p>
        </w:tc>
        <w:tc>
          <w:tcPr>
            <w:tcW w:w="645" w:type="dxa"/>
            <w:vAlign w:val="center"/>
          </w:tcPr>
          <w:p w14:paraId="7578A568">
            <w:pPr>
              <w:widowControl w:val="0"/>
              <w:jc w:val="center"/>
              <w:rPr>
                <w:rFonts w:asciiTheme="minorEastAsia" w:hAnsiTheme="minorEastAsia" w:eastAsiaTheme="minorEastAsia" w:cstheme="minorEastAsia"/>
                <w:color w:val="auto"/>
                <w:sz w:val="28"/>
                <w:szCs w:val="28"/>
              </w:rPr>
            </w:pPr>
          </w:p>
        </w:tc>
        <w:tc>
          <w:tcPr>
            <w:tcW w:w="3995" w:type="dxa"/>
          </w:tcPr>
          <w:p w14:paraId="16A0F2C2">
            <w:pPr>
              <w:widowControl/>
              <w:numPr>
                <w:ilvl w:val="0"/>
                <w:numId w:val="16"/>
              </w:numPr>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设备用途</w:t>
            </w:r>
          </w:p>
          <w:p w14:paraId="0A5E4384">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用于纺织、服装的色牢度评定及颜色的异谱同色程度的评定。执行标准：FZ/T01047《目测评定纺织品色牢度用标准光源评定》  </w:t>
            </w:r>
          </w:p>
          <w:p w14:paraId="286E3663">
            <w:pPr>
              <w:widowControl/>
              <w:numPr>
                <w:ilvl w:val="0"/>
                <w:numId w:val="16"/>
              </w:numPr>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技术参数</w:t>
            </w:r>
          </w:p>
          <w:p w14:paraId="7322A745">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光源</w:t>
            </w:r>
          </w:p>
          <w:p w14:paraId="43AE0D2E">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D65光源  色温6500±200K</w:t>
            </w:r>
          </w:p>
          <w:p w14:paraId="26B0B668">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显色指数Ra≥95</w:t>
            </w:r>
          </w:p>
          <w:p w14:paraId="006D2A1F">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A光源     色温2700K</w:t>
            </w:r>
          </w:p>
          <w:p w14:paraId="1EF37B2B">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或F光源   色温2700K</w:t>
            </w:r>
          </w:p>
          <w:p w14:paraId="2C1AEB8F">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TL84荧光灯 色温4000K</w:t>
            </w:r>
          </w:p>
          <w:p w14:paraId="00040810">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CWF荧光灯  色温4200K</w:t>
            </w:r>
          </w:p>
          <w:p w14:paraId="1E5A469B">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U30光源    色温3000K</w:t>
            </w:r>
          </w:p>
          <w:p w14:paraId="7E2B9896">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UV光源 峰值波长365mm</w:t>
            </w:r>
          </w:p>
          <w:p w14:paraId="07C86925">
            <w:pPr>
              <w:widowControl/>
              <w:textAlignment w:val="top"/>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电源  AC220V±10% 50Hz</w:t>
            </w:r>
          </w:p>
          <w:p w14:paraId="1D3B4C8A">
            <w:pPr>
              <w:widowControl/>
              <w:textAlignment w:val="top"/>
              <w:rPr>
                <w:rFonts w:asciiTheme="minorEastAsia" w:hAnsiTheme="minorEastAsia" w:eastAsiaTheme="minorEastAsia" w:cstheme="minorEastAsia"/>
                <w:color w:val="auto"/>
                <w:szCs w:val="21"/>
              </w:rPr>
            </w:pPr>
            <w:bookmarkStart w:id="34" w:name="OLE_LINK14"/>
            <w:r>
              <w:rPr>
                <w:rFonts w:hint="eastAsia" w:asciiTheme="minorEastAsia" w:hAnsiTheme="minorEastAsia" w:eastAsiaTheme="minorEastAsia" w:cstheme="minorEastAsia"/>
                <w:color w:val="auto"/>
                <w:szCs w:val="21"/>
              </w:rPr>
              <w:t>提供投标设备完整的中文教学视频</w:t>
            </w:r>
          </w:p>
          <w:bookmarkEnd w:id="34"/>
          <w:p w14:paraId="41E4C898">
            <w:pPr>
              <w:widowControl/>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三、仪器配置</w:t>
            </w:r>
          </w:p>
          <w:p w14:paraId="47BE3905">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麦克贝斯18W</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 xml:space="preserve">2  </w:t>
            </w:r>
          </w:p>
          <w:p w14:paraId="3067BFA6">
            <w:pPr>
              <w:widowControl/>
              <w:textAlignment w:val="top"/>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 xml:space="preserve">TL84 灯管  </w:t>
            </w:r>
            <w:r>
              <w:rPr>
                <w:rFonts w:hint="eastAsia" w:asciiTheme="minorEastAsia" w:hAnsiTheme="minorEastAsia" w:eastAsiaTheme="minorEastAsia" w:cstheme="minorEastAsia"/>
                <w:color w:val="auto"/>
                <w:szCs w:val="21"/>
                <w:lang w:val="en-US" w:eastAsia="zh-CN"/>
              </w:rPr>
              <w:t xml:space="preserve">    2</w:t>
            </w:r>
          </w:p>
          <w:p w14:paraId="0886D038">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UV 灯管18W</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 xml:space="preserve">2 </w:t>
            </w:r>
          </w:p>
          <w:p w14:paraId="6CE7102F">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CWF 灯管18W</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 xml:space="preserve">2  </w:t>
            </w:r>
          </w:p>
          <w:p w14:paraId="73F40B49">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F灯泡18W</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4</w:t>
            </w:r>
          </w:p>
          <w:p w14:paraId="2F2E13C8">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830 灯管18W</w:t>
            </w:r>
            <w:r>
              <w:rPr>
                <w:rFonts w:hint="eastAsia" w:asciiTheme="minorEastAsia" w:hAnsiTheme="minorEastAsia" w:eastAsiaTheme="minorEastAsia" w:cstheme="minorEastAsia"/>
                <w:color w:val="auto"/>
                <w:szCs w:val="21"/>
                <w:lang w:val="en-US" w:eastAsia="zh-CN"/>
              </w:rPr>
              <w:t xml:space="preserve">    4</w:t>
            </w:r>
          </w:p>
          <w:p w14:paraId="451D6A7D">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产品质量跟踪信息反馈单</w:t>
            </w:r>
          </w:p>
          <w:p w14:paraId="2250BCB0">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计量校准证书</w:t>
            </w:r>
          </w:p>
          <w:p w14:paraId="7FFDE10D">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四、售后服务：</w:t>
            </w:r>
          </w:p>
          <w:p w14:paraId="6DE52902">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6281CF54">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625DD20B">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1台</w:t>
            </w:r>
          </w:p>
        </w:tc>
        <w:tc>
          <w:tcPr>
            <w:tcW w:w="723" w:type="dxa"/>
            <w:vAlign w:val="center"/>
          </w:tcPr>
          <w:p w14:paraId="4BE84AE2">
            <w:pPr>
              <w:widowControl/>
              <w:jc w:val="center"/>
              <w:textAlignment w:val="top"/>
              <w:rPr>
                <w:rFonts w:asciiTheme="minorEastAsia" w:hAnsiTheme="minorEastAsia" w:eastAsiaTheme="minorEastAsia" w:cstheme="minorEastAsia"/>
                <w:color w:val="auto"/>
                <w:szCs w:val="21"/>
              </w:rPr>
            </w:pPr>
          </w:p>
        </w:tc>
        <w:tc>
          <w:tcPr>
            <w:tcW w:w="641" w:type="dxa"/>
            <w:vAlign w:val="center"/>
          </w:tcPr>
          <w:p w14:paraId="120F2BA4">
            <w:pPr>
              <w:widowControl w:val="0"/>
              <w:jc w:val="center"/>
              <w:rPr>
                <w:rFonts w:asciiTheme="minorEastAsia" w:hAnsiTheme="minorEastAsia" w:eastAsiaTheme="minorEastAsia" w:cstheme="minorEastAsia"/>
                <w:color w:val="auto"/>
                <w:szCs w:val="21"/>
              </w:rPr>
            </w:pPr>
          </w:p>
        </w:tc>
        <w:tc>
          <w:tcPr>
            <w:tcW w:w="655" w:type="dxa"/>
            <w:vAlign w:val="center"/>
          </w:tcPr>
          <w:p w14:paraId="5DD802A5">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66DF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03" w:type="dxa"/>
            <w:vAlign w:val="center"/>
          </w:tcPr>
          <w:p w14:paraId="3FC4012A">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25</w:t>
            </w:r>
          </w:p>
        </w:tc>
        <w:tc>
          <w:tcPr>
            <w:tcW w:w="1294" w:type="dxa"/>
            <w:vAlign w:val="center"/>
          </w:tcPr>
          <w:p w14:paraId="493791F7">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皂洗色牢度自动配液系统</w:t>
            </w:r>
          </w:p>
        </w:tc>
        <w:tc>
          <w:tcPr>
            <w:tcW w:w="645" w:type="dxa"/>
            <w:vAlign w:val="center"/>
          </w:tcPr>
          <w:p w14:paraId="220D2ED5">
            <w:pPr>
              <w:widowControl w:val="0"/>
              <w:rPr>
                <w:rFonts w:asciiTheme="minorEastAsia" w:hAnsiTheme="minorEastAsia" w:eastAsiaTheme="minorEastAsia" w:cstheme="minorEastAsia"/>
                <w:color w:val="auto"/>
                <w:szCs w:val="21"/>
              </w:rPr>
            </w:pPr>
          </w:p>
        </w:tc>
        <w:tc>
          <w:tcPr>
            <w:tcW w:w="3995" w:type="dxa"/>
          </w:tcPr>
          <w:p w14:paraId="74604E63">
            <w:pPr>
              <w:widowControl/>
              <w:numPr>
                <w:ilvl w:val="0"/>
                <w:numId w:val="17"/>
              </w:numP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设备用途</w:t>
            </w:r>
          </w:p>
          <w:p w14:paraId="3503AEB7">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用于服装面料耐皂洗色牢度试验，执行标准：GB18401-2010《国家纺织产品基本安全技术规范》、GB/T3921-2008《 纺织品 色牢度试验 耐皂洗色牢度》。</w:t>
            </w:r>
          </w:p>
          <w:p w14:paraId="061718DB">
            <w:pPr>
              <w:widowControl/>
              <w:numPr>
                <w:ilvl w:val="0"/>
                <w:numId w:val="17"/>
              </w:numP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技术指标</w:t>
            </w:r>
          </w:p>
          <w:p w14:paraId="6CCA3F9B">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1.操作简便，试验人员仅需放置组合试样至称重台，自动去皮、自动注液即完成整个流程。无需人工参与；</w:t>
            </w:r>
          </w:p>
          <w:p w14:paraId="75CED3BF">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2.浴比任意设置和定量模式两种可选；</w:t>
            </w:r>
          </w:p>
          <w:p w14:paraId="06550D9D">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3.大流量泵注液，高效准确，加皂液精度±0.5ml；</w:t>
            </w:r>
          </w:p>
          <w:p w14:paraId="41EE0B6B">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4.触摸屏</w:t>
            </w:r>
          </w:p>
          <w:p w14:paraId="273A4C22">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5.配有自动排料系统，保证管道清洁，配三种液体进液口；</w:t>
            </w:r>
          </w:p>
          <w:p w14:paraId="4CF53551">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6.配24个重量检测工位。自动保存记录；</w:t>
            </w:r>
          </w:p>
          <w:p w14:paraId="0A986661">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7.温度传感器：Pt100，1/3</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B；</w:t>
            </w:r>
          </w:p>
          <w:p w14:paraId="61585947">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8.控温范围：环境温度+5℃…/150℃（和浴液体积有关）；</w:t>
            </w:r>
          </w:p>
          <w:p w14:paraId="2EDDD801">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9.显示分辨精度：0.01℃；</w:t>
            </w:r>
          </w:p>
          <w:p w14:paraId="6F94332B">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10.测温误差：&lt;0.05%F.S；</w:t>
            </w:r>
          </w:p>
          <w:p w14:paraId="0F0F0969">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11.控温精度：±0.02；</w:t>
            </w:r>
          </w:p>
          <w:p w14:paraId="05F21B6C">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12.搅拌可调：无刷电机（1.2-1.5N.m，空载最大转速2200转/分钟）；</w:t>
            </w:r>
          </w:p>
          <w:p w14:paraId="07644409">
            <w:pPr>
              <w:widowControl/>
              <w:textAlignment w:val="top"/>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13.加热功率：1KW/1.5KW；</w:t>
            </w:r>
          </w:p>
          <w:p w14:paraId="7F874A04">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w:t>
            </w:r>
            <w:bookmarkStart w:id="35" w:name="OLE_LINK16"/>
            <w:bookmarkStart w:id="36" w:name="OLE_LINK15"/>
            <w:r>
              <w:rPr>
                <w:rFonts w:hint="eastAsia" w:asciiTheme="minorEastAsia" w:hAnsiTheme="minorEastAsia" w:eastAsiaTheme="minorEastAsia" w:cstheme="minorEastAsia"/>
                <w:color w:val="auto"/>
                <w:szCs w:val="21"/>
              </w:rPr>
              <w:t>提供投标设备完整的中文教学视频。</w:t>
            </w:r>
            <w:bookmarkEnd w:id="35"/>
            <w:bookmarkEnd w:id="36"/>
          </w:p>
          <w:p w14:paraId="64D45CC7">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三、售后服务：</w:t>
            </w:r>
          </w:p>
          <w:p w14:paraId="188C9799">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6952713B">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49905608">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1台</w:t>
            </w:r>
          </w:p>
        </w:tc>
        <w:tc>
          <w:tcPr>
            <w:tcW w:w="723" w:type="dxa"/>
            <w:vAlign w:val="center"/>
          </w:tcPr>
          <w:p w14:paraId="3DA037B8">
            <w:pPr>
              <w:widowControl/>
              <w:jc w:val="center"/>
              <w:textAlignment w:val="top"/>
              <w:rPr>
                <w:rFonts w:asciiTheme="minorEastAsia" w:hAnsiTheme="minorEastAsia" w:eastAsiaTheme="minorEastAsia" w:cstheme="minorEastAsia"/>
                <w:color w:val="auto"/>
                <w:szCs w:val="21"/>
              </w:rPr>
            </w:pPr>
          </w:p>
        </w:tc>
        <w:tc>
          <w:tcPr>
            <w:tcW w:w="641" w:type="dxa"/>
            <w:vAlign w:val="center"/>
          </w:tcPr>
          <w:p w14:paraId="2E8862A6">
            <w:pPr>
              <w:widowControl w:val="0"/>
              <w:jc w:val="center"/>
              <w:rPr>
                <w:rFonts w:asciiTheme="minorEastAsia" w:hAnsiTheme="minorEastAsia" w:eastAsiaTheme="minorEastAsia" w:cstheme="minorEastAsia"/>
                <w:color w:val="auto"/>
                <w:szCs w:val="21"/>
              </w:rPr>
            </w:pPr>
          </w:p>
        </w:tc>
        <w:tc>
          <w:tcPr>
            <w:tcW w:w="655" w:type="dxa"/>
            <w:vAlign w:val="center"/>
          </w:tcPr>
          <w:p w14:paraId="33BF3610">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726A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603" w:type="dxa"/>
            <w:vAlign w:val="center"/>
          </w:tcPr>
          <w:p w14:paraId="100CE00F">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26</w:t>
            </w:r>
          </w:p>
        </w:tc>
        <w:tc>
          <w:tcPr>
            <w:tcW w:w="1294" w:type="dxa"/>
            <w:vAlign w:val="center"/>
          </w:tcPr>
          <w:p w14:paraId="6B71F2EB">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纤维含量综合计算系统</w:t>
            </w:r>
          </w:p>
        </w:tc>
        <w:tc>
          <w:tcPr>
            <w:tcW w:w="645" w:type="dxa"/>
            <w:vAlign w:val="center"/>
          </w:tcPr>
          <w:p w14:paraId="6FDA584C">
            <w:pPr>
              <w:widowControl w:val="0"/>
              <w:rPr>
                <w:rFonts w:asciiTheme="minorEastAsia" w:hAnsiTheme="minorEastAsia" w:eastAsiaTheme="minorEastAsia" w:cstheme="minorEastAsia"/>
                <w:color w:val="auto"/>
                <w:szCs w:val="21"/>
              </w:rPr>
            </w:pPr>
          </w:p>
        </w:tc>
        <w:tc>
          <w:tcPr>
            <w:tcW w:w="3995" w:type="dxa"/>
          </w:tcPr>
          <w:p w14:paraId="4F402D7E">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一、用途</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rPr>
              <w:t xml:space="preserve">用于计算纺织品检测中混纺样品的纤维含量，可得到混纺纤维的净干含量、结合公定回潮率含量等参数。执行标准：GB/T2910.1《纺织品 定量化学分析 第1部分 试验通则》                     </w:t>
            </w:r>
          </w:p>
          <w:p w14:paraId="0F627F7F">
            <w:pPr>
              <w:widowControl/>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二、功能</w:t>
            </w:r>
          </w:p>
          <w:p w14:paraId="0B7283FB">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可根据不同实验条件，自定义d值、公定回潮率等参数；</w:t>
            </w:r>
          </w:p>
          <w:p w14:paraId="206490ED">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快速检索瓶号，提高实验效率；</w:t>
            </w:r>
          </w:p>
          <w:p w14:paraId="1DE424D4">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自定义纤维溶解组合模板，可快速选取溶解组合，自动显示实验条件；</w:t>
            </w:r>
          </w:p>
          <w:p w14:paraId="1206FB45">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4.多组分（四组分以上）溶解，也可自动使用d值，计算含量结果；</w:t>
            </w:r>
            <w:r>
              <w:rPr>
                <w:rFonts w:hint="eastAsia" w:asciiTheme="minorEastAsia" w:hAnsiTheme="minorEastAsia" w:eastAsiaTheme="minorEastAsia" w:cstheme="minorEastAsia"/>
                <w:color w:val="auto"/>
                <w:szCs w:val="21"/>
              </w:rPr>
              <w:tab/>
            </w:r>
          </w:p>
          <w:p w14:paraId="3F7C4EE8">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5.内置数据存储系统,可在任意时间调阅实验原始记录；</w:t>
            </w:r>
          </w:p>
          <w:p w14:paraId="13DE9742">
            <w:pPr>
              <w:widowControl/>
              <w:textAlignment w:val="top"/>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6.计算结果以EXCEL输出，并提供原始数据及标准报表；</w:t>
            </w:r>
          </w:p>
          <w:p w14:paraId="11E3488A">
            <w:pPr>
              <w:widowControl/>
              <w:textAlignment w:val="top"/>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7.终生可免费升级，免费重装；</w:t>
            </w:r>
          </w:p>
          <w:p w14:paraId="2E1A7D68">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8.提供投标设备完整的中文教学视频。</w:t>
            </w:r>
          </w:p>
          <w:p w14:paraId="0F685033">
            <w:pPr>
              <w:widowControl/>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 xml:space="preserve">三、配件清单 </w:t>
            </w:r>
          </w:p>
          <w:p w14:paraId="65458251">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1、CU纤维含量综合计算软件1套，加密锁1个</w:t>
            </w:r>
          </w:p>
          <w:p w14:paraId="5250EF61">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2、笔记本电脑配置要求：CPU为Intel® Core™ Ultra 7 255H以上，内存容量≥32GB LPDDR5X 8400MT/s，固态硬盘容量≥1TB PCIe 4.0 SSD*，显示屏幕≥16寸，不低于win11系统，全尺寸键盘，四种键盘背光模式，大尺寸触控板。</w:t>
            </w:r>
          </w:p>
          <w:p w14:paraId="12A0E7DF">
            <w:pPr>
              <w:widowControl/>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3、电脑:处理器不低于CPUi5 13代，内存≥32G，固态硬盘≥1TB，系统win11，≥32英寸显示屏，主板附带无线蓝牙功能，三模键鼠</w:t>
            </w:r>
            <w:r>
              <w:rPr>
                <w:rFonts w:hint="eastAsia" w:asciiTheme="minorEastAsia" w:hAnsiTheme="minorEastAsia" w:eastAsiaTheme="minorEastAsia" w:cstheme="minorEastAsia"/>
                <w:color w:val="auto"/>
              </w:rPr>
              <w:t>套装。</w:t>
            </w:r>
          </w:p>
          <w:p w14:paraId="15306F53">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四、售后服务：</w:t>
            </w:r>
          </w:p>
          <w:p w14:paraId="5596C10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4C1DE002">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00D18722">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1台</w:t>
            </w:r>
          </w:p>
        </w:tc>
        <w:tc>
          <w:tcPr>
            <w:tcW w:w="723" w:type="dxa"/>
            <w:vAlign w:val="center"/>
          </w:tcPr>
          <w:p w14:paraId="1545C157">
            <w:pPr>
              <w:widowControl/>
              <w:jc w:val="center"/>
              <w:textAlignment w:val="top"/>
              <w:rPr>
                <w:rFonts w:asciiTheme="minorEastAsia" w:hAnsiTheme="minorEastAsia" w:eastAsiaTheme="minorEastAsia" w:cstheme="minorEastAsia"/>
                <w:color w:val="auto"/>
                <w:szCs w:val="21"/>
              </w:rPr>
            </w:pPr>
          </w:p>
        </w:tc>
        <w:tc>
          <w:tcPr>
            <w:tcW w:w="641" w:type="dxa"/>
            <w:vAlign w:val="center"/>
          </w:tcPr>
          <w:p w14:paraId="431B16E1">
            <w:pPr>
              <w:widowControl w:val="0"/>
              <w:jc w:val="center"/>
              <w:rPr>
                <w:rFonts w:asciiTheme="minorEastAsia" w:hAnsiTheme="minorEastAsia" w:eastAsiaTheme="minorEastAsia" w:cstheme="minorEastAsia"/>
                <w:color w:val="auto"/>
                <w:szCs w:val="21"/>
              </w:rPr>
            </w:pPr>
          </w:p>
        </w:tc>
        <w:tc>
          <w:tcPr>
            <w:tcW w:w="655" w:type="dxa"/>
            <w:vAlign w:val="center"/>
          </w:tcPr>
          <w:p w14:paraId="606E754E">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424B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603" w:type="dxa"/>
            <w:vAlign w:val="center"/>
          </w:tcPr>
          <w:p w14:paraId="759034C2">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27</w:t>
            </w:r>
          </w:p>
        </w:tc>
        <w:tc>
          <w:tcPr>
            <w:tcW w:w="1294" w:type="dxa"/>
            <w:vAlign w:val="center"/>
          </w:tcPr>
          <w:p w14:paraId="20E21D09">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双温冰箱</w:t>
            </w:r>
          </w:p>
        </w:tc>
        <w:tc>
          <w:tcPr>
            <w:tcW w:w="645" w:type="dxa"/>
            <w:vAlign w:val="center"/>
          </w:tcPr>
          <w:p w14:paraId="5AE2AAE6">
            <w:pPr>
              <w:widowControl w:val="0"/>
              <w:rPr>
                <w:rFonts w:asciiTheme="minorEastAsia" w:hAnsiTheme="minorEastAsia" w:eastAsiaTheme="minorEastAsia" w:cstheme="minorEastAsia"/>
                <w:color w:val="auto"/>
                <w:sz w:val="28"/>
                <w:szCs w:val="28"/>
              </w:rPr>
            </w:pPr>
          </w:p>
        </w:tc>
        <w:tc>
          <w:tcPr>
            <w:tcW w:w="3995" w:type="dxa"/>
            <w:shd w:val="clear" w:color="auto" w:fill="auto"/>
          </w:tcPr>
          <w:p w14:paraId="405FF216">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w:t>
            </w:r>
            <w:r>
              <w:rPr>
                <w:rFonts w:hint="eastAsia" w:asciiTheme="minorEastAsia" w:hAnsiTheme="minorEastAsia" w:eastAsiaTheme="minorEastAsia" w:cstheme="minorEastAsia"/>
                <w:b/>
                <w:bCs/>
                <w:color w:val="auto"/>
                <w:szCs w:val="21"/>
              </w:rPr>
              <w:t>、设备用途</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rPr>
              <w:t>用于实验室的药品、试剂、化学用品、生物材料、电子器件及特殊材料的存储。</w:t>
            </w:r>
          </w:p>
          <w:p w14:paraId="025710CE">
            <w:pPr>
              <w:widowControl/>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二、技术指标</w:t>
            </w:r>
          </w:p>
          <w:p w14:paraId="021713A8">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1.上冷藏2～8℃，下冷冻-10～-25℃，精度≤1℃。</w:t>
            </w:r>
          </w:p>
          <w:p w14:paraId="67398426">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3.LED大屏幕显示，24小时监控温度，</w:t>
            </w:r>
            <w:r>
              <w:rPr>
                <w:rFonts w:hint="eastAsia" w:asciiTheme="minorEastAsia" w:hAnsiTheme="minorEastAsia" w:eastAsiaTheme="minorEastAsia" w:cstheme="minorEastAsia"/>
                <w:color w:val="auto"/>
                <w:szCs w:val="21"/>
                <w:lang w:eastAsia="zh-CN"/>
              </w:rPr>
              <w:t>具备</w:t>
            </w:r>
            <w:r>
              <w:rPr>
                <w:rFonts w:hint="eastAsia" w:asciiTheme="minorEastAsia" w:hAnsiTheme="minorEastAsia" w:eastAsiaTheme="minorEastAsia" w:cstheme="minorEastAsia"/>
                <w:color w:val="auto"/>
                <w:szCs w:val="21"/>
              </w:rPr>
              <w:t>温度数据</w:t>
            </w:r>
            <w:r>
              <w:rPr>
                <w:rFonts w:hint="eastAsia" w:asciiTheme="minorEastAsia" w:hAnsiTheme="minorEastAsia" w:eastAsiaTheme="minorEastAsia" w:cstheme="minorEastAsia"/>
                <w:color w:val="auto"/>
                <w:szCs w:val="21"/>
                <w:lang w:eastAsia="zh-CN"/>
              </w:rPr>
              <w:t>存储及</w:t>
            </w:r>
            <w:r>
              <w:rPr>
                <w:rFonts w:hint="eastAsia" w:asciiTheme="minorEastAsia" w:hAnsiTheme="minorEastAsia" w:eastAsiaTheme="minorEastAsia" w:cstheme="minorEastAsia"/>
                <w:color w:val="auto"/>
                <w:szCs w:val="21"/>
              </w:rPr>
              <w:t>USB导出</w:t>
            </w:r>
            <w:r>
              <w:rPr>
                <w:rFonts w:hint="eastAsia" w:asciiTheme="minorEastAsia" w:hAnsiTheme="minorEastAsia" w:eastAsiaTheme="minorEastAsia" w:cstheme="minorEastAsia"/>
                <w:color w:val="auto"/>
                <w:szCs w:val="21"/>
                <w:lang w:eastAsia="zh-CN"/>
              </w:rPr>
              <w:t>功能，</w:t>
            </w:r>
            <w:r>
              <w:rPr>
                <w:rFonts w:hint="eastAsia" w:asciiTheme="minorEastAsia" w:hAnsiTheme="minorEastAsia" w:eastAsiaTheme="minorEastAsia" w:cstheme="minorEastAsia"/>
                <w:color w:val="auto"/>
                <w:szCs w:val="21"/>
              </w:rPr>
              <w:t>高温低温故障报警，断电报警，远程报警。</w:t>
            </w:r>
          </w:p>
          <w:p w14:paraId="11D91D2B">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4.双压缩机独立制冷系统，冷藏/冷冻单独显示，可独立开关。</w:t>
            </w:r>
          </w:p>
          <w:p w14:paraId="0EEEB1AA">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5.冷藏和冷冻各具有一个测试孔，具备门锁和钥匙2把。</w:t>
            </w:r>
          </w:p>
          <w:p w14:paraId="17BBFDC9">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6.提供投标设备完整的中文教学视频。</w:t>
            </w:r>
          </w:p>
          <w:p w14:paraId="20000805">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三、售后服务：</w:t>
            </w:r>
          </w:p>
          <w:p w14:paraId="4DF823F9">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2934DA35">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67359A1B">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1台</w:t>
            </w:r>
          </w:p>
        </w:tc>
        <w:tc>
          <w:tcPr>
            <w:tcW w:w="723" w:type="dxa"/>
            <w:vAlign w:val="center"/>
          </w:tcPr>
          <w:p w14:paraId="1DEF07DD">
            <w:pPr>
              <w:widowControl/>
              <w:jc w:val="center"/>
              <w:textAlignment w:val="top"/>
              <w:rPr>
                <w:rFonts w:asciiTheme="minorEastAsia" w:hAnsiTheme="minorEastAsia" w:eastAsiaTheme="minorEastAsia" w:cstheme="minorEastAsia"/>
                <w:color w:val="auto"/>
                <w:szCs w:val="21"/>
              </w:rPr>
            </w:pPr>
          </w:p>
        </w:tc>
        <w:tc>
          <w:tcPr>
            <w:tcW w:w="641" w:type="dxa"/>
            <w:vAlign w:val="center"/>
          </w:tcPr>
          <w:p w14:paraId="204C884E">
            <w:pPr>
              <w:widowControl w:val="0"/>
              <w:jc w:val="center"/>
              <w:rPr>
                <w:rFonts w:asciiTheme="minorEastAsia" w:hAnsiTheme="minorEastAsia" w:eastAsiaTheme="minorEastAsia" w:cstheme="minorEastAsia"/>
                <w:color w:val="auto"/>
                <w:szCs w:val="21"/>
              </w:rPr>
            </w:pPr>
          </w:p>
        </w:tc>
        <w:tc>
          <w:tcPr>
            <w:tcW w:w="655" w:type="dxa"/>
            <w:vAlign w:val="center"/>
          </w:tcPr>
          <w:p w14:paraId="2585AC72">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1140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03" w:type="dxa"/>
            <w:vAlign w:val="center"/>
          </w:tcPr>
          <w:p w14:paraId="59501E68">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28</w:t>
            </w:r>
          </w:p>
        </w:tc>
        <w:tc>
          <w:tcPr>
            <w:tcW w:w="1294" w:type="dxa"/>
            <w:vAlign w:val="center"/>
          </w:tcPr>
          <w:p w14:paraId="6274C7A4">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冰柜</w:t>
            </w:r>
          </w:p>
        </w:tc>
        <w:tc>
          <w:tcPr>
            <w:tcW w:w="645" w:type="dxa"/>
            <w:vAlign w:val="center"/>
          </w:tcPr>
          <w:p w14:paraId="587EF83A">
            <w:pPr>
              <w:widowControl w:val="0"/>
              <w:rPr>
                <w:rFonts w:asciiTheme="minorEastAsia" w:hAnsiTheme="minorEastAsia" w:eastAsiaTheme="minorEastAsia" w:cstheme="minorEastAsia"/>
                <w:color w:val="auto"/>
                <w:sz w:val="28"/>
                <w:szCs w:val="28"/>
              </w:rPr>
            </w:pPr>
          </w:p>
        </w:tc>
        <w:tc>
          <w:tcPr>
            <w:tcW w:w="3995" w:type="dxa"/>
          </w:tcPr>
          <w:p w14:paraId="6C28142D">
            <w:pPr>
              <w:widowControl/>
              <w:numPr>
                <w:ilvl w:val="0"/>
                <w:numId w:val="18"/>
              </w:numPr>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设备用途</w:t>
            </w:r>
          </w:p>
          <w:p w14:paraId="7B456F55">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用于实验室的药品、试剂、化学用品等的存储。</w:t>
            </w:r>
          </w:p>
          <w:p w14:paraId="6B13EFA5">
            <w:pPr>
              <w:widowControl/>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二、技术指标</w:t>
            </w:r>
          </w:p>
          <w:p w14:paraId="6F0FDD43">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1.冷冻-10～-25℃，精度≤1℃。</w:t>
            </w:r>
          </w:p>
          <w:p w14:paraId="30C0E2F6">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2.有效容积：不小于250L。</w:t>
            </w:r>
          </w:p>
          <w:p w14:paraId="60F3FCBE">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 LED大屏幕显示，24小时监控温度，</w:t>
            </w:r>
            <w:r>
              <w:rPr>
                <w:rFonts w:hint="eastAsia" w:asciiTheme="minorEastAsia" w:hAnsiTheme="minorEastAsia" w:eastAsiaTheme="minorEastAsia" w:cstheme="minorEastAsia"/>
                <w:color w:val="auto"/>
                <w:szCs w:val="21"/>
                <w:lang w:eastAsia="zh-CN"/>
              </w:rPr>
              <w:t>具备</w:t>
            </w:r>
            <w:r>
              <w:rPr>
                <w:rFonts w:hint="eastAsia" w:asciiTheme="minorEastAsia" w:hAnsiTheme="minorEastAsia" w:eastAsiaTheme="minorEastAsia" w:cstheme="minorEastAsia"/>
                <w:color w:val="auto"/>
                <w:szCs w:val="21"/>
              </w:rPr>
              <w:t>温度数据</w:t>
            </w:r>
            <w:r>
              <w:rPr>
                <w:rFonts w:hint="eastAsia" w:asciiTheme="minorEastAsia" w:hAnsiTheme="minorEastAsia" w:eastAsiaTheme="minorEastAsia" w:cstheme="minorEastAsia"/>
                <w:color w:val="auto"/>
                <w:szCs w:val="21"/>
                <w:lang w:eastAsia="zh-CN"/>
              </w:rPr>
              <w:t>存储及</w:t>
            </w:r>
            <w:r>
              <w:rPr>
                <w:rFonts w:hint="eastAsia" w:asciiTheme="minorEastAsia" w:hAnsiTheme="minorEastAsia" w:eastAsiaTheme="minorEastAsia" w:cstheme="minorEastAsia"/>
                <w:color w:val="auto"/>
                <w:szCs w:val="21"/>
              </w:rPr>
              <w:t>USB导出</w:t>
            </w:r>
            <w:r>
              <w:rPr>
                <w:rFonts w:hint="eastAsia" w:asciiTheme="minorEastAsia" w:hAnsiTheme="minorEastAsia" w:eastAsiaTheme="minorEastAsia" w:cstheme="minorEastAsia"/>
                <w:color w:val="auto"/>
                <w:szCs w:val="21"/>
                <w:lang w:eastAsia="zh-CN"/>
              </w:rPr>
              <w:t>功能，</w:t>
            </w:r>
            <w:r>
              <w:rPr>
                <w:rFonts w:hint="eastAsia" w:asciiTheme="minorEastAsia" w:hAnsiTheme="minorEastAsia" w:eastAsiaTheme="minorEastAsia" w:cstheme="minorEastAsia"/>
                <w:color w:val="auto"/>
                <w:szCs w:val="21"/>
              </w:rPr>
              <w:t>高温低温故障报警，断电报警，远程报警。</w:t>
            </w:r>
          </w:p>
          <w:p w14:paraId="41622B2E">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4.提供投标设备完整的中文教学视频。</w:t>
            </w:r>
          </w:p>
          <w:p w14:paraId="6846BEA5">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三、售后服务</w:t>
            </w:r>
          </w:p>
          <w:p w14:paraId="57969910">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229DB1E1">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4FB596E1">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1台</w:t>
            </w:r>
          </w:p>
        </w:tc>
        <w:tc>
          <w:tcPr>
            <w:tcW w:w="723" w:type="dxa"/>
            <w:vAlign w:val="center"/>
          </w:tcPr>
          <w:p w14:paraId="38EA8254">
            <w:pPr>
              <w:widowControl/>
              <w:jc w:val="center"/>
              <w:textAlignment w:val="top"/>
              <w:rPr>
                <w:rFonts w:asciiTheme="minorEastAsia" w:hAnsiTheme="minorEastAsia" w:eastAsiaTheme="minorEastAsia" w:cstheme="minorEastAsia"/>
                <w:color w:val="auto"/>
                <w:szCs w:val="21"/>
              </w:rPr>
            </w:pPr>
          </w:p>
        </w:tc>
        <w:tc>
          <w:tcPr>
            <w:tcW w:w="641" w:type="dxa"/>
            <w:vAlign w:val="center"/>
          </w:tcPr>
          <w:p w14:paraId="607F4E2D">
            <w:pPr>
              <w:widowControl w:val="0"/>
              <w:jc w:val="center"/>
              <w:rPr>
                <w:rFonts w:asciiTheme="minorEastAsia" w:hAnsiTheme="minorEastAsia" w:eastAsiaTheme="minorEastAsia" w:cstheme="minorEastAsia"/>
                <w:color w:val="auto"/>
                <w:szCs w:val="21"/>
              </w:rPr>
            </w:pPr>
          </w:p>
        </w:tc>
        <w:tc>
          <w:tcPr>
            <w:tcW w:w="655" w:type="dxa"/>
            <w:vAlign w:val="center"/>
          </w:tcPr>
          <w:p w14:paraId="1C63EF81">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785F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trPr>
        <w:tc>
          <w:tcPr>
            <w:tcW w:w="603" w:type="dxa"/>
            <w:vAlign w:val="center"/>
          </w:tcPr>
          <w:p w14:paraId="197FAD16">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29</w:t>
            </w:r>
          </w:p>
        </w:tc>
        <w:tc>
          <w:tcPr>
            <w:tcW w:w="1294" w:type="dxa"/>
            <w:vAlign w:val="center"/>
          </w:tcPr>
          <w:p w14:paraId="6E655862">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电热恒温鼓风烘箱</w:t>
            </w:r>
          </w:p>
        </w:tc>
        <w:tc>
          <w:tcPr>
            <w:tcW w:w="645" w:type="dxa"/>
            <w:vAlign w:val="center"/>
          </w:tcPr>
          <w:p w14:paraId="4B62DA79">
            <w:pPr>
              <w:widowControl w:val="0"/>
              <w:rPr>
                <w:rFonts w:asciiTheme="minorEastAsia" w:hAnsiTheme="minorEastAsia" w:eastAsiaTheme="minorEastAsia" w:cstheme="minorEastAsia"/>
                <w:color w:val="auto"/>
                <w:sz w:val="28"/>
                <w:szCs w:val="28"/>
              </w:rPr>
            </w:pPr>
          </w:p>
        </w:tc>
        <w:tc>
          <w:tcPr>
            <w:tcW w:w="3995" w:type="dxa"/>
          </w:tcPr>
          <w:p w14:paraId="17F756DA">
            <w:pPr>
              <w:widowControl/>
              <w:textAlignment w:val="top"/>
              <w:rPr>
                <w:rFonts w:asciiTheme="minorEastAsia" w:hAnsiTheme="minorEastAsia" w:eastAsiaTheme="minorEastAsia" w:cstheme="minorEastAsia"/>
                <w:color w:val="auto"/>
                <w:szCs w:val="21"/>
              </w:rPr>
            </w:pPr>
            <w:bookmarkStart w:id="37" w:name="OLE_LINK83"/>
            <w:bookmarkStart w:id="38" w:name="OLE_LINK69"/>
            <w:bookmarkStart w:id="39" w:name="OLE_LINK70"/>
            <w:bookmarkStart w:id="40" w:name="OLE_LINK59"/>
            <w:r>
              <w:rPr>
                <w:rFonts w:hint="eastAsia" w:asciiTheme="minorEastAsia" w:hAnsiTheme="minorEastAsia" w:eastAsiaTheme="minorEastAsia" w:cstheme="minorEastAsia"/>
                <w:b/>
                <w:bCs/>
                <w:color w:val="auto"/>
                <w:szCs w:val="21"/>
              </w:rPr>
              <w:t>一、设备用途</w:t>
            </w:r>
            <w:bookmarkEnd w:id="37"/>
            <w:bookmarkEnd w:id="38"/>
            <w:bookmarkEnd w:id="39"/>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rPr>
              <w:t>用于纺织品纤维含量检验中混纺样品的纤维含量定量化学分析检验。执行标准 GB/T2910.1《纺织品 定量化学分析 第1部分 试验通则》。</w:t>
            </w:r>
          </w:p>
          <w:p w14:paraId="32054850">
            <w:pPr>
              <w:widowControl/>
              <w:textAlignment w:val="top"/>
              <w:rPr>
                <w:rFonts w:asciiTheme="minorEastAsia" w:hAnsiTheme="minorEastAsia" w:eastAsiaTheme="minorEastAsia" w:cstheme="minorEastAsia"/>
                <w:b/>
                <w:bCs/>
                <w:color w:val="auto"/>
                <w:szCs w:val="21"/>
              </w:rPr>
            </w:pPr>
            <w:bookmarkStart w:id="41" w:name="OLE_LINK84"/>
            <w:r>
              <w:rPr>
                <w:rFonts w:hint="eastAsia" w:asciiTheme="minorEastAsia" w:hAnsiTheme="minorEastAsia" w:eastAsiaTheme="minorEastAsia" w:cstheme="minorEastAsia"/>
                <w:b/>
                <w:bCs/>
                <w:color w:val="auto"/>
                <w:szCs w:val="21"/>
              </w:rPr>
              <w:t>二、技术指标</w:t>
            </w:r>
            <w:bookmarkEnd w:id="41"/>
          </w:p>
          <w:p w14:paraId="1C057840">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1.微</w:t>
            </w:r>
            <w:bookmarkEnd w:id="40"/>
            <w:r>
              <w:rPr>
                <w:rFonts w:hint="eastAsia" w:asciiTheme="minorEastAsia" w:hAnsiTheme="minorEastAsia" w:eastAsiaTheme="minorEastAsia" w:cstheme="minorEastAsia"/>
                <w:color w:val="auto"/>
                <w:szCs w:val="21"/>
              </w:rPr>
              <w:t>电脑智能控制器，设定温度后，仪表自行控制加热功率，并显示加热状态。</w:t>
            </w:r>
          </w:p>
          <w:p w14:paraId="5007B61A">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2.超温声光报警并自动切断加热电源。内置两层搁板，高度可自由调节。</w:t>
            </w:r>
          </w:p>
          <w:p w14:paraId="69ED0F03">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3.箱体采用优质冷轧钢板，涂层坚硬、防锈。工作室为不锈钢材料制作。搁板支架可自由装卸。</w:t>
            </w:r>
          </w:p>
          <w:p w14:paraId="19FFE0F8">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4.低噪音专用风机，能在高温下长时间稳定运行；可调式新型进风口，控制箱内进出的空气量。</w:t>
            </w:r>
          </w:p>
          <w:p w14:paraId="70AECEB1">
            <w:pPr>
              <w:widowControl/>
              <w:textAlignment w:val="top"/>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5.容积：≥136L</w:t>
            </w:r>
          </w:p>
          <w:p w14:paraId="740FA9F2">
            <w:pPr>
              <w:widowControl/>
              <w:textAlignment w:val="top"/>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6.</w:t>
            </w:r>
            <w:bookmarkStart w:id="42" w:name="OLE_LINK17"/>
            <w:bookmarkStart w:id="43" w:name="OLE_LINK18"/>
            <w:r>
              <w:rPr>
                <w:rFonts w:hint="eastAsia" w:asciiTheme="minorEastAsia" w:hAnsiTheme="minorEastAsia" w:eastAsiaTheme="minorEastAsia" w:cstheme="minorEastAsia"/>
                <w:color w:val="auto"/>
                <w:szCs w:val="21"/>
              </w:rPr>
              <w:t>提供投标设备完整的中文教学视频。</w:t>
            </w:r>
            <w:bookmarkEnd w:id="42"/>
            <w:bookmarkEnd w:id="43"/>
          </w:p>
          <w:p w14:paraId="5EF65417">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7.加热方式：不锈钢电加热器</w:t>
            </w:r>
          </w:p>
          <w:tbl>
            <w:tblPr>
              <w:tblStyle w:val="13"/>
              <w:tblW w:w="3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5"/>
              <w:gridCol w:w="1116"/>
              <w:gridCol w:w="1985"/>
            </w:tblGrid>
            <w:tr w14:paraId="0372D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 w:type="dxa"/>
                  <w:vAlign w:val="center"/>
                </w:tcPr>
                <w:p w14:paraId="09012F5F">
                  <w:pPr>
                    <w:widowControl/>
                    <w:textAlignment w:val="top"/>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序号</w:t>
                  </w:r>
                </w:p>
              </w:tc>
              <w:tc>
                <w:tcPr>
                  <w:tcW w:w="1116" w:type="dxa"/>
                  <w:vAlign w:val="center"/>
                </w:tcPr>
                <w:p w14:paraId="54A69CFB">
                  <w:pPr>
                    <w:widowControl/>
                    <w:textAlignment w:val="top"/>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项目</w:t>
                  </w:r>
                </w:p>
              </w:tc>
              <w:tc>
                <w:tcPr>
                  <w:tcW w:w="1985" w:type="dxa"/>
                  <w:tcBorders>
                    <w:left w:val="single" w:color="auto" w:sz="4" w:space="0"/>
                  </w:tcBorders>
                  <w:vAlign w:val="center"/>
                </w:tcPr>
                <w:p w14:paraId="4B140FB6">
                  <w:pPr>
                    <w:widowControl/>
                    <w:textAlignment w:val="top"/>
                    <w:rPr>
                      <w:rFonts w:asciiTheme="minorEastAsia" w:hAnsiTheme="minorEastAsia" w:eastAsiaTheme="minorEastAsia" w:cstheme="minorEastAsia"/>
                      <w:color w:val="auto"/>
                      <w:szCs w:val="21"/>
                      <w:u w:val="single"/>
                    </w:rPr>
                  </w:pPr>
                </w:p>
              </w:tc>
            </w:tr>
            <w:tr w14:paraId="78428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15" w:type="dxa"/>
                  <w:vAlign w:val="center"/>
                </w:tcPr>
                <w:p w14:paraId="24B676AC">
                  <w:pPr>
                    <w:widowControl/>
                    <w:textAlignment w:val="top"/>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1</w:t>
                  </w:r>
                </w:p>
              </w:tc>
              <w:tc>
                <w:tcPr>
                  <w:tcW w:w="1116" w:type="dxa"/>
                  <w:vAlign w:val="center"/>
                </w:tcPr>
                <w:p w14:paraId="6514B05F">
                  <w:pPr>
                    <w:widowControl/>
                    <w:textAlignment w:val="top"/>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容积</w:t>
                  </w:r>
                </w:p>
              </w:tc>
              <w:tc>
                <w:tcPr>
                  <w:tcW w:w="1985" w:type="dxa"/>
                  <w:tcBorders>
                    <w:left w:val="single" w:color="auto" w:sz="4" w:space="0"/>
                  </w:tcBorders>
                  <w:vAlign w:val="center"/>
                </w:tcPr>
                <w:p w14:paraId="442D667D">
                  <w:pPr>
                    <w:widowControl/>
                    <w:textAlignment w:val="top"/>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≥136L</w:t>
                  </w:r>
                </w:p>
              </w:tc>
            </w:tr>
            <w:tr w14:paraId="68F0A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 w:type="dxa"/>
                  <w:vAlign w:val="center"/>
                </w:tcPr>
                <w:p w14:paraId="3494AF63">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1116" w:type="dxa"/>
                  <w:vAlign w:val="center"/>
                </w:tcPr>
                <w:p w14:paraId="756F6410">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控温范围</w:t>
                  </w:r>
                </w:p>
              </w:tc>
              <w:tc>
                <w:tcPr>
                  <w:tcW w:w="1985" w:type="dxa"/>
                  <w:tcBorders>
                    <w:left w:val="single" w:color="auto" w:sz="4" w:space="0"/>
                  </w:tcBorders>
                  <w:vAlign w:val="center"/>
                </w:tcPr>
                <w:p w14:paraId="60EFC57B">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室温+5℃-250℃</w:t>
                  </w:r>
                </w:p>
              </w:tc>
            </w:tr>
            <w:tr w14:paraId="14ECF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 w:type="dxa"/>
                  <w:vAlign w:val="center"/>
                </w:tcPr>
                <w:p w14:paraId="50B9EDC1">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1116" w:type="dxa"/>
                  <w:vAlign w:val="center"/>
                </w:tcPr>
                <w:p w14:paraId="7D998B0C">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温度分辨率</w:t>
                  </w:r>
                </w:p>
              </w:tc>
              <w:tc>
                <w:tcPr>
                  <w:tcW w:w="1985" w:type="dxa"/>
                  <w:tcBorders>
                    <w:left w:val="single" w:color="auto" w:sz="4" w:space="0"/>
                  </w:tcBorders>
                  <w:vAlign w:val="center"/>
                </w:tcPr>
                <w:p w14:paraId="738D003F">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0.1℃</w:t>
                  </w:r>
                </w:p>
              </w:tc>
            </w:tr>
            <w:tr w14:paraId="3FD5B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 w:type="dxa"/>
                  <w:vAlign w:val="center"/>
                </w:tcPr>
                <w:p w14:paraId="587D4C0A">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1116" w:type="dxa"/>
                  <w:vAlign w:val="center"/>
                </w:tcPr>
                <w:p w14:paraId="3332C007">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温度波动度</w:t>
                  </w:r>
                </w:p>
              </w:tc>
              <w:tc>
                <w:tcPr>
                  <w:tcW w:w="1985" w:type="dxa"/>
                  <w:tcBorders>
                    <w:left w:val="single" w:color="auto" w:sz="4" w:space="0"/>
                  </w:tcBorders>
                  <w:vAlign w:val="center"/>
                </w:tcPr>
                <w:p w14:paraId="19A2EB22">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±0.5℃</w:t>
                  </w:r>
                </w:p>
              </w:tc>
            </w:tr>
            <w:tr w14:paraId="7C067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 w:type="dxa"/>
                  <w:vAlign w:val="center"/>
                </w:tcPr>
                <w:p w14:paraId="4C1D2FFA">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1116" w:type="dxa"/>
                  <w:vAlign w:val="center"/>
                </w:tcPr>
                <w:p w14:paraId="22EE2123">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搁板数量</w:t>
                  </w:r>
                </w:p>
              </w:tc>
              <w:tc>
                <w:tcPr>
                  <w:tcW w:w="1985" w:type="dxa"/>
                  <w:tcBorders>
                    <w:left w:val="single" w:color="auto" w:sz="4" w:space="0"/>
                    <w:right w:val="single" w:color="auto" w:sz="4" w:space="0"/>
                  </w:tcBorders>
                  <w:vAlign w:val="center"/>
                </w:tcPr>
                <w:p w14:paraId="70C8CE36">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2块</w:t>
                  </w:r>
                </w:p>
              </w:tc>
            </w:tr>
            <w:tr w14:paraId="75A4D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 w:type="dxa"/>
                  <w:vAlign w:val="center"/>
                </w:tcPr>
                <w:p w14:paraId="1B0EB4B9">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p>
              </w:tc>
              <w:tc>
                <w:tcPr>
                  <w:tcW w:w="1116" w:type="dxa"/>
                  <w:vAlign w:val="center"/>
                </w:tcPr>
                <w:p w14:paraId="1951595C">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工作时间</w:t>
                  </w:r>
                </w:p>
              </w:tc>
              <w:tc>
                <w:tcPr>
                  <w:tcW w:w="1985" w:type="dxa"/>
                  <w:tcBorders>
                    <w:left w:val="single" w:color="auto" w:sz="4" w:space="0"/>
                    <w:right w:val="single" w:color="auto" w:sz="4" w:space="0"/>
                  </w:tcBorders>
                  <w:vAlign w:val="center"/>
                </w:tcPr>
                <w:p w14:paraId="72BDF298">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1-9999min定时或连续</w:t>
                  </w:r>
                </w:p>
              </w:tc>
            </w:tr>
            <w:tr w14:paraId="4AE10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 w:type="dxa"/>
                  <w:vAlign w:val="center"/>
                </w:tcPr>
                <w:p w14:paraId="45C3A77B">
                  <w:pPr>
                    <w:widowControl/>
                    <w:textAlignment w:val="top"/>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7</w:t>
                  </w:r>
                </w:p>
              </w:tc>
              <w:tc>
                <w:tcPr>
                  <w:tcW w:w="1116" w:type="dxa"/>
                  <w:vAlign w:val="center"/>
                </w:tcPr>
                <w:p w14:paraId="4D128EB8">
                  <w:pPr>
                    <w:widowControl/>
                    <w:textAlignment w:val="top"/>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功率</w:t>
                  </w:r>
                </w:p>
              </w:tc>
              <w:tc>
                <w:tcPr>
                  <w:tcW w:w="1985" w:type="dxa"/>
                  <w:tcBorders>
                    <w:left w:val="single" w:color="auto" w:sz="4" w:space="0"/>
                  </w:tcBorders>
                  <w:vAlign w:val="center"/>
                </w:tcPr>
                <w:p w14:paraId="0D394ACB">
                  <w:pPr>
                    <w:widowControl/>
                    <w:textAlignment w:val="top"/>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≤2200W</w:t>
                  </w:r>
                </w:p>
              </w:tc>
            </w:tr>
            <w:tr w14:paraId="658CB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15" w:type="dxa"/>
                  <w:vAlign w:val="center"/>
                </w:tcPr>
                <w:p w14:paraId="5921A763">
                  <w:pPr>
                    <w:widowControl/>
                    <w:textAlignment w:val="top"/>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8</w:t>
                  </w:r>
                </w:p>
              </w:tc>
              <w:tc>
                <w:tcPr>
                  <w:tcW w:w="1116" w:type="dxa"/>
                  <w:vAlign w:val="center"/>
                </w:tcPr>
                <w:p w14:paraId="4AE1B703">
                  <w:pPr>
                    <w:widowControl/>
                    <w:textAlignment w:val="top"/>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工作电源</w:t>
                  </w:r>
                </w:p>
              </w:tc>
              <w:tc>
                <w:tcPr>
                  <w:tcW w:w="1985" w:type="dxa"/>
                  <w:tcBorders>
                    <w:left w:val="single" w:color="auto" w:sz="4" w:space="0"/>
                  </w:tcBorders>
                  <w:vAlign w:val="center"/>
                </w:tcPr>
                <w:p w14:paraId="3FD0EF0A">
                  <w:pPr>
                    <w:widowControl/>
                    <w:textAlignment w:val="top"/>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AC 220V  50Hz</w:t>
                  </w:r>
                </w:p>
              </w:tc>
            </w:tr>
            <w:tr w14:paraId="643C3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 w:type="dxa"/>
                  <w:vAlign w:val="center"/>
                </w:tcPr>
                <w:p w14:paraId="167DDCED">
                  <w:pPr>
                    <w:widowControl/>
                    <w:textAlignment w:val="top"/>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9</w:t>
                  </w:r>
                </w:p>
              </w:tc>
              <w:tc>
                <w:tcPr>
                  <w:tcW w:w="1116" w:type="dxa"/>
                  <w:vAlign w:val="center"/>
                </w:tcPr>
                <w:p w14:paraId="798E4203">
                  <w:pPr>
                    <w:widowControl/>
                    <w:textAlignment w:val="top"/>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工作室尺寸</w:t>
                  </w:r>
                </w:p>
              </w:tc>
              <w:tc>
                <w:tcPr>
                  <w:tcW w:w="1985" w:type="dxa"/>
                  <w:tcBorders>
                    <w:left w:val="single" w:color="auto" w:sz="4" w:space="0"/>
                  </w:tcBorders>
                  <w:vAlign w:val="center"/>
                </w:tcPr>
                <w:p w14:paraId="67AF7867">
                  <w:pPr>
                    <w:widowControl/>
                    <w:textAlignment w:val="top"/>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≥450*550*550mm</w:t>
                  </w:r>
                </w:p>
              </w:tc>
            </w:tr>
          </w:tbl>
          <w:p w14:paraId="1C8080B3">
            <w:pPr>
              <w:pStyle w:val="24"/>
              <w:widowControl/>
              <w:numPr>
                <w:ilvl w:val="0"/>
                <w:numId w:val="19"/>
              </w:numPr>
              <w:ind w:firstLineChars="0"/>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售后服务：</w:t>
            </w:r>
          </w:p>
          <w:p w14:paraId="576DA340">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6BF3347B">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243A57D5">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1台</w:t>
            </w:r>
          </w:p>
        </w:tc>
        <w:tc>
          <w:tcPr>
            <w:tcW w:w="723" w:type="dxa"/>
            <w:vAlign w:val="center"/>
          </w:tcPr>
          <w:p w14:paraId="1B3463E1">
            <w:pPr>
              <w:widowControl/>
              <w:jc w:val="center"/>
              <w:textAlignment w:val="top"/>
              <w:rPr>
                <w:rFonts w:asciiTheme="minorEastAsia" w:hAnsiTheme="minorEastAsia" w:eastAsiaTheme="minorEastAsia" w:cstheme="minorEastAsia"/>
                <w:color w:val="auto"/>
                <w:szCs w:val="21"/>
              </w:rPr>
            </w:pPr>
          </w:p>
        </w:tc>
        <w:tc>
          <w:tcPr>
            <w:tcW w:w="641" w:type="dxa"/>
            <w:vAlign w:val="center"/>
          </w:tcPr>
          <w:p w14:paraId="26D19249">
            <w:pPr>
              <w:widowControl w:val="0"/>
              <w:jc w:val="center"/>
              <w:rPr>
                <w:rFonts w:asciiTheme="minorEastAsia" w:hAnsiTheme="minorEastAsia" w:eastAsiaTheme="minorEastAsia" w:cstheme="minorEastAsia"/>
                <w:color w:val="auto"/>
                <w:szCs w:val="21"/>
              </w:rPr>
            </w:pPr>
          </w:p>
        </w:tc>
        <w:tc>
          <w:tcPr>
            <w:tcW w:w="655" w:type="dxa"/>
            <w:vAlign w:val="center"/>
          </w:tcPr>
          <w:p w14:paraId="24E18FBA">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4878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03" w:type="dxa"/>
            <w:vAlign w:val="center"/>
          </w:tcPr>
          <w:p w14:paraId="34051102">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30</w:t>
            </w:r>
          </w:p>
        </w:tc>
        <w:tc>
          <w:tcPr>
            <w:tcW w:w="1294" w:type="dxa"/>
            <w:vAlign w:val="center"/>
          </w:tcPr>
          <w:p w14:paraId="2791AB9A">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纺织品防紫外性能测试仪</w:t>
            </w:r>
          </w:p>
        </w:tc>
        <w:tc>
          <w:tcPr>
            <w:tcW w:w="645" w:type="dxa"/>
            <w:vAlign w:val="center"/>
          </w:tcPr>
          <w:p w14:paraId="72394D9A">
            <w:pPr>
              <w:widowControl w:val="0"/>
              <w:rPr>
                <w:rFonts w:asciiTheme="minorEastAsia" w:hAnsiTheme="minorEastAsia" w:eastAsiaTheme="minorEastAsia" w:cstheme="minorEastAsia"/>
                <w:color w:val="auto"/>
                <w:sz w:val="28"/>
                <w:szCs w:val="28"/>
              </w:rPr>
            </w:pPr>
          </w:p>
        </w:tc>
        <w:tc>
          <w:tcPr>
            <w:tcW w:w="3995" w:type="dxa"/>
          </w:tcPr>
          <w:p w14:paraId="71B1BAB3">
            <w:pPr>
              <w:widowControl/>
              <w:numPr>
                <w:ilvl w:val="0"/>
                <w:numId w:val="20"/>
              </w:numPr>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设备用途</w:t>
            </w:r>
          </w:p>
          <w:p w14:paraId="0F1782B1">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用于测试纺织品紫外线透过率(UVA、UVB)和紫外线防护系数(UPF)。执行标准 GB/T 18830《纺织品 防紫外线性能的评定》</w:t>
            </w:r>
          </w:p>
          <w:p w14:paraId="04699150">
            <w:pPr>
              <w:widowControl/>
              <w:numPr>
                <w:ilvl w:val="0"/>
                <w:numId w:val="20"/>
              </w:numPr>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技术参数</w:t>
            </w:r>
          </w:p>
          <w:p w14:paraId="7AF2C745">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1、测量范围:</w:t>
            </w:r>
          </w:p>
          <w:p w14:paraId="121BD758">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透过率:0---100%±0.01%</w:t>
            </w:r>
          </w:p>
          <w:p w14:paraId="63AB87CA">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UPF:0---100+</w:t>
            </w:r>
          </w:p>
          <w:p w14:paraId="1D6D526E">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2、波长范围：280——400nm</w:t>
            </w:r>
          </w:p>
          <w:p w14:paraId="632E318A">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3、波长重复性:0.25nm</w:t>
            </w:r>
          </w:p>
          <w:p w14:paraId="2313F2A3">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4、数据间距: ≤5nm</w:t>
            </w:r>
          </w:p>
          <w:p w14:paraId="01D290D6">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5、狭缝宽度:≤5nm</w:t>
            </w:r>
          </w:p>
          <w:p w14:paraId="6265E2D4">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6、样品光束直径:10mm</w:t>
            </w:r>
          </w:p>
          <w:p w14:paraId="37F10F51">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7、试样尺寸：≥Φ45mm</w:t>
            </w:r>
          </w:p>
          <w:p w14:paraId="2B729331">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8、PC控制、自动数据处理，多种图形、报表统计、分析、存储、输出。</w:t>
            </w:r>
          </w:p>
          <w:p w14:paraId="393EFCD7">
            <w:pPr>
              <w:widowControl/>
              <w:textAlignment w:val="top"/>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9、电脑:处理器不低于CPUi5 13代，内存≥32G，固态硬盘≥1TB，系统win11，≥32英寸显示屏，主板附带无线蓝牙功能，三模键鼠套装。 </w:t>
            </w:r>
          </w:p>
          <w:p w14:paraId="4A6FCDFB">
            <w:pPr>
              <w:widowControl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10、彩色打印复印一体机：彩色打印、复印、扫描、wifi连接；</w:t>
            </w:r>
          </w:p>
          <w:p w14:paraId="7455CD45">
            <w:pPr>
              <w:widowControl w:val="0"/>
              <w:jc w:val="left"/>
              <w:rPr>
                <w:rFonts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color w:val="auto"/>
                <w:szCs w:val="21"/>
              </w:rPr>
              <w:t>11、提供投标设备完整的中文教学视频。</w:t>
            </w:r>
          </w:p>
          <w:p w14:paraId="7A0FD5F3">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三、售后服务：</w:t>
            </w:r>
          </w:p>
          <w:p w14:paraId="3C43100F">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1A3E6408">
            <w:pPr>
              <w:widowControl/>
              <w:textAlignment w:val="top"/>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30805042">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1台</w:t>
            </w:r>
          </w:p>
        </w:tc>
        <w:tc>
          <w:tcPr>
            <w:tcW w:w="723" w:type="dxa"/>
            <w:vAlign w:val="center"/>
          </w:tcPr>
          <w:p w14:paraId="46FC604D">
            <w:pPr>
              <w:widowControl/>
              <w:jc w:val="center"/>
              <w:textAlignment w:val="top"/>
              <w:rPr>
                <w:rFonts w:asciiTheme="minorEastAsia" w:hAnsiTheme="minorEastAsia" w:eastAsiaTheme="minorEastAsia" w:cstheme="minorEastAsia"/>
                <w:color w:val="auto"/>
                <w:szCs w:val="21"/>
              </w:rPr>
            </w:pPr>
          </w:p>
        </w:tc>
        <w:tc>
          <w:tcPr>
            <w:tcW w:w="641" w:type="dxa"/>
            <w:vAlign w:val="center"/>
          </w:tcPr>
          <w:p w14:paraId="7B855222">
            <w:pPr>
              <w:widowControl w:val="0"/>
              <w:jc w:val="center"/>
              <w:rPr>
                <w:rFonts w:asciiTheme="minorEastAsia" w:hAnsiTheme="minorEastAsia" w:eastAsiaTheme="minorEastAsia" w:cstheme="minorEastAsia"/>
                <w:color w:val="auto"/>
                <w:szCs w:val="21"/>
              </w:rPr>
            </w:pPr>
          </w:p>
        </w:tc>
        <w:tc>
          <w:tcPr>
            <w:tcW w:w="655" w:type="dxa"/>
            <w:vAlign w:val="center"/>
          </w:tcPr>
          <w:p w14:paraId="7C345644">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78F2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603" w:type="dxa"/>
            <w:vAlign w:val="center"/>
          </w:tcPr>
          <w:p w14:paraId="0BA27E99">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31</w:t>
            </w:r>
          </w:p>
        </w:tc>
        <w:tc>
          <w:tcPr>
            <w:tcW w:w="1294" w:type="dxa"/>
            <w:vAlign w:val="center"/>
          </w:tcPr>
          <w:p w14:paraId="0F4CA559">
            <w:pPr>
              <w:widowControl/>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毛巾吸水性测定仪</w:t>
            </w:r>
          </w:p>
        </w:tc>
        <w:tc>
          <w:tcPr>
            <w:tcW w:w="645" w:type="dxa"/>
            <w:vAlign w:val="center"/>
          </w:tcPr>
          <w:p w14:paraId="704F67E2">
            <w:pPr>
              <w:widowControl w:val="0"/>
              <w:rPr>
                <w:rFonts w:asciiTheme="minorEastAsia" w:hAnsiTheme="minorEastAsia" w:eastAsiaTheme="minorEastAsia" w:cstheme="minorEastAsia"/>
                <w:color w:val="auto"/>
                <w:sz w:val="28"/>
                <w:szCs w:val="28"/>
              </w:rPr>
            </w:pPr>
          </w:p>
        </w:tc>
        <w:tc>
          <w:tcPr>
            <w:tcW w:w="3995" w:type="dxa"/>
          </w:tcPr>
          <w:p w14:paraId="5C82DC45">
            <w:pPr>
              <w:widowControl/>
              <w:jc w:val="left"/>
              <w:textAlignment w:val="top"/>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eastAsia="zh-CN"/>
              </w:rPr>
              <w:t>一、</w:t>
            </w:r>
            <w:r>
              <w:rPr>
                <w:rFonts w:hint="eastAsia" w:asciiTheme="minorEastAsia" w:hAnsiTheme="minorEastAsia" w:eastAsiaTheme="minorEastAsia" w:cstheme="minorEastAsia"/>
                <w:b/>
                <w:bCs/>
                <w:color w:val="auto"/>
                <w:szCs w:val="21"/>
              </w:rPr>
              <w:t>设备用途</w:t>
            </w:r>
          </w:p>
          <w:p w14:paraId="050A3CF0">
            <w:pPr>
              <w:widowControl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用于毛巾产品的吸水性测试。执行标准：GB/T 22799-2019《毛巾产品吸水性测试方法》（B法）</w:t>
            </w:r>
          </w:p>
          <w:p w14:paraId="413CC29D">
            <w:pPr>
              <w:widowControl/>
              <w:jc w:val="left"/>
              <w:textAlignment w:val="top"/>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eastAsia="zh-CN"/>
              </w:rPr>
              <w:t>二、</w:t>
            </w:r>
            <w:r>
              <w:rPr>
                <w:rFonts w:hint="eastAsia" w:asciiTheme="minorEastAsia" w:hAnsiTheme="minorEastAsia" w:eastAsiaTheme="minorEastAsia" w:cstheme="minorEastAsia"/>
                <w:b/>
                <w:bCs/>
                <w:color w:val="auto"/>
                <w:szCs w:val="21"/>
              </w:rPr>
              <w:t>技术参数</w:t>
            </w:r>
          </w:p>
          <w:p w14:paraId="0D5EE9ED">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1、防水圆形卡圈：直径φ150mm；</w:t>
            </w:r>
          </w:p>
          <w:p w14:paraId="798BDBA7">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量筒：50ml；</w:t>
            </w:r>
          </w:p>
          <w:p w14:paraId="1CAA543F">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 漏斗：50ml；</w:t>
            </w:r>
          </w:p>
          <w:p w14:paraId="476E4402">
            <w:pPr>
              <w:widowControl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 前斜挡板角度：60°；、</w:t>
            </w:r>
          </w:p>
          <w:p w14:paraId="1B07E444">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5、提供投标设备完整的中文教学视频。</w:t>
            </w:r>
          </w:p>
          <w:p w14:paraId="6C0A0558">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三、售后服务：</w:t>
            </w:r>
          </w:p>
          <w:p w14:paraId="6C402672">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4D46F087">
            <w:pPr>
              <w:widowControl w:val="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2585D58D">
            <w:pPr>
              <w:widowControl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1台</w:t>
            </w:r>
          </w:p>
        </w:tc>
        <w:tc>
          <w:tcPr>
            <w:tcW w:w="723" w:type="dxa"/>
            <w:vAlign w:val="center"/>
          </w:tcPr>
          <w:p w14:paraId="4084A02C">
            <w:pPr>
              <w:widowControl w:val="0"/>
              <w:jc w:val="center"/>
              <w:rPr>
                <w:rFonts w:asciiTheme="minorEastAsia" w:hAnsiTheme="minorEastAsia" w:eastAsiaTheme="minorEastAsia" w:cstheme="minorEastAsia"/>
                <w:color w:val="auto"/>
                <w:szCs w:val="21"/>
              </w:rPr>
            </w:pPr>
          </w:p>
        </w:tc>
        <w:tc>
          <w:tcPr>
            <w:tcW w:w="641" w:type="dxa"/>
            <w:vAlign w:val="center"/>
          </w:tcPr>
          <w:p w14:paraId="5B303A65">
            <w:pPr>
              <w:widowControl w:val="0"/>
              <w:jc w:val="center"/>
              <w:rPr>
                <w:rFonts w:asciiTheme="minorEastAsia" w:hAnsiTheme="minorEastAsia" w:eastAsiaTheme="minorEastAsia" w:cstheme="minorEastAsia"/>
                <w:color w:val="auto"/>
                <w:szCs w:val="21"/>
              </w:rPr>
            </w:pPr>
          </w:p>
        </w:tc>
        <w:tc>
          <w:tcPr>
            <w:tcW w:w="655" w:type="dxa"/>
            <w:vAlign w:val="center"/>
          </w:tcPr>
          <w:p w14:paraId="3802355B">
            <w:pPr>
              <w:widowControl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767E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603" w:type="dxa"/>
            <w:vAlign w:val="center"/>
          </w:tcPr>
          <w:p w14:paraId="38DC23DB">
            <w:pPr>
              <w:widowContro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32</w:t>
            </w:r>
          </w:p>
        </w:tc>
        <w:tc>
          <w:tcPr>
            <w:tcW w:w="1294" w:type="dxa"/>
            <w:vAlign w:val="center"/>
          </w:tcPr>
          <w:p w14:paraId="6C3FCB64">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十万分之一 天平</w:t>
            </w:r>
          </w:p>
        </w:tc>
        <w:tc>
          <w:tcPr>
            <w:tcW w:w="645" w:type="dxa"/>
            <w:vAlign w:val="center"/>
          </w:tcPr>
          <w:p w14:paraId="3E278CF6">
            <w:pPr>
              <w:widowControl w:val="0"/>
              <w:rPr>
                <w:rFonts w:asciiTheme="minorEastAsia" w:hAnsiTheme="minorEastAsia" w:eastAsiaTheme="minorEastAsia" w:cstheme="minorEastAsia"/>
                <w:color w:val="auto"/>
                <w:sz w:val="28"/>
                <w:szCs w:val="28"/>
              </w:rPr>
            </w:pPr>
          </w:p>
        </w:tc>
        <w:tc>
          <w:tcPr>
            <w:tcW w:w="3995" w:type="dxa"/>
          </w:tcPr>
          <w:p w14:paraId="10607C3F">
            <w:pPr>
              <w:widowControl w:val="0"/>
              <w:spacing w:line="280" w:lineRule="atLeas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
                <w:bCs/>
                <w:color w:val="auto"/>
                <w:szCs w:val="21"/>
              </w:rPr>
              <w:t>一、主要技术参数</w:t>
            </w:r>
            <w:r>
              <w:rPr>
                <w:rFonts w:hint="eastAsia" w:asciiTheme="minorEastAsia" w:hAnsiTheme="minorEastAsia" w:eastAsiaTheme="minorEastAsia" w:cstheme="minorEastAsia"/>
                <w:bCs/>
                <w:color w:val="auto"/>
                <w:szCs w:val="21"/>
              </w:rPr>
              <w:t>:</w:t>
            </w:r>
          </w:p>
          <w:p w14:paraId="3EE7F681">
            <w:pPr>
              <w:widowControl w:val="0"/>
              <w:spacing w:line="280" w:lineRule="atLeas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1、量  程：</w:t>
            </w:r>
            <w:r>
              <w:rPr>
                <w:rFonts w:hint="eastAsia" w:asciiTheme="minorEastAsia" w:hAnsiTheme="minorEastAsia" w:eastAsiaTheme="minorEastAsia" w:cstheme="minorEastAsia"/>
                <w:bCs/>
                <w:color w:val="auto"/>
                <w:szCs w:val="21"/>
                <w:lang w:val="en-US" w:eastAsia="zh-CN"/>
              </w:rPr>
              <w:t>40</w:t>
            </w:r>
            <w:r>
              <w:rPr>
                <w:rFonts w:hint="eastAsia" w:asciiTheme="minorEastAsia" w:hAnsiTheme="minorEastAsia" w:eastAsiaTheme="minorEastAsia" w:cstheme="minorEastAsia"/>
                <w:bCs/>
                <w:color w:val="auto"/>
                <w:szCs w:val="21"/>
              </w:rPr>
              <w:t>/120g</w:t>
            </w:r>
          </w:p>
          <w:p w14:paraId="499E9845">
            <w:pPr>
              <w:widowControl w:val="0"/>
              <w:spacing w:line="280" w:lineRule="atLeas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2、可读性：0.01/0.1mg</w:t>
            </w:r>
          </w:p>
          <w:p w14:paraId="1670F778">
            <w:pPr>
              <w:widowControl w:val="0"/>
              <w:spacing w:line="280" w:lineRule="atLeas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3、重复性：≤±0.02mg（0-40g）； ≤±0.04mg（40-60g）</w:t>
            </w:r>
          </w:p>
          <w:p w14:paraId="228D1054">
            <w:pPr>
              <w:widowControl w:val="0"/>
              <w:spacing w:line="280" w:lineRule="atLeas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4、线  性：≤±0.1mg</w:t>
            </w:r>
          </w:p>
          <w:p w14:paraId="3F12310B">
            <w:pPr>
              <w:widowControl w:val="0"/>
              <w:spacing w:line="280" w:lineRule="atLeast"/>
              <w:rPr>
                <w:rFonts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zCs w:val="21"/>
              </w:rPr>
              <w:t>5、</w:t>
            </w:r>
            <w:r>
              <w:rPr>
                <w:rFonts w:hint="eastAsia" w:asciiTheme="minorEastAsia" w:hAnsiTheme="minorEastAsia" w:eastAsiaTheme="minorEastAsia" w:cstheme="minorEastAsia"/>
                <w:color w:val="auto"/>
              </w:rPr>
              <w:t>全自动校准功能，分析天平可以在预先设定的时间自动进行校准</w:t>
            </w:r>
          </w:p>
          <w:p w14:paraId="0479C3F5">
            <w:pPr>
              <w:pStyle w:val="18"/>
              <w:rPr>
                <w:rFonts w:asciiTheme="minorEastAsia" w:hAnsiTheme="minorEastAsia" w:eastAsiaTheme="minorEastAsia" w:cstheme="minorEastAsia"/>
                <w:b w:val="0"/>
                <w:bCs w:val="0"/>
                <w:color w:val="auto"/>
                <w:szCs w:val="24"/>
              </w:rPr>
            </w:pPr>
            <w:r>
              <w:rPr>
                <w:rFonts w:hint="eastAsia" w:asciiTheme="minorEastAsia" w:hAnsiTheme="minorEastAsia" w:eastAsiaTheme="minorEastAsia" w:cstheme="minorEastAsia"/>
                <w:b/>
                <w:bCs/>
                <w:color w:val="auto"/>
              </w:rPr>
              <w:t>*</w:t>
            </w:r>
            <w:r>
              <w:rPr>
                <w:rFonts w:hint="eastAsia" w:asciiTheme="minorEastAsia" w:hAnsiTheme="minorEastAsia" w:eastAsiaTheme="minorEastAsia" w:cstheme="minorEastAsia"/>
                <w:b w:val="0"/>
                <w:bCs w:val="0"/>
                <w:color w:val="auto"/>
              </w:rPr>
              <w:t>6</w:t>
            </w:r>
            <w:r>
              <w:rPr>
                <w:rFonts w:hint="eastAsia" w:asciiTheme="minorEastAsia" w:hAnsiTheme="minorEastAsia" w:eastAsiaTheme="minorEastAsia" w:cstheme="minorEastAsia"/>
                <w:b w:val="0"/>
                <w:bCs w:val="0"/>
                <w:color w:val="auto"/>
                <w:szCs w:val="24"/>
              </w:rPr>
              <w:t>、自动感应门，可能平稳而快速的开关玻璃门，开关玻璃门方法，带有自动记忆功能</w:t>
            </w:r>
          </w:p>
          <w:p w14:paraId="0B77D663">
            <w:pPr>
              <w:pStyle w:val="20"/>
              <w:widowControl w:val="0"/>
              <w:ind w:firstLine="0" w:firstLineChars="0"/>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zCs w:val="24"/>
              </w:rPr>
              <w:t>*</w:t>
            </w:r>
            <w:r>
              <w:rPr>
                <w:rFonts w:hint="eastAsia" w:asciiTheme="minorEastAsia" w:hAnsiTheme="minorEastAsia" w:eastAsiaTheme="minorEastAsia" w:cstheme="minorEastAsia"/>
                <w:color w:val="auto"/>
                <w:szCs w:val="24"/>
              </w:rPr>
              <w:t>7、</w:t>
            </w:r>
            <w:r>
              <w:rPr>
                <w:rFonts w:hint="eastAsia" w:asciiTheme="minorEastAsia" w:hAnsiTheme="minorEastAsia" w:eastAsiaTheme="minorEastAsia" w:cstheme="minorEastAsia"/>
                <w:color w:val="auto"/>
                <w:szCs w:val="24"/>
                <w:lang w:eastAsia="zh-CN"/>
              </w:rPr>
              <w:t>带</w:t>
            </w:r>
            <w:r>
              <w:rPr>
                <w:rFonts w:hint="eastAsia" w:asciiTheme="minorEastAsia" w:hAnsiTheme="minorEastAsia" w:eastAsiaTheme="minorEastAsia" w:cstheme="minorEastAsia"/>
                <w:color w:val="auto"/>
              </w:rPr>
              <w:t>静电消除器</w:t>
            </w:r>
          </w:p>
          <w:p w14:paraId="60C7DEF4">
            <w:pPr>
              <w:pStyle w:val="20"/>
              <w:widowControl w:val="0"/>
              <w:ind w:firstLine="0" w:firstLineChars="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8、配置非接触传感器，无需接触主机进行操作，便可进行去皮、消除静电、打印</w:t>
            </w:r>
          </w:p>
          <w:p w14:paraId="6539B536">
            <w:pPr>
              <w:pStyle w:val="20"/>
              <w:widowControl w:val="0"/>
              <w:ind w:firstLine="0" w:firstLineChars="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9、内置RS232C</w:t>
            </w:r>
            <w:r>
              <w:rPr>
                <w:rFonts w:hint="eastAsia" w:asciiTheme="minorEastAsia" w:hAnsiTheme="minorEastAsia" w:eastAsiaTheme="minorEastAsia" w:cstheme="minorEastAsia"/>
                <w:color w:val="auto"/>
                <w:lang w:eastAsia="zh-CN"/>
              </w:rPr>
              <w:t>或</w:t>
            </w:r>
            <w:r>
              <w:rPr>
                <w:rFonts w:hint="eastAsia" w:asciiTheme="minorEastAsia" w:hAnsiTheme="minorEastAsia" w:eastAsiaTheme="minorEastAsia" w:cstheme="minorEastAsia"/>
                <w:color w:val="auto"/>
              </w:rPr>
              <w:t>USB接口，方便连接打印机、电脑、键盘等外围设备</w:t>
            </w:r>
          </w:p>
          <w:p w14:paraId="665044AB">
            <w:pPr>
              <w:pStyle w:val="20"/>
              <w:widowControl w:val="0"/>
              <w:ind w:firstLine="0" w:firstLineChars="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10、笔记本电脑配置要求：CPU为Intel® Core™ Ultra 7 255H以上，内存容量≥32GB LPDDR5X 8400MT/s，固态硬盘容量≥1TB PCIe 4.0 SSD*，显示屏幕≥16寸，不低于win11系统，全尺寸键盘，四种键盘背光模式，大尺寸触控板。</w:t>
            </w:r>
          </w:p>
          <w:p w14:paraId="7D188389">
            <w:pPr>
              <w:pStyle w:val="20"/>
              <w:widowControl w:val="0"/>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11、电脑:处理器不低于CPUi5 13代，内存≥32G，固态硬盘≥1TB，系统win11，≥32英寸显示屏，主板附带无线蓝牙功能，三模键鼠套装。</w:t>
            </w:r>
          </w:p>
          <w:p w14:paraId="5BD25C0A">
            <w:pPr>
              <w:pStyle w:val="20"/>
              <w:widowControl w:val="0"/>
              <w:ind w:firstLine="0" w:firstLineChars="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12、提供投标设备完整的中文教学视频。</w:t>
            </w:r>
          </w:p>
          <w:p w14:paraId="32E47B28">
            <w:pPr>
              <w:widowControl/>
              <w:jc w:val="left"/>
              <w:textAlignment w:val="top"/>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
                <w:bCs/>
                <w:color w:val="auto"/>
                <w:szCs w:val="21"/>
              </w:rPr>
              <w:t>二、售后服务：</w:t>
            </w:r>
          </w:p>
          <w:p w14:paraId="79CDC2C3">
            <w:pPr>
              <w:widowControl/>
              <w:jc w:val="lef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1.设备要求免费现场安装调试及现场培训，达到能够独立操作的水平，保修期一年，终生负责维修。</w:t>
            </w:r>
          </w:p>
          <w:p w14:paraId="45B427D2">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2.保修期：自安装验收之日起计算12个月内免费保修，如发生严重质量问题，负责免费更换。有专职的维修工程师负责仪器维修，仪器出现故障，必须在48小时内响应，5个工作日内赶赴现场进行维修。</w:t>
            </w:r>
          </w:p>
        </w:tc>
        <w:tc>
          <w:tcPr>
            <w:tcW w:w="586" w:type="dxa"/>
            <w:vAlign w:val="center"/>
          </w:tcPr>
          <w:p w14:paraId="76F0FD86">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1台</w:t>
            </w:r>
          </w:p>
        </w:tc>
        <w:tc>
          <w:tcPr>
            <w:tcW w:w="723" w:type="dxa"/>
            <w:vAlign w:val="center"/>
          </w:tcPr>
          <w:p w14:paraId="0462EA4C">
            <w:pPr>
              <w:widowControl/>
              <w:jc w:val="center"/>
              <w:textAlignment w:val="top"/>
              <w:rPr>
                <w:rFonts w:asciiTheme="minorEastAsia" w:hAnsiTheme="minorEastAsia" w:eastAsiaTheme="minorEastAsia" w:cstheme="minorEastAsia"/>
                <w:color w:val="auto"/>
                <w:szCs w:val="21"/>
              </w:rPr>
            </w:pPr>
          </w:p>
        </w:tc>
        <w:tc>
          <w:tcPr>
            <w:tcW w:w="641" w:type="dxa"/>
            <w:vAlign w:val="center"/>
          </w:tcPr>
          <w:p w14:paraId="6FCA94AB">
            <w:pPr>
              <w:widowControl w:val="0"/>
              <w:jc w:val="center"/>
              <w:rPr>
                <w:rFonts w:asciiTheme="minorEastAsia" w:hAnsiTheme="minorEastAsia" w:eastAsiaTheme="minorEastAsia" w:cstheme="minorEastAsia"/>
                <w:color w:val="auto"/>
                <w:szCs w:val="21"/>
              </w:rPr>
            </w:pPr>
          </w:p>
        </w:tc>
        <w:tc>
          <w:tcPr>
            <w:tcW w:w="655" w:type="dxa"/>
            <w:vAlign w:val="center"/>
          </w:tcPr>
          <w:p w14:paraId="7707CB83">
            <w:pPr>
              <w:widowControl/>
              <w:jc w:val="center"/>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国产</w:t>
            </w:r>
          </w:p>
        </w:tc>
      </w:tr>
      <w:tr w14:paraId="5EEB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542" w:type="dxa"/>
            <w:gridSpan w:val="3"/>
            <w:tcBorders>
              <w:top w:val="single" w:color="auto" w:sz="4" w:space="0"/>
              <w:left w:val="single" w:color="auto" w:sz="4" w:space="0"/>
              <w:bottom w:val="single" w:color="auto" w:sz="4" w:space="0"/>
              <w:right w:val="single" w:color="auto" w:sz="4" w:space="0"/>
            </w:tcBorders>
            <w:vAlign w:val="center"/>
          </w:tcPr>
          <w:p w14:paraId="42C5E874">
            <w:pPr>
              <w:widowControl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8"/>
                <w:szCs w:val="28"/>
              </w:rPr>
              <w:t>合计</w:t>
            </w:r>
          </w:p>
        </w:tc>
        <w:tc>
          <w:tcPr>
            <w:tcW w:w="3995" w:type="dxa"/>
            <w:tcBorders>
              <w:top w:val="single" w:color="auto" w:sz="4" w:space="0"/>
              <w:left w:val="single" w:color="auto" w:sz="4" w:space="0"/>
              <w:bottom w:val="single" w:color="auto" w:sz="4" w:space="0"/>
              <w:right w:val="single" w:color="auto" w:sz="4" w:space="0"/>
            </w:tcBorders>
          </w:tcPr>
          <w:p w14:paraId="3A3B192C">
            <w:pPr>
              <w:widowControl w:val="0"/>
              <w:spacing w:line="480" w:lineRule="exact"/>
              <w:rPr>
                <w:rFonts w:asciiTheme="minorEastAsia" w:hAnsiTheme="minorEastAsia" w:eastAsiaTheme="minorEastAsia" w:cstheme="minorEastAsia"/>
                <w:b/>
                <w:bCs/>
                <w:color w:val="auto"/>
                <w:szCs w:val="21"/>
              </w:rPr>
            </w:pPr>
          </w:p>
        </w:tc>
        <w:tc>
          <w:tcPr>
            <w:tcW w:w="586" w:type="dxa"/>
            <w:tcBorders>
              <w:top w:val="single" w:color="auto" w:sz="4" w:space="0"/>
              <w:left w:val="single" w:color="auto" w:sz="4" w:space="0"/>
              <w:bottom w:val="single" w:color="auto" w:sz="4" w:space="0"/>
              <w:right w:val="single" w:color="auto" w:sz="4" w:space="0"/>
            </w:tcBorders>
            <w:vAlign w:val="center"/>
          </w:tcPr>
          <w:p w14:paraId="07BE26BE">
            <w:pPr>
              <w:widowContro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38台</w:t>
            </w:r>
          </w:p>
        </w:tc>
        <w:tc>
          <w:tcPr>
            <w:tcW w:w="723" w:type="dxa"/>
            <w:tcBorders>
              <w:top w:val="single" w:color="auto" w:sz="4" w:space="0"/>
              <w:left w:val="single" w:color="auto" w:sz="4" w:space="0"/>
              <w:bottom w:val="single" w:color="auto" w:sz="4" w:space="0"/>
              <w:right w:val="single" w:color="auto" w:sz="4" w:space="0"/>
            </w:tcBorders>
            <w:vAlign w:val="center"/>
          </w:tcPr>
          <w:p w14:paraId="185226E8">
            <w:pPr>
              <w:widowControl w:val="0"/>
              <w:rPr>
                <w:rFonts w:asciiTheme="minorEastAsia" w:hAnsiTheme="minorEastAsia" w:eastAsiaTheme="minorEastAsia" w:cstheme="minorEastAsia"/>
                <w:color w:val="auto"/>
                <w:szCs w:val="21"/>
              </w:rPr>
            </w:pPr>
          </w:p>
        </w:tc>
        <w:tc>
          <w:tcPr>
            <w:tcW w:w="641" w:type="dxa"/>
            <w:tcBorders>
              <w:top w:val="single" w:color="auto" w:sz="4" w:space="0"/>
              <w:left w:val="single" w:color="auto" w:sz="4" w:space="0"/>
              <w:bottom w:val="single" w:color="auto" w:sz="4" w:space="0"/>
              <w:right w:val="single" w:color="auto" w:sz="4" w:space="0"/>
            </w:tcBorders>
            <w:vAlign w:val="center"/>
          </w:tcPr>
          <w:p w14:paraId="79F33F7E">
            <w:pPr>
              <w:widowControl w:val="0"/>
              <w:rPr>
                <w:rFonts w:asciiTheme="minorEastAsia" w:hAnsiTheme="minorEastAsia" w:eastAsiaTheme="minorEastAsia" w:cstheme="minorEastAsia"/>
                <w:color w:val="auto"/>
                <w:szCs w:val="21"/>
              </w:rPr>
            </w:pPr>
          </w:p>
        </w:tc>
        <w:tc>
          <w:tcPr>
            <w:tcW w:w="655" w:type="dxa"/>
            <w:tcBorders>
              <w:top w:val="single" w:color="auto" w:sz="4" w:space="0"/>
              <w:left w:val="single" w:color="auto" w:sz="4" w:space="0"/>
              <w:bottom w:val="single" w:color="auto" w:sz="4" w:space="0"/>
              <w:right w:val="single" w:color="auto" w:sz="4" w:space="0"/>
            </w:tcBorders>
            <w:vAlign w:val="center"/>
          </w:tcPr>
          <w:p w14:paraId="371C6E27">
            <w:pPr>
              <w:widowControl w:val="0"/>
              <w:rPr>
                <w:rFonts w:asciiTheme="minorEastAsia" w:hAnsiTheme="minorEastAsia" w:eastAsiaTheme="minorEastAsia" w:cstheme="minorEastAsia"/>
                <w:color w:val="auto"/>
                <w:szCs w:val="21"/>
              </w:rPr>
            </w:pPr>
          </w:p>
        </w:tc>
      </w:tr>
    </w:tbl>
    <w:p w14:paraId="2342DF29">
      <w:pPr>
        <w:spacing w:line="317" w:lineRule="auto"/>
        <w:rPr>
          <w:rFonts w:ascii="Arial"/>
          <w:color w:val="auto"/>
          <w:sz w:val="21"/>
          <w:highlight w:val="none"/>
        </w:rPr>
      </w:pPr>
    </w:p>
    <w:p w14:paraId="573CF5A3">
      <w:pPr>
        <w:spacing w:line="318" w:lineRule="auto"/>
        <w:rPr>
          <w:rFonts w:ascii="Arial"/>
          <w:color w:val="auto"/>
          <w:sz w:val="21"/>
          <w:highlight w:val="none"/>
        </w:rPr>
      </w:pPr>
    </w:p>
    <w:p w14:paraId="10A67ABF">
      <w:pPr>
        <w:spacing w:line="318" w:lineRule="auto"/>
        <w:rPr>
          <w:rFonts w:ascii="Arial"/>
          <w:color w:val="auto"/>
          <w:sz w:val="21"/>
          <w:highlight w:val="none"/>
        </w:rPr>
      </w:pPr>
    </w:p>
    <w:p w14:paraId="3685BBB6">
      <w:pPr>
        <w:pStyle w:val="4"/>
        <w:spacing w:before="128" w:line="188" w:lineRule="auto"/>
        <w:ind w:left="2999"/>
        <w:outlineLvl w:val="0"/>
        <w:rPr>
          <w:b/>
          <w:bCs/>
          <w:color w:val="auto"/>
          <w:spacing w:val="-8"/>
          <w:sz w:val="30"/>
          <w:szCs w:val="30"/>
          <w:highlight w:val="none"/>
        </w:rPr>
      </w:pPr>
      <w:bookmarkStart w:id="44" w:name="bookmark7"/>
      <w:bookmarkEnd w:id="44"/>
    </w:p>
    <w:p w14:paraId="4A22C36C">
      <w:pPr>
        <w:pStyle w:val="4"/>
        <w:spacing w:before="128" w:line="188" w:lineRule="auto"/>
        <w:ind w:left="2999"/>
        <w:outlineLvl w:val="0"/>
        <w:rPr>
          <w:b/>
          <w:bCs/>
          <w:color w:val="auto"/>
          <w:spacing w:val="-8"/>
          <w:sz w:val="30"/>
          <w:szCs w:val="30"/>
          <w:highlight w:val="none"/>
        </w:rPr>
      </w:pPr>
    </w:p>
    <w:p w14:paraId="0F37CB70">
      <w:pPr>
        <w:pStyle w:val="4"/>
        <w:spacing w:before="128" w:line="188" w:lineRule="auto"/>
        <w:ind w:left="2999"/>
        <w:outlineLvl w:val="0"/>
        <w:rPr>
          <w:b/>
          <w:bCs/>
          <w:color w:val="auto"/>
          <w:spacing w:val="-8"/>
          <w:sz w:val="30"/>
          <w:szCs w:val="30"/>
          <w:highlight w:val="none"/>
        </w:rPr>
      </w:pPr>
    </w:p>
    <w:p w14:paraId="44C24194">
      <w:pPr>
        <w:pStyle w:val="4"/>
        <w:spacing w:before="128" w:line="188" w:lineRule="auto"/>
        <w:ind w:left="2999"/>
        <w:outlineLvl w:val="0"/>
        <w:rPr>
          <w:b/>
          <w:bCs/>
          <w:color w:val="auto"/>
          <w:spacing w:val="-8"/>
          <w:sz w:val="30"/>
          <w:szCs w:val="30"/>
          <w:highlight w:val="none"/>
        </w:rPr>
      </w:pPr>
    </w:p>
    <w:p w14:paraId="2AF2A276">
      <w:pPr>
        <w:pStyle w:val="4"/>
        <w:spacing w:before="128" w:line="188" w:lineRule="auto"/>
        <w:ind w:left="2999"/>
        <w:outlineLvl w:val="0"/>
        <w:rPr>
          <w:b/>
          <w:bCs/>
          <w:color w:val="auto"/>
          <w:spacing w:val="-8"/>
          <w:sz w:val="30"/>
          <w:szCs w:val="30"/>
          <w:highlight w:val="none"/>
        </w:rPr>
      </w:pPr>
    </w:p>
    <w:p w14:paraId="7EEB9A4F">
      <w:pPr>
        <w:pStyle w:val="4"/>
        <w:spacing w:before="128" w:line="188" w:lineRule="auto"/>
        <w:ind w:left="2999"/>
        <w:outlineLvl w:val="0"/>
        <w:rPr>
          <w:b/>
          <w:bCs/>
          <w:color w:val="auto"/>
          <w:spacing w:val="-8"/>
          <w:sz w:val="30"/>
          <w:szCs w:val="30"/>
          <w:highlight w:val="none"/>
        </w:rPr>
      </w:pPr>
    </w:p>
    <w:p w14:paraId="33DB3E88">
      <w:pPr>
        <w:pStyle w:val="4"/>
        <w:spacing w:before="128" w:line="188" w:lineRule="auto"/>
        <w:ind w:left="2999"/>
        <w:outlineLvl w:val="0"/>
        <w:rPr>
          <w:b/>
          <w:bCs/>
          <w:color w:val="auto"/>
          <w:spacing w:val="-8"/>
          <w:sz w:val="30"/>
          <w:szCs w:val="30"/>
          <w:highlight w:val="none"/>
        </w:rPr>
      </w:pPr>
    </w:p>
    <w:p w14:paraId="7F6E5399">
      <w:pPr>
        <w:pStyle w:val="4"/>
        <w:spacing w:before="128" w:line="188" w:lineRule="auto"/>
        <w:ind w:left="2999"/>
        <w:outlineLvl w:val="0"/>
        <w:rPr>
          <w:color w:val="auto"/>
          <w:sz w:val="30"/>
          <w:szCs w:val="30"/>
          <w:highlight w:val="none"/>
        </w:rPr>
      </w:pPr>
      <w:bookmarkStart w:id="45" w:name="_Toc4241"/>
      <w:r>
        <w:rPr>
          <w:b/>
          <w:bCs/>
          <w:color w:val="auto"/>
          <w:spacing w:val="-8"/>
          <w:sz w:val="30"/>
          <w:szCs w:val="30"/>
          <w:highlight w:val="none"/>
        </w:rPr>
        <w:t>第五章</w:t>
      </w:r>
      <w:r>
        <w:rPr>
          <w:b/>
          <w:bCs/>
          <w:color w:val="auto"/>
          <w:spacing w:val="20"/>
          <w:sz w:val="30"/>
          <w:szCs w:val="30"/>
          <w:highlight w:val="none"/>
        </w:rPr>
        <w:t xml:space="preserve">   </w:t>
      </w:r>
      <w:r>
        <w:rPr>
          <w:b/>
          <w:bCs/>
          <w:color w:val="auto"/>
          <w:spacing w:val="-8"/>
          <w:sz w:val="30"/>
          <w:szCs w:val="30"/>
          <w:highlight w:val="none"/>
        </w:rPr>
        <w:t>合同格式</w:t>
      </w:r>
      <w:bookmarkEnd w:id="45"/>
    </w:p>
    <w:p w14:paraId="2A0894C3">
      <w:pPr>
        <w:spacing w:before="170" w:line="221" w:lineRule="auto"/>
        <w:ind w:left="1157"/>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(此合同样本仅供参考,合同具体细则以成交双方协定为准)</w:t>
      </w:r>
    </w:p>
    <w:p w14:paraId="77091A03">
      <w:pPr>
        <w:spacing w:line="221" w:lineRule="auto"/>
        <w:rPr>
          <w:rFonts w:ascii="新宋体" w:hAnsi="新宋体" w:eastAsia="新宋体" w:cs="新宋体"/>
          <w:color w:val="auto"/>
          <w:sz w:val="24"/>
          <w:szCs w:val="24"/>
          <w:highlight w:val="none"/>
        </w:rPr>
        <w:sectPr>
          <w:footerReference r:id="rId10" w:type="default"/>
          <w:pgSz w:w="11905" w:h="16839"/>
          <w:pgMar w:top="1440" w:right="1800" w:bottom="1440" w:left="1800" w:header="0" w:footer="1090" w:gutter="0"/>
          <w:pgNumType w:fmt="decimal"/>
          <w:cols w:space="720" w:num="1"/>
        </w:sectPr>
      </w:pPr>
    </w:p>
    <w:p w14:paraId="256B2CB5">
      <w:pPr>
        <w:spacing w:line="319" w:lineRule="auto"/>
        <w:rPr>
          <w:rFonts w:ascii="Arial"/>
          <w:color w:val="auto"/>
          <w:sz w:val="21"/>
          <w:highlight w:val="none"/>
        </w:rPr>
      </w:pPr>
    </w:p>
    <w:p w14:paraId="0076FFD1">
      <w:pPr>
        <w:pStyle w:val="4"/>
        <w:spacing w:before="120" w:line="184" w:lineRule="auto"/>
        <w:ind w:left="2307"/>
        <w:rPr>
          <w:color w:val="auto"/>
          <w:sz w:val="28"/>
          <w:szCs w:val="28"/>
          <w:highlight w:val="none"/>
        </w:rPr>
      </w:pPr>
      <w:r>
        <w:rPr>
          <w:b/>
          <w:bCs/>
          <w:color w:val="auto"/>
          <w:spacing w:val="-5"/>
          <w:sz w:val="28"/>
          <w:szCs w:val="28"/>
          <w:highlight w:val="none"/>
        </w:rPr>
        <w:t>第一部分  合同协议书（参考格式）</w:t>
      </w:r>
    </w:p>
    <w:p w14:paraId="7FE158F1">
      <w:pPr>
        <w:spacing w:line="291" w:lineRule="auto"/>
        <w:rPr>
          <w:rFonts w:ascii="Arial"/>
          <w:color w:val="auto"/>
          <w:sz w:val="21"/>
          <w:highlight w:val="none"/>
        </w:rPr>
      </w:pPr>
    </w:p>
    <w:p w14:paraId="0DD28ACE">
      <w:pPr>
        <w:spacing w:line="291" w:lineRule="auto"/>
        <w:rPr>
          <w:rFonts w:ascii="Arial"/>
          <w:color w:val="auto"/>
          <w:sz w:val="21"/>
          <w:highlight w:val="none"/>
        </w:rPr>
      </w:pPr>
    </w:p>
    <w:p w14:paraId="42438162">
      <w:pPr>
        <w:spacing w:line="291" w:lineRule="auto"/>
        <w:rPr>
          <w:rFonts w:ascii="Arial"/>
          <w:color w:val="auto"/>
          <w:sz w:val="21"/>
          <w:highlight w:val="none"/>
        </w:rPr>
      </w:pPr>
    </w:p>
    <w:p w14:paraId="47DF53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2"/>
          <w:szCs w:val="22"/>
          <w:highlight w:val="none"/>
        </w:rPr>
      </w:pPr>
    </w:p>
    <w:p w14:paraId="6FD37738">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0"/>
        <w:jc w:val="both"/>
        <w:textAlignment w:val="baseline"/>
        <w:rPr>
          <w:rFonts w:ascii="新宋体" w:hAnsi="新宋体" w:eastAsia="新宋体" w:cs="新宋体"/>
          <w:color w:val="auto"/>
          <w:sz w:val="28"/>
          <w:szCs w:val="28"/>
          <w:highlight w:val="none"/>
        </w:rPr>
      </w:pPr>
      <w:r>
        <w:rPr>
          <w:rFonts w:ascii="新宋体" w:hAnsi="新宋体" w:eastAsia="新宋体" w:cs="新宋体"/>
          <w:color w:val="auto"/>
          <w:spacing w:val="-4"/>
          <w:sz w:val="28"/>
          <w:szCs w:val="28"/>
          <w:highlight w:val="none"/>
        </w:rPr>
        <w:t>项目名称：</w:t>
      </w:r>
      <w:r>
        <w:rPr>
          <w:rFonts w:ascii="新宋体" w:hAnsi="新宋体" w:eastAsia="新宋体" w:cs="新宋体"/>
          <w:color w:val="auto"/>
          <w:sz w:val="28"/>
          <w:szCs w:val="28"/>
          <w:highlight w:val="none"/>
          <w:u w:val="single" w:color="auto"/>
        </w:rPr>
        <w:tab/>
      </w:r>
      <w:r>
        <w:rPr>
          <w:rFonts w:ascii="新宋体" w:hAnsi="新宋体" w:eastAsia="新宋体" w:cs="新宋体"/>
          <w:color w:val="auto"/>
          <w:sz w:val="28"/>
          <w:szCs w:val="28"/>
          <w:highlight w:val="none"/>
          <w:u w:val="single" w:color="auto"/>
        </w:rPr>
        <w:tab/>
      </w:r>
      <w:r>
        <w:rPr>
          <w:rFonts w:ascii="新宋体" w:hAnsi="新宋体" w:eastAsia="新宋体" w:cs="新宋体"/>
          <w:color w:val="auto"/>
          <w:sz w:val="28"/>
          <w:szCs w:val="28"/>
          <w:highlight w:val="none"/>
        </w:rPr>
        <w:t xml:space="preserve"> </w:t>
      </w:r>
    </w:p>
    <w:p w14:paraId="1483E5E0">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0"/>
        <w:jc w:val="both"/>
        <w:textAlignment w:val="baseline"/>
        <w:rPr>
          <w:rFonts w:ascii="新宋体" w:hAnsi="新宋体" w:eastAsia="新宋体" w:cs="新宋体"/>
          <w:color w:val="auto"/>
          <w:sz w:val="28"/>
          <w:szCs w:val="28"/>
          <w:highlight w:val="none"/>
        </w:rPr>
      </w:pPr>
      <w:r>
        <w:rPr>
          <w:rFonts w:ascii="新宋体" w:hAnsi="新宋体" w:eastAsia="新宋体" w:cs="新宋体"/>
          <w:color w:val="auto"/>
          <w:spacing w:val="-3"/>
          <w:sz w:val="28"/>
          <w:szCs w:val="28"/>
          <w:highlight w:val="none"/>
        </w:rPr>
        <w:t>合同编号：</w:t>
      </w:r>
      <w:r>
        <w:rPr>
          <w:rFonts w:ascii="新宋体" w:hAnsi="新宋体" w:eastAsia="新宋体" w:cs="新宋体"/>
          <w:color w:val="auto"/>
          <w:sz w:val="28"/>
          <w:szCs w:val="28"/>
          <w:highlight w:val="none"/>
          <w:u w:val="single" w:color="auto"/>
        </w:rPr>
        <w:tab/>
      </w:r>
      <w:r>
        <w:rPr>
          <w:rFonts w:ascii="新宋体" w:hAnsi="新宋体" w:eastAsia="新宋体" w:cs="新宋体"/>
          <w:color w:val="auto"/>
          <w:sz w:val="28"/>
          <w:szCs w:val="28"/>
          <w:highlight w:val="none"/>
          <w:u w:val="single" w:color="auto"/>
        </w:rPr>
        <w:tab/>
      </w:r>
      <w:r>
        <w:rPr>
          <w:rFonts w:ascii="新宋体" w:hAnsi="新宋体" w:eastAsia="新宋体" w:cs="新宋体"/>
          <w:color w:val="auto"/>
          <w:sz w:val="28"/>
          <w:szCs w:val="28"/>
          <w:highlight w:val="none"/>
        </w:rPr>
        <w:t xml:space="preserve"> </w:t>
      </w:r>
    </w:p>
    <w:p w14:paraId="381D3955">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0"/>
        <w:jc w:val="both"/>
        <w:textAlignment w:val="baseline"/>
        <w:rPr>
          <w:rFonts w:ascii="新宋体" w:hAnsi="新宋体" w:eastAsia="新宋体" w:cs="新宋体"/>
          <w:color w:val="auto"/>
          <w:sz w:val="28"/>
          <w:szCs w:val="28"/>
          <w:highlight w:val="none"/>
        </w:rPr>
      </w:pPr>
      <w:r>
        <w:rPr>
          <w:rFonts w:ascii="新宋体" w:hAnsi="新宋体" w:eastAsia="新宋体" w:cs="新宋体"/>
          <w:color w:val="auto"/>
          <w:spacing w:val="-5"/>
          <w:sz w:val="28"/>
          <w:szCs w:val="28"/>
          <w:highlight w:val="none"/>
        </w:rPr>
        <w:t>甲方：</w:t>
      </w:r>
      <w:r>
        <w:rPr>
          <w:rFonts w:ascii="新宋体" w:hAnsi="新宋体" w:eastAsia="新宋体" w:cs="新宋体"/>
          <w:color w:val="auto"/>
          <w:sz w:val="28"/>
          <w:szCs w:val="28"/>
          <w:highlight w:val="none"/>
          <w:u w:val="single" w:color="auto"/>
        </w:rPr>
        <w:tab/>
      </w:r>
      <w:r>
        <w:rPr>
          <w:rFonts w:ascii="新宋体" w:hAnsi="新宋体" w:eastAsia="新宋体" w:cs="新宋体"/>
          <w:color w:val="auto"/>
          <w:sz w:val="28"/>
          <w:szCs w:val="28"/>
          <w:highlight w:val="none"/>
          <w:u w:val="single" w:color="auto"/>
        </w:rPr>
        <w:tab/>
      </w:r>
      <w:r>
        <w:rPr>
          <w:rFonts w:ascii="新宋体" w:hAnsi="新宋体" w:eastAsia="新宋体" w:cs="新宋体"/>
          <w:color w:val="auto"/>
          <w:sz w:val="28"/>
          <w:szCs w:val="28"/>
          <w:highlight w:val="none"/>
        </w:rPr>
        <w:t xml:space="preserve"> </w:t>
      </w:r>
    </w:p>
    <w:p w14:paraId="5D6FDB41">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0"/>
        <w:jc w:val="both"/>
        <w:textAlignment w:val="baseline"/>
        <w:rPr>
          <w:rFonts w:ascii="新宋体" w:hAnsi="新宋体" w:eastAsia="新宋体" w:cs="新宋体"/>
          <w:color w:val="auto"/>
          <w:spacing w:val="-91"/>
          <w:sz w:val="28"/>
          <w:szCs w:val="28"/>
          <w:highlight w:val="none"/>
        </w:rPr>
      </w:pPr>
      <w:r>
        <w:rPr>
          <w:rFonts w:ascii="新宋体" w:hAnsi="新宋体" w:eastAsia="新宋体" w:cs="新宋体"/>
          <w:color w:val="auto"/>
          <w:spacing w:val="-2"/>
          <w:sz w:val="28"/>
          <w:szCs w:val="28"/>
          <w:highlight w:val="none"/>
        </w:rPr>
        <w:t>联系人：</w:t>
      </w:r>
      <w:r>
        <w:rPr>
          <w:rFonts w:ascii="新宋体" w:hAnsi="新宋体" w:eastAsia="新宋体" w:cs="新宋体"/>
          <w:color w:val="auto"/>
          <w:spacing w:val="-2"/>
          <w:sz w:val="28"/>
          <w:szCs w:val="28"/>
          <w:highlight w:val="none"/>
          <w:u w:val="single" w:color="auto"/>
        </w:rPr>
        <w:t xml:space="preserve">            </w:t>
      </w:r>
      <w:r>
        <w:rPr>
          <w:rFonts w:ascii="新宋体" w:hAnsi="新宋体" w:eastAsia="新宋体" w:cs="新宋体"/>
          <w:color w:val="auto"/>
          <w:spacing w:val="-91"/>
          <w:sz w:val="28"/>
          <w:szCs w:val="28"/>
          <w:highlight w:val="none"/>
        </w:rPr>
        <w:t xml:space="preserve"> </w:t>
      </w:r>
    </w:p>
    <w:p w14:paraId="11431956">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0"/>
        <w:jc w:val="both"/>
        <w:textAlignment w:val="baseline"/>
        <w:rPr>
          <w:rFonts w:ascii="新宋体" w:hAnsi="新宋体" w:eastAsia="新宋体" w:cs="新宋体"/>
          <w:color w:val="auto"/>
          <w:sz w:val="28"/>
          <w:szCs w:val="28"/>
          <w:highlight w:val="none"/>
        </w:rPr>
      </w:pPr>
      <w:r>
        <w:rPr>
          <w:rFonts w:ascii="新宋体" w:hAnsi="新宋体" w:eastAsia="新宋体" w:cs="新宋体"/>
          <w:color w:val="auto"/>
          <w:spacing w:val="-2"/>
          <w:sz w:val="28"/>
          <w:szCs w:val="28"/>
          <w:highlight w:val="none"/>
        </w:rPr>
        <w:t xml:space="preserve">联系电话： </w:t>
      </w:r>
      <w:r>
        <w:rPr>
          <w:rFonts w:ascii="新宋体" w:hAnsi="新宋体" w:eastAsia="新宋体" w:cs="新宋体"/>
          <w:color w:val="auto"/>
          <w:sz w:val="28"/>
          <w:szCs w:val="28"/>
          <w:highlight w:val="none"/>
          <w:u w:val="single" w:color="auto"/>
        </w:rPr>
        <w:tab/>
      </w:r>
      <w:r>
        <w:rPr>
          <w:rFonts w:ascii="新宋体" w:hAnsi="新宋体" w:eastAsia="新宋体" w:cs="新宋体"/>
          <w:color w:val="auto"/>
          <w:sz w:val="28"/>
          <w:szCs w:val="28"/>
          <w:highlight w:val="none"/>
          <w:u w:val="single" w:color="auto"/>
        </w:rPr>
        <w:tab/>
      </w:r>
      <w:r>
        <w:rPr>
          <w:rFonts w:ascii="新宋体" w:hAnsi="新宋体" w:eastAsia="新宋体" w:cs="新宋体"/>
          <w:color w:val="auto"/>
          <w:sz w:val="28"/>
          <w:szCs w:val="28"/>
          <w:highlight w:val="none"/>
        </w:rPr>
        <w:t xml:space="preserve"> </w:t>
      </w:r>
    </w:p>
    <w:p w14:paraId="6EEBB352">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0"/>
        <w:jc w:val="both"/>
        <w:textAlignment w:val="baseline"/>
        <w:rPr>
          <w:rFonts w:ascii="新宋体" w:hAnsi="新宋体" w:eastAsia="新宋体" w:cs="新宋体"/>
          <w:color w:val="auto"/>
          <w:sz w:val="28"/>
          <w:szCs w:val="28"/>
          <w:highlight w:val="none"/>
        </w:rPr>
      </w:pPr>
      <w:r>
        <w:rPr>
          <w:rFonts w:ascii="新宋体" w:hAnsi="新宋体" w:eastAsia="新宋体" w:cs="新宋体"/>
          <w:color w:val="auto"/>
          <w:spacing w:val="-5"/>
          <w:sz w:val="28"/>
          <w:szCs w:val="28"/>
          <w:highlight w:val="none"/>
        </w:rPr>
        <w:t>乙方：</w:t>
      </w:r>
      <w:r>
        <w:rPr>
          <w:rFonts w:ascii="新宋体" w:hAnsi="新宋体" w:eastAsia="新宋体" w:cs="新宋体"/>
          <w:color w:val="auto"/>
          <w:sz w:val="28"/>
          <w:szCs w:val="28"/>
          <w:highlight w:val="none"/>
          <w:u w:val="single" w:color="auto"/>
        </w:rPr>
        <w:tab/>
      </w:r>
      <w:r>
        <w:rPr>
          <w:rFonts w:ascii="新宋体" w:hAnsi="新宋体" w:eastAsia="新宋体" w:cs="新宋体"/>
          <w:color w:val="auto"/>
          <w:sz w:val="28"/>
          <w:szCs w:val="28"/>
          <w:highlight w:val="none"/>
          <w:u w:val="single" w:color="auto"/>
        </w:rPr>
        <w:tab/>
      </w:r>
      <w:r>
        <w:rPr>
          <w:rFonts w:ascii="新宋体" w:hAnsi="新宋体" w:eastAsia="新宋体" w:cs="新宋体"/>
          <w:color w:val="auto"/>
          <w:sz w:val="28"/>
          <w:szCs w:val="28"/>
          <w:highlight w:val="none"/>
        </w:rPr>
        <w:t xml:space="preserve"> </w:t>
      </w:r>
    </w:p>
    <w:p w14:paraId="7E233ADE">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0"/>
        <w:jc w:val="both"/>
        <w:textAlignment w:val="baseline"/>
        <w:rPr>
          <w:rFonts w:ascii="新宋体" w:hAnsi="新宋体" w:eastAsia="新宋体" w:cs="新宋体"/>
          <w:color w:val="auto"/>
          <w:spacing w:val="-93"/>
          <w:sz w:val="28"/>
          <w:szCs w:val="28"/>
          <w:highlight w:val="none"/>
        </w:rPr>
      </w:pPr>
      <w:r>
        <w:rPr>
          <w:rFonts w:ascii="新宋体" w:hAnsi="新宋体" w:eastAsia="新宋体" w:cs="新宋体"/>
          <w:color w:val="auto"/>
          <w:spacing w:val="-2"/>
          <w:sz w:val="28"/>
          <w:szCs w:val="28"/>
          <w:highlight w:val="none"/>
        </w:rPr>
        <w:t>联系人：</w:t>
      </w:r>
      <w:r>
        <w:rPr>
          <w:rFonts w:ascii="新宋体" w:hAnsi="新宋体" w:eastAsia="新宋体" w:cs="新宋体"/>
          <w:color w:val="auto"/>
          <w:spacing w:val="-2"/>
          <w:sz w:val="28"/>
          <w:szCs w:val="28"/>
          <w:highlight w:val="none"/>
          <w:u w:val="single" w:color="auto"/>
        </w:rPr>
        <w:t xml:space="preserve">            </w:t>
      </w:r>
      <w:r>
        <w:rPr>
          <w:rFonts w:ascii="新宋体" w:hAnsi="新宋体" w:eastAsia="新宋体" w:cs="新宋体"/>
          <w:color w:val="auto"/>
          <w:spacing w:val="-93"/>
          <w:sz w:val="28"/>
          <w:szCs w:val="28"/>
          <w:highlight w:val="none"/>
        </w:rPr>
        <w:t xml:space="preserve"> </w:t>
      </w:r>
    </w:p>
    <w:p w14:paraId="110ED560">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0"/>
        <w:jc w:val="both"/>
        <w:textAlignment w:val="baseline"/>
        <w:rPr>
          <w:rFonts w:ascii="新宋体" w:hAnsi="新宋体" w:eastAsia="新宋体" w:cs="新宋体"/>
          <w:color w:val="auto"/>
          <w:sz w:val="28"/>
          <w:szCs w:val="28"/>
          <w:highlight w:val="none"/>
        </w:rPr>
      </w:pPr>
      <w:r>
        <w:rPr>
          <w:rFonts w:ascii="新宋体" w:hAnsi="新宋体" w:eastAsia="新宋体" w:cs="新宋体"/>
          <w:color w:val="auto"/>
          <w:spacing w:val="-2"/>
          <w:sz w:val="28"/>
          <w:szCs w:val="28"/>
          <w:highlight w:val="none"/>
        </w:rPr>
        <w:t>联系电话：</w:t>
      </w:r>
      <w:r>
        <w:rPr>
          <w:rFonts w:ascii="新宋体" w:hAnsi="新宋体" w:eastAsia="新宋体" w:cs="新宋体"/>
          <w:color w:val="auto"/>
          <w:sz w:val="28"/>
          <w:szCs w:val="28"/>
          <w:highlight w:val="none"/>
          <w:u w:val="single" w:color="auto"/>
        </w:rPr>
        <w:tab/>
      </w:r>
      <w:r>
        <w:rPr>
          <w:rFonts w:ascii="新宋体" w:hAnsi="新宋体" w:eastAsia="新宋体" w:cs="新宋体"/>
          <w:color w:val="auto"/>
          <w:sz w:val="28"/>
          <w:szCs w:val="28"/>
          <w:highlight w:val="none"/>
        </w:rPr>
        <w:t xml:space="preserve">  </w:t>
      </w:r>
    </w:p>
    <w:p w14:paraId="7D8DDAB1">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0"/>
        <w:jc w:val="both"/>
        <w:textAlignment w:val="baseline"/>
        <w:rPr>
          <w:rFonts w:ascii="新宋体" w:hAnsi="新宋体" w:eastAsia="新宋体" w:cs="新宋体"/>
          <w:color w:val="auto"/>
          <w:sz w:val="28"/>
          <w:szCs w:val="28"/>
          <w:highlight w:val="none"/>
        </w:rPr>
      </w:pPr>
      <w:r>
        <w:rPr>
          <w:rFonts w:ascii="新宋体" w:hAnsi="新宋体" w:eastAsia="新宋体" w:cs="新宋体"/>
          <w:color w:val="auto"/>
          <w:spacing w:val="-4"/>
          <w:sz w:val="28"/>
          <w:szCs w:val="28"/>
          <w:highlight w:val="none"/>
        </w:rPr>
        <w:t>签订地：</w:t>
      </w:r>
      <w:r>
        <w:rPr>
          <w:rFonts w:ascii="新宋体" w:hAnsi="新宋体" w:eastAsia="新宋体" w:cs="新宋体"/>
          <w:color w:val="auto"/>
          <w:sz w:val="28"/>
          <w:szCs w:val="28"/>
          <w:highlight w:val="none"/>
          <w:u w:val="single" w:color="auto"/>
        </w:rPr>
        <w:tab/>
      </w:r>
      <w:r>
        <w:rPr>
          <w:rFonts w:ascii="新宋体" w:hAnsi="新宋体" w:eastAsia="新宋体" w:cs="新宋体"/>
          <w:color w:val="auto"/>
          <w:sz w:val="28"/>
          <w:szCs w:val="28"/>
          <w:highlight w:val="none"/>
          <w:u w:val="single" w:color="auto"/>
        </w:rPr>
        <w:tab/>
      </w:r>
      <w:r>
        <w:rPr>
          <w:rFonts w:ascii="新宋体" w:hAnsi="新宋体" w:eastAsia="新宋体" w:cs="新宋体"/>
          <w:color w:val="auto"/>
          <w:sz w:val="28"/>
          <w:szCs w:val="28"/>
          <w:highlight w:val="none"/>
        </w:rPr>
        <w:t xml:space="preserve"> </w:t>
      </w:r>
    </w:p>
    <w:p w14:paraId="2C478AF9">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0"/>
        <w:jc w:val="both"/>
        <w:textAlignment w:val="baseline"/>
        <w:rPr>
          <w:rFonts w:ascii="新宋体" w:hAnsi="新宋体" w:eastAsia="新宋体" w:cs="新宋体"/>
          <w:color w:val="auto"/>
          <w:sz w:val="28"/>
          <w:szCs w:val="28"/>
          <w:highlight w:val="none"/>
        </w:rPr>
        <w:sectPr>
          <w:footerReference r:id="rId11" w:type="default"/>
          <w:pgSz w:w="11905" w:h="16839"/>
          <w:pgMar w:top="1440" w:right="1800" w:bottom="1440" w:left="1800" w:header="0" w:footer="1090" w:gutter="0"/>
          <w:pgNumType w:fmt="decimal"/>
          <w:cols w:space="720" w:num="1"/>
        </w:sectPr>
      </w:pPr>
      <w:r>
        <w:rPr>
          <w:rFonts w:ascii="新宋体" w:hAnsi="新宋体" w:eastAsia="新宋体" w:cs="新宋体"/>
          <w:color w:val="auto"/>
          <w:spacing w:val="-11"/>
          <w:sz w:val="28"/>
          <w:szCs w:val="28"/>
          <w:highlight w:val="none"/>
        </w:rPr>
        <w:t>签订日期：</w:t>
      </w:r>
      <w:r>
        <w:rPr>
          <w:rFonts w:ascii="新宋体" w:hAnsi="新宋体" w:eastAsia="新宋体" w:cs="新宋体"/>
          <w:color w:val="auto"/>
          <w:spacing w:val="-11"/>
          <w:sz w:val="28"/>
          <w:szCs w:val="28"/>
          <w:highlight w:val="none"/>
          <w:u w:val="single" w:color="auto"/>
        </w:rPr>
        <w:t xml:space="preserve">                </w:t>
      </w:r>
      <w:r>
        <w:rPr>
          <w:rFonts w:ascii="新宋体" w:hAnsi="新宋体" w:eastAsia="新宋体" w:cs="新宋体"/>
          <w:color w:val="auto"/>
          <w:spacing w:val="-84"/>
          <w:sz w:val="28"/>
          <w:szCs w:val="28"/>
          <w:highlight w:val="none"/>
        </w:rPr>
        <w:t xml:space="preserve"> </w:t>
      </w:r>
      <w:r>
        <w:rPr>
          <w:rFonts w:ascii="新宋体" w:hAnsi="新宋体" w:eastAsia="新宋体" w:cs="新宋体"/>
          <w:color w:val="auto"/>
          <w:spacing w:val="-11"/>
          <w:sz w:val="28"/>
          <w:szCs w:val="28"/>
          <w:highlight w:val="none"/>
        </w:rPr>
        <w:t>年</w:t>
      </w:r>
      <w:r>
        <w:rPr>
          <w:rFonts w:ascii="新宋体" w:hAnsi="新宋体" w:eastAsia="新宋体" w:cs="新宋体"/>
          <w:color w:val="auto"/>
          <w:sz w:val="28"/>
          <w:szCs w:val="28"/>
          <w:highlight w:val="none"/>
          <w:u w:val="single" w:color="auto"/>
        </w:rPr>
        <w:t xml:space="preserve">       </w:t>
      </w:r>
      <w:r>
        <w:rPr>
          <w:rFonts w:ascii="新宋体" w:hAnsi="新宋体" w:eastAsia="新宋体" w:cs="新宋体"/>
          <w:color w:val="auto"/>
          <w:spacing w:val="-93"/>
          <w:sz w:val="28"/>
          <w:szCs w:val="28"/>
          <w:highlight w:val="none"/>
        </w:rPr>
        <w:t xml:space="preserve"> </w:t>
      </w:r>
      <w:r>
        <w:rPr>
          <w:rFonts w:ascii="新宋体" w:hAnsi="新宋体" w:eastAsia="新宋体" w:cs="新宋体"/>
          <w:color w:val="auto"/>
          <w:spacing w:val="-11"/>
          <w:sz w:val="28"/>
          <w:szCs w:val="28"/>
          <w:highlight w:val="none"/>
        </w:rPr>
        <w:t>月</w:t>
      </w:r>
      <w:r>
        <w:rPr>
          <w:rFonts w:ascii="新宋体" w:hAnsi="新宋体" w:eastAsia="新宋体" w:cs="新宋体"/>
          <w:color w:val="auto"/>
          <w:sz w:val="28"/>
          <w:szCs w:val="28"/>
          <w:highlight w:val="none"/>
          <w:u w:val="single" w:color="auto"/>
        </w:rPr>
        <w:t xml:space="preserve">       </w:t>
      </w:r>
      <w:r>
        <w:rPr>
          <w:rFonts w:ascii="新宋体" w:hAnsi="新宋体" w:eastAsia="新宋体" w:cs="新宋体"/>
          <w:color w:val="auto"/>
          <w:spacing w:val="-54"/>
          <w:sz w:val="28"/>
          <w:szCs w:val="28"/>
          <w:highlight w:val="none"/>
        </w:rPr>
        <w:t xml:space="preserve"> </w:t>
      </w:r>
      <w:r>
        <w:rPr>
          <w:rFonts w:ascii="新宋体" w:hAnsi="新宋体" w:eastAsia="新宋体" w:cs="新宋体"/>
          <w:color w:val="auto"/>
          <w:spacing w:val="-11"/>
          <w:sz w:val="28"/>
          <w:szCs w:val="28"/>
          <w:highlight w:val="none"/>
        </w:rPr>
        <w:t>日</w:t>
      </w:r>
    </w:p>
    <w:p w14:paraId="0116AE95">
      <w:pPr>
        <w:spacing w:before="78" w:line="354" w:lineRule="auto"/>
        <w:ind w:firstLine="452" w:firstLineChars="200"/>
        <w:jc w:val="both"/>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根据《中华人民共和国</w:t>
      </w:r>
      <w:r>
        <w:rPr>
          <w:rFonts w:hint="eastAsia" w:ascii="新宋体" w:hAnsi="新宋体" w:eastAsia="新宋体" w:cs="新宋体"/>
          <w:color w:val="auto"/>
          <w:spacing w:val="-7"/>
          <w:sz w:val="24"/>
          <w:szCs w:val="24"/>
          <w:highlight w:val="none"/>
          <w:lang w:eastAsia="zh-CN"/>
        </w:rPr>
        <w:t>民法典</w:t>
      </w:r>
      <w:r>
        <w:rPr>
          <w:rFonts w:ascii="新宋体" w:hAnsi="新宋体" w:eastAsia="新宋体" w:cs="新宋体"/>
          <w:color w:val="auto"/>
          <w:spacing w:val="-7"/>
          <w:sz w:val="24"/>
          <w:szCs w:val="24"/>
          <w:highlight w:val="none"/>
        </w:rPr>
        <w:t>》、《中华人民共和国政府采购法》等相</w:t>
      </w:r>
      <w:r>
        <w:rPr>
          <w:rFonts w:ascii="新宋体" w:hAnsi="新宋体" w:eastAsia="新宋体" w:cs="新宋体"/>
          <w:color w:val="auto"/>
          <w:spacing w:val="-8"/>
          <w:sz w:val="24"/>
          <w:szCs w:val="24"/>
          <w:highlight w:val="none"/>
        </w:rPr>
        <w:t>关法律法规之规定，</w:t>
      </w:r>
      <w:r>
        <w:rPr>
          <w:rFonts w:ascii="新宋体" w:hAnsi="新宋体" w:eastAsia="新宋体" w:cs="新宋体"/>
          <w:color w:val="auto"/>
          <w:spacing w:val="-4"/>
          <w:sz w:val="24"/>
          <w:szCs w:val="24"/>
          <w:highlight w:val="none"/>
        </w:rPr>
        <w:t>以及</w:t>
      </w:r>
      <w:r>
        <w:rPr>
          <w:rFonts w:ascii="新宋体" w:hAnsi="新宋体" w:eastAsia="新宋体" w:cs="新宋体"/>
          <w:color w:val="auto"/>
          <w:spacing w:val="-4"/>
          <w:sz w:val="24"/>
          <w:szCs w:val="24"/>
          <w:highlight w:val="none"/>
          <w:u w:val="single" w:color="auto"/>
        </w:rPr>
        <w:t xml:space="preserve">  （项目名称</w:t>
      </w:r>
      <w:r>
        <w:rPr>
          <w:rFonts w:ascii="新宋体" w:hAnsi="新宋体" w:eastAsia="新宋体" w:cs="新宋体"/>
          <w:color w:val="auto"/>
          <w:spacing w:val="-10"/>
          <w:sz w:val="24"/>
          <w:szCs w:val="24"/>
          <w:highlight w:val="none"/>
          <w:u w:val="single" w:color="auto"/>
        </w:rPr>
        <w:t>）（</w:t>
      </w:r>
      <w:r>
        <w:rPr>
          <w:rFonts w:ascii="新宋体" w:hAnsi="新宋体" w:eastAsia="新宋体" w:cs="新宋体"/>
          <w:color w:val="auto"/>
          <w:spacing w:val="-4"/>
          <w:sz w:val="24"/>
          <w:szCs w:val="24"/>
          <w:highlight w:val="none"/>
          <w:u w:val="single" w:color="auto"/>
        </w:rPr>
        <w:t>项目编码</w:t>
      </w:r>
      <w:r>
        <w:rPr>
          <w:rFonts w:ascii="新宋体" w:hAnsi="新宋体" w:eastAsia="新宋体" w:cs="新宋体"/>
          <w:color w:val="auto"/>
          <w:spacing w:val="-10"/>
          <w:sz w:val="24"/>
          <w:szCs w:val="24"/>
          <w:highlight w:val="none"/>
          <w:u w:val="single" w:color="auto"/>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80"/>
          <w:sz w:val="24"/>
          <w:szCs w:val="24"/>
          <w:highlight w:val="none"/>
        </w:rPr>
        <w:t xml:space="preserve"> </w:t>
      </w:r>
      <w:r>
        <w:rPr>
          <w:rFonts w:ascii="新宋体" w:hAnsi="新宋体" w:eastAsia="新宋体" w:cs="新宋体"/>
          <w:color w:val="auto"/>
          <w:spacing w:val="-10"/>
          <w:sz w:val="24"/>
          <w:szCs w:val="24"/>
          <w:highlight w:val="none"/>
        </w:rPr>
        <w:t>）</w:t>
      </w:r>
      <w:r>
        <w:rPr>
          <w:rFonts w:ascii="新宋体" w:hAnsi="新宋体" w:eastAsia="新宋体" w:cs="新宋体"/>
          <w:color w:val="auto"/>
          <w:spacing w:val="-4"/>
          <w:sz w:val="24"/>
          <w:szCs w:val="24"/>
          <w:highlight w:val="none"/>
        </w:rPr>
        <w:t>的《招</w:t>
      </w:r>
      <w:r>
        <w:rPr>
          <w:rFonts w:ascii="新宋体" w:hAnsi="新宋体" w:eastAsia="新宋体" w:cs="新宋体"/>
          <w:color w:val="auto"/>
          <w:spacing w:val="-5"/>
          <w:sz w:val="24"/>
          <w:szCs w:val="24"/>
          <w:highlight w:val="none"/>
        </w:rPr>
        <w:t>标文件》，</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5"/>
          <w:sz w:val="24"/>
          <w:szCs w:val="24"/>
          <w:highlight w:val="none"/>
        </w:rPr>
        <w:t>乙方的《投标文件》及《中</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标通知书》， 按照平等、自愿、公平和诚实</w:t>
      </w:r>
      <w:r>
        <w:rPr>
          <w:rFonts w:ascii="新宋体" w:hAnsi="新宋体" w:eastAsia="新宋体" w:cs="新宋体"/>
          <w:color w:val="auto"/>
          <w:spacing w:val="-4"/>
          <w:sz w:val="24"/>
          <w:szCs w:val="24"/>
          <w:highlight w:val="none"/>
        </w:rPr>
        <w:t>信用的原则，经</w:t>
      </w:r>
      <w:r>
        <w:rPr>
          <w:rFonts w:ascii="新宋体" w:hAnsi="新宋体" w:eastAsia="新宋体" w:cs="新宋体"/>
          <w:color w:val="auto"/>
          <w:spacing w:val="-4"/>
          <w:sz w:val="24"/>
          <w:szCs w:val="24"/>
          <w:highlight w:val="none"/>
          <w:u w:val="single" w:color="auto"/>
        </w:rPr>
        <w:t xml:space="preserve">    （采购人名称）   </w:t>
      </w:r>
      <w:r>
        <w:rPr>
          <w:rFonts w:ascii="新宋体" w:hAnsi="新宋体" w:eastAsia="新宋体" w:cs="新宋体"/>
          <w:color w:val="auto"/>
          <w:spacing w:val="-70"/>
          <w:sz w:val="24"/>
          <w:szCs w:val="24"/>
          <w:highlight w:val="none"/>
        </w:rPr>
        <w:t xml:space="preserve"> </w:t>
      </w:r>
      <w:r>
        <w:rPr>
          <w:rFonts w:ascii="新宋体" w:hAnsi="新宋体" w:eastAsia="新宋体" w:cs="新宋体"/>
          <w:color w:val="auto"/>
          <w:spacing w:val="-4"/>
          <w:sz w:val="24"/>
          <w:szCs w:val="24"/>
          <w:highlight w:val="none"/>
        </w:rPr>
        <w:t>(以下</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简称：甲方)和</w:t>
      </w:r>
      <w:r>
        <w:rPr>
          <w:rFonts w:ascii="新宋体" w:hAnsi="新宋体" w:eastAsia="新宋体" w:cs="新宋体"/>
          <w:color w:val="auto"/>
          <w:spacing w:val="-2"/>
          <w:sz w:val="24"/>
          <w:szCs w:val="24"/>
          <w:highlight w:val="none"/>
          <w:u w:val="single" w:color="auto"/>
        </w:rPr>
        <w:t xml:space="preserve"> （中标供应商名称）</w:t>
      </w:r>
      <w:r>
        <w:rPr>
          <w:rFonts w:ascii="新宋体" w:hAnsi="新宋体" w:eastAsia="新宋体" w:cs="新宋体"/>
          <w:color w:val="auto"/>
          <w:spacing w:val="-69"/>
          <w:sz w:val="24"/>
          <w:szCs w:val="24"/>
          <w:highlight w:val="none"/>
        </w:rPr>
        <w:t xml:space="preserve"> </w:t>
      </w:r>
      <w:r>
        <w:rPr>
          <w:rFonts w:ascii="新宋体" w:hAnsi="新宋体" w:eastAsia="新宋体" w:cs="新宋体"/>
          <w:color w:val="auto"/>
          <w:spacing w:val="-3"/>
          <w:sz w:val="24"/>
          <w:szCs w:val="24"/>
          <w:highlight w:val="none"/>
        </w:rPr>
        <w:t>(以下简称：乙方)协商一致，约定以下合同条款，</w:t>
      </w:r>
      <w:r>
        <w:rPr>
          <w:rFonts w:ascii="新宋体" w:hAnsi="新宋体" w:eastAsia="新宋体" w:cs="新宋体"/>
          <w:color w:val="auto"/>
          <w:spacing w:val="-4"/>
          <w:sz w:val="24"/>
          <w:szCs w:val="24"/>
          <w:highlight w:val="none"/>
        </w:rPr>
        <w:t>以兹共同遵守、全面履行。</w:t>
      </w:r>
    </w:p>
    <w:p w14:paraId="2E351785">
      <w:pPr>
        <w:spacing w:before="35" w:line="345" w:lineRule="auto"/>
        <w:ind w:right="171" w:firstLine="486"/>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详细技术说明及其他有关合同项目的特定信息由合同附件予以说明，合同附件及本项</w:t>
      </w:r>
      <w:r>
        <w:rPr>
          <w:rFonts w:ascii="新宋体" w:hAnsi="新宋体" w:eastAsia="新宋体" w:cs="新宋体"/>
          <w:color w:val="auto"/>
          <w:spacing w:val="-4"/>
          <w:sz w:val="24"/>
          <w:szCs w:val="24"/>
          <w:highlight w:val="none"/>
        </w:rPr>
        <w:t>目的</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《招标文件》、《投标文件》、《中标通知书》等均为</w:t>
      </w:r>
      <w:r>
        <w:rPr>
          <w:rFonts w:ascii="新宋体" w:hAnsi="新宋体" w:eastAsia="新宋体" w:cs="新宋体"/>
          <w:color w:val="auto"/>
          <w:spacing w:val="-2"/>
          <w:sz w:val="24"/>
          <w:szCs w:val="24"/>
          <w:highlight w:val="none"/>
        </w:rPr>
        <w:t>本合同的组成部分。</w:t>
      </w:r>
    </w:p>
    <w:p w14:paraId="1F7E7A7E">
      <w:pPr>
        <w:pStyle w:val="4"/>
        <w:spacing w:before="37" w:line="188" w:lineRule="auto"/>
        <w:ind w:left="495"/>
        <w:rPr>
          <w:color w:val="auto"/>
          <w:sz w:val="24"/>
          <w:szCs w:val="24"/>
          <w:highlight w:val="none"/>
        </w:rPr>
      </w:pPr>
      <w:r>
        <w:rPr>
          <w:b/>
          <w:bCs/>
          <w:color w:val="auto"/>
          <w:spacing w:val="-5"/>
          <w:sz w:val="24"/>
          <w:szCs w:val="24"/>
          <w:highlight w:val="none"/>
        </w:rPr>
        <w:t>1.1  合同组成部分</w:t>
      </w:r>
    </w:p>
    <w:p w14:paraId="0BE0139E">
      <w:pPr>
        <w:spacing w:before="142" w:line="350" w:lineRule="auto"/>
        <w:ind w:left="5" w:right="171" w:firstLine="484"/>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下列文件为本合同的组成部分，并构成一个整体，需综合解释、相互补充。</w:t>
      </w:r>
      <w:r>
        <w:rPr>
          <w:rFonts w:ascii="新宋体" w:hAnsi="新宋体" w:eastAsia="新宋体" w:cs="新宋体"/>
          <w:color w:val="auto"/>
          <w:spacing w:val="-4"/>
          <w:sz w:val="24"/>
          <w:szCs w:val="24"/>
          <w:highlight w:val="none"/>
        </w:rPr>
        <w:t>如果下列文件</w:t>
      </w:r>
      <w:r>
        <w:rPr>
          <w:rFonts w:ascii="新宋体" w:hAnsi="新宋体" w:eastAsia="新宋体" w:cs="新宋体"/>
          <w:color w:val="auto"/>
          <w:spacing w:val="-3"/>
          <w:sz w:val="24"/>
          <w:szCs w:val="24"/>
          <w:highlight w:val="none"/>
        </w:rPr>
        <w:t>内容出现不一致的情形，那么在保证按照采购文件确定的事项的前提下，组成本合同的多个文</w:t>
      </w:r>
      <w:r>
        <w:rPr>
          <w:rFonts w:ascii="新宋体" w:hAnsi="新宋体" w:eastAsia="新宋体" w:cs="新宋体"/>
          <w:color w:val="auto"/>
          <w:spacing w:val="-6"/>
          <w:sz w:val="24"/>
          <w:szCs w:val="24"/>
          <w:highlight w:val="none"/>
        </w:rPr>
        <w:t>件的优先适用顺序如下：</w:t>
      </w:r>
    </w:p>
    <w:p w14:paraId="5AD4D1B6">
      <w:pPr>
        <w:spacing w:before="37"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1.1.1 本合同及其补充合同、变更协议；</w:t>
      </w:r>
    </w:p>
    <w:p w14:paraId="65939FBB">
      <w:pPr>
        <w:spacing w:before="177"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10"/>
          <w:sz w:val="24"/>
          <w:szCs w:val="24"/>
          <w:highlight w:val="none"/>
        </w:rPr>
        <w:t>1.1.2</w:t>
      </w:r>
      <w:r>
        <w:rPr>
          <w:rFonts w:ascii="新宋体" w:hAnsi="新宋体" w:eastAsia="新宋体" w:cs="新宋体"/>
          <w:color w:val="auto"/>
          <w:spacing w:val="46"/>
          <w:sz w:val="24"/>
          <w:szCs w:val="24"/>
          <w:highlight w:val="none"/>
        </w:rPr>
        <w:t xml:space="preserve"> </w:t>
      </w:r>
      <w:r>
        <w:rPr>
          <w:rFonts w:ascii="新宋体" w:hAnsi="新宋体" w:eastAsia="新宋体" w:cs="新宋体"/>
          <w:color w:val="auto"/>
          <w:spacing w:val="-10"/>
          <w:sz w:val="24"/>
          <w:szCs w:val="24"/>
          <w:highlight w:val="none"/>
        </w:rPr>
        <w:t>中标通知书；</w:t>
      </w:r>
    </w:p>
    <w:p w14:paraId="7A8D90AE">
      <w:pPr>
        <w:spacing w:before="176" w:line="224"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1.1.3 投标文件（含澄清或者说明文件</w:t>
      </w:r>
      <w:r>
        <w:rPr>
          <w:rFonts w:ascii="新宋体" w:hAnsi="新宋体" w:eastAsia="新宋体" w:cs="新宋体"/>
          <w:color w:val="auto"/>
          <w:spacing w:val="2"/>
          <w:sz w:val="24"/>
          <w:szCs w:val="24"/>
          <w:highlight w:val="none"/>
        </w:rPr>
        <w:t>）；</w:t>
      </w:r>
    </w:p>
    <w:p w14:paraId="1E8392A7">
      <w:pPr>
        <w:spacing w:before="176" w:line="224"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1.1.4 招标文件（含澄清或者修改文件</w:t>
      </w:r>
      <w:r>
        <w:rPr>
          <w:rFonts w:ascii="新宋体" w:hAnsi="新宋体" w:eastAsia="新宋体" w:cs="新宋体"/>
          <w:color w:val="auto"/>
          <w:spacing w:val="2"/>
          <w:sz w:val="24"/>
          <w:szCs w:val="24"/>
          <w:highlight w:val="none"/>
        </w:rPr>
        <w:t>）；</w:t>
      </w:r>
    </w:p>
    <w:p w14:paraId="39DB18E0">
      <w:pPr>
        <w:spacing w:before="176"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1.1.5 其他相关采购文件。</w:t>
      </w:r>
    </w:p>
    <w:p w14:paraId="07CECA1F">
      <w:pPr>
        <w:pStyle w:val="4"/>
        <w:spacing w:before="178" w:line="188" w:lineRule="auto"/>
        <w:ind w:left="495"/>
        <w:rPr>
          <w:color w:val="auto"/>
          <w:sz w:val="24"/>
          <w:szCs w:val="24"/>
          <w:highlight w:val="none"/>
        </w:rPr>
      </w:pPr>
      <w:r>
        <w:rPr>
          <w:b/>
          <w:bCs/>
          <w:color w:val="auto"/>
          <w:spacing w:val="-7"/>
          <w:sz w:val="24"/>
          <w:szCs w:val="24"/>
          <w:highlight w:val="none"/>
        </w:rPr>
        <w:t>1.2  货物</w:t>
      </w:r>
    </w:p>
    <w:p w14:paraId="79B9ED64">
      <w:pPr>
        <w:spacing w:before="143"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1.2.1</w:t>
      </w:r>
      <w:r>
        <w:rPr>
          <w:rFonts w:ascii="新宋体" w:hAnsi="新宋体" w:eastAsia="新宋体" w:cs="新宋体"/>
          <w:color w:val="auto"/>
          <w:spacing w:val="21"/>
          <w:sz w:val="24"/>
          <w:szCs w:val="24"/>
          <w:highlight w:val="none"/>
        </w:rPr>
        <w:t xml:space="preserve"> </w:t>
      </w:r>
      <w:r>
        <w:rPr>
          <w:rFonts w:ascii="新宋体" w:hAnsi="新宋体" w:eastAsia="新宋体" w:cs="新宋体"/>
          <w:color w:val="auto"/>
          <w:spacing w:val="-5"/>
          <w:sz w:val="24"/>
          <w:szCs w:val="24"/>
          <w:highlight w:val="none"/>
        </w:rPr>
        <w:t>货物名称</w:t>
      </w:r>
      <w:r>
        <w:rPr>
          <w:rFonts w:ascii="新宋体" w:hAnsi="新宋体" w:eastAsia="新宋体" w:cs="新宋体"/>
          <w:color w:val="auto"/>
          <w:spacing w:val="-2"/>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2"/>
          <w:sz w:val="24"/>
          <w:szCs w:val="24"/>
          <w:highlight w:val="none"/>
        </w:rPr>
        <w:t>；</w:t>
      </w:r>
    </w:p>
    <w:p w14:paraId="79CB5048">
      <w:pPr>
        <w:spacing w:before="177"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1.2.2</w:t>
      </w:r>
      <w:r>
        <w:rPr>
          <w:rFonts w:ascii="新宋体" w:hAnsi="新宋体" w:eastAsia="新宋体" w:cs="新宋体"/>
          <w:color w:val="auto"/>
          <w:spacing w:val="21"/>
          <w:sz w:val="24"/>
          <w:szCs w:val="24"/>
          <w:highlight w:val="none"/>
        </w:rPr>
        <w:t xml:space="preserve"> </w:t>
      </w:r>
      <w:r>
        <w:rPr>
          <w:rFonts w:ascii="新宋体" w:hAnsi="新宋体" w:eastAsia="新宋体" w:cs="新宋体"/>
          <w:color w:val="auto"/>
          <w:spacing w:val="-5"/>
          <w:sz w:val="24"/>
          <w:szCs w:val="24"/>
          <w:highlight w:val="none"/>
        </w:rPr>
        <w:t>货物数量</w:t>
      </w:r>
      <w:r>
        <w:rPr>
          <w:rFonts w:ascii="新宋体" w:hAnsi="新宋体" w:eastAsia="新宋体" w:cs="新宋体"/>
          <w:color w:val="auto"/>
          <w:spacing w:val="-2"/>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2"/>
          <w:sz w:val="24"/>
          <w:szCs w:val="24"/>
          <w:highlight w:val="none"/>
        </w:rPr>
        <w:t>；</w:t>
      </w:r>
    </w:p>
    <w:p w14:paraId="64F905BE">
      <w:pPr>
        <w:spacing w:before="177"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1.2.3</w:t>
      </w:r>
      <w:r>
        <w:rPr>
          <w:rFonts w:ascii="新宋体" w:hAnsi="新宋体" w:eastAsia="新宋体" w:cs="新宋体"/>
          <w:color w:val="auto"/>
          <w:spacing w:val="32"/>
          <w:sz w:val="24"/>
          <w:szCs w:val="24"/>
          <w:highlight w:val="none"/>
        </w:rPr>
        <w:t xml:space="preserve"> </w:t>
      </w:r>
      <w:r>
        <w:rPr>
          <w:rFonts w:ascii="新宋体" w:hAnsi="新宋体" w:eastAsia="新宋体" w:cs="新宋体"/>
          <w:color w:val="auto"/>
          <w:spacing w:val="-3"/>
          <w:sz w:val="24"/>
          <w:szCs w:val="24"/>
          <w:highlight w:val="none"/>
        </w:rPr>
        <w:t>货物质量：</w:t>
      </w:r>
      <w:r>
        <w:rPr>
          <w:rFonts w:ascii="新宋体" w:hAnsi="新宋体" w:eastAsia="新宋体" w:cs="新宋体"/>
          <w:color w:val="auto"/>
          <w:spacing w:val="-3"/>
          <w:sz w:val="24"/>
          <w:szCs w:val="24"/>
          <w:highlight w:val="none"/>
          <w:u w:val="single" w:color="auto"/>
        </w:rPr>
        <w:t xml:space="preserve">                                                </w:t>
      </w:r>
      <w:r>
        <w:rPr>
          <w:rFonts w:ascii="新宋体" w:hAnsi="新宋体" w:eastAsia="新宋体" w:cs="新宋体"/>
          <w:color w:val="auto"/>
          <w:spacing w:val="-3"/>
          <w:sz w:val="24"/>
          <w:szCs w:val="24"/>
          <w:highlight w:val="none"/>
        </w:rPr>
        <w:t>。</w:t>
      </w:r>
    </w:p>
    <w:p w14:paraId="60D837DE">
      <w:pPr>
        <w:pStyle w:val="4"/>
        <w:spacing w:before="177" w:line="188" w:lineRule="auto"/>
        <w:ind w:left="495"/>
        <w:rPr>
          <w:color w:val="auto"/>
          <w:sz w:val="24"/>
          <w:szCs w:val="24"/>
          <w:highlight w:val="none"/>
        </w:rPr>
      </w:pPr>
      <w:r>
        <w:rPr>
          <w:b/>
          <w:bCs/>
          <w:color w:val="auto"/>
          <w:spacing w:val="-7"/>
          <w:sz w:val="24"/>
          <w:szCs w:val="24"/>
          <w:highlight w:val="none"/>
        </w:rPr>
        <w:t>1.3  价款</w:t>
      </w:r>
    </w:p>
    <w:p w14:paraId="7C33342F">
      <w:pPr>
        <w:spacing w:before="146" w:line="344" w:lineRule="auto"/>
        <w:ind w:left="487" w:right="1542" w:hanging="1"/>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本合同总价为：￥</w:t>
      </w:r>
      <w:r>
        <w:rPr>
          <w:rFonts w:ascii="新宋体" w:hAnsi="新宋体" w:eastAsia="新宋体" w:cs="新宋体"/>
          <w:color w:val="auto"/>
          <w:spacing w:val="-89"/>
          <w:sz w:val="24"/>
          <w:szCs w:val="24"/>
          <w:highlight w:val="none"/>
        </w:rPr>
        <w:t xml:space="preserve"> </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0"/>
          <w:sz w:val="24"/>
          <w:szCs w:val="24"/>
          <w:highlight w:val="none"/>
        </w:rPr>
        <w:t xml:space="preserve"> </w:t>
      </w:r>
      <w:r>
        <w:rPr>
          <w:rFonts w:ascii="新宋体" w:hAnsi="新宋体" w:eastAsia="新宋体" w:cs="新宋体"/>
          <w:color w:val="auto"/>
          <w:spacing w:val="-3"/>
          <w:sz w:val="24"/>
          <w:szCs w:val="24"/>
          <w:highlight w:val="none"/>
        </w:rPr>
        <w:t>元（大写：</w:t>
      </w:r>
      <w:r>
        <w:rPr>
          <w:rFonts w:ascii="新宋体" w:hAnsi="新宋体" w:eastAsia="新宋体" w:cs="新宋体"/>
          <w:color w:val="auto"/>
          <w:spacing w:val="-3"/>
          <w:sz w:val="24"/>
          <w:szCs w:val="24"/>
          <w:highlight w:val="none"/>
          <w:u w:val="single" w:color="auto"/>
        </w:rPr>
        <w:t xml:space="preserve">          </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100"/>
          <w:sz w:val="24"/>
          <w:szCs w:val="24"/>
          <w:highlight w:val="none"/>
        </w:rPr>
        <w:t xml:space="preserve"> </w:t>
      </w:r>
      <w:r>
        <w:rPr>
          <w:rFonts w:ascii="新宋体" w:hAnsi="新宋体" w:eastAsia="新宋体" w:cs="新宋体"/>
          <w:color w:val="auto"/>
          <w:spacing w:val="-4"/>
          <w:sz w:val="24"/>
          <w:szCs w:val="24"/>
          <w:highlight w:val="none"/>
        </w:rPr>
        <w:t>元人民币）。</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2"/>
          <w:sz w:val="24"/>
          <w:szCs w:val="24"/>
          <w:highlight w:val="none"/>
        </w:rPr>
        <w:t>分项价格：</w:t>
      </w:r>
    </w:p>
    <w:tbl>
      <w:tblPr>
        <w:tblStyle w:val="16"/>
        <w:tblW w:w="8598" w:type="dxa"/>
        <w:tblInd w:w="5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4084"/>
        <w:gridCol w:w="3068"/>
      </w:tblGrid>
      <w:tr w14:paraId="262F3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446" w:type="dxa"/>
            <w:vAlign w:val="top"/>
          </w:tcPr>
          <w:p w14:paraId="3F29544A">
            <w:pPr>
              <w:pStyle w:val="17"/>
              <w:spacing w:before="37" w:line="225" w:lineRule="auto"/>
              <w:ind w:left="492"/>
              <w:rPr>
                <w:color w:val="auto"/>
                <w:highlight w:val="none"/>
              </w:rPr>
            </w:pPr>
            <w:r>
              <w:rPr>
                <w:color w:val="auto"/>
                <w:spacing w:val="-4"/>
                <w:highlight w:val="none"/>
              </w:rPr>
              <w:t>序号</w:t>
            </w:r>
          </w:p>
        </w:tc>
        <w:tc>
          <w:tcPr>
            <w:tcW w:w="4084" w:type="dxa"/>
            <w:vAlign w:val="top"/>
          </w:tcPr>
          <w:p w14:paraId="6E4A0241">
            <w:pPr>
              <w:pStyle w:val="17"/>
              <w:spacing w:before="38" w:line="224" w:lineRule="auto"/>
              <w:ind w:left="1675"/>
              <w:rPr>
                <w:color w:val="auto"/>
                <w:highlight w:val="none"/>
              </w:rPr>
            </w:pPr>
            <w:r>
              <w:rPr>
                <w:color w:val="auto"/>
                <w:spacing w:val="-4"/>
                <w:highlight w:val="none"/>
              </w:rPr>
              <w:t>分项名称</w:t>
            </w:r>
          </w:p>
        </w:tc>
        <w:tc>
          <w:tcPr>
            <w:tcW w:w="3068" w:type="dxa"/>
            <w:vAlign w:val="top"/>
          </w:tcPr>
          <w:p w14:paraId="71CE5FCB">
            <w:pPr>
              <w:pStyle w:val="17"/>
              <w:spacing w:before="37" w:line="222" w:lineRule="auto"/>
              <w:ind w:left="1069"/>
              <w:rPr>
                <w:color w:val="auto"/>
                <w:highlight w:val="none"/>
              </w:rPr>
            </w:pPr>
            <w:r>
              <w:rPr>
                <w:color w:val="auto"/>
                <w:spacing w:val="-4"/>
                <w:highlight w:val="none"/>
              </w:rPr>
              <w:t>分项价格</w:t>
            </w:r>
          </w:p>
        </w:tc>
      </w:tr>
      <w:tr w14:paraId="6A7F1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46" w:type="dxa"/>
            <w:vAlign w:val="top"/>
          </w:tcPr>
          <w:p w14:paraId="5A2BA462">
            <w:pPr>
              <w:rPr>
                <w:rFonts w:ascii="Arial"/>
                <w:color w:val="auto"/>
                <w:sz w:val="21"/>
                <w:highlight w:val="none"/>
              </w:rPr>
            </w:pPr>
          </w:p>
        </w:tc>
        <w:tc>
          <w:tcPr>
            <w:tcW w:w="4084" w:type="dxa"/>
            <w:vAlign w:val="top"/>
          </w:tcPr>
          <w:p w14:paraId="6EC274C8">
            <w:pPr>
              <w:rPr>
                <w:rFonts w:ascii="Arial"/>
                <w:color w:val="auto"/>
                <w:sz w:val="21"/>
                <w:highlight w:val="none"/>
              </w:rPr>
            </w:pPr>
          </w:p>
        </w:tc>
        <w:tc>
          <w:tcPr>
            <w:tcW w:w="3068" w:type="dxa"/>
            <w:vAlign w:val="top"/>
          </w:tcPr>
          <w:p w14:paraId="66769664">
            <w:pPr>
              <w:rPr>
                <w:rFonts w:ascii="Arial"/>
                <w:color w:val="auto"/>
                <w:sz w:val="21"/>
                <w:highlight w:val="none"/>
              </w:rPr>
            </w:pPr>
          </w:p>
        </w:tc>
      </w:tr>
      <w:tr w14:paraId="1E266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46" w:type="dxa"/>
            <w:vAlign w:val="top"/>
          </w:tcPr>
          <w:p w14:paraId="0F18981B">
            <w:pPr>
              <w:rPr>
                <w:rFonts w:ascii="Arial"/>
                <w:color w:val="auto"/>
                <w:sz w:val="21"/>
                <w:highlight w:val="none"/>
              </w:rPr>
            </w:pPr>
          </w:p>
        </w:tc>
        <w:tc>
          <w:tcPr>
            <w:tcW w:w="4084" w:type="dxa"/>
            <w:vAlign w:val="top"/>
          </w:tcPr>
          <w:p w14:paraId="21451AF1">
            <w:pPr>
              <w:rPr>
                <w:rFonts w:ascii="Arial"/>
                <w:color w:val="auto"/>
                <w:sz w:val="21"/>
                <w:highlight w:val="none"/>
              </w:rPr>
            </w:pPr>
          </w:p>
        </w:tc>
        <w:tc>
          <w:tcPr>
            <w:tcW w:w="3068" w:type="dxa"/>
            <w:vAlign w:val="top"/>
          </w:tcPr>
          <w:p w14:paraId="4A1320A4">
            <w:pPr>
              <w:rPr>
                <w:rFonts w:ascii="Arial"/>
                <w:color w:val="auto"/>
                <w:sz w:val="21"/>
                <w:highlight w:val="none"/>
              </w:rPr>
            </w:pPr>
          </w:p>
        </w:tc>
      </w:tr>
      <w:tr w14:paraId="76276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46" w:type="dxa"/>
            <w:vAlign w:val="top"/>
          </w:tcPr>
          <w:p w14:paraId="35A69CB2">
            <w:pPr>
              <w:rPr>
                <w:rFonts w:ascii="Arial"/>
                <w:color w:val="auto"/>
                <w:sz w:val="21"/>
                <w:highlight w:val="none"/>
              </w:rPr>
            </w:pPr>
          </w:p>
        </w:tc>
        <w:tc>
          <w:tcPr>
            <w:tcW w:w="4084" w:type="dxa"/>
            <w:vAlign w:val="top"/>
          </w:tcPr>
          <w:p w14:paraId="36BFD789">
            <w:pPr>
              <w:rPr>
                <w:rFonts w:ascii="Arial"/>
                <w:color w:val="auto"/>
                <w:sz w:val="21"/>
                <w:highlight w:val="none"/>
              </w:rPr>
            </w:pPr>
          </w:p>
        </w:tc>
        <w:tc>
          <w:tcPr>
            <w:tcW w:w="3068" w:type="dxa"/>
            <w:vAlign w:val="top"/>
          </w:tcPr>
          <w:p w14:paraId="2ED2A908">
            <w:pPr>
              <w:rPr>
                <w:rFonts w:ascii="Arial"/>
                <w:color w:val="auto"/>
                <w:sz w:val="21"/>
                <w:highlight w:val="none"/>
              </w:rPr>
            </w:pPr>
          </w:p>
        </w:tc>
      </w:tr>
      <w:tr w14:paraId="31CD8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530" w:type="dxa"/>
            <w:gridSpan w:val="2"/>
            <w:vAlign w:val="top"/>
          </w:tcPr>
          <w:p w14:paraId="5D7FB8BC">
            <w:pPr>
              <w:pStyle w:val="17"/>
              <w:spacing w:before="41" w:line="222" w:lineRule="auto"/>
              <w:ind w:left="2647"/>
              <w:rPr>
                <w:color w:val="auto"/>
                <w:highlight w:val="none"/>
              </w:rPr>
            </w:pPr>
            <w:r>
              <w:rPr>
                <w:color w:val="auto"/>
                <w:spacing w:val="-7"/>
                <w:highlight w:val="none"/>
              </w:rPr>
              <w:t>总价</w:t>
            </w:r>
          </w:p>
        </w:tc>
        <w:tc>
          <w:tcPr>
            <w:tcW w:w="3068" w:type="dxa"/>
            <w:vAlign w:val="top"/>
          </w:tcPr>
          <w:p w14:paraId="63B6935A">
            <w:pPr>
              <w:rPr>
                <w:rFonts w:ascii="Arial"/>
                <w:color w:val="auto"/>
                <w:sz w:val="21"/>
                <w:highlight w:val="none"/>
              </w:rPr>
            </w:pPr>
          </w:p>
        </w:tc>
      </w:tr>
    </w:tbl>
    <w:p w14:paraId="40163058">
      <w:pPr>
        <w:rPr>
          <w:rFonts w:ascii="Arial" w:hAnsi="Arial" w:eastAsia="Arial" w:cs="Arial"/>
          <w:color w:val="auto"/>
          <w:sz w:val="21"/>
          <w:szCs w:val="21"/>
          <w:highlight w:val="none"/>
        </w:rPr>
        <w:sectPr>
          <w:footerReference r:id="rId12" w:type="default"/>
          <w:pgSz w:w="11905" w:h="16839"/>
          <w:pgMar w:top="1440" w:right="1800" w:bottom="1440" w:left="1800" w:header="0" w:footer="1090" w:gutter="0"/>
          <w:pgNumType w:fmt="decimal"/>
          <w:cols w:space="720" w:num="1"/>
        </w:sectPr>
      </w:pPr>
    </w:p>
    <w:p w14:paraId="7B44595F">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rPr>
          <w:color w:val="auto"/>
          <w:sz w:val="24"/>
          <w:szCs w:val="24"/>
          <w:highlight w:val="none"/>
        </w:rPr>
      </w:pPr>
      <w:r>
        <w:rPr>
          <w:b/>
          <w:bCs/>
          <w:color w:val="auto"/>
          <w:spacing w:val="-4"/>
          <w:sz w:val="24"/>
          <w:szCs w:val="24"/>
          <w:highlight w:val="none"/>
        </w:rPr>
        <w:t>1.4</w:t>
      </w:r>
      <w:r>
        <w:rPr>
          <w:b/>
          <w:bCs/>
          <w:color w:val="auto"/>
          <w:spacing w:val="74"/>
          <w:sz w:val="24"/>
          <w:szCs w:val="24"/>
          <w:highlight w:val="none"/>
        </w:rPr>
        <w:t xml:space="preserve"> </w:t>
      </w:r>
      <w:r>
        <w:rPr>
          <w:b/>
          <w:bCs/>
          <w:color w:val="auto"/>
          <w:spacing w:val="-4"/>
          <w:sz w:val="24"/>
          <w:szCs w:val="24"/>
          <w:highlight w:val="none"/>
        </w:rPr>
        <w:t>付款方式和发票开具方式</w:t>
      </w:r>
    </w:p>
    <w:p w14:paraId="70790F75">
      <w:pPr>
        <w:keepNext w:val="0"/>
        <w:keepLines w:val="0"/>
        <w:pageBreakBefore w:val="0"/>
        <w:widowControl/>
        <w:kinsoku w:val="0"/>
        <w:wordWrap/>
        <w:overflowPunct/>
        <w:topLinePunct w:val="0"/>
        <w:autoSpaceDE w:val="0"/>
        <w:autoSpaceDN w:val="0"/>
        <w:bidi w:val="0"/>
        <w:adjustRightInd w:val="0"/>
        <w:snapToGrid w:val="0"/>
        <w:spacing w:line="360" w:lineRule="auto"/>
        <w:ind w:left="49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1.4.1</w:t>
      </w:r>
      <w:r>
        <w:rPr>
          <w:rFonts w:ascii="新宋体" w:hAnsi="新宋体" w:eastAsia="新宋体" w:cs="新宋体"/>
          <w:color w:val="auto"/>
          <w:spacing w:val="15"/>
          <w:sz w:val="24"/>
          <w:szCs w:val="24"/>
          <w:highlight w:val="none"/>
        </w:rPr>
        <w:t xml:space="preserve"> </w:t>
      </w:r>
      <w:r>
        <w:rPr>
          <w:rFonts w:ascii="新宋体" w:hAnsi="新宋体" w:eastAsia="新宋体" w:cs="新宋体"/>
          <w:color w:val="auto"/>
          <w:spacing w:val="-5"/>
          <w:sz w:val="24"/>
          <w:szCs w:val="24"/>
          <w:highlight w:val="none"/>
        </w:rPr>
        <w:t>付款方式</w:t>
      </w:r>
      <w:r>
        <w:rPr>
          <w:rFonts w:ascii="新宋体" w:hAnsi="新宋体" w:eastAsia="新宋体" w:cs="新宋体"/>
          <w:color w:val="auto"/>
          <w:spacing w:val="1"/>
          <w:sz w:val="24"/>
          <w:szCs w:val="24"/>
          <w:highlight w:val="none"/>
        </w:rPr>
        <w:t>：</w:t>
      </w:r>
      <w:r>
        <w:rPr>
          <w:rFonts w:ascii="新宋体" w:hAnsi="新宋体" w:eastAsia="新宋体" w:cs="新宋体"/>
          <w:color w:val="auto"/>
          <w:sz w:val="24"/>
          <w:szCs w:val="24"/>
          <w:highlight w:val="none"/>
          <w:u w:val="single" w:color="auto"/>
        </w:rPr>
        <w:t xml:space="preserve">                                                </w:t>
      </w:r>
    </w:p>
    <w:p w14:paraId="2FD93130">
      <w:pPr>
        <w:keepNext w:val="0"/>
        <w:keepLines w:val="0"/>
        <w:pageBreakBefore w:val="0"/>
        <w:widowControl/>
        <w:kinsoku w:val="0"/>
        <w:wordWrap/>
        <w:overflowPunct/>
        <w:topLinePunct w:val="0"/>
        <w:autoSpaceDE w:val="0"/>
        <w:autoSpaceDN w:val="0"/>
        <w:bidi w:val="0"/>
        <w:adjustRightInd w:val="0"/>
        <w:snapToGrid w:val="0"/>
        <w:spacing w:line="360" w:lineRule="auto"/>
        <w:ind w:left="49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1.4.2</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4"/>
          <w:sz w:val="24"/>
          <w:szCs w:val="24"/>
          <w:highlight w:val="none"/>
        </w:rPr>
        <w:t>发票开具方式：</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4"/>
          <w:sz w:val="24"/>
          <w:szCs w:val="24"/>
          <w:highlight w:val="none"/>
        </w:rPr>
        <w:t>。</w:t>
      </w:r>
    </w:p>
    <w:p w14:paraId="536FBFB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490"/>
        <w:textAlignment w:val="baseline"/>
        <w:rPr>
          <w:color w:val="auto"/>
          <w:sz w:val="24"/>
          <w:szCs w:val="24"/>
          <w:highlight w:val="none"/>
        </w:rPr>
      </w:pPr>
      <w:r>
        <w:rPr>
          <w:b/>
          <w:bCs/>
          <w:color w:val="auto"/>
          <w:spacing w:val="-4"/>
          <w:sz w:val="24"/>
          <w:szCs w:val="24"/>
          <w:highlight w:val="none"/>
        </w:rPr>
        <w:t>1.5</w:t>
      </w:r>
      <w:r>
        <w:rPr>
          <w:b/>
          <w:bCs/>
          <w:color w:val="auto"/>
          <w:spacing w:val="78"/>
          <w:sz w:val="24"/>
          <w:szCs w:val="24"/>
          <w:highlight w:val="none"/>
        </w:rPr>
        <w:t xml:space="preserve"> </w:t>
      </w:r>
      <w:r>
        <w:rPr>
          <w:b/>
          <w:bCs/>
          <w:color w:val="auto"/>
          <w:spacing w:val="-4"/>
          <w:sz w:val="24"/>
          <w:szCs w:val="24"/>
          <w:highlight w:val="none"/>
        </w:rPr>
        <w:t>货物交付期限、地点和方式</w:t>
      </w:r>
    </w:p>
    <w:p w14:paraId="35D6FF4A">
      <w:pPr>
        <w:keepNext w:val="0"/>
        <w:keepLines w:val="0"/>
        <w:pageBreakBefore w:val="0"/>
        <w:widowControl/>
        <w:kinsoku w:val="0"/>
        <w:wordWrap/>
        <w:overflowPunct/>
        <w:topLinePunct w:val="0"/>
        <w:autoSpaceDE w:val="0"/>
        <w:autoSpaceDN w:val="0"/>
        <w:bidi w:val="0"/>
        <w:adjustRightInd w:val="0"/>
        <w:snapToGrid w:val="0"/>
        <w:spacing w:line="360" w:lineRule="auto"/>
        <w:ind w:left="49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1.5.1</w:t>
      </w:r>
      <w:r>
        <w:rPr>
          <w:rFonts w:ascii="新宋体" w:hAnsi="新宋体" w:eastAsia="新宋体" w:cs="新宋体"/>
          <w:color w:val="auto"/>
          <w:spacing w:val="21"/>
          <w:sz w:val="24"/>
          <w:szCs w:val="24"/>
          <w:highlight w:val="none"/>
        </w:rPr>
        <w:t xml:space="preserve"> </w:t>
      </w:r>
      <w:r>
        <w:rPr>
          <w:rFonts w:ascii="新宋体" w:hAnsi="新宋体" w:eastAsia="新宋体" w:cs="新宋体"/>
          <w:color w:val="auto"/>
          <w:spacing w:val="-5"/>
          <w:sz w:val="24"/>
          <w:szCs w:val="24"/>
          <w:highlight w:val="none"/>
        </w:rPr>
        <w:t>交付期限</w:t>
      </w:r>
      <w:r>
        <w:rPr>
          <w:rFonts w:ascii="新宋体" w:hAnsi="新宋体" w:eastAsia="新宋体" w:cs="新宋体"/>
          <w:color w:val="auto"/>
          <w:spacing w:val="-2"/>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2"/>
          <w:sz w:val="24"/>
          <w:szCs w:val="24"/>
          <w:highlight w:val="none"/>
        </w:rPr>
        <w:t>；</w:t>
      </w:r>
    </w:p>
    <w:p w14:paraId="1CD1FDF9">
      <w:pPr>
        <w:keepNext w:val="0"/>
        <w:keepLines w:val="0"/>
        <w:pageBreakBefore w:val="0"/>
        <w:widowControl/>
        <w:kinsoku w:val="0"/>
        <w:wordWrap/>
        <w:overflowPunct/>
        <w:topLinePunct w:val="0"/>
        <w:autoSpaceDE w:val="0"/>
        <w:autoSpaceDN w:val="0"/>
        <w:bidi w:val="0"/>
        <w:adjustRightInd w:val="0"/>
        <w:snapToGrid w:val="0"/>
        <w:spacing w:line="360" w:lineRule="auto"/>
        <w:ind w:left="49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1.5.2</w:t>
      </w:r>
      <w:r>
        <w:rPr>
          <w:rFonts w:ascii="新宋体" w:hAnsi="新宋体" w:eastAsia="新宋体" w:cs="新宋体"/>
          <w:color w:val="auto"/>
          <w:spacing w:val="21"/>
          <w:sz w:val="24"/>
          <w:szCs w:val="24"/>
          <w:highlight w:val="none"/>
        </w:rPr>
        <w:t xml:space="preserve"> </w:t>
      </w:r>
      <w:r>
        <w:rPr>
          <w:rFonts w:ascii="新宋体" w:hAnsi="新宋体" w:eastAsia="新宋体" w:cs="新宋体"/>
          <w:color w:val="auto"/>
          <w:spacing w:val="-5"/>
          <w:sz w:val="24"/>
          <w:szCs w:val="24"/>
          <w:highlight w:val="none"/>
        </w:rPr>
        <w:t>交付地点</w:t>
      </w:r>
      <w:r>
        <w:rPr>
          <w:rFonts w:ascii="新宋体" w:hAnsi="新宋体" w:eastAsia="新宋体" w:cs="新宋体"/>
          <w:color w:val="auto"/>
          <w:spacing w:val="-2"/>
          <w:sz w:val="24"/>
          <w:szCs w:val="24"/>
          <w:highlight w:val="none"/>
        </w:rPr>
        <w:t>：</w:t>
      </w:r>
      <w:r>
        <w:rPr>
          <w:rFonts w:ascii="新宋体" w:hAnsi="新宋体" w:eastAsia="新宋体" w:cs="新宋体"/>
          <w:color w:val="auto"/>
          <w:sz w:val="24"/>
          <w:szCs w:val="24"/>
          <w:highlight w:val="none"/>
          <w:u w:val="single" w:color="auto"/>
        </w:rPr>
        <w:t xml:space="preserve">                                                </w:t>
      </w:r>
    </w:p>
    <w:p w14:paraId="27FC3C44">
      <w:pPr>
        <w:keepNext w:val="0"/>
        <w:keepLines w:val="0"/>
        <w:pageBreakBefore w:val="0"/>
        <w:widowControl/>
        <w:kinsoku w:val="0"/>
        <w:wordWrap/>
        <w:overflowPunct/>
        <w:topLinePunct w:val="0"/>
        <w:autoSpaceDE w:val="0"/>
        <w:autoSpaceDN w:val="0"/>
        <w:bidi w:val="0"/>
        <w:adjustRightInd w:val="0"/>
        <w:snapToGrid w:val="0"/>
        <w:spacing w:line="360" w:lineRule="auto"/>
        <w:ind w:left="49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1.5.3</w:t>
      </w:r>
      <w:r>
        <w:rPr>
          <w:rFonts w:ascii="新宋体" w:hAnsi="新宋体" w:eastAsia="新宋体" w:cs="新宋体"/>
          <w:color w:val="auto"/>
          <w:spacing w:val="32"/>
          <w:sz w:val="24"/>
          <w:szCs w:val="24"/>
          <w:highlight w:val="none"/>
        </w:rPr>
        <w:t xml:space="preserve"> </w:t>
      </w:r>
      <w:r>
        <w:rPr>
          <w:rFonts w:ascii="新宋体" w:hAnsi="新宋体" w:eastAsia="新宋体" w:cs="新宋体"/>
          <w:color w:val="auto"/>
          <w:spacing w:val="-3"/>
          <w:sz w:val="24"/>
          <w:szCs w:val="24"/>
          <w:highlight w:val="none"/>
        </w:rPr>
        <w:t>交付方式：</w:t>
      </w:r>
      <w:r>
        <w:rPr>
          <w:rFonts w:ascii="新宋体" w:hAnsi="新宋体" w:eastAsia="新宋体" w:cs="新宋体"/>
          <w:color w:val="auto"/>
          <w:spacing w:val="-3"/>
          <w:sz w:val="24"/>
          <w:szCs w:val="24"/>
          <w:highlight w:val="none"/>
          <w:u w:val="single" w:color="auto"/>
        </w:rPr>
        <w:t xml:space="preserve">                                                 </w:t>
      </w:r>
    </w:p>
    <w:p w14:paraId="0C89531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490"/>
        <w:textAlignment w:val="baseline"/>
        <w:rPr>
          <w:color w:val="auto"/>
          <w:sz w:val="24"/>
          <w:szCs w:val="24"/>
          <w:highlight w:val="none"/>
        </w:rPr>
      </w:pPr>
      <w:r>
        <w:rPr>
          <w:b/>
          <w:bCs/>
          <w:color w:val="auto"/>
          <w:spacing w:val="-7"/>
          <w:sz w:val="24"/>
          <w:szCs w:val="24"/>
          <w:highlight w:val="none"/>
        </w:rPr>
        <w:t>1.6</w:t>
      </w:r>
      <w:r>
        <w:rPr>
          <w:b/>
          <w:bCs/>
          <w:color w:val="auto"/>
          <w:spacing w:val="70"/>
          <w:sz w:val="24"/>
          <w:szCs w:val="24"/>
          <w:highlight w:val="none"/>
        </w:rPr>
        <w:t xml:space="preserve"> </w:t>
      </w:r>
      <w:r>
        <w:rPr>
          <w:b/>
          <w:bCs/>
          <w:color w:val="auto"/>
          <w:spacing w:val="-7"/>
          <w:sz w:val="24"/>
          <w:szCs w:val="24"/>
          <w:highlight w:val="none"/>
        </w:rPr>
        <w:t>违约责任</w:t>
      </w:r>
    </w:p>
    <w:p w14:paraId="362CE765">
      <w:pPr>
        <w:keepNext w:val="0"/>
        <w:keepLines w:val="0"/>
        <w:pageBreakBefore w:val="0"/>
        <w:widowControl/>
        <w:kinsoku w:val="0"/>
        <w:wordWrap/>
        <w:overflowPunct/>
        <w:topLinePunct w:val="0"/>
        <w:autoSpaceDE w:val="0"/>
        <w:autoSpaceDN w:val="0"/>
        <w:bidi w:val="0"/>
        <w:adjustRightInd w:val="0"/>
        <w:snapToGrid w:val="0"/>
        <w:spacing w:line="360" w:lineRule="auto"/>
        <w:ind w:firstLine="49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1.6.1</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7"/>
          <w:sz w:val="24"/>
          <w:szCs w:val="24"/>
          <w:highlight w:val="none"/>
        </w:rPr>
        <w:t>除不可抗力外，如果乙方没有按照本合同约定的期限、地点和方式交付货物，那么</w:t>
      </w:r>
      <w:r>
        <w:rPr>
          <w:rFonts w:ascii="新宋体" w:hAnsi="新宋体" w:eastAsia="新宋体" w:cs="新宋体"/>
          <w:color w:val="auto"/>
          <w:spacing w:val="-2"/>
          <w:sz w:val="24"/>
          <w:szCs w:val="24"/>
          <w:highlight w:val="none"/>
        </w:rPr>
        <w:t>甲方可要求乙方支付违约金，违约金按每迟延交付货物一</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2"/>
          <w:sz w:val="24"/>
          <w:szCs w:val="24"/>
          <w:highlight w:val="none"/>
        </w:rPr>
        <w:t>日的应交付而未交付货物价格的</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2"/>
          <w:sz w:val="24"/>
          <w:szCs w:val="24"/>
          <w:highlight w:val="none"/>
        </w:rPr>
        <w:t>%</w:t>
      </w:r>
      <w:r>
        <w:rPr>
          <w:rFonts w:ascii="新宋体" w:hAnsi="新宋体" w:eastAsia="新宋体" w:cs="新宋体"/>
          <w:color w:val="auto"/>
          <w:sz w:val="24"/>
          <w:szCs w:val="24"/>
          <w:highlight w:val="none"/>
        </w:rPr>
        <w:t xml:space="preserve"> 计算，最高限额为本合同总价的</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z w:val="24"/>
          <w:szCs w:val="24"/>
          <w:highlight w:val="none"/>
        </w:rPr>
        <w:t>%；迟延交付货物</w:t>
      </w:r>
      <w:r>
        <w:rPr>
          <w:rFonts w:ascii="新宋体" w:hAnsi="新宋体" w:eastAsia="新宋体" w:cs="新宋体"/>
          <w:color w:val="auto"/>
          <w:spacing w:val="-1"/>
          <w:sz w:val="24"/>
          <w:szCs w:val="24"/>
          <w:highlight w:val="none"/>
        </w:rPr>
        <w:t>的违约金计算数额达到前述最高限额之</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日起，甲方有权在要求乙方支付违约金的同时，书面通知乙方解除本合</w:t>
      </w:r>
      <w:r>
        <w:rPr>
          <w:rFonts w:ascii="新宋体" w:hAnsi="新宋体" w:eastAsia="新宋体" w:cs="新宋体"/>
          <w:color w:val="auto"/>
          <w:spacing w:val="-3"/>
          <w:sz w:val="24"/>
          <w:szCs w:val="24"/>
          <w:highlight w:val="none"/>
        </w:rPr>
        <w:t>同；</w:t>
      </w:r>
    </w:p>
    <w:p w14:paraId="143012C6">
      <w:pPr>
        <w:keepNext w:val="0"/>
        <w:keepLines w:val="0"/>
        <w:pageBreakBefore w:val="0"/>
        <w:widowControl/>
        <w:kinsoku w:val="0"/>
        <w:wordWrap/>
        <w:overflowPunct/>
        <w:topLinePunct w:val="0"/>
        <w:autoSpaceDE w:val="0"/>
        <w:autoSpaceDN w:val="0"/>
        <w:bidi w:val="0"/>
        <w:adjustRightInd w:val="0"/>
        <w:snapToGrid w:val="0"/>
        <w:spacing w:line="360" w:lineRule="auto"/>
        <w:ind w:right="120" w:firstLine="48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1.6.2 除不可抗力外，如果甲方没有按照本合同约定的付款方式付款，那么乙方可要求甲</w:t>
      </w:r>
      <w:r>
        <w:rPr>
          <w:rFonts w:ascii="新宋体" w:hAnsi="新宋体" w:eastAsia="新宋体" w:cs="新宋体"/>
          <w:color w:val="auto"/>
          <w:spacing w:val="15"/>
          <w:sz w:val="24"/>
          <w:szCs w:val="24"/>
          <w:highlight w:val="none"/>
        </w:rPr>
        <w:t xml:space="preserve"> </w:t>
      </w:r>
      <w:r>
        <w:rPr>
          <w:rFonts w:ascii="新宋体" w:hAnsi="新宋体" w:eastAsia="新宋体" w:cs="新宋体"/>
          <w:color w:val="auto"/>
          <w:spacing w:val="-1"/>
          <w:sz w:val="24"/>
          <w:szCs w:val="24"/>
          <w:highlight w:val="none"/>
        </w:rPr>
        <w:t>方支付违约金，违约金按每迟延付款一</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1"/>
          <w:sz w:val="24"/>
          <w:szCs w:val="24"/>
          <w:highlight w:val="none"/>
        </w:rPr>
        <w:t>日的</w:t>
      </w:r>
      <w:r>
        <w:rPr>
          <w:rFonts w:ascii="新宋体" w:hAnsi="新宋体" w:eastAsia="新宋体" w:cs="新宋体"/>
          <w:color w:val="auto"/>
          <w:spacing w:val="-2"/>
          <w:sz w:val="24"/>
          <w:szCs w:val="24"/>
          <w:highlight w:val="none"/>
        </w:rPr>
        <w:t>应付而未付款的</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2"/>
          <w:sz w:val="24"/>
          <w:szCs w:val="24"/>
          <w:highlight w:val="none"/>
        </w:rPr>
        <w:t>%计算，最高限额为本合同总</w:t>
      </w:r>
      <w:r>
        <w:rPr>
          <w:rFonts w:ascii="新宋体" w:hAnsi="新宋体" w:eastAsia="新宋体" w:cs="新宋体"/>
          <w:color w:val="auto"/>
          <w:sz w:val="24"/>
          <w:szCs w:val="24"/>
          <w:highlight w:val="none"/>
        </w:rPr>
        <w:t>价的</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z w:val="24"/>
          <w:szCs w:val="24"/>
          <w:highlight w:val="none"/>
        </w:rPr>
        <w:t>%；迟延付款的违约金计算数额达到前述最</w:t>
      </w:r>
      <w:r>
        <w:rPr>
          <w:rFonts w:ascii="新宋体" w:hAnsi="新宋体" w:eastAsia="新宋体" w:cs="新宋体"/>
          <w:color w:val="auto"/>
          <w:spacing w:val="-1"/>
          <w:sz w:val="24"/>
          <w:szCs w:val="24"/>
          <w:highlight w:val="none"/>
        </w:rPr>
        <w:t>高限额之日起，乙方有权在要求甲方支付</w:t>
      </w:r>
      <w:r>
        <w:rPr>
          <w:rFonts w:ascii="新宋体" w:hAnsi="新宋体" w:eastAsia="新宋体" w:cs="新宋体"/>
          <w:color w:val="auto"/>
          <w:spacing w:val="-4"/>
          <w:sz w:val="24"/>
          <w:szCs w:val="24"/>
          <w:highlight w:val="none"/>
        </w:rPr>
        <w:t>违约金的同时，书面通知甲方解除本合同；</w:t>
      </w:r>
    </w:p>
    <w:p w14:paraId="295474B7">
      <w:pPr>
        <w:keepNext w:val="0"/>
        <w:keepLines w:val="0"/>
        <w:pageBreakBefore w:val="0"/>
        <w:widowControl/>
        <w:kinsoku w:val="0"/>
        <w:wordWrap/>
        <w:overflowPunct/>
        <w:topLinePunct w:val="0"/>
        <w:autoSpaceDE w:val="0"/>
        <w:autoSpaceDN w:val="0"/>
        <w:bidi w:val="0"/>
        <w:adjustRightInd w:val="0"/>
        <w:snapToGrid w:val="0"/>
        <w:spacing w:line="360" w:lineRule="auto"/>
        <w:ind w:right="161" w:firstLine="48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1.6.3 除不可抗力外，任何一方未能履行本合同约定的其他主要义务，经催告后在合理期</w:t>
      </w:r>
      <w:r>
        <w:rPr>
          <w:rFonts w:ascii="新宋体" w:hAnsi="新宋体" w:eastAsia="新宋体" w:cs="新宋体"/>
          <w:color w:val="auto"/>
          <w:spacing w:val="15"/>
          <w:sz w:val="24"/>
          <w:szCs w:val="24"/>
          <w:highlight w:val="none"/>
        </w:rPr>
        <w:t xml:space="preserve"> </w:t>
      </w:r>
      <w:r>
        <w:rPr>
          <w:rFonts w:ascii="新宋体" w:hAnsi="新宋体" w:eastAsia="新宋体" w:cs="新宋体"/>
          <w:color w:val="auto"/>
          <w:spacing w:val="-3"/>
          <w:sz w:val="24"/>
          <w:szCs w:val="24"/>
          <w:highlight w:val="none"/>
        </w:rPr>
        <w:t>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w:t>
      </w:r>
      <w:r>
        <w:rPr>
          <w:rFonts w:ascii="新宋体" w:hAnsi="新宋体" w:eastAsia="新宋体" w:cs="新宋体"/>
          <w:color w:val="auto"/>
          <w:spacing w:val="-6"/>
          <w:sz w:val="24"/>
          <w:szCs w:val="24"/>
          <w:highlight w:val="none"/>
        </w:rPr>
        <w:t>来影响对方当事人在合同签订、履行过程中的行为）的，对方当事人可以书面通知违约方解除</w:t>
      </w:r>
      <w:r>
        <w:rPr>
          <w:rFonts w:ascii="新宋体" w:hAnsi="新宋体" w:eastAsia="新宋体" w:cs="新宋体"/>
          <w:color w:val="auto"/>
          <w:spacing w:val="-14"/>
          <w:sz w:val="24"/>
          <w:szCs w:val="24"/>
          <w:highlight w:val="none"/>
        </w:rPr>
        <w:t>本合同；</w:t>
      </w:r>
    </w:p>
    <w:p w14:paraId="2C1491BA">
      <w:pPr>
        <w:keepNext w:val="0"/>
        <w:keepLines w:val="0"/>
        <w:pageBreakBefore w:val="0"/>
        <w:widowControl/>
        <w:kinsoku w:val="0"/>
        <w:wordWrap/>
        <w:overflowPunct/>
        <w:topLinePunct w:val="0"/>
        <w:autoSpaceDE w:val="0"/>
        <w:autoSpaceDN w:val="0"/>
        <w:bidi w:val="0"/>
        <w:adjustRightInd w:val="0"/>
        <w:snapToGrid w:val="0"/>
        <w:spacing w:line="360" w:lineRule="auto"/>
        <w:ind w:left="1" w:right="161" w:firstLine="48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1.6.4 任何一方按照前述约定要求违约方支付违约金的同时，仍有权要求违约方继续履行</w:t>
      </w:r>
      <w:r>
        <w:rPr>
          <w:rFonts w:ascii="新宋体" w:hAnsi="新宋体" w:eastAsia="新宋体" w:cs="新宋体"/>
          <w:color w:val="auto"/>
          <w:spacing w:val="-3"/>
          <w:sz w:val="24"/>
          <w:szCs w:val="24"/>
          <w:highlight w:val="none"/>
        </w:rPr>
        <w:t>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w:t>
      </w:r>
      <w:r>
        <w:rPr>
          <w:rFonts w:ascii="新宋体" w:hAnsi="新宋体" w:eastAsia="新宋体" w:cs="新宋体"/>
          <w:color w:val="auto"/>
          <w:spacing w:val="-14"/>
          <w:sz w:val="24"/>
          <w:szCs w:val="24"/>
          <w:highlight w:val="none"/>
        </w:rPr>
        <w:t>济方式；</w:t>
      </w:r>
    </w:p>
    <w:p w14:paraId="716A6417">
      <w:pPr>
        <w:keepNext w:val="0"/>
        <w:keepLines w:val="0"/>
        <w:pageBreakBefore w:val="0"/>
        <w:widowControl/>
        <w:kinsoku w:val="0"/>
        <w:wordWrap/>
        <w:overflowPunct/>
        <w:topLinePunct w:val="0"/>
        <w:autoSpaceDE w:val="0"/>
        <w:autoSpaceDN w:val="0"/>
        <w:bidi w:val="0"/>
        <w:adjustRightInd w:val="0"/>
        <w:snapToGrid w:val="0"/>
        <w:spacing w:line="360" w:lineRule="auto"/>
        <w:ind w:right="161" w:firstLine="49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1.6.5 除前述约定外，除不可抗力外，任何一方未能履行本合同约定的义务，对方当事人</w:t>
      </w:r>
      <w:r>
        <w:rPr>
          <w:rFonts w:ascii="新宋体" w:hAnsi="新宋体" w:eastAsia="新宋体" w:cs="新宋体"/>
          <w:color w:val="auto"/>
          <w:spacing w:val="-5"/>
          <w:sz w:val="24"/>
          <w:szCs w:val="24"/>
          <w:highlight w:val="none"/>
        </w:rPr>
        <w:t>均有权要求继续履行、采取补救措施或者赔偿损失等，且对方当事人行使的任何权利救济方式</w:t>
      </w:r>
      <w:r>
        <w:rPr>
          <w:rFonts w:ascii="新宋体" w:hAnsi="新宋体" w:eastAsia="新宋体" w:cs="新宋体"/>
          <w:color w:val="auto"/>
          <w:spacing w:val="-3"/>
          <w:sz w:val="24"/>
          <w:szCs w:val="24"/>
          <w:highlight w:val="none"/>
        </w:rPr>
        <w:t>均不视为其放弃了其他法定或者约定的权利救济方式；</w:t>
      </w:r>
    </w:p>
    <w:p w14:paraId="5181D39F">
      <w:pPr>
        <w:keepNext w:val="0"/>
        <w:keepLines w:val="0"/>
        <w:pageBreakBefore w:val="0"/>
        <w:widowControl/>
        <w:kinsoku w:val="0"/>
        <w:wordWrap/>
        <w:overflowPunct/>
        <w:topLinePunct w:val="0"/>
        <w:autoSpaceDE w:val="0"/>
        <w:autoSpaceDN w:val="0"/>
        <w:bidi w:val="0"/>
        <w:adjustRightInd w:val="0"/>
        <w:snapToGrid w:val="0"/>
        <w:spacing w:line="360" w:lineRule="auto"/>
        <w:ind w:left="14" w:right="2" w:firstLine="476"/>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1.6.6 如果出现政府采购监督管理部门在处理投诉事项期间，书面通知甲方暂停采购活动</w:t>
      </w:r>
      <w:r>
        <w:rPr>
          <w:rFonts w:ascii="新宋体" w:hAnsi="新宋体" w:eastAsia="新宋体" w:cs="新宋体"/>
          <w:color w:val="auto"/>
          <w:spacing w:val="-3"/>
          <w:sz w:val="24"/>
          <w:szCs w:val="24"/>
          <w:highlight w:val="none"/>
        </w:rPr>
        <w:t>的情形，或者询问或质疑事项可能影响中标结果的，导致甲方中止履行</w:t>
      </w:r>
      <w:r>
        <w:rPr>
          <w:rFonts w:ascii="新宋体" w:hAnsi="新宋体" w:eastAsia="新宋体" w:cs="新宋体"/>
          <w:color w:val="auto"/>
          <w:spacing w:val="-4"/>
          <w:sz w:val="24"/>
          <w:szCs w:val="24"/>
          <w:highlight w:val="none"/>
        </w:rPr>
        <w:t>合同的情形，均不视为</w:t>
      </w:r>
      <w:r>
        <w:rPr>
          <w:rFonts w:ascii="新宋体" w:hAnsi="新宋体" w:eastAsia="新宋体" w:cs="新宋体"/>
          <w:color w:val="auto"/>
          <w:spacing w:val="-10"/>
          <w:sz w:val="24"/>
          <w:szCs w:val="24"/>
          <w:highlight w:val="none"/>
        </w:rPr>
        <w:t>甲方违约。</w:t>
      </w:r>
    </w:p>
    <w:p w14:paraId="18B9AE1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490"/>
        <w:textAlignment w:val="baseline"/>
        <w:rPr>
          <w:color w:val="auto"/>
          <w:sz w:val="24"/>
          <w:szCs w:val="24"/>
          <w:highlight w:val="none"/>
        </w:rPr>
      </w:pPr>
      <w:r>
        <w:rPr>
          <w:b/>
          <w:bCs/>
          <w:color w:val="auto"/>
          <w:spacing w:val="-5"/>
          <w:sz w:val="24"/>
          <w:szCs w:val="24"/>
          <w:highlight w:val="none"/>
        </w:rPr>
        <w:t>1.7  合同争议的解决</w:t>
      </w:r>
    </w:p>
    <w:p w14:paraId="3D5656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本合同履行过程中发生的任何争议，双方当事人</w:t>
      </w:r>
      <w:r>
        <w:rPr>
          <w:rFonts w:ascii="新宋体" w:hAnsi="新宋体" w:eastAsia="新宋体" w:cs="新宋体"/>
          <w:color w:val="auto"/>
          <w:spacing w:val="-2"/>
          <w:sz w:val="24"/>
          <w:szCs w:val="24"/>
          <w:highlight w:val="none"/>
        </w:rPr>
        <w:t>均可通过和解或者调解解决；不愿和解、</w:t>
      </w:r>
      <w:r>
        <w:rPr>
          <w:rFonts w:ascii="新宋体" w:hAnsi="新宋体" w:eastAsia="新宋体" w:cs="新宋体"/>
          <w:color w:val="auto"/>
          <w:spacing w:val="-3"/>
          <w:sz w:val="24"/>
          <w:szCs w:val="24"/>
          <w:highlight w:val="none"/>
        </w:rPr>
        <w:t>调解或者和解、调解不成的，可以选择下列第</w:t>
      </w:r>
      <w:r>
        <w:rPr>
          <w:rFonts w:ascii="新宋体" w:hAnsi="新宋体" w:eastAsia="新宋体" w:cs="新宋体"/>
          <w:color w:val="auto"/>
          <w:spacing w:val="-3"/>
          <w:sz w:val="24"/>
          <w:szCs w:val="24"/>
          <w:highlight w:val="none"/>
          <w:u w:val="single" w:color="auto"/>
        </w:rPr>
        <w:t xml:space="preserve">    </w:t>
      </w:r>
      <w:r>
        <w:rPr>
          <w:rFonts w:ascii="新宋体" w:hAnsi="新宋体" w:eastAsia="新宋体" w:cs="新宋体"/>
          <w:color w:val="auto"/>
          <w:spacing w:val="-89"/>
          <w:sz w:val="24"/>
          <w:szCs w:val="24"/>
          <w:highlight w:val="none"/>
        </w:rPr>
        <w:t xml:space="preserve"> </w:t>
      </w:r>
      <w:r>
        <w:rPr>
          <w:rFonts w:ascii="新宋体" w:hAnsi="新宋体" w:eastAsia="新宋体" w:cs="新宋体"/>
          <w:color w:val="auto"/>
          <w:spacing w:val="-3"/>
          <w:sz w:val="24"/>
          <w:szCs w:val="24"/>
          <w:highlight w:val="none"/>
        </w:rPr>
        <w:t>种方式解决：</w:t>
      </w:r>
    </w:p>
    <w:p w14:paraId="0128CD2F">
      <w:pPr>
        <w:keepNext w:val="0"/>
        <w:keepLines w:val="0"/>
        <w:pageBreakBefore w:val="0"/>
        <w:widowControl/>
        <w:kinsoku w:val="0"/>
        <w:wordWrap/>
        <w:overflowPunct/>
        <w:topLinePunct w:val="0"/>
        <w:autoSpaceDE w:val="0"/>
        <w:autoSpaceDN w:val="0"/>
        <w:bidi w:val="0"/>
        <w:adjustRightInd w:val="0"/>
        <w:snapToGrid w:val="0"/>
        <w:spacing w:line="360" w:lineRule="auto"/>
        <w:ind w:right="11"/>
        <w:jc w:val="right"/>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1.7.1 将争议提交</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
          <w:sz w:val="24"/>
          <w:szCs w:val="24"/>
          <w:highlight w:val="none"/>
        </w:rPr>
        <w:t>仲裁委员会依申请仲裁时其现行有效的仲裁</w:t>
      </w:r>
    </w:p>
    <w:p w14:paraId="4AF62065">
      <w:pPr>
        <w:keepNext w:val="0"/>
        <w:keepLines w:val="0"/>
        <w:pageBreakBefore w:val="0"/>
        <w:widowControl/>
        <w:kinsoku w:val="0"/>
        <w:wordWrap/>
        <w:overflowPunct/>
        <w:topLinePunct w:val="0"/>
        <w:autoSpaceDE w:val="0"/>
        <w:autoSpaceDN w:val="0"/>
        <w:bidi w:val="0"/>
        <w:adjustRightInd w:val="0"/>
        <w:snapToGrid w:val="0"/>
        <w:spacing w:line="360" w:lineRule="auto"/>
        <w:ind w:right="11"/>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规则裁决；</w:t>
      </w:r>
    </w:p>
    <w:p w14:paraId="7B0B986D">
      <w:pPr>
        <w:keepNext w:val="0"/>
        <w:keepLines w:val="0"/>
        <w:pageBreakBefore w:val="0"/>
        <w:widowControl/>
        <w:kinsoku w:val="0"/>
        <w:wordWrap/>
        <w:overflowPunct/>
        <w:topLinePunct w:val="0"/>
        <w:autoSpaceDE w:val="0"/>
        <w:autoSpaceDN w:val="0"/>
        <w:bidi w:val="0"/>
        <w:adjustRightInd w:val="0"/>
        <w:snapToGrid w:val="0"/>
        <w:spacing w:line="360" w:lineRule="auto"/>
        <w:ind w:left="1" w:right="92" w:firstLine="48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1.7.2</w:t>
      </w:r>
      <w:r>
        <w:rPr>
          <w:rFonts w:ascii="新宋体" w:hAnsi="新宋体" w:eastAsia="新宋体" w:cs="新宋体"/>
          <w:color w:val="auto"/>
          <w:spacing w:val="48"/>
          <w:sz w:val="24"/>
          <w:szCs w:val="24"/>
          <w:highlight w:val="none"/>
        </w:rPr>
        <w:t xml:space="preserve"> </w:t>
      </w:r>
      <w:r>
        <w:rPr>
          <w:rFonts w:ascii="新宋体" w:hAnsi="新宋体" w:eastAsia="新宋体" w:cs="新宋体"/>
          <w:color w:val="auto"/>
          <w:spacing w:val="-2"/>
          <w:sz w:val="24"/>
          <w:szCs w:val="24"/>
          <w:highlight w:val="none"/>
        </w:rPr>
        <w:t>向</w:t>
      </w:r>
      <w:r>
        <w:rPr>
          <w:rFonts w:ascii="新宋体" w:hAnsi="新宋体" w:eastAsia="新宋体" w:cs="新宋体"/>
          <w:color w:val="auto"/>
          <w:spacing w:val="-2"/>
          <w:sz w:val="24"/>
          <w:szCs w:val="24"/>
          <w:highlight w:val="none"/>
          <w:u w:val="single" w:color="auto"/>
        </w:rPr>
        <w:t xml:space="preserve"> （被告住所地、合同履行地、合同签订地、原告住所地、标的物所在地</w:t>
      </w:r>
      <w:r>
        <w:rPr>
          <w:rFonts w:ascii="新宋体" w:hAnsi="新宋体" w:eastAsia="新宋体" w:cs="新宋体"/>
          <w:color w:val="auto"/>
          <w:spacing w:val="-3"/>
          <w:sz w:val="24"/>
          <w:szCs w:val="24"/>
          <w:highlight w:val="none"/>
          <w:u w:val="single" w:color="auto"/>
        </w:rPr>
        <w:t>等与</w:t>
      </w:r>
      <w:r>
        <w:rPr>
          <w:rFonts w:ascii="新宋体" w:hAnsi="新宋体" w:eastAsia="新宋体" w:cs="新宋体"/>
          <w:color w:val="auto"/>
          <w:spacing w:val="-2"/>
          <w:sz w:val="24"/>
          <w:szCs w:val="24"/>
          <w:highlight w:val="none"/>
          <w:u w:val="single" w:color="auto"/>
        </w:rPr>
        <w:t>争议有实际联系的地点中选出的人民法院名称）</w:t>
      </w:r>
      <w:r>
        <w:rPr>
          <w:rFonts w:ascii="新宋体" w:hAnsi="新宋体" w:eastAsia="新宋体" w:cs="新宋体"/>
          <w:color w:val="auto"/>
          <w:spacing w:val="-2"/>
          <w:sz w:val="24"/>
          <w:szCs w:val="24"/>
          <w:highlight w:val="none"/>
        </w:rPr>
        <w:t>人民法院起诉。</w:t>
      </w:r>
    </w:p>
    <w:p w14:paraId="7724793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490"/>
        <w:textAlignment w:val="baseline"/>
        <w:rPr>
          <w:color w:val="auto"/>
          <w:sz w:val="24"/>
          <w:szCs w:val="24"/>
          <w:highlight w:val="none"/>
        </w:rPr>
      </w:pPr>
      <w:r>
        <w:rPr>
          <w:b/>
          <w:bCs/>
          <w:color w:val="auto"/>
          <w:spacing w:val="-6"/>
          <w:sz w:val="24"/>
          <w:szCs w:val="24"/>
          <w:highlight w:val="none"/>
        </w:rPr>
        <w:t>1.8  合同生效</w:t>
      </w:r>
    </w:p>
    <w:p w14:paraId="04B2B912">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本合同自双方当事人盖章或者签字时生效。</w:t>
      </w:r>
    </w:p>
    <w:p w14:paraId="027A2CF7">
      <w:pPr>
        <w:spacing w:line="269" w:lineRule="auto"/>
        <w:rPr>
          <w:rFonts w:ascii="Arial"/>
          <w:color w:val="auto"/>
          <w:sz w:val="21"/>
          <w:highlight w:val="none"/>
        </w:rPr>
      </w:pPr>
    </w:p>
    <w:p w14:paraId="4EC0B0A1">
      <w:pPr>
        <w:spacing w:line="269" w:lineRule="auto"/>
        <w:rPr>
          <w:rFonts w:ascii="Arial"/>
          <w:color w:val="auto"/>
          <w:sz w:val="21"/>
          <w:highlight w:val="none"/>
        </w:rPr>
      </w:pPr>
    </w:p>
    <w:p w14:paraId="7B85C947">
      <w:pPr>
        <w:spacing w:line="269" w:lineRule="auto"/>
        <w:rPr>
          <w:rFonts w:ascii="Arial"/>
          <w:color w:val="auto"/>
          <w:sz w:val="21"/>
          <w:highlight w:val="none"/>
        </w:rPr>
      </w:pPr>
    </w:p>
    <w:p w14:paraId="06047F79">
      <w:pPr>
        <w:spacing w:line="269" w:lineRule="auto"/>
        <w:rPr>
          <w:rFonts w:ascii="Arial"/>
          <w:color w:val="auto"/>
          <w:sz w:val="21"/>
          <w:highlight w:val="none"/>
        </w:rPr>
      </w:pPr>
    </w:p>
    <w:p w14:paraId="0FBD4DF8">
      <w:pPr>
        <w:spacing w:line="269" w:lineRule="auto"/>
        <w:rPr>
          <w:rFonts w:ascii="Arial"/>
          <w:color w:val="auto"/>
          <w:sz w:val="21"/>
          <w:highlight w:val="none"/>
        </w:rPr>
      </w:pPr>
    </w:p>
    <w:p w14:paraId="2AD2D6AE">
      <w:pPr>
        <w:spacing w:line="269" w:lineRule="auto"/>
        <w:rPr>
          <w:rFonts w:ascii="Arial"/>
          <w:color w:val="auto"/>
          <w:sz w:val="21"/>
          <w:highlight w:val="none"/>
        </w:rPr>
      </w:pPr>
    </w:p>
    <w:p w14:paraId="710E119B">
      <w:pPr>
        <w:spacing w:line="269" w:lineRule="auto"/>
        <w:rPr>
          <w:rFonts w:ascii="Arial"/>
          <w:color w:val="auto"/>
          <w:sz w:val="21"/>
          <w:highlight w:val="none"/>
        </w:rPr>
      </w:pPr>
    </w:p>
    <w:p w14:paraId="73690FBC">
      <w:pPr>
        <w:spacing w:line="269" w:lineRule="auto"/>
        <w:rPr>
          <w:rFonts w:ascii="Arial"/>
          <w:color w:val="auto"/>
          <w:sz w:val="21"/>
          <w:highlight w:val="none"/>
        </w:rPr>
      </w:pPr>
    </w:p>
    <w:p w14:paraId="2AD6A65D">
      <w:pPr>
        <w:spacing w:line="269" w:lineRule="auto"/>
        <w:rPr>
          <w:rFonts w:ascii="Arial"/>
          <w:color w:val="auto"/>
          <w:sz w:val="21"/>
          <w:highlight w:val="none"/>
        </w:rPr>
      </w:pPr>
    </w:p>
    <w:p w14:paraId="7B0E933C">
      <w:pPr>
        <w:spacing w:line="269" w:lineRule="auto"/>
        <w:rPr>
          <w:rFonts w:ascii="Arial"/>
          <w:color w:val="auto"/>
          <w:sz w:val="21"/>
          <w:highlight w:val="none"/>
        </w:rPr>
      </w:pPr>
    </w:p>
    <w:p w14:paraId="12B01E9D">
      <w:pPr>
        <w:spacing w:line="269" w:lineRule="auto"/>
        <w:rPr>
          <w:rFonts w:ascii="Arial"/>
          <w:color w:val="auto"/>
          <w:sz w:val="21"/>
          <w:highlight w:val="none"/>
        </w:rPr>
      </w:pPr>
    </w:p>
    <w:p w14:paraId="35D7E15C">
      <w:pPr>
        <w:spacing w:line="269" w:lineRule="auto"/>
        <w:rPr>
          <w:rFonts w:ascii="Arial"/>
          <w:color w:val="auto"/>
          <w:sz w:val="21"/>
          <w:highlight w:val="none"/>
        </w:rPr>
      </w:pPr>
    </w:p>
    <w:p w14:paraId="002EBC13">
      <w:pPr>
        <w:spacing w:line="269" w:lineRule="auto"/>
        <w:rPr>
          <w:rFonts w:ascii="Arial"/>
          <w:color w:val="auto"/>
          <w:sz w:val="21"/>
          <w:highlight w:val="none"/>
        </w:rPr>
      </w:pPr>
    </w:p>
    <w:p w14:paraId="3FE56139">
      <w:pPr>
        <w:spacing w:line="269" w:lineRule="auto"/>
        <w:rPr>
          <w:rFonts w:ascii="Arial"/>
          <w:color w:val="auto"/>
          <w:sz w:val="21"/>
          <w:highlight w:val="none"/>
        </w:rPr>
      </w:pPr>
    </w:p>
    <w:p w14:paraId="5562EADE">
      <w:pPr>
        <w:spacing w:line="269" w:lineRule="auto"/>
        <w:rPr>
          <w:rFonts w:ascii="Arial"/>
          <w:color w:val="auto"/>
          <w:sz w:val="21"/>
          <w:highlight w:val="none"/>
        </w:rPr>
      </w:pPr>
    </w:p>
    <w:p w14:paraId="564E1A6F">
      <w:pPr>
        <w:spacing w:line="269" w:lineRule="auto"/>
        <w:rPr>
          <w:rFonts w:ascii="Arial"/>
          <w:color w:val="auto"/>
          <w:sz w:val="21"/>
          <w:highlight w:val="none"/>
        </w:rPr>
      </w:pPr>
    </w:p>
    <w:p w14:paraId="5757B0FA">
      <w:pPr>
        <w:spacing w:line="269" w:lineRule="auto"/>
        <w:rPr>
          <w:rFonts w:ascii="Arial"/>
          <w:color w:val="auto"/>
          <w:sz w:val="21"/>
          <w:highlight w:val="none"/>
        </w:rPr>
      </w:pPr>
    </w:p>
    <w:p w14:paraId="7AC030FC">
      <w:pPr>
        <w:spacing w:line="269" w:lineRule="auto"/>
        <w:rPr>
          <w:rFonts w:ascii="Arial"/>
          <w:color w:val="auto"/>
          <w:sz w:val="21"/>
          <w:highlight w:val="none"/>
        </w:rPr>
      </w:pPr>
    </w:p>
    <w:p w14:paraId="18EC7723">
      <w:pPr>
        <w:pStyle w:val="4"/>
        <w:spacing w:before="104" w:line="188" w:lineRule="auto"/>
        <w:ind w:left="511"/>
        <w:rPr>
          <w:rFonts w:ascii="新宋体" w:hAnsi="新宋体" w:eastAsia="新宋体" w:cs="新宋体"/>
          <w:color w:val="auto"/>
          <w:sz w:val="24"/>
          <w:szCs w:val="24"/>
          <w:highlight w:val="none"/>
        </w:rPr>
      </w:pPr>
      <w:r>
        <w:rPr>
          <w:b/>
          <w:bCs/>
          <w:color w:val="auto"/>
          <w:spacing w:val="-10"/>
          <w:sz w:val="24"/>
          <w:szCs w:val="24"/>
          <w:highlight w:val="none"/>
        </w:rPr>
        <w:t>甲方</w:t>
      </w:r>
      <w:r>
        <w:rPr>
          <w:b/>
          <w:bCs/>
          <w:color w:val="auto"/>
          <w:spacing w:val="-38"/>
          <w:sz w:val="24"/>
          <w:szCs w:val="24"/>
          <w:highlight w:val="none"/>
        </w:rPr>
        <w:t xml:space="preserve"> </w:t>
      </w:r>
      <w:r>
        <w:rPr>
          <w:rFonts w:ascii="新宋体" w:hAnsi="新宋体" w:eastAsia="新宋体" w:cs="新宋体"/>
          <w:color w:val="auto"/>
          <w:spacing w:val="-10"/>
          <w:sz w:val="24"/>
          <w:szCs w:val="24"/>
          <w:highlight w:val="none"/>
        </w:rPr>
        <w:t xml:space="preserve">：                                      </w:t>
      </w:r>
      <w:r>
        <w:rPr>
          <w:b/>
          <w:bCs/>
          <w:color w:val="auto"/>
          <w:spacing w:val="-11"/>
          <w:sz w:val="24"/>
          <w:szCs w:val="24"/>
          <w:highlight w:val="none"/>
        </w:rPr>
        <w:t>乙方</w:t>
      </w:r>
      <w:r>
        <w:rPr>
          <w:rFonts w:ascii="新宋体" w:hAnsi="新宋体" w:eastAsia="新宋体" w:cs="新宋体"/>
          <w:color w:val="auto"/>
          <w:spacing w:val="-11"/>
          <w:sz w:val="24"/>
          <w:szCs w:val="24"/>
          <w:highlight w:val="none"/>
        </w:rPr>
        <w:t>：</w:t>
      </w:r>
    </w:p>
    <w:p w14:paraId="2ED2C561">
      <w:pPr>
        <w:spacing w:before="144" w:line="223" w:lineRule="auto"/>
        <w:ind w:left="484"/>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 xml:space="preserve">统一社会信用代码：             </w:t>
      </w:r>
      <w:r>
        <w:rPr>
          <w:rFonts w:ascii="新宋体" w:hAnsi="新宋体" w:eastAsia="新宋体" w:cs="新宋体"/>
          <w:color w:val="auto"/>
          <w:spacing w:val="-2"/>
          <w:sz w:val="24"/>
          <w:szCs w:val="24"/>
          <w:highlight w:val="none"/>
        </w:rPr>
        <w:t xml:space="preserve">          统一社会信用代码或身份证号码：</w:t>
      </w:r>
    </w:p>
    <w:p w14:paraId="4253743D">
      <w:pPr>
        <w:spacing w:before="177" w:line="224" w:lineRule="auto"/>
        <w:ind w:left="480"/>
        <w:rPr>
          <w:rFonts w:ascii="新宋体" w:hAnsi="新宋体" w:eastAsia="新宋体" w:cs="新宋体"/>
          <w:color w:val="auto"/>
          <w:sz w:val="24"/>
          <w:szCs w:val="24"/>
          <w:highlight w:val="none"/>
        </w:rPr>
      </w:pPr>
      <w:r>
        <w:rPr>
          <w:rFonts w:ascii="新宋体" w:hAnsi="新宋体" w:eastAsia="新宋体" w:cs="新宋体"/>
          <w:color w:val="auto"/>
          <w:spacing w:val="-11"/>
          <w:sz w:val="24"/>
          <w:szCs w:val="24"/>
          <w:highlight w:val="none"/>
        </w:rPr>
        <w:t>住所：</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1"/>
          <w:sz w:val="24"/>
          <w:szCs w:val="24"/>
          <w:highlight w:val="none"/>
        </w:rPr>
        <w:t>住所：</w:t>
      </w:r>
    </w:p>
    <w:p w14:paraId="1CD0BE48">
      <w:pPr>
        <w:spacing w:before="175" w:line="224" w:lineRule="auto"/>
        <w:ind w:left="487"/>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法定代表人或</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法定代表人</w:t>
      </w:r>
    </w:p>
    <w:p w14:paraId="5EB17E8C">
      <w:pPr>
        <w:spacing w:before="176" w:line="224" w:lineRule="auto"/>
        <w:ind w:left="483"/>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或授权代表（签字</w:t>
      </w:r>
      <w:r>
        <w:rPr>
          <w:rFonts w:ascii="新宋体" w:hAnsi="新宋体" w:eastAsia="新宋体" w:cs="新宋体"/>
          <w:color w:val="auto"/>
          <w:spacing w:val="-1"/>
          <w:sz w:val="24"/>
          <w:szCs w:val="24"/>
          <w:highlight w:val="none"/>
        </w:rPr>
        <w:t>）：</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或授权代表（签字）:</w:t>
      </w:r>
    </w:p>
    <w:p w14:paraId="7D152481">
      <w:pPr>
        <w:spacing w:before="176" w:line="226" w:lineRule="auto"/>
        <w:ind w:left="477"/>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 xml:space="preserve">联系人：                                  </w:t>
      </w:r>
      <w:r>
        <w:rPr>
          <w:rFonts w:ascii="新宋体" w:hAnsi="新宋体" w:eastAsia="新宋体" w:cs="新宋体"/>
          <w:color w:val="auto"/>
          <w:spacing w:val="-5"/>
          <w:sz w:val="24"/>
          <w:szCs w:val="24"/>
          <w:highlight w:val="none"/>
        </w:rPr>
        <w:t>联系人：</w:t>
      </w:r>
    </w:p>
    <w:p w14:paraId="4DC67361">
      <w:pPr>
        <w:spacing w:before="173" w:line="224" w:lineRule="auto"/>
        <w:ind w:left="481"/>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约定送达地址：</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约定送达地址：</w:t>
      </w:r>
    </w:p>
    <w:p w14:paraId="19CD1014">
      <w:pPr>
        <w:spacing w:before="175" w:line="224" w:lineRule="auto"/>
        <w:ind w:left="498"/>
        <w:rPr>
          <w:rFonts w:ascii="新宋体" w:hAnsi="新宋体" w:eastAsia="新宋体" w:cs="新宋体"/>
          <w:color w:val="auto"/>
          <w:sz w:val="24"/>
          <w:szCs w:val="24"/>
          <w:highlight w:val="none"/>
        </w:rPr>
      </w:pPr>
      <w:r>
        <w:rPr>
          <w:rFonts w:ascii="新宋体" w:hAnsi="新宋体" w:eastAsia="新宋体" w:cs="新宋体"/>
          <w:color w:val="auto"/>
          <w:spacing w:val="-11"/>
          <w:sz w:val="24"/>
          <w:szCs w:val="24"/>
          <w:highlight w:val="none"/>
        </w:rPr>
        <w:t>邮政编码：</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11"/>
          <w:sz w:val="24"/>
          <w:szCs w:val="24"/>
          <w:highlight w:val="none"/>
        </w:rPr>
        <w:t>邮政编码：</w:t>
      </w:r>
    </w:p>
    <w:p w14:paraId="0C96F262">
      <w:pPr>
        <w:spacing w:before="176" w:line="226" w:lineRule="auto"/>
        <w:ind w:left="506"/>
        <w:rPr>
          <w:rFonts w:ascii="新宋体" w:hAnsi="新宋体" w:eastAsia="新宋体" w:cs="新宋体"/>
          <w:color w:val="auto"/>
          <w:sz w:val="24"/>
          <w:szCs w:val="24"/>
          <w:highlight w:val="none"/>
        </w:rPr>
      </w:pPr>
      <w:r>
        <w:rPr>
          <w:rFonts w:ascii="新宋体" w:hAnsi="新宋体" w:eastAsia="新宋体" w:cs="新宋体"/>
          <w:color w:val="auto"/>
          <w:spacing w:val="-13"/>
          <w:sz w:val="24"/>
          <w:szCs w:val="24"/>
          <w:highlight w:val="none"/>
        </w:rPr>
        <w:t>电话:</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13"/>
          <w:sz w:val="24"/>
          <w:szCs w:val="24"/>
          <w:highlight w:val="none"/>
        </w:rPr>
        <w:t>电话:</w:t>
      </w:r>
    </w:p>
    <w:p w14:paraId="5DEDA25E">
      <w:pPr>
        <w:spacing w:before="173" w:line="223" w:lineRule="auto"/>
        <w:ind w:left="482"/>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 xml:space="preserve">传真:                                 </w:t>
      </w:r>
      <w:r>
        <w:rPr>
          <w:rFonts w:ascii="新宋体" w:hAnsi="新宋体" w:eastAsia="新宋体" w:cs="新宋体"/>
          <w:color w:val="auto"/>
          <w:spacing w:val="-4"/>
          <w:sz w:val="24"/>
          <w:szCs w:val="24"/>
          <w:highlight w:val="none"/>
        </w:rPr>
        <w:t xml:space="preserve">    传真:</w:t>
      </w:r>
    </w:p>
    <w:p w14:paraId="5CA56645">
      <w:pPr>
        <w:spacing w:before="178" w:line="224" w:lineRule="auto"/>
        <w:ind w:left="506"/>
        <w:rPr>
          <w:rFonts w:ascii="新宋体" w:hAnsi="新宋体" w:eastAsia="新宋体" w:cs="新宋体"/>
          <w:color w:val="auto"/>
          <w:sz w:val="24"/>
          <w:szCs w:val="24"/>
          <w:highlight w:val="none"/>
        </w:rPr>
      </w:pPr>
      <w:r>
        <w:rPr>
          <w:rFonts w:ascii="新宋体" w:hAnsi="新宋体" w:eastAsia="新宋体" w:cs="新宋体"/>
          <w:color w:val="auto"/>
          <w:spacing w:val="-12"/>
          <w:sz w:val="24"/>
          <w:szCs w:val="24"/>
          <w:highlight w:val="none"/>
        </w:rPr>
        <w:t>电子邮箱：</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12"/>
          <w:sz w:val="24"/>
          <w:szCs w:val="24"/>
          <w:highlight w:val="none"/>
        </w:rPr>
        <w:t>电子邮箱：</w:t>
      </w:r>
    </w:p>
    <w:p w14:paraId="311E5D09">
      <w:pPr>
        <w:spacing w:before="175" w:line="224" w:lineRule="auto"/>
        <w:ind w:left="480"/>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 xml:space="preserve">开户银行：                            </w:t>
      </w:r>
      <w:r>
        <w:rPr>
          <w:rFonts w:ascii="新宋体" w:hAnsi="新宋体" w:eastAsia="新宋体" w:cs="新宋体"/>
          <w:color w:val="auto"/>
          <w:spacing w:val="-5"/>
          <w:sz w:val="24"/>
          <w:szCs w:val="24"/>
          <w:highlight w:val="none"/>
        </w:rPr>
        <w:t xml:space="preserve">    开户银行：</w:t>
      </w:r>
    </w:p>
    <w:p w14:paraId="71D2FA7E">
      <w:pPr>
        <w:spacing w:before="176" w:line="224" w:lineRule="auto"/>
        <w:ind w:left="480"/>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 xml:space="preserve">开户名称：                            </w:t>
      </w:r>
      <w:r>
        <w:rPr>
          <w:rFonts w:ascii="新宋体" w:hAnsi="新宋体" w:eastAsia="新宋体" w:cs="新宋体"/>
          <w:color w:val="auto"/>
          <w:spacing w:val="-5"/>
          <w:sz w:val="24"/>
          <w:szCs w:val="24"/>
          <w:highlight w:val="none"/>
        </w:rPr>
        <w:t xml:space="preserve">    开户名称：</w:t>
      </w:r>
    </w:p>
    <w:p w14:paraId="5C954F4A">
      <w:pPr>
        <w:spacing w:before="176" w:line="224" w:lineRule="auto"/>
        <w:ind w:left="480"/>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 xml:space="preserve">开户账号：                            </w:t>
      </w:r>
      <w:r>
        <w:rPr>
          <w:rFonts w:ascii="新宋体" w:hAnsi="新宋体" w:eastAsia="新宋体" w:cs="新宋体"/>
          <w:color w:val="auto"/>
          <w:spacing w:val="-5"/>
          <w:sz w:val="24"/>
          <w:szCs w:val="24"/>
          <w:highlight w:val="none"/>
        </w:rPr>
        <w:t xml:space="preserve">    开户账号：</w:t>
      </w:r>
    </w:p>
    <w:p w14:paraId="34C1514F">
      <w:pPr>
        <w:spacing w:line="224" w:lineRule="auto"/>
        <w:rPr>
          <w:rFonts w:ascii="新宋体" w:hAnsi="新宋体" w:eastAsia="新宋体" w:cs="新宋体"/>
          <w:color w:val="auto"/>
          <w:sz w:val="24"/>
          <w:szCs w:val="24"/>
          <w:highlight w:val="none"/>
        </w:rPr>
        <w:sectPr>
          <w:footerReference r:id="rId13" w:type="default"/>
          <w:pgSz w:w="11905" w:h="16839"/>
          <w:pgMar w:top="1440" w:right="1800" w:bottom="1440" w:left="1800" w:header="0" w:footer="1090" w:gutter="0"/>
          <w:pgNumType w:fmt="decimal"/>
          <w:cols w:space="720" w:num="1"/>
        </w:sectPr>
      </w:pPr>
    </w:p>
    <w:p w14:paraId="7D925F07">
      <w:pPr>
        <w:pStyle w:val="4"/>
        <w:spacing w:before="120" w:line="188" w:lineRule="auto"/>
        <w:jc w:val="center"/>
        <w:rPr>
          <w:color w:val="auto"/>
          <w:sz w:val="28"/>
          <w:szCs w:val="28"/>
          <w:highlight w:val="none"/>
        </w:rPr>
      </w:pPr>
      <w:r>
        <w:rPr>
          <w:b/>
          <w:bCs/>
          <w:color w:val="auto"/>
          <w:spacing w:val="-5"/>
          <w:sz w:val="28"/>
          <w:szCs w:val="28"/>
          <w:highlight w:val="none"/>
        </w:rPr>
        <w:t>第二部分  合同一般条款</w:t>
      </w:r>
    </w:p>
    <w:p w14:paraId="4D1227C2">
      <w:pPr>
        <w:pStyle w:val="4"/>
        <w:spacing w:before="161" w:line="189" w:lineRule="auto"/>
        <w:ind w:left="478"/>
        <w:rPr>
          <w:color w:val="auto"/>
          <w:sz w:val="24"/>
          <w:szCs w:val="24"/>
          <w:highlight w:val="none"/>
        </w:rPr>
      </w:pPr>
      <w:r>
        <w:rPr>
          <w:b/>
          <w:bCs/>
          <w:color w:val="auto"/>
          <w:spacing w:val="-5"/>
          <w:sz w:val="24"/>
          <w:szCs w:val="24"/>
          <w:highlight w:val="none"/>
        </w:rPr>
        <w:t>2.1  定义</w:t>
      </w:r>
    </w:p>
    <w:p w14:paraId="37CC4BBE">
      <w:pPr>
        <w:spacing w:before="143" w:line="223" w:lineRule="auto"/>
        <w:ind w:left="483"/>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本合同中的下列词语应按以下内容进行解释：</w:t>
      </w:r>
    </w:p>
    <w:p w14:paraId="3A29C9B7">
      <w:pPr>
        <w:spacing w:before="177" w:line="291" w:lineRule="auto"/>
        <w:ind w:right="10" w:firstLine="478"/>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2.1.1 “合同”系指采购人和中标供应商签订的载明双方当事</w:t>
      </w:r>
      <w:r>
        <w:rPr>
          <w:rFonts w:ascii="新宋体" w:hAnsi="新宋体" w:eastAsia="新宋体" w:cs="新宋体"/>
          <w:color w:val="auto"/>
          <w:spacing w:val="-2"/>
          <w:sz w:val="24"/>
          <w:szCs w:val="24"/>
          <w:highlight w:val="none"/>
        </w:rPr>
        <w:t>人所达成的协议，并包括所</w:t>
      </w:r>
      <w:r>
        <w:rPr>
          <w:rFonts w:ascii="新宋体" w:hAnsi="新宋体" w:eastAsia="新宋体" w:cs="新宋体"/>
          <w:color w:val="auto"/>
          <w:spacing w:val="-3"/>
          <w:sz w:val="24"/>
          <w:szCs w:val="24"/>
          <w:highlight w:val="none"/>
        </w:rPr>
        <w:t>有的附件、附录和构成合同的其他文件。</w:t>
      </w:r>
    </w:p>
    <w:p w14:paraId="5992FBC9">
      <w:pPr>
        <w:spacing w:before="176" w:line="291" w:lineRule="auto"/>
        <w:ind w:left="4" w:right="10" w:firstLine="473"/>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2.1.2 “合同价”系指根据合同约定，中标供应商在完全履行</w:t>
      </w:r>
      <w:r>
        <w:rPr>
          <w:rFonts w:ascii="新宋体" w:hAnsi="新宋体" w:eastAsia="新宋体" w:cs="新宋体"/>
          <w:color w:val="auto"/>
          <w:spacing w:val="-2"/>
          <w:sz w:val="24"/>
          <w:szCs w:val="24"/>
          <w:highlight w:val="none"/>
        </w:rPr>
        <w:t>合同义务后，采购人应支付</w:t>
      </w:r>
      <w:r>
        <w:rPr>
          <w:rFonts w:ascii="新宋体" w:hAnsi="新宋体" w:eastAsia="新宋体" w:cs="新宋体"/>
          <w:color w:val="auto"/>
          <w:spacing w:val="-5"/>
          <w:sz w:val="24"/>
          <w:szCs w:val="24"/>
          <w:highlight w:val="none"/>
        </w:rPr>
        <w:t>给中标供应商的价格。</w:t>
      </w:r>
    </w:p>
    <w:p w14:paraId="5E3C95EE">
      <w:pPr>
        <w:spacing w:before="177" w:line="314" w:lineRule="auto"/>
        <w:ind w:left="11" w:right="10" w:firstLine="466"/>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2.1.3 “货物”系指中标供应商根据合同约定应向采购人交付</w:t>
      </w:r>
      <w:r>
        <w:rPr>
          <w:rFonts w:ascii="新宋体" w:hAnsi="新宋体" w:eastAsia="新宋体" w:cs="新宋体"/>
          <w:color w:val="auto"/>
          <w:spacing w:val="-2"/>
          <w:sz w:val="24"/>
          <w:szCs w:val="24"/>
          <w:highlight w:val="none"/>
        </w:rPr>
        <w:t>的一切各种形态和种类的物</w:t>
      </w:r>
      <w:r>
        <w:rPr>
          <w:rFonts w:ascii="新宋体" w:hAnsi="新宋体" w:eastAsia="新宋体" w:cs="新宋体"/>
          <w:color w:val="auto"/>
          <w:spacing w:val="-7"/>
          <w:sz w:val="24"/>
          <w:szCs w:val="24"/>
          <w:highlight w:val="none"/>
        </w:rPr>
        <w:t>品，包括原材料、燃料、设备、机械、仪表、备件、</w:t>
      </w:r>
      <w:r>
        <w:rPr>
          <w:rFonts w:ascii="新宋体" w:hAnsi="新宋体" w:eastAsia="新宋体" w:cs="新宋体"/>
          <w:color w:val="auto"/>
          <w:spacing w:val="-8"/>
          <w:sz w:val="24"/>
          <w:szCs w:val="24"/>
          <w:highlight w:val="none"/>
        </w:rPr>
        <w:t>计算机软件、产品等，并包括工具、手册</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7"/>
          <w:sz w:val="24"/>
          <w:szCs w:val="24"/>
          <w:highlight w:val="none"/>
        </w:rPr>
        <w:t>等其他相关资料。</w:t>
      </w:r>
    </w:p>
    <w:p w14:paraId="6AAA7FCD">
      <w:pPr>
        <w:spacing w:before="177" w:line="291" w:lineRule="auto"/>
        <w:ind w:left="19" w:right="10" w:firstLine="458"/>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2.1.4 “甲方”系指与中标供应商签署合同的采购人；采购人</w:t>
      </w:r>
      <w:r>
        <w:rPr>
          <w:rFonts w:ascii="新宋体" w:hAnsi="新宋体" w:eastAsia="新宋体" w:cs="新宋体"/>
          <w:color w:val="auto"/>
          <w:spacing w:val="-2"/>
          <w:sz w:val="24"/>
          <w:szCs w:val="24"/>
          <w:highlight w:val="none"/>
        </w:rPr>
        <w:t>委托采购代理机构代表其与</w:t>
      </w:r>
      <w:r>
        <w:rPr>
          <w:rFonts w:ascii="新宋体" w:hAnsi="新宋体" w:eastAsia="新宋体" w:cs="新宋体"/>
          <w:color w:val="auto"/>
          <w:spacing w:val="-3"/>
          <w:sz w:val="24"/>
          <w:szCs w:val="24"/>
          <w:highlight w:val="none"/>
        </w:rPr>
        <w:t>乙方签订合同的，采购人的授权委托书作为合同附件。</w:t>
      </w:r>
    </w:p>
    <w:p w14:paraId="792FD00A">
      <w:pPr>
        <w:spacing w:before="176" w:line="314" w:lineRule="auto"/>
        <w:ind w:left="4" w:right="10" w:firstLine="473"/>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2.1.5 “乙方”系指根据合同约定交付货物的中标供应商；两</w:t>
      </w:r>
      <w:r>
        <w:rPr>
          <w:rFonts w:ascii="新宋体" w:hAnsi="新宋体" w:eastAsia="新宋体" w:cs="新宋体"/>
          <w:color w:val="auto"/>
          <w:spacing w:val="-2"/>
          <w:sz w:val="24"/>
          <w:szCs w:val="24"/>
          <w:highlight w:val="none"/>
        </w:rPr>
        <w:t>个以上的自然人、法人或者</w:t>
      </w:r>
      <w:r>
        <w:rPr>
          <w:rFonts w:ascii="新宋体" w:hAnsi="新宋体" w:eastAsia="新宋体" w:cs="新宋体"/>
          <w:color w:val="auto"/>
          <w:spacing w:val="-3"/>
          <w:sz w:val="24"/>
          <w:szCs w:val="24"/>
          <w:highlight w:val="none"/>
        </w:rPr>
        <w:t>其他组织组成一个联合体，以一个供应商的身份共同参加政府采购的，联合体各方均应为乙方</w:t>
      </w:r>
      <w:r>
        <w:rPr>
          <w:rFonts w:ascii="新宋体" w:hAnsi="新宋体" w:eastAsia="新宋体" w:cs="新宋体"/>
          <w:color w:val="auto"/>
          <w:spacing w:val="-1"/>
          <w:sz w:val="24"/>
          <w:szCs w:val="24"/>
          <w:highlight w:val="none"/>
        </w:rPr>
        <w:t>或者与乙方相同地位的合同当事人，并就合同</w:t>
      </w:r>
      <w:r>
        <w:rPr>
          <w:rFonts w:ascii="新宋体" w:hAnsi="新宋体" w:eastAsia="新宋体" w:cs="新宋体"/>
          <w:color w:val="auto"/>
          <w:spacing w:val="-2"/>
          <w:sz w:val="24"/>
          <w:szCs w:val="24"/>
          <w:highlight w:val="none"/>
        </w:rPr>
        <w:t>约定的事项对甲方承担连带责任。</w:t>
      </w:r>
    </w:p>
    <w:p w14:paraId="25DF3D76">
      <w:pPr>
        <w:spacing w:before="176" w:line="223" w:lineRule="auto"/>
        <w:ind w:left="47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2.1.6 “现场”系指合同约定货物将要运至或者安装的地点。</w:t>
      </w:r>
    </w:p>
    <w:p w14:paraId="057CB27E">
      <w:pPr>
        <w:pStyle w:val="4"/>
        <w:spacing w:before="177" w:line="188" w:lineRule="auto"/>
        <w:ind w:left="478"/>
        <w:rPr>
          <w:color w:val="auto"/>
          <w:sz w:val="24"/>
          <w:szCs w:val="24"/>
          <w:highlight w:val="none"/>
        </w:rPr>
      </w:pPr>
      <w:r>
        <w:rPr>
          <w:b/>
          <w:bCs/>
          <w:color w:val="auto"/>
          <w:spacing w:val="-5"/>
          <w:sz w:val="24"/>
          <w:szCs w:val="24"/>
          <w:highlight w:val="none"/>
        </w:rPr>
        <w:t>2.2</w:t>
      </w:r>
      <w:r>
        <w:rPr>
          <w:b/>
          <w:bCs/>
          <w:color w:val="auto"/>
          <w:spacing w:val="70"/>
          <w:w w:val="101"/>
          <w:sz w:val="24"/>
          <w:szCs w:val="24"/>
          <w:highlight w:val="none"/>
        </w:rPr>
        <w:t xml:space="preserve"> </w:t>
      </w:r>
      <w:r>
        <w:rPr>
          <w:b/>
          <w:bCs/>
          <w:color w:val="auto"/>
          <w:spacing w:val="-5"/>
          <w:sz w:val="24"/>
          <w:szCs w:val="24"/>
          <w:highlight w:val="none"/>
        </w:rPr>
        <w:t>技术规范</w:t>
      </w:r>
    </w:p>
    <w:p w14:paraId="13017729">
      <w:pPr>
        <w:spacing w:before="143" w:line="350" w:lineRule="auto"/>
        <w:ind w:left="4" w:right="18" w:firstLine="482"/>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货物所应遵守的技术规范应与采购文件规定的技术规范和技术规范附件(如果有的话)及</w:t>
      </w:r>
      <w:r>
        <w:rPr>
          <w:rFonts w:ascii="新宋体" w:hAnsi="新宋体" w:eastAsia="新宋体" w:cs="新宋体"/>
          <w:color w:val="auto"/>
          <w:spacing w:val="-2"/>
          <w:sz w:val="24"/>
          <w:szCs w:val="24"/>
          <w:highlight w:val="none"/>
        </w:rPr>
        <w:t>其技术规范偏差表(如果被甲方接受的话)相一致；如果采购文件中没有技术规范的相应说明，那么应以国家有关部门最新颁布的相应标准和规范为准。</w:t>
      </w:r>
    </w:p>
    <w:p w14:paraId="5C032171">
      <w:pPr>
        <w:pStyle w:val="4"/>
        <w:spacing w:before="37" w:line="188" w:lineRule="auto"/>
        <w:ind w:left="478"/>
        <w:rPr>
          <w:color w:val="auto"/>
          <w:sz w:val="24"/>
          <w:szCs w:val="24"/>
          <w:highlight w:val="none"/>
        </w:rPr>
      </w:pPr>
      <w:r>
        <w:rPr>
          <w:b/>
          <w:bCs/>
          <w:color w:val="auto"/>
          <w:spacing w:val="-5"/>
          <w:sz w:val="24"/>
          <w:szCs w:val="24"/>
          <w:highlight w:val="none"/>
        </w:rPr>
        <w:t>2.3</w:t>
      </w:r>
      <w:r>
        <w:rPr>
          <w:b/>
          <w:bCs/>
          <w:color w:val="auto"/>
          <w:spacing w:val="71"/>
          <w:sz w:val="24"/>
          <w:szCs w:val="24"/>
          <w:highlight w:val="none"/>
        </w:rPr>
        <w:t xml:space="preserve"> </w:t>
      </w:r>
      <w:r>
        <w:rPr>
          <w:b/>
          <w:bCs/>
          <w:color w:val="auto"/>
          <w:spacing w:val="-5"/>
          <w:sz w:val="24"/>
          <w:szCs w:val="24"/>
          <w:highlight w:val="none"/>
        </w:rPr>
        <w:t>知识产权</w:t>
      </w:r>
    </w:p>
    <w:p w14:paraId="5205CB7E">
      <w:pPr>
        <w:spacing w:before="145" w:line="314" w:lineRule="auto"/>
        <w:ind w:left="2" w:right="70" w:firstLine="475"/>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2.3.1</w:t>
      </w:r>
      <w:r>
        <w:rPr>
          <w:rFonts w:ascii="新宋体" w:hAnsi="新宋体" w:eastAsia="新宋体" w:cs="新宋体"/>
          <w:color w:val="auto"/>
          <w:spacing w:val="46"/>
          <w:sz w:val="24"/>
          <w:szCs w:val="24"/>
          <w:highlight w:val="none"/>
        </w:rPr>
        <w:t xml:space="preserve"> </w:t>
      </w:r>
      <w:r>
        <w:rPr>
          <w:rFonts w:ascii="新宋体" w:hAnsi="新宋体" w:eastAsia="新宋体" w:cs="新宋体"/>
          <w:color w:val="auto"/>
          <w:spacing w:val="2"/>
          <w:sz w:val="24"/>
          <w:szCs w:val="24"/>
          <w:highlight w:val="none"/>
        </w:rPr>
        <w:t>乙方应保证甲方在使用该货物或其任何一部分时不受任何第三方提出的侵犯其著</w:t>
      </w:r>
      <w:r>
        <w:rPr>
          <w:rFonts w:ascii="新宋体" w:hAnsi="新宋体" w:eastAsia="新宋体" w:cs="新宋体"/>
          <w:color w:val="auto"/>
          <w:spacing w:val="-3"/>
          <w:sz w:val="24"/>
          <w:szCs w:val="24"/>
          <w:highlight w:val="none"/>
        </w:rPr>
        <w:t>作权、商标权、专利权等知识产权方面的起诉；如果任何第三方提出侵权指控，那么乙方须与该第三方交涉并承担由此发生的一切责任、费用和赔偿；</w:t>
      </w:r>
    </w:p>
    <w:p w14:paraId="61F33EF1">
      <w:pPr>
        <w:pStyle w:val="4"/>
        <w:spacing w:before="175" w:line="187" w:lineRule="auto"/>
        <w:ind w:left="478"/>
        <w:rPr>
          <w:b/>
          <w:bCs/>
          <w:color w:val="auto"/>
          <w:spacing w:val="-1"/>
          <w:sz w:val="24"/>
          <w:szCs w:val="24"/>
          <w:highlight w:val="none"/>
          <w:u w:val="single" w:color="auto"/>
        </w:rPr>
      </w:pPr>
      <w:r>
        <w:rPr>
          <w:rFonts w:ascii="新宋体" w:hAnsi="新宋体" w:eastAsia="新宋体" w:cs="新宋体"/>
          <w:color w:val="auto"/>
          <w:spacing w:val="-1"/>
          <w:sz w:val="24"/>
          <w:szCs w:val="24"/>
          <w:highlight w:val="none"/>
        </w:rPr>
        <w:t>2.3.2</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1"/>
          <w:sz w:val="24"/>
          <w:szCs w:val="24"/>
          <w:highlight w:val="none"/>
        </w:rPr>
        <w:t>具有知识产权的计算机软件等货物的知识产权归属，详见</w:t>
      </w:r>
      <w:r>
        <w:rPr>
          <w:b/>
          <w:bCs/>
          <w:color w:val="auto"/>
          <w:spacing w:val="-1"/>
          <w:sz w:val="24"/>
          <w:szCs w:val="24"/>
          <w:highlight w:val="none"/>
          <w:u w:val="single" w:color="auto"/>
        </w:rPr>
        <w:t>合同专用</w:t>
      </w:r>
    </w:p>
    <w:p w14:paraId="589200CB">
      <w:pPr>
        <w:pStyle w:val="4"/>
        <w:spacing w:before="175" w:line="187" w:lineRule="auto"/>
        <w:rPr>
          <w:rFonts w:ascii="新宋体" w:hAnsi="新宋体" w:eastAsia="新宋体" w:cs="新宋体"/>
          <w:color w:val="auto"/>
          <w:sz w:val="24"/>
          <w:szCs w:val="24"/>
          <w:highlight w:val="none"/>
        </w:rPr>
      </w:pPr>
      <w:r>
        <w:rPr>
          <w:b/>
          <w:bCs/>
          <w:color w:val="auto"/>
          <w:spacing w:val="-1"/>
          <w:sz w:val="24"/>
          <w:szCs w:val="24"/>
          <w:highlight w:val="none"/>
          <w:u w:val="single" w:color="auto"/>
        </w:rPr>
        <w:t>条款</w:t>
      </w:r>
      <w:r>
        <w:rPr>
          <w:rFonts w:ascii="新宋体" w:hAnsi="新宋体" w:eastAsia="新宋体" w:cs="新宋体"/>
          <w:color w:val="auto"/>
          <w:spacing w:val="-1"/>
          <w:sz w:val="24"/>
          <w:szCs w:val="24"/>
          <w:highlight w:val="none"/>
        </w:rPr>
        <w:t>。</w:t>
      </w:r>
    </w:p>
    <w:p w14:paraId="1B5F5819">
      <w:pPr>
        <w:pStyle w:val="4"/>
        <w:spacing w:before="146" w:line="189" w:lineRule="auto"/>
        <w:ind w:left="478"/>
        <w:rPr>
          <w:color w:val="auto"/>
          <w:sz w:val="24"/>
          <w:szCs w:val="24"/>
          <w:highlight w:val="none"/>
        </w:rPr>
      </w:pPr>
      <w:r>
        <w:rPr>
          <w:b/>
          <w:bCs/>
          <w:color w:val="auto"/>
          <w:spacing w:val="-4"/>
          <w:sz w:val="24"/>
          <w:szCs w:val="24"/>
          <w:highlight w:val="none"/>
        </w:rPr>
        <w:t>2.4  包装和装运</w:t>
      </w:r>
    </w:p>
    <w:p w14:paraId="7536F349">
      <w:pPr>
        <w:pStyle w:val="4"/>
        <w:spacing w:before="142" w:line="316" w:lineRule="auto"/>
        <w:ind w:left="4" w:firstLine="473"/>
        <w:jc w:val="both"/>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2.4.1</w:t>
      </w:r>
      <w:r>
        <w:rPr>
          <w:rFonts w:ascii="新宋体" w:hAnsi="新宋体" w:eastAsia="新宋体" w:cs="新宋体"/>
          <w:color w:val="auto"/>
          <w:spacing w:val="-27"/>
          <w:sz w:val="24"/>
          <w:szCs w:val="24"/>
          <w:highlight w:val="none"/>
        </w:rPr>
        <w:t xml:space="preserve"> </w:t>
      </w:r>
      <w:r>
        <w:rPr>
          <w:rFonts w:ascii="新宋体" w:hAnsi="新宋体" w:eastAsia="新宋体" w:cs="新宋体"/>
          <w:color w:val="auto"/>
          <w:spacing w:val="4"/>
          <w:sz w:val="24"/>
          <w:szCs w:val="24"/>
          <w:highlight w:val="none"/>
        </w:rPr>
        <w:t>除</w:t>
      </w:r>
      <w:r>
        <w:rPr>
          <w:b/>
          <w:bCs/>
          <w:color w:val="auto"/>
          <w:spacing w:val="4"/>
          <w:sz w:val="24"/>
          <w:szCs w:val="24"/>
          <w:highlight w:val="none"/>
          <w:u w:val="single" w:color="auto"/>
        </w:rPr>
        <w:t>合同专用条款</w:t>
      </w:r>
      <w:r>
        <w:rPr>
          <w:rFonts w:ascii="新宋体" w:hAnsi="新宋体" w:eastAsia="新宋体" w:cs="新宋体"/>
          <w:color w:val="auto"/>
          <w:spacing w:val="4"/>
          <w:sz w:val="24"/>
          <w:szCs w:val="24"/>
          <w:highlight w:val="none"/>
        </w:rPr>
        <w:t>另有约定外,乙方交付的全部货物,均应</w:t>
      </w:r>
      <w:r>
        <w:rPr>
          <w:rFonts w:ascii="新宋体" w:hAnsi="新宋体" w:eastAsia="新宋体" w:cs="新宋体"/>
          <w:color w:val="auto"/>
          <w:spacing w:val="3"/>
          <w:sz w:val="24"/>
          <w:szCs w:val="24"/>
          <w:highlight w:val="none"/>
        </w:rPr>
        <w:t>采用本行业通用的方式进</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行包装，没有通用方式的，应当采取足以保护货物的包装方式，且该包装应符合国家有关包装</w:t>
      </w:r>
      <w:r>
        <w:rPr>
          <w:rFonts w:ascii="新宋体" w:hAnsi="新宋体" w:eastAsia="新宋体" w:cs="新宋体"/>
          <w:color w:val="auto"/>
          <w:spacing w:val="-9"/>
          <w:sz w:val="24"/>
          <w:szCs w:val="24"/>
          <w:highlight w:val="none"/>
        </w:rPr>
        <w:t>的法律、法规的规定。如有必要， 包装应适</w:t>
      </w:r>
      <w:r>
        <w:rPr>
          <w:rFonts w:ascii="新宋体" w:hAnsi="新宋体" w:eastAsia="新宋体" w:cs="新宋体"/>
          <w:color w:val="auto"/>
          <w:spacing w:val="-10"/>
          <w:sz w:val="24"/>
          <w:szCs w:val="24"/>
          <w:highlight w:val="none"/>
        </w:rPr>
        <w:t>用于远距离运输、防潮、防震、防锈和防粗暴装卸，</w:t>
      </w:r>
      <w:r>
        <w:rPr>
          <w:rFonts w:ascii="新宋体" w:hAnsi="新宋体" w:eastAsia="新宋体" w:cs="新宋体"/>
          <w:color w:val="auto"/>
          <w:spacing w:val="-3"/>
          <w:sz w:val="24"/>
          <w:szCs w:val="24"/>
          <w:highlight w:val="none"/>
        </w:rPr>
        <w:t>确保货物安全无损地运抵现场。由于包装不善所引起的货物锈蚀、损坏和损失等一切风险均由</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11"/>
          <w:sz w:val="24"/>
          <w:szCs w:val="24"/>
          <w:highlight w:val="none"/>
        </w:rPr>
        <w:t>乙方承担。</w:t>
      </w:r>
    </w:p>
    <w:p w14:paraId="065CC73D">
      <w:pPr>
        <w:pStyle w:val="4"/>
        <w:spacing w:before="36" w:line="187"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2.4.2 装运货物的要求和通知，详见</w:t>
      </w:r>
      <w:r>
        <w:rPr>
          <w:b/>
          <w:bCs/>
          <w:color w:val="auto"/>
          <w:spacing w:val="-1"/>
          <w:sz w:val="24"/>
          <w:szCs w:val="24"/>
          <w:highlight w:val="none"/>
          <w:u w:val="single" w:color="auto"/>
        </w:rPr>
        <w:t>合同专用条款</w:t>
      </w:r>
      <w:r>
        <w:rPr>
          <w:rFonts w:ascii="新宋体" w:hAnsi="新宋体" w:eastAsia="新宋体" w:cs="新宋体"/>
          <w:color w:val="auto"/>
          <w:spacing w:val="-1"/>
          <w:sz w:val="24"/>
          <w:szCs w:val="24"/>
          <w:highlight w:val="none"/>
        </w:rPr>
        <w:t>。</w:t>
      </w:r>
    </w:p>
    <w:p w14:paraId="2DFFB8AA">
      <w:pPr>
        <w:pStyle w:val="4"/>
        <w:spacing w:before="146" w:line="187" w:lineRule="auto"/>
        <w:ind w:left="476"/>
        <w:rPr>
          <w:color w:val="auto"/>
          <w:sz w:val="24"/>
          <w:szCs w:val="24"/>
          <w:highlight w:val="none"/>
        </w:rPr>
      </w:pPr>
      <w:r>
        <w:rPr>
          <w:b/>
          <w:bCs/>
          <w:color w:val="auto"/>
          <w:spacing w:val="-3"/>
          <w:sz w:val="24"/>
          <w:szCs w:val="24"/>
          <w:highlight w:val="none"/>
        </w:rPr>
        <w:t>2.5</w:t>
      </w:r>
      <w:r>
        <w:rPr>
          <w:b/>
          <w:bCs/>
          <w:color w:val="auto"/>
          <w:spacing w:val="69"/>
          <w:w w:val="101"/>
          <w:sz w:val="24"/>
          <w:szCs w:val="24"/>
          <w:highlight w:val="none"/>
        </w:rPr>
        <w:t xml:space="preserve"> </w:t>
      </w:r>
      <w:r>
        <w:rPr>
          <w:b/>
          <w:bCs/>
          <w:color w:val="auto"/>
          <w:spacing w:val="-3"/>
          <w:sz w:val="24"/>
          <w:szCs w:val="24"/>
          <w:highlight w:val="none"/>
        </w:rPr>
        <w:t>履约检查和问题反馈</w:t>
      </w:r>
    </w:p>
    <w:p w14:paraId="64FBDE94">
      <w:pPr>
        <w:spacing w:before="146" w:line="314" w:lineRule="auto"/>
        <w:ind w:left="4" w:right="171" w:firstLine="471"/>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2.5.1 甲方有权在其认为必要时，对乙方是否能够按照合同约定交付货物进行履约检查，以确保乙方所交付的货物能够依约满足甲方之项目需求，但不得因履约检查妨碍乙方的正常工</w:t>
      </w:r>
      <w:r>
        <w:rPr>
          <w:rFonts w:ascii="新宋体" w:hAnsi="新宋体" w:eastAsia="新宋体" w:cs="新宋体"/>
          <w:color w:val="auto"/>
          <w:spacing w:val="-6"/>
          <w:sz w:val="24"/>
          <w:szCs w:val="24"/>
          <w:highlight w:val="none"/>
        </w:rPr>
        <w:t>作，乙方应予积极配合；</w:t>
      </w:r>
    </w:p>
    <w:p w14:paraId="4BD1F3D2">
      <w:pPr>
        <w:spacing w:before="176" w:line="291" w:lineRule="auto"/>
        <w:ind w:left="5" w:right="111" w:firstLine="470"/>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2.5.2 合同履行期间，甲方有权将履行过程中出现的问题反馈</w:t>
      </w:r>
      <w:r>
        <w:rPr>
          <w:rFonts w:ascii="新宋体" w:hAnsi="新宋体" w:eastAsia="新宋体" w:cs="新宋体"/>
          <w:color w:val="auto"/>
          <w:spacing w:val="-2"/>
          <w:sz w:val="24"/>
          <w:szCs w:val="24"/>
          <w:highlight w:val="none"/>
        </w:rPr>
        <w:t>给乙方，双方当事人应以书</w:t>
      </w:r>
      <w:r>
        <w:rPr>
          <w:rFonts w:ascii="新宋体" w:hAnsi="新宋体" w:eastAsia="新宋体" w:cs="新宋体"/>
          <w:color w:val="auto"/>
          <w:spacing w:val="-4"/>
          <w:sz w:val="24"/>
          <w:szCs w:val="24"/>
          <w:highlight w:val="none"/>
        </w:rPr>
        <w:t>面形式约定需要完善和改进的内容。</w:t>
      </w:r>
    </w:p>
    <w:p w14:paraId="5124F59A">
      <w:pPr>
        <w:pStyle w:val="4"/>
        <w:spacing w:line="240" w:lineRule="auto"/>
        <w:ind w:left="0" w:right="0" w:firstLine="464" w:firstLineChars="200"/>
        <w:rPr>
          <w:rFonts w:ascii="新宋体" w:hAnsi="新宋体" w:eastAsia="新宋体" w:cs="新宋体"/>
          <w:color w:val="auto"/>
          <w:sz w:val="24"/>
          <w:szCs w:val="24"/>
          <w:highlight w:val="none"/>
        </w:rPr>
      </w:pPr>
      <w:r>
        <w:rPr>
          <w:b/>
          <w:bCs/>
          <w:color w:val="auto"/>
          <w:spacing w:val="-4"/>
          <w:sz w:val="24"/>
          <w:szCs w:val="24"/>
          <w:highlight w:val="none"/>
        </w:rPr>
        <w:t>2.6</w:t>
      </w:r>
      <w:r>
        <w:rPr>
          <w:b/>
          <w:bCs/>
          <w:color w:val="auto"/>
          <w:spacing w:val="79"/>
          <w:sz w:val="24"/>
          <w:szCs w:val="24"/>
          <w:highlight w:val="none"/>
        </w:rPr>
        <w:t xml:space="preserve"> </w:t>
      </w:r>
      <w:r>
        <w:rPr>
          <w:b/>
          <w:bCs/>
          <w:color w:val="auto"/>
          <w:spacing w:val="-4"/>
          <w:sz w:val="24"/>
          <w:szCs w:val="24"/>
          <w:highlight w:val="none"/>
        </w:rPr>
        <w:t>结算方式和付款条件</w:t>
      </w:r>
      <w:r>
        <w:rPr>
          <w:b/>
          <w:bCs/>
          <w:color w:val="auto"/>
          <w:sz w:val="24"/>
          <w:szCs w:val="24"/>
          <w:highlight w:val="none"/>
        </w:rPr>
        <w:t xml:space="preserve"> </w:t>
      </w:r>
      <w:r>
        <w:rPr>
          <w:rFonts w:ascii="新宋体" w:hAnsi="新宋体" w:eastAsia="新宋体" w:cs="新宋体"/>
          <w:color w:val="auto"/>
          <w:spacing w:val="-2"/>
          <w:sz w:val="24"/>
          <w:szCs w:val="24"/>
          <w:highlight w:val="none"/>
        </w:rPr>
        <w:t>详见</w:t>
      </w:r>
      <w:r>
        <w:rPr>
          <w:b/>
          <w:bCs/>
          <w:color w:val="auto"/>
          <w:spacing w:val="-2"/>
          <w:sz w:val="24"/>
          <w:szCs w:val="24"/>
          <w:highlight w:val="none"/>
          <w:u w:val="single" w:color="auto"/>
        </w:rPr>
        <w:t>合同专用条款</w:t>
      </w:r>
      <w:r>
        <w:rPr>
          <w:rFonts w:ascii="新宋体" w:hAnsi="新宋体" w:eastAsia="新宋体" w:cs="新宋体"/>
          <w:color w:val="auto"/>
          <w:spacing w:val="-2"/>
          <w:sz w:val="24"/>
          <w:szCs w:val="24"/>
          <w:highlight w:val="none"/>
        </w:rPr>
        <w:t>。</w:t>
      </w:r>
    </w:p>
    <w:p w14:paraId="2DE57756">
      <w:pPr>
        <w:pStyle w:val="4"/>
        <w:spacing w:before="147" w:line="188" w:lineRule="auto"/>
        <w:ind w:left="476"/>
        <w:rPr>
          <w:color w:val="auto"/>
          <w:sz w:val="24"/>
          <w:szCs w:val="24"/>
          <w:highlight w:val="none"/>
        </w:rPr>
      </w:pPr>
      <w:r>
        <w:rPr>
          <w:b/>
          <w:bCs/>
          <w:color w:val="auto"/>
          <w:spacing w:val="-3"/>
          <w:sz w:val="24"/>
          <w:szCs w:val="24"/>
          <w:highlight w:val="none"/>
        </w:rPr>
        <w:t>2.7</w:t>
      </w:r>
      <w:r>
        <w:rPr>
          <w:b/>
          <w:bCs/>
          <w:color w:val="auto"/>
          <w:spacing w:val="69"/>
          <w:sz w:val="24"/>
          <w:szCs w:val="24"/>
          <w:highlight w:val="none"/>
        </w:rPr>
        <w:t xml:space="preserve"> </w:t>
      </w:r>
      <w:r>
        <w:rPr>
          <w:b/>
          <w:bCs/>
          <w:color w:val="auto"/>
          <w:spacing w:val="-3"/>
          <w:sz w:val="24"/>
          <w:szCs w:val="24"/>
          <w:highlight w:val="none"/>
        </w:rPr>
        <w:t>技术资料和保密义务</w:t>
      </w:r>
    </w:p>
    <w:p w14:paraId="7EFB9E6E">
      <w:pPr>
        <w:spacing w:before="143" w:line="292" w:lineRule="auto"/>
        <w:ind w:right="111" w:firstLine="475"/>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2.7.1</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2"/>
          <w:sz w:val="24"/>
          <w:szCs w:val="24"/>
          <w:highlight w:val="none"/>
        </w:rPr>
        <w:t>乙方有权依据合同约定和项目需要，向甲方了解有关情况，调阅有关资</w:t>
      </w:r>
      <w:r>
        <w:rPr>
          <w:rFonts w:ascii="新宋体" w:hAnsi="新宋体" w:eastAsia="新宋体" w:cs="新宋体"/>
          <w:color w:val="auto"/>
          <w:spacing w:val="-3"/>
          <w:sz w:val="24"/>
          <w:szCs w:val="24"/>
          <w:highlight w:val="none"/>
        </w:rPr>
        <w:t>料等，甲方</w:t>
      </w:r>
      <w:r>
        <w:rPr>
          <w:rFonts w:ascii="新宋体" w:hAnsi="新宋体" w:eastAsia="新宋体" w:cs="新宋体"/>
          <w:color w:val="auto"/>
          <w:spacing w:val="-9"/>
          <w:sz w:val="24"/>
          <w:szCs w:val="24"/>
          <w:highlight w:val="none"/>
        </w:rPr>
        <w:t>应予积极配合；</w:t>
      </w:r>
    </w:p>
    <w:p w14:paraId="091E73C0">
      <w:pPr>
        <w:spacing w:before="175" w:line="223"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2.7.2</w:t>
      </w:r>
      <w:r>
        <w:rPr>
          <w:rFonts w:ascii="新宋体" w:hAnsi="新宋体" w:eastAsia="新宋体" w:cs="新宋体"/>
          <w:color w:val="auto"/>
          <w:spacing w:val="34"/>
          <w:sz w:val="24"/>
          <w:szCs w:val="24"/>
          <w:highlight w:val="none"/>
        </w:rPr>
        <w:t xml:space="preserve"> </w:t>
      </w:r>
      <w:r>
        <w:rPr>
          <w:rFonts w:ascii="新宋体" w:hAnsi="新宋体" w:eastAsia="新宋体" w:cs="新宋体"/>
          <w:color w:val="auto"/>
          <w:spacing w:val="-3"/>
          <w:sz w:val="24"/>
          <w:szCs w:val="24"/>
          <w:highlight w:val="none"/>
        </w:rPr>
        <w:t>乙方有义务妥善保管和保护由甲方提供的前款信息和资料等；</w:t>
      </w:r>
    </w:p>
    <w:p w14:paraId="00896F14">
      <w:pPr>
        <w:spacing w:before="179" w:line="325" w:lineRule="auto"/>
        <w:ind w:right="111" w:firstLine="476"/>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2.7.3 除非依照法律规定或者对方当事人的书面同意，任何一</w:t>
      </w:r>
      <w:r>
        <w:rPr>
          <w:rFonts w:ascii="新宋体" w:hAnsi="新宋体" w:eastAsia="新宋体" w:cs="新宋体"/>
          <w:color w:val="auto"/>
          <w:spacing w:val="-2"/>
          <w:sz w:val="24"/>
          <w:szCs w:val="24"/>
          <w:highlight w:val="none"/>
        </w:rPr>
        <w:t>方均应保证不向任何第三方</w:t>
      </w:r>
      <w:r>
        <w:rPr>
          <w:rFonts w:ascii="新宋体" w:hAnsi="新宋体" w:eastAsia="新宋体" w:cs="新宋体"/>
          <w:color w:val="auto"/>
          <w:spacing w:val="-3"/>
          <w:sz w:val="24"/>
          <w:szCs w:val="24"/>
          <w:highlight w:val="none"/>
        </w:rPr>
        <w:t>提供或披露有关合同的或者履行合同过程中知悉的对方当事人任何未公开的信息和资料，包括</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但不限于技术情报、技术资料、商业秘密和商业信息等，并采取一切合理和必要措施和方式防</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2"/>
          <w:sz w:val="24"/>
          <w:szCs w:val="24"/>
          <w:highlight w:val="none"/>
        </w:rPr>
        <w:t>止任何第三方接触到对方当事人的上述保密信息和资料。</w:t>
      </w:r>
    </w:p>
    <w:p w14:paraId="3598B653">
      <w:pPr>
        <w:pStyle w:val="4"/>
        <w:spacing w:before="175" w:line="189" w:lineRule="auto"/>
        <w:ind w:left="476"/>
        <w:rPr>
          <w:color w:val="auto"/>
          <w:sz w:val="24"/>
          <w:szCs w:val="24"/>
          <w:highlight w:val="none"/>
        </w:rPr>
      </w:pPr>
      <w:r>
        <w:rPr>
          <w:b/>
          <w:bCs/>
          <w:color w:val="auto"/>
          <w:spacing w:val="-4"/>
          <w:sz w:val="24"/>
          <w:szCs w:val="24"/>
          <w:highlight w:val="none"/>
        </w:rPr>
        <w:t>2.8  质量保证</w:t>
      </w:r>
    </w:p>
    <w:p w14:paraId="11D072FA">
      <w:pPr>
        <w:spacing w:before="144" w:line="291" w:lineRule="auto"/>
        <w:ind w:left="25" w:firstLine="450"/>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2.8.1</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5"/>
          <w:sz w:val="24"/>
          <w:szCs w:val="24"/>
          <w:highlight w:val="none"/>
        </w:rPr>
        <w:t>乙方应建立和完善履行合同的内部质量保证体系，并提供相关内部规章制</w:t>
      </w:r>
      <w:r>
        <w:rPr>
          <w:rFonts w:ascii="新宋体" w:hAnsi="新宋体" w:eastAsia="新宋体" w:cs="新宋体"/>
          <w:color w:val="auto"/>
          <w:spacing w:val="-6"/>
          <w:sz w:val="24"/>
          <w:szCs w:val="24"/>
          <w:highlight w:val="none"/>
        </w:rPr>
        <w:t>度给甲方，</w:t>
      </w:r>
      <w:r>
        <w:rPr>
          <w:rFonts w:ascii="新宋体" w:hAnsi="新宋体" w:eastAsia="新宋体" w:cs="新宋体"/>
          <w:color w:val="auto"/>
          <w:spacing w:val="-8"/>
          <w:sz w:val="24"/>
          <w:szCs w:val="24"/>
          <w:highlight w:val="none"/>
        </w:rPr>
        <w:t>以便甲方进行监督检查；</w:t>
      </w:r>
    </w:p>
    <w:p w14:paraId="322E8A7D">
      <w:pPr>
        <w:spacing w:before="177" w:line="291" w:lineRule="auto"/>
        <w:ind w:right="111" w:firstLine="476"/>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2.8.2</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2"/>
          <w:sz w:val="24"/>
          <w:szCs w:val="24"/>
          <w:highlight w:val="none"/>
        </w:rPr>
        <w:t>乙方应保证履行合同的人员数量和素质、软件和硬件设备的配置、场地</w:t>
      </w:r>
      <w:r>
        <w:rPr>
          <w:rFonts w:ascii="新宋体" w:hAnsi="新宋体" w:eastAsia="新宋体" w:cs="新宋体"/>
          <w:color w:val="auto"/>
          <w:spacing w:val="-3"/>
          <w:sz w:val="24"/>
          <w:szCs w:val="24"/>
          <w:highlight w:val="none"/>
        </w:rPr>
        <w:t>、环境和设</w:t>
      </w:r>
      <w:r>
        <w:rPr>
          <w:rFonts w:ascii="新宋体" w:hAnsi="新宋体" w:eastAsia="新宋体" w:cs="新宋体"/>
          <w:color w:val="auto"/>
          <w:spacing w:val="-2"/>
          <w:sz w:val="24"/>
          <w:szCs w:val="24"/>
          <w:highlight w:val="none"/>
        </w:rPr>
        <w:t>施等满足全面履行合同的要求，并应接受甲方的监督检查。</w:t>
      </w:r>
    </w:p>
    <w:p w14:paraId="1520E923">
      <w:pPr>
        <w:pStyle w:val="4"/>
        <w:spacing w:before="176" w:line="187" w:lineRule="auto"/>
        <w:ind w:left="476"/>
        <w:rPr>
          <w:color w:val="auto"/>
          <w:sz w:val="24"/>
          <w:szCs w:val="24"/>
          <w:highlight w:val="none"/>
        </w:rPr>
      </w:pPr>
      <w:r>
        <w:rPr>
          <w:b/>
          <w:bCs/>
          <w:color w:val="auto"/>
          <w:spacing w:val="-3"/>
          <w:sz w:val="24"/>
          <w:szCs w:val="24"/>
          <w:highlight w:val="none"/>
        </w:rPr>
        <w:t>2.9  货物的风险负担</w:t>
      </w:r>
    </w:p>
    <w:p w14:paraId="27FA46A3">
      <w:pPr>
        <w:pStyle w:val="4"/>
        <w:spacing w:before="145" w:line="271" w:lineRule="auto"/>
        <w:ind w:right="171" w:firstLine="485"/>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货物或者在途货物或者交付给第一承运人后的货物毁损、灭失的风险负担详</w:t>
      </w:r>
      <w:r>
        <w:rPr>
          <w:rFonts w:ascii="新宋体" w:hAnsi="新宋体" w:eastAsia="新宋体" w:cs="新宋体"/>
          <w:color w:val="auto"/>
          <w:spacing w:val="-4"/>
          <w:sz w:val="24"/>
          <w:szCs w:val="24"/>
          <w:highlight w:val="none"/>
        </w:rPr>
        <w:t>见</w:t>
      </w:r>
      <w:r>
        <w:rPr>
          <w:b/>
          <w:bCs/>
          <w:color w:val="auto"/>
          <w:spacing w:val="-4"/>
          <w:sz w:val="24"/>
          <w:szCs w:val="24"/>
          <w:highlight w:val="none"/>
          <w:u w:val="single" w:color="auto"/>
        </w:rPr>
        <w:t>合同专用条</w:t>
      </w:r>
      <w:r>
        <w:rPr>
          <w:b/>
          <w:bCs/>
          <w:color w:val="auto"/>
          <w:sz w:val="24"/>
          <w:szCs w:val="24"/>
          <w:highlight w:val="none"/>
        </w:rPr>
        <w:t xml:space="preserve"> </w:t>
      </w:r>
      <w:r>
        <w:rPr>
          <w:b/>
          <w:bCs/>
          <w:color w:val="auto"/>
          <w:spacing w:val="-8"/>
          <w:sz w:val="24"/>
          <w:szCs w:val="24"/>
          <w:highlight w:val="none"/>
          <w:u w:val="single" w:color="auto"/>
        </w:rPr>
        <w:t>款</w:t>
      </w:r>
      <w:r>
        <w:rPr>
          <w:rFonts w:ascii="新宋体" w:hAnsi="新宋体" w:eastAsia="新宋体" w:cs="新宋体"/>
          <w:color w:val="auto"/>
          <w:spacing w:val="-8"/>
          <w:sz w:val="24"/>
          <w:szCs w:val="24"/>
          <w:highlight w:val="none"/>
        </w:rPr>
        <w:t>。</w:t>
      </w:r>
    </w:p>
    <w:p w14:paraId="54A9ACD2">
      <w:pPr>
        <w:pStyle w:val="4"/>
        <w:spacing w:before="6" w:line="188" w:lineRule="auto"/>
        <w:ind w:left="476"/>
        <w:rPr>
          <w:color w:val="auto"/>
          <w:sz w:val="24"/>
          <w:szCs w:val="24"/>
          <w:highlight w:val="none"/>
        </w:rPr>
        <w:sectPr>
          <w:footerReference r:id="rId14" w:type="default"/>
          <w:pgSz w:w="11905" w:h="16839"/>
          <w:pgMar w:top="1440" w:right="1800" w:bottom="1440" w:left="1800" w:header="0" w:footer="1090" w:gutter="0"/>
          <w:pgNumType w:fmt="decimal"/>
          <w:cols w:space="720" w:num="1"/>
        </w:sectPr>
      </w:pPr>
      <w:r>
        <w:rPr>
          <w:b/>
          <w:bCs/>
          <w:color w:val="auto"/>
          <w:spacing w:val="-7"/>
          <w:sz w:val="24"/>
          <w:szCs w:val="24"/>
          <w:highlight w:val="none"/>
        </w:rPr>
        <w:t>2.10</w:t>
      </w:r>
      <w:r>
        <w:rPr>
          <w:b/>
          <w:bCs/>
          <w:color w:val="auto"/>
          <w:spacing w:val="64"/>
          <w:sz w:val="24"/>
          <w:szCs w:val="24"/>
          <w:highlight w:val="none"/>
        </w:rPr>
        <w:t xml:space="preserve"> </w:t>
      </w:r>
      <w:r>
        <w:rPr>
          <w:b/>
          <w:bCs/>
          <w:color w:val="auto"/>
          <w:spacing w:val="-7"/>
          <w:sz w:val="24"/>
          <w:szCs w:val="24"/>
          <w:highlight w:val="none"/>
        </w:rPr>
        <w:t>延迟交货</w:t>
      </w:r>
    </w:p>
    <w:p w14:paraId="79C3E9F0">
      <w:pPr>
        <w:spacing w:line="248" w:lineRule="auto"/>
        <w:rPr>
          <w:rFonts w:ascii="Arial"/>
          <w:color w:val="auto"/>
          <w:sz w:val="21"/>
          <w:highlight w:val="none"/>
        </w:rPr>
      </w:pPr>
    </w:p>
    <w:p w14:paraId="3F691ACE">
      <w:pPr>
        <w:spacing w:before="78" w:line="350" w:lineRule="auto"/>
        <w:ind w:left="11" w:right="66" w:firstLine="470"/>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在合同履行过程中，如果乙方遇到不能按时交付货物的情况，应及时以书面形式将</w:t>
      </w:r>
      <w:r>
        <w:rPr>
          <w:rFonts w:ascii="新宋体" w:hAnsi="新宋体" w:eastAsia="新宋体" w:cs="新宋体"/>
          <w:color w:val="auto"/>
          <w:spacing w:val="-4"/>
          <w:sz w:val="24"/>
          <w:szCs w:val="24"/>
          <w:highlight w:val="none"/>
        </w:rPr>
        <w:t>不能按</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时交付货物的理由、预期延误时间通知甲方；甲方收到乙方通知后，认为其理</w:t>
      </w:r>
      <w:r>
        <w:rPr>
          <w:rFonts w:ascii="新宋体" w:hAnsi="新宋体" w:eastAsia="新宋体" w:cs="新宋体"/>
          <w:color w:val="auto"/>
          <w:spacing w:val="-4"/>
          <w:sz w:val="24"/>
          <w:szCs w:val="24"/>
          <w:highlight w:val="none"/>
        </w:rPr>
        <w:t>由正当的，可以</w:t>
      </w:r>
      <w:r>
        <w:rPr>
          <w:rFonts w:ascii="新宋体" w:hAnsi="新宋体" w:eastAsia="新宋体" w:cs="新宋体"/>
          <w:color w:val="auto"/>
          <w:spacing w:val="-3"/>
          <w:sz w:val="24"/>
          <w:szCs w:val="24"/>
          <w:highlight w:val="none"/>
        </w:rPr>
        <w:t>书面形式酌情同意乙方可以延长交货的具体时间。</w:t>
      </w:r>
    </w:p>
    <w:p w14:paraId="33BD392B">
      <w:pPr>
        <w:pStyle w:val="4"/>
        <w:spacing w:before="37" w:line="188" w:lineRule="auto"/>
        <w:ind w:left="475"/>
        <w:rPr>
          <w:color w:val="auto"/>
          <w:sz w:val="24"/>
          <w:szCs w:val="24"/>
          <w:highlight w:val="none"/>
        </w:rPr>
      </w:pPr>
      <w:r>
        <w:rPr>
          <w:b/>
          <w:bCs/>
          <w:color w:val="auto"/>
          <w:spacing w:val="-7"/>
          <w:sz w:val="24"/>
          <w:szCs w:val="24"/>
          <w:highlight w:val="none"/>
        </w:rPr>
        <w:t>2.11  合同变更</w:t>
      </w:r>
    </w:p>
    <w:p w14:paraId="43104394">
      <w:pPr>
        <w:spacing w:before="142" w:line="314" w:lineRule="auto"/>
        <w:ind w:right="66" w:firstLine="475"/>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2.11.1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1"/>
          <w:sz w:val="24"/>
          <w:szCs w:val="24"/>
          <w:highlight w:val="none"/>
        </w:rPr>
        <w:t>双方当事人协商一致，可以签订书面补充合同的形式变更合同，但不得违背采购</w:t>
      </w:r>
      <w:r>
        <w:rPr>
          <w:rFonts w:ascii="新宋体" w:hAnsi="新宋体" w:eastAsia="新宋体" w:cs="新宋体"/>
          <w:color w:val="auto"/>
          <w:spacing w:val="-3"/>
          <w:sz w:val="24"/>
          <w:szCs w:val="24"/>
          <w:highlight w:val="none"/>
        </w:rPr>
        <w:t>文件确定的事项，且如果系追加与合同标的相同的货物的，那么所有补充合同的采购金额不得</w:t>
      </w:r>
      <w:r>
        <w:rPr>
          <w:rFonts w:ascii="新宋体" w:hAnsi="新宋体" w:eastAsia="新宋体" w:cs="新宋体"/>
          <w:color w:val="auto"/>
          <w:spacing w:val="-6"/>
          <w:sz w:val="24"/>
          <w:szCs w:val="24"/>
          <w:highlight w:val="none"/>
        </w:rPr>
        <w:t>超过原合同价的</w:t>
      </w:r>
      <w:r>
        <w:rPr>
          <w:rFonts w:ascii="新宋体" w:hAnsi="新宋体" w:eastAsia="新宋体" w:cs="新宋体"/>
          <w:color w:val="auto"/>
          <w:spacing w:val="-32"/>
          <w:sz w:val="24"/>
          <w:szCs w:val="24"/>
          <w:highlight w:val="none"/>
        </w:rPr>
        <w:t xml:space="preserve"> </w:t>
      </w:r>
      <w:r>
        <w:rPr>
          <w:rFonts w:ascii="新宋体" w:hAnsi="新宋体" w:eastAsia="新宋体" w:cs="新宋体"/>
          <w:color w:val="auto"/>
          <w:spacing w:val="-6"/>
          <w:sz w:val="24"/>
          <w:szCs w:val="24"/>
          <w:highlight w:val="none"/>
        </w:rPr>
        <w:t>10%；</w:t>
      </w:r>
    </w:p>
    <w:p w14:paraId="4F6DC3FB">
      <w:pPr>
        <w:spacing w:before="178" w:line="291" w:lineRule="auto"/>
        <w:ind w:left="2" w:right="66" w:firstLine="472"/>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2.11.2 合同继续履行将损害国家利益和社会公共利益的，双方当事人应当以书面形式变</w:t>
      </w:r>
      <w:r>
        <w:rPr>
          <w:rFonts w:ascii="新宋体" w:hAnsi="新宋体" w:eastAsia="新宋体" w:cs="新宋体"/>
          <w:color w:val="auto"/>
          <w:spacing w:val="-1"/>
          <w:sz w:val="24"/>
          <w:szCs w:val="24"/>
          <w:highlight w:val="none"/>
        </w:rPr>
        <w:t>更合同。有过错的一方应当承担赔偿责任，双方当事人都有过错的</w:t>
      </w:r>
      <w:r>
        <w:rPr>
          <w:rFonts w:ascii="新宋体" w:hAnsi="新宋体" w:eastAsia="新宋体" w:cs="新宋体"/>
          <w:color w:val="auto"/>
          <w:spacing w:val="-2"/>
          <w:sz w:val="24"/>
          <w:szCs w:val="24"/>
          <w:highlight w:val="none"/>
        </w:rPr>
        <w:t>，各自承担相应的责任。</w:t>
      </w:r>
    </w:p>
    <w:p w14:paraId="6A048018">
      <w:pPr>
        <w:pStyle w:val="4"/>
        <w:spacing w:before="176" w:line="188" w:lineRule="auto"/>
        <w:ind w:left="475"/>
        <w:rPr>
          <w:color w:val="auto"/>
          <w:sz w:val="24"/>
          <w:szCs w:val="24"/>
          <w:highlight w:val="none"/>
        </w:rPr>
      </w:pPr>
      <w:r>
        <w:rPr>
          <w:b/>
          <w:bCs/>
          <w:color w:val="auto"/>
          <w:spacing w:val="-5"/>
          <w:sz w:val="24"/>
          <w:szCs w:val="24"/>
          <w:highlight w:val="none"/>
        </w:rPr>
        <w:t>2.12  合同转让和分包</w:t>
      </w:r>
    </w:p>
    <w:p w14:paraId="522693B6">
      <w:pPr>
        <w:spacing w:before="145" w:line="352" w:lineRule="auto"/>
        <w:ind w:firstLine="486"/>
        <w:jc w:val="both"/>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合同的权利义务依法不得转让，但经甲方同意，</w:t>
      </w:r>
      <w:r>
        <w:rPr>
          <w:rFonts w:ascii="新宋体" w:hAnsi="新宋体" w:eastAsia="新宋体" w:cs="新宋体"/>
          <w:color w:val="auto"/>
          <w:spacing w:val="-8"/>
          <w:sz w:val="24"/>
          <w:szCs w:val="24"/>
          <w:highlight w:val="none"/>
        </w:rPr>
        <w:t>乙方可以依法采取分包方式履行合同，即：</w:t>
      </w:r>
      <w:r>
        <w:rPr>
          <w:rFonts w:ascii="新宋体" w:hAnsi="新宋体" w:eastAsia="新宋体" w:cs="新宋体"/>
          <w:color w:val="auto"/>
          <w:spacing w:val="-5"/>
          <w:sz w:val="24"/>
          <w:szCs w:val="24"/>
          <w:highlight w:val="none"/>
        </w:rPr>
        <w:t>依法可以将合同项下的部分非主体、非关键性工作分包给他人完成，</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5"/>
          <w:sz w:val="24"/>
          <w:szCs w:val="24"/>
          <w:highlight w:val="none"/>
        </w:rPr>
        <w:t>接受分包的人应当具备相</w:t>
      </w:r>
      <w:r>
        <w:rPr>
          <w:rFonts w:ascii="新宋体" w:hAnsi="新宋体" w:eastAsia="新宋体" w:cs="新宋体"/>
          <w:color w:val="auto"/>
          <w:spacing w:val="-3"/>
          <w:sz w:val="24"/>
          <w:szCs w:val="24"/>
          <w:highlight w:val="none"/>
        </w:rPr>
        <w:t>应的资格条件，并不得再次分包，且乙方应就分包项目向甲方负责，并与分包供应商就分包项</w:t>
      </w:r>
      <w:r>
        <w:rPr>
          <w:rFonts w:ascii="新宋体" w:hAnsi="新宋体" w:eastAsia="新宋体" w:cs="新宋体"/>
          <w:color w:val="auto"/>
          <w:spacing w:val="-4"/>
          <w:sz w:val="24"/>
          <w:szCs w:val="24"/>
          <w:highlight w:val="none"/>
        </w:rPr>
        <w:t>目向甲方承担连带责任。</w:t>
      </w:r>
    </w:p>
    <w:p w14:paraId="5B8DD05E">
      <w:pPr>
        <w:pStyle w:val="4"/>
        <w:spacing w:before="36" w:line="188" w:lineRule="auto"/>
        <w:ind w:left="475"/>
        <w:rPr>
          <w:color w:val="auto"/>
          <w:sz w:val="24"/>
          <w:szCs w:val="24"/>
          <w:highlight w:val="none"/>
        </w:rPr>
      </w:pPr>
      <w:r>
        <w:rPr>
          <w:b/>
          <w:bCs/>
          <w:color w:val="auto"/>
          <w:spacing w:val="-7"/>
          <w:sz w:val="24"/>
          <w:szCs w:val="24"/>
          <w:highlight w:val="none"/>
        </w:rPr>
        <w:t>2.13  不可抗力</w:t>
      </w:r>
    </w:p>
    <w:p w14:paraId="757EA306">
      <w:pPr>
        <w:spacing w:before="146" w:line="291" w:lineRule="auto"/>
        <w:ind w:right="66" w:firstLine="475"/>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2.13.1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1"/>
          <w:sz w:val="24"/>
          <w:szCs w:val="24"/>
          <w:highlight w:val="none"/>
        </w:rPr>
        <w:t>如果任何一方遭遇法律规定的不可抗力，致使合同履行受阻时，履行合同的期限</w:t>
      </w:r>
      <w:r>
        <w:rPr>
          <w:rFonts w:ascii="新宋体" w:hAnsi="新宋体" w:eastAsia="新宋体" w:cs="新宋体"/>
          <w:color w:val="auto"/>
          <w:spacing w:val="-3"/>
          <w:sz w:val="24"/>
          <w:szCs w:val="24"/>
          <w:highlight w:val="none"/>
        </w:rPr>
        <w:t>应予延长，延长的期限应相当于不可抗力所影响的时间；</w:t>
      </w:r>
    </w:p>
    <w:p w14:paraId="7A5BCF46">
      <w:pPr>
        <w:spacing w:before="175" w:line="224" w:lineRule="auto"/>
        <w:ind w:left="475"/>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2.13.2</w:t>
      </w:r>
      <w:r>
        <w:rPr>
          <w:rFonts w:ascii="新宋体" w:hAnsi="新宋体" w:eastAsia="新宋体" w:cs="新宋体"/>
          <w:color w:val="auto"/>
          <w:spacing w:val="40"/>
          <w:sz w:val="24"/>
          <w:szCs w:val="24"/>
          <w:highlight w:val="none"/>
        </w:rPr>
        <w:t xml:space="preserve"> </w:t>
      </w:r>
      <w:r>
        <w:rPr>
          <w:rFonts w:ascii="新宋体" w:hAnsi="新宋体" w:eastAsia="新宋体" w:cs="新宋体"/>
          <w:color w:val="auto"/>
          <w:spacing w:val="-3"/>
          <w:sz w:val="24"/>
          <w:szCs w:val="24"/>
          <w:highlight w:val="none"/>
        </w:rPr>
        <w:t>因不可抗力致使不能实现合同目的的，当事人可以解除</w:t>
      </w:r>
      <w:r>
        <w:rPr>
          <w:rFonts w:ascii="新宋体" w:hAnsi="新宋体" w:eastAsia="新宋体" w:cs="新宋体"/>
          <w:color w:val="auto"/>
          <w:spacing w:val="-4"/>
          <w:sz w:val="24"/>
          <w:szCs w:val="24"/>
          <w:highlight w:val="none"/>
        </w:rPr>
        <w:t>合同；</w:t>
      </w:r>
    </w:p>
    <w:p w14:paraId="0D6AEA66">
      <w:pPr>
        <w:pStyle w:val="4"/>
        <w:spacing w:before="176" w:line="251" w:lineRule="auto"/>
        <w:ind w:left="11" w:right="66" w:firstLine="464"/>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2.13.3</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1"/>
          <w:sz w:val="24"/>
          <w:szCs w:val="24"/>
          <w:highlight w:val="none"/>
        </w:rPr>
        <w:t>因不可抗力致使合同有变更必要的，双方当事人应在</w:t>
      </w:r>
      <w:r>
        <w:rPr>
          <w:b/>
          <w:bCs/>
          <w:color w:val="auto"/>
          <w:spacing w:val="-1"/>
          <w:sz w:val="24"/>
          <w:szCs w:val="24"/>
          <w:highlight w:val="none"/>
          <w:u w:val="single" w:color="auto"/>
        </w:rPr>
        <w:t>合同专用条款</w:t>
      </w:r>
      <w:r>
        <w:rPr>
          <w:rFonts w:ascii="新宋体" w:hAnsi="新宋体" w:eastAsia="新宋体" w:cs="新宋体"/>
          <w:color w:val="auto"/>
          <w:spacing w:val="-1"/>
          <w:sz w:val="24"/>
          <w:szCs w:val="24"/>
          <w:highlight w:val="none"/>
        </w:rPr>
        <w:t>约定时间内以</w:t>
      </w:r>
      <w:r>
        <w:rPr>
          <w:rFonts w:ascii="新宋体" w:hAnsi="新宋体" w:eastAsia="新宋体" w:cs="新宋体"/>
          <w:color w:val="auto"/>
          <w:spacing w:val="-8"/>
          <w:sz w:val="24"/>
          <w:szCs w:val="24"/>
          <w:highlight w:val="none"/>
        </w:rPr>
        <w:t>书面形式变更合同；</w:t>
      </w:r>
    </w:p>
    <w:p w14:paraId="33F50458">
      <w:pPr>
        <w:pStyle w:val="4"/>
        <w:spacing w:before="177" w:line="259" w:lineRule="auto"/>
        <w:ind w:right="66" w:firstLine="475"/>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2.13.4</w:t>
      </w:r>
      <w:r>
        <w:rPr>
          <w:rFonts w:ascii="新宋体" w:hAnsi="新宋体" w:eastAsia="新宋体" w:cs="新宋体"/>
          <w:color w:val="auto"/>
          <w:spacing w:val="-30"/>
          <w:sz w:val="24"/>
          <w:szCs w:val="24"/>
          <w:highlight w:val="none"/>
        </w:rPr>
        <w:t xml:space="preserve"> </w:t>
      </w:r>
      <w:r>
        <w:rPr>
          <w:rFonts w:ascii="新宋体" w:hAnsi="新宋体" w:eastAsia="新宋体" w:cs="新宋体"/>
          <w:color w:val="auto"/>
          <w:spacing w:val="1"/>
          <w:sz w:val="24"/>
          <w:szCs w:val="24"/>
          <w:highlight w:val="none"/>
        </w:rPr>
        <w:t>受不可抗力影响的一方在不可抗力发生后，应在</w:t>
      </w:r>
      <w:r>
        <w:rPr>
          <w:b/>
          <w:bCs/>
          <w:color w:val="auto"/>
          <w:spacing w:val="1"/>
          <w:sz w:val="24"/>
          <w:szCs w:val="24"/>
          <w:highlight w:val="none"/>
          <w:u w:val="single" w:color="auto"/>
        </w:rPr>
        <w:t>合同专用条款</w:t>
      </w:r>
      <w:r>
        <w:rPr>
          <w:rFonts w:ascii="新宋体" w:hAnsi="新宋体" w:eastAsia="新宋体" w:cs="新宋体"/>
          <w:color w:val="auto"/>
          <w:spacing w:val="1"/>
          <w:sz w:val="24"/>
          <w:szCs w:val="24"/>
          <w:highlight w:val="none"/>
        </w:rPr>
        <w:t>约定时</w:t>
      </w:r>
      <w:r>
        <w:rPr>
          <w:rFonts w:ascii="新宋体" w:hAnsi="新宋体" w:eastAsia="新宋体" w:cs="新宋体"/>
          <w:color w:val="auto"/>
          <w:sz w:val="24"/>
          <w:szCs w:val="24"/>
          <w:highlight w:val="none"/>
        </w:rPr>
        <w:t>间内以书面</w:t>
      </w:r>
      <w:r>
        <w:rPr>
          <w:rFonts w:ascii="新宋体" w:hAnsi="新宋体" w:eastAsia="新宋体" w:cs="新宋体"/>
          <w:color w:val="auto"/>
          <w:spacing w:val="-3"/>
          <w:sz w:val="24"/>
          <w:szCs w:val="24"/>
          <w:highlight w:val="none"/>
        </w:rPr>
        <w:t>形式通知对方当事人，并在</w:t>
      </w:r>
      <w:r>
        <w:rPr>
          <w:b/>
          <w:bCs/>
          <w:color w:val="auto"/>
          <w:spacing w:val="-3"/>
          <w:sz w:val="24"/>
          <w:szCs w:val="24"/>
          <w:highlight w:val="none"/>
          <w:u w:val="single" w:color="auto"/>
        </w:rPr>
        <w:t>合同专用条款</w:t>
      </w:r>
      <w:r>
        <w:rPr>
          <w:rFonts w:ascii="新宋体" w:hAnsi="新宋体" w:eastAsia="新宋体" w:cs="新宋体"/>
          <w:color w:val="auto"/>
          <w:spacing w:val="-3"/>
          <w:sz w:val="24"/>
          <w:szCs w:val="24"/>
          <w:highlight w:val="none"/>
        </w:rPr>
        <w:t>约定时间内，将有关部门出具的证明文件送达对方当</w:t>
      </w:r>
      <w:r>
        <w:rPr>
          <w:rFonts w:ascii="新宋体" w:hAnsi="新宋体" w:eastAsia="新宋体" w:cs="新宋体"/>
          <w:color w:val="auto"/>
          <w:spacing w:val="-11"/>
          <w:sz w:val="24"/>
          <w:szCs w:val="24"/>
          <w:highlight w:val="none"/>
        </w:rPr>
        <w:t>事人。</w:t>
      </w:r>
    </w:p>
    <w:p w14:paraId="0B262607">
      <w:pPr>
        <w:pStyle w:val="4"/>
        <w:spacing w:before="176" w:line="187" w:lineRule="auto"/>
        <w:ind w:left="475"/>
        <w:rPr>
          <w:color w:val="auto"/>
          <w:sz w:val="24"/>
          <w:szCs w:val="24"/>
          <w:highlight w:val="none"/>
        </w:rPr>
      </w:pPr>
      <w:r>
        <w:rPr>
          <w:b/>
          <w:bCs/>
          <w:color w:val="auto"/>
          <w:spacing w:val="-8"/>
          <w:sz w:val="24"/>
          <w:szCs w:val="24"/>
          <w:highlight w:val="none"/>
        </w:rPr>
        <w:t>2.14  税费</w:t>
      </w:r>
    </w:p>
    <w:p w14:paraId="1FFED1B3">
      <w:pPr>
        <w:spacing w:before="145" w:line="224" w:lineRule="auto"/>
        <w:ind w:left="489"/>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与合同有关的一切税费，均按照中华人民共和国法律的相关规定。</w:t>
      </w:r>
    </w:p>
    <w:p w14:paraId="329155E5">
      <w:pPr>
        <w:pStyle w:val="4"/>
        <w:spacing w:before="176" w:line="188" w:lineRule="auto"/>
        <w:ind w:left="475"/>
        <w:rPr>
          <w:color w:val="auto"/>
          <w:sz w:val="24"/>
          <w:szCs w:val="24"/>
          <w:highlight w:val="none"/>
        </w:rPr>
      </w:pPr>
      <w:r>
        <w:rPr>
          <w:b/>
          <w:bCs/>
          <w:color w:val="auto"/>
          <w:spacing w:val="-9"/>
          <w:sz w:val="24"/>
          <w:szCs w:val="24"/>
          <w:highlight w:val="none"/>
        </w:rPr>
        <w:t>2.15</w:t>
      </w:r>
      <w:r>
        <w:rPr>
          <w:b/>
          <w:bCs/>
          <w:color w:val="auto"/>
          <w:spacing w:val="6"/>
          <w:sz w:val="24"/>
          <w:szCs w:val="24"/>
          <w:highlight w:val="none"/>
        </w:rPr>
        <w:t xml:space="preserve">  </w:t>
      </w:r>
      <w:r>
        <w:rPr>
          <w:b/>
          <w:bCs/>
          <w:color w:val="auto"/>
          <w:spacing w:val="-9"/>
          <w:sz w:val="24"/>
          <w:szCs w:val="24"/>
          <w:highlight w:val="none"/>
        </w:rPr>
        <w:t>乙方破产</w:t>
      </w:r>
    </w:p>
    <w:p w14:paraId="3756089A">
      <w:pPr>
        <w:spacing w:before="143" w:line="350" w:lineRule="auto"/>
        <w:ind w:right="66" w:firstLine="481"/>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如果乙方破产导致合同无法履行时，甲方可以书面形式通知乙方终止合同且不给予</w:t>
      </w:r>
      <w:r>
        <w:rPr>
          <w:rFonts w:ascii="新宋体" w:hAnsi="新宋体" w:eastAsia="新宋体" w:cs="新宋体"/>
          <w:color w:val="auto"/>
          <w:spacing w:val="-4"/>
          <w:sz w:val="24"/>
          <w:szCs w:val="24"/>
          <w:highlight w:val="none"/>
        </w:rPr>
        <w:t>乙方任</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何补偿和赔偿，但合同的终止不损害或不影响甲方已经采取或将要采取的任何要求乙方支付违</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约金、赔偿损失等的行动或补救措施的权利。</w:t>
      </w:r>
    </w:p>
    <w:p w14:paraId="57BBC6ED">
      <w:pPr>
        <w:pStyle w:val="4"/>
        <w:spacing w:before="37" w:line="188" w:lineRule="auto"/>
        <w:ind w:left="475"/>
        <w:rPr>
          <w:color w:val="auto"/>
          <w:sz w:val="24"/>
          <w:szCs w:val="24"/>
          <w:highlight w:val="none"/>
        </w:rPr>
      </w:pPr>
      <w:r>
        <w:rPr>
          <w:b/>
          <w:bCs/>
          <w:color w:val="auto"/>
          <w:spacing w:val="-5"/>
          <w:sz w:val="24"/>
          <w:szCs w:val="24"/>
          <w:highlight w:val="none"/>
        </w:rPr>
        <w:t>2.16  合同中止、终止</w:t>
      </w:r>
    </w:p>
    <w:p w14:paraId="5197F1F6">
      <w:pPr>
        <w:spacing w:before="78" w:line="224"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2.16.1 双方当事人不得擅自中止或者终止合同；</w:t>
      </w:r>
    </w:p>
    <w:p w14:paraId="60CBB718">
      <w:pPr>
        <w:spacing w:before="177" w:line="291" w:lineRule="auto"/>
        <w:ind w:left="7" w:right="183" w:firstLine="468"/>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2.16.2</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1"/>
          <w:sz w:val="24"/>
          <w:szCs w:val="24"/>
          <w:highlight w:val="none"/>
        </w:rPr>
        <w:t>合同继续履行将损害国家利益和社会公共利益的，双方当事人应当中止或者终止</w:t>
      </w:r>
      <w:r>
        <w:rPr>
          <w:rFonts w:ascii="新宋体" w:hAnsi="新宋体" w:eastAsia="新宋体" w:cs="新宋体"/>
          <w:color w:val="auto"/>
          <w:spacing w:val="-1"/>
          <w:sz w:val="24"/>
          <w:szCs w:val="24"/>
          <w:highlight w:val="none"/>
        </w:rPr>
        <w:t>合同。有过错的一方应当承担赔偿责任，双方当事人</w:t>
      </w:r>
      <w:r>
        <w:rPr>
          <w:rFonts w:ascii="新宋体" w:hAnsi="新宋体" w:eastAsia="新宋体" w:cs="新宋体"/>
          <w:color w:val="auto"/>
          <w:spacing w:val="-2"/>
          <w:sz w:val="24"/>
          <w:szCs w:val="24"/>
          <w:highlight w:val="none"/>
        </w:rPr>
        <w:t>都有过错的，各自承担相应的责任。</w:t>
      </w:r>
    </w:p>
    <w:p w14:paraId="6D7752D5">
      <w:pPr>
        <w:pStyle w:val="4"/>
        <w:spacing w:before="176" w:line="188" w:lineRule="auto"/>
        <w:ind w:left="476"/>
        <w:rPr>
          <w:color w:val="auto"/>
          <w:sz w:val="24"/>
          <w:szCs w:val="24"/>
          <w:highlight w:val="none"/>
        </w:rPr>
      </w:pPr>
      <w:r>
        <w:rPr>
          <w:b/>
          <w:bCs/>
          <w:color w:val="auto"/>
          <w:spacing w:val="-7"/>
          <w:sz w:val="24"/>
          <w:szCs w:val="24"/>
          <w:highlight w:val="none"/>
        </w:rPr>
        <w:t>2.17</w:t>
      </w:r>
      <w:r>
        <w:rPr>
          <w:b/>
          <w:bCs/>
          <w:color w:val="auto"/>
          <w:spacing w:val="70"/>
          <w:sz w:val="24"/>
          <w:szCs w:val="24"/>
          <w:highlight w:val="none"/>
        </w:rPr>
        <w:t xml:space="preserve"> </w:t>
      </w:r>
      <w:r>
        <w:rPr>
          <w:b/>
          <w:bCs/>
          <w:color w:val="auto"/>
          <w:spacing w:val="-7"/>
          <w:sz w:val="24"/>
          <w:szCs w:val="24"/>
          <w:highlight w:val="none"/>
        </w:rPr>
        <w:t>检验和验收</w:t>
      </w:r>
    </w:p>
    <w:p w14:paraId="2675C471">
      <w:pPr>
        <w:pStyle w:val="4"/>
        <w:spacing w:before="141" w:line="284" w:lineRule="auto"/>
        <w:ind w:left="3" w:right="112" w:firstLine="472"/>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2.17.1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1"/>
          <w:sz w:val="24"/>
          <w:szCs w:val="24"/>
          <w:highlight w:val="none"/>
        </w:rPr>
        <w:t>货物交付前，乙方应对货物的质量、数量等方面进行详细、全面的检验，并向甲</w:t>
      </w:r>
      <w:r>
        <w:rPr>
          <w:rFonts w:ascii="新宋体" w:hAnsi="新宋体" w:eastAsia="新宋体" w:cs="新宋体"/>
          <w:color w:val="auto"/>
          <w:spacing w:val="-7"/>
          <w:sz w:val="24"/>
          <w:szCs w:val="24"/>
          <w:highlight w:val="none"/>
        </w:rPr>
        <w:t>方出具证明货物符合合同约定的文件；货物交付时，乙方在</w:t>
      </w:r>
      <w:r>
        <w:rPr>
          <w:b/>
          <w:bCs/>
          <w:color w:val="auto"/>
          <w:spacing w:val="-7"/>
          <w:sz w:val="24"/>
          <w:szCs w:val="24"/>
          <w:highlight w:val="none"/>
          <w:u w:val="single" w:color="auto"/>
        </w:rPr>
        <w:t>合同专用条款</w:t>
      </w:r>
      <w:r>
        <w:rPr>
          <w:rFonts w:ascii="新宋体" w:hAnsi="新宋体" w:eastAsia="新宋体" w:cs="新宋体"/>
          <w:color w:val="auto"/>
          <w:spacing w:val="-7"/>
          <w:sz w:val="24"/>
          <w:szCs w:val="24"/>
          <w:highlight w:val="none"/>
        </w:rPr>
        <w:t>约定时间内组织验收，</w:t>
      </w:r>
      <w:r>
        <w:rPr>
          <w:rFonts w:ascii="新宋体" w:hAnsi="新宋体" w:eastAsia="新宋体" w:cs="新宋体"/>
          <w:color w:val="auto"/>
          <w:spacing w:val="-3"/>
          <w:sz w:val="24"/>
          <w:szCs w:val="24"/>
          <w:highlight w:val="none"/>
        </w:rPr>
        <w:t>并可依法邀请相关方参加，验收应出具验收书。</w:t>
      </w:r>
    </w:p>
    <w:p w14:paraId="021D8D63">
      <w:pPr>
        <w:spacing w:before="175" w:line="314" w:lineRule="auto"/>
        <w:ind w:right="101" w:firstLine="476"/>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2.17.2</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z w:val="24"/>
          <w:szCs w:val="24"/>
          <w:highlight w:val="none"/>
        </w:rPr>
        <w:t>合同期满或者履行完毕后，</w:t>
      </w:r>
      <w:r>
        <w:rPr>
          <w:rFonts w:ascii="新宋体" w:hAnsi="新宋体" w:eastAsia="新宋体" w:cs="新宋体"/>
          <w:color w:val="auto"/>
          <w:spacing w:val="-68"/>
          <w:sz w:val="24"/>
          <w:szCs w:val="24"/>
          <w:highlight w:val="none"/>
        </w:rPr>
        <w:t xml:space="preserve"> </w:t>
      </w:r>
      <w:r>
        <w:rPr>
          <w:rFonts w:ascii="新宋体" w:hAnsi="新宋体" w:eastAsia="新宋体" w:cs="新宋体"/>
          <w:color w:val="auto"/>
          <w:sz w:val="24"/>
          <w:szCs w:val="24"/>
          <w:highlight w:val="none"/>
        </w:rPr>
        <w:t>甲方有权组织（包括依法邀</w:t>
      </w:r>
      <w:r>
        <w:rPr>
          <w:rFonts w:ascii="新宋体" w:hAnsi="新宋体" w:eastAsia="新宋体" w:cs="新宋体"/>
          <w:color w:val="auto"/>
          <w:spacing w:val="-1"/>
          <w:sz w:val="24"/>
          <w:szCs w:val="24"/>
          <w:highlight w:val="none"/>
        </w:rPr>
        <w:t>请国家认可的质量检测机</w:t>
      </w:r>
      <w:r>
        <w:rPr>
          <w:rFonts w:ascii="新宋体" w:hAnsi="新宋体" w:eastAsia="新宋体" w:cs="新宋体"/>
          <w:color w:val="auto"/>
          <w:spacing w:val="-11"/>
          <w:sz w:val="24"/>
          <w:szCs w:val="24"/>
          <w:highlight w:val="none"/>
        </w:rPr>
        <w:t>构参加）对乙方履约的验收，即：按照合同约定的技术、服务、安全标准，组织对每一项技术、</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服务、安全标准的履约情况的验收，并出具验收书。</w:t>
      </w:r>
    </w:p>
    <w:p w14:paraId="60C68177">
      <w:pPr>
        <w:pStyle w:val="4"/>
        <w:spacing w:before="177" w:line="187" w:lineRule="auto"/>
        <w:ind w:left="476"/>
        <w:rPr>
          <w:b/>
          <w:bCs/>
          <w:color w:val="auto"/>
          <w:spacing w:val="-1"/>
          <w:sz w:val="24"/>
          <w:szCs w:val="24"/>
          <w:highlight w:val="none"/>
          <w:u w:val="single" w:color="auto"/>
        </w:rPr>
      </w:pPr>
      <w:r>
        <w:rPr>
          <w:rFonts w:ascii="新宋体" w:hAnsi="新宋体" w:eastAsia="新宋体" w:cs="新宋体"/>
          <w:color w:val="auto"/>
          <w:sz w:val="24"/>
          <w:szCs w:val="24"/>
          <w:highlight w:val="none"/>
        </w:rPr>
        <w:t>2.17.3 检验和验收标准、程序等具体内容以及前述验收</w:t>
      </w:r>
      <w:r>
        <w:rPr>
          <w:rFonts w:ascii="新宋体" w:hAnsi="新宋体" w:eastAsia="新宋体" w:cs="新宋体"/>
          <w:color w:val="auto"/>
          <w:spacing w:val="-1"/>
          <w:sz w:val="24"/>
          <w:szCs w:val="24"/>
          <w:highlight w:val="none"/>
        </w:rPr>
        <w:t>书的效力详见</w:t>
      </w:r>
      <w:r>
        <w:rPr>
          <w:b/>
          <w:bCs/>
          <w:color w:val="auto"/>
          <w:spacing w:val="-1"/>
          <w:sz w:val="24"/>
          <w:szCs w:val="24"/>
          <w:highlight w:val="none"/>
          <w:u w:val="single" w:color="auto"/>
        </w:rPr>
        <w:t>合同</w:t>
      </w:r>
    </w:p>
    <w:p w14:paraId="2B65350D">
      <w:pPr>
        <w:pStyle w:val="4"/>
        <w:spacing w:before="177" w:line="187" w:lineRule="auto"/>
        <w:rPr>
          <w:rFonts w:ascii="新宋体" w:hAnsi="新宋体" w:eastAsia="新宋体" w:cs="新宋体"/>
          <w:color w:val="auto"/>
          <w:sz w:val="24"/>
          <w:szCs w:val="24"/>
          <w:highlight w:val="none"/>
        </w:rPr>
      </w:pPr>
      <w:r>
        <w:rPr>
          <w:b/>
          <w:bCs/>
          <w:color w:val="auto"/>
          <w:spacing w:val="-1"/>
          <w:sz w:val="24"/>
          <w:szCs w:val="24"/>
          <w:highlight w:val="none"/>
          <w:u w:val="single" w:color="auto"/>
        </w:rPr>
        <w:t>专用条款</w:t>
      </w:r>
      <w:r>
        <w:rPr>
          <w:rFonts w:ascii="新宋体" w:hAnsi="新宋体" w:eastAsia="新宋体" w:cs="新宋体"/>
          <w:color w:val="auto"/>
          <w:spacing w:val="-1"/>
          <w:sz w:val="24"/>
          <w:szCs w:val="24"/>
          <w:highlight w:val="none"/>
        </w:rPr>
        <w:t>。</w:t>
      </w:r>
    </w:p>
    <w:p w14:paraId="5645AC87">
      <w:pPr>
        <w:pStyle w:val="4"/>
        <w:spacing w:before="146" w:line="188" w:lineRule="auto"/>
        <w:ind w:left="476"/>
        <w:rPr>
          <w:color w:val="auto"/>
          <w:sz w:val="24"/>
          <w:szCs w:val="24"/>
          <w:highlight w:val="none"/>
        </w:rPr>
      </w:pPr>
      <w:r>
        <w:rPr>
          <w:b/>
          <w:bCs/>
          <w:color w:val="auto"/>
          <w:spacing w:val="-6"/>
          <w:sz w:val="24"/>
          <w:szCs w:val="24"/>
          <w:highlight w:val="none"/>
        </w:rPr>
        <w:t>2.18  通知和送达</w:t>
      </w:r>
    </w:p>
    <w:p w14:paraId="6EF9EAFB">
      <w:pPr>
        <w:spacing w:before="146" w:line="325" w:lineRule="auto"/>
        <w:ind w:firstLine="475"/>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2.18.1 任何一方因履行合同而以合同第一</w:t>
      </w:r>
      <w:r>
        <w:rPr>
          <w:rFonts w:ascii="新宋体" w:hAnsi="新宋体" w:eastAsia="新宋体" w:cs="新宋体"/>
          <w:color w:val="auto"/>
          <w:spacing w:val="-2"/>
          <w:sz w:val="24"/>
          <w:szCs w:val="24"/>
          <w:highlight w:val="none"/>
        </w:rPr>
        <w:t>部分尾部所列明的</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97"/>
          <w:sz w:val="24"/>
          <w:szCs w:val="24"/>
          <w:highlight w:val="none"/>
        </w:rPr>
        <w:t xml:space="preserve"> </w:t>
      </w:r>
      <w:r>
        <w:rPr>
          <w:rFonts w:ascii="新宋体" w:hAnsi="新宋体" w:eastAsia="新宋体" w:cs="新宋体"/>
          <w:color w:val="auto"/>
          <w:spacing w:val="-2"/>
          <w:sz w:val="24"/>
          <w:szCs w:val="24"/>
          <w:highlight w:val="none"/>
        </w:rPr>
        <w:t>发出的所有通知、</w:t>
      </w:r>
      <w:r>
        <w:rPr>
          <w:rFonts w:ascii="新宋体" w:hAnsi="新宋体" w:eastAsia="新宋体" w:cs="新宋体"/>
          <w:color w:val="auto"/>
          <w:spacing w:val="9"/>
          <w:sz w:val="24"/>
          <w:szCs w:val="24"/>
          <w:highlight w:val="none"/>
        </w:rPr>
        <w:t>文件、材料，均视为已向对方当事人送达；任何一方变更上述送达方式或者地址的，应于</w:t>
      </w:r>
      <w:r>
        <w:rPr>
          <w:rFonts w:ascii="新宋体" w:hAnsi="新宋体" w:eastAsia="新宋体" w:cs="新宋体"/>
          <w:color w:val="auto"/>
          <w:spacing w:val="-3"/>
          <w:sz w:val="24"/>
          <w:szCs w:val="24"/>
          <w:highlight w:val="none"/>
        </w:rPr>
        <w:t>个工作日内书面通知对方当事人，在对方当事人收到有关变更通知之前，变更前的约定送达方</w:t>
      </w:r>
      <w:r>
        <w:rPr>
          <w:rFonts w:ascii="新宋体" w:hAnsi="新宋体" w:eastAsia="新宋体" w:cs="新宋体"/>
          <w:color w:val="auto"/>
          <w:spacing w:val="-4"/>
          <w:sz w:val="24"/>
          <w:szCs w:val="24"/>
          <w:highlight w:val="none"/>
        </w:rPr>
        <w:t>式或者地址仍视为有效。</w:t>
      </w:r>
    </w:p>
    <w:p w14:paraId="0B6D254F">
      <w:pPr>
        <w:spacing w:before="176" w:line="314" w:lineRule="auto"/>
        <w:ind w:left="6" w:right="182" w:firstLine="469"/>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2.18.2 以当面交付方式送达的，交付之时视为送达；以电子邮件方式送达的，发出电子</w:t>
      </w:r>
      <w:r>
        <w:rPr>
          <w:rFonts w:ascii="新宋体" w:hAnsi="新宋体" w:eastAsia="新宋体" w:cs="新宋体"/>
          <w:color w:val="auto"/>
          <w:spacing w:val="-3"/>
          <w:sz w:val="24"/>
          <w:szCs w:val="24"/>
          <w:highlight w:val="none"/>
        </w:rPr>
        <w:t>邮件之时视为送达；以传真方式送达的，发出传真之时视为送达；以邮寄方式送达的，邮件挂号寄出或者交邮之日之次日视为送达。</w:t>
      </w:r>
    </w:p>
    <w:p w14:paraId="5C208794">
      <w:pPr>
        <w:pStyle w:val="4"/>
        <w:spacing w:before="176" w:line="188" w:lineRule="auto"/>
        <w:ind w:left="476"/>
        <w:rPr>
          <w:color w:val="auto"/>
          <w:sz w:val="24"/>
          <w:szCs w:val="24"/>
          <w:highlight w:val="none"/>
        </w:rPr>
      </w:pPr>
      <w:r>
        <w:rPr>
          <w:b/>
          <w:bCs/>
          <w:color w:val="auto"/>
          <w:spacing w:val="-7"/>
          <w:sz w:val="24"/>
          <w:szCs w:val="24"/>
          <w:highlight w:val="none"/>
        </w:rPr>
        <w:t>2.19</w:t>
      </w:r>
      <w:r>
        <w:rPr>
          <w:b/>
          <w:bCs/>
          <w:color w:val="auto"/>
          <w:spacing w:val="64"/>
          <w:sz w:val="24"/>
          <w:szCs w:val="24"/>
          <w:highlight w:val="none"/>
        </w:rPr>
        <w:t xml:space="preserve"> </w:t>
      </w:r>
      <w:r>
        <w:rPr>
          <w:b/>
          <w:bCs/>
          <w:color w:val="auto"/>
          <w:spacing w:val="-7"/>
          <w:sz w:val="24"/>
          <w:szCs w:val="24"/>
          <w:highlight w:val="none"/>
        </w:rPr>
        <w:t>计量单位</w:t>
      </w:r>
    </w:p>
    <w:p w14:paraId="730C3960">
      <w:pPr>
        <w:spacing w:before="144" w:line="221" w:lineRule="auto"/>
        <w:ind w:left="49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除技术规范中另有规定外,合同的计量单位均使用国家法定计量单位。</w:t>
      </w:r>
    </w:p>
    <w:p w14:paraId="4CBB35A9">
      <w:pPr>
        <w:pStyle w:val="4"/>
        <w:spacing w:before="179" w:line="188" w:lineRule="auto"/>
        <w:ind w:left="476"/>
        <w:rPr>
          <w:color w:val="auto"/>
          <w:sz w:val="24"/>
          <w:szCs w:val="24"/>
          <w:highlight w:val="none"/>
        </w:rPr>
      </w:pPr>
      <w:r>
        <w:rPr>
          <w:b/>
          <w:bCs/>
          <w:color w:val="auto"/>
          <w:spacing w:val="-4"/>
          <w:sz w:val="24"/>
          <w:szCs w:val="24"/>
          <w:highlight w:val="none"/>
        </w:rPr>
        <w:t>2.20  合同使用的文字和适用的法律</w:t>
      </w:r>
    </w:p>
    <w:p w14:paraId="5BD30868">
      <w:pPr>
        <w:spacing w:before="145" w:line="223"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2.20.1 合同使用汉语书就、变更和解释；</w:t>
      </w:r>
    </w:p>
    <w:p w14:paraId="61CF4841">
      <w:pPr>
        <w:spacing w:before="176" w:line="224"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2.20.2 合同适用中华人民共和国法律。</w:t>
      </w:r>
    </w:p>
    <w:p w14:paraId="2000EB39">
      <w:pPr>
        <w:pStyle w:val="4"/>
        <w:spacing w:before="177" w:line="187" w:lineRule="auto"/>
        <w:ind w:left="476"/>
        <w:rPr>
          <w:color w:val="auto"/>
          <w:sz w:val="24"/>
          <w:szCs w:val="24"/>
          <w:highlight w:val="none"/>
        </w:rPr>
      </w:pPr>
      <w:r>
        <w:rPr>
          <w:b/>
          <w:bCs/>
          <w:color w:val="auto"/>
          <w:spacing w:val="-6"/>
          <w:sz w:val="24"/>
          <w:szCs w:val="24"/>
          <w:highlight w:val="none"/>
        </w:rPr>
        <w:t>2.21  履约保证金</w:t>
      </w:r>
    </w:p>
    <w:p w14:paraId="640D6A4B">
      <w:pPr>
        <w:pStyle w:val="4"/>
        <w:spacing w:before="147" w:line="316" w:lineRule="auto"/>
        <w:ind w:left="4" w:right="182" w:firstLine="471"/>
        <w:jc w:val="both"/>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2.21.1 采购文件要求乙方提交履约保证金的，乙方应按</w:t>
      </w:r>
      <w:r>
        <w:rPr>
          <w:b/>
          <w:bCs/>
          <w:color w:val="auto"/>
          <w:sz w:val="24"/>
          <w:szCs w:val="24"/>
          <w:highlight w:val="none"/>
          <w:u w:val="single" w:color="auto"/>
        </w:rPr>
        <w:t>合同专用条款</w:t>
      </w:r>
      <w:r>
        <w:rPr>
          <w:rFonts w:ascii="新宋体" w:hAnsi="新宋体" w:eastAsia="新宋体" w:cs="新宋体"/>
          <w:color w:val="auto"/>
          <w:sz w:val="24"/>
          <w:szCs w:val="24"/>
          <w:highlight w:val="none"/>
        </w:rPr>
        <w:t>约定的方式，以支</w:t>
      </w:r>
      <w:r>
        <w:rPr>
          <w:rFonts w:ascii="新宋体" w:hAnsi="新宋体" w:eastAsia="新宋体" w:cs="新宋体"/>
          <w:color w:val="auto"/>
          <w:spacing w:val="-6"/>
          <w:sz w:val="24"/>
          <w:szCs w:val="24"/>
          <w:highlight w:val="none"/>
        </w:rPr>
        <w:t>票、汇票、本票或者金融机构、担保机构出具的保函等非现金形</w:t>
      </w:r>
      <w:r>
        <w:rPr>
          <w:rFonts w:ascii="新宋体" w:hAnsi="新宋体" w:eastAsia="新宋体" w:cs="新宋体"/>
          <w:color w:val="auto"/>
          <w:spacing w:val="-7"/>
          <w:sz w:val="24"/>
          <w:szCs w:val="24"/>
          <w:highlight w:val="none"/>
        </w:rPr>
        <w:t>式，提交不超过合同价10%的</w:t>
      </w:r>
      <w:r>
        <w:rPr>
          <w:rFonts w:ascii="新宋体" w:hAnsi="新宋体" w:eastAsia="新宋体" w:cs="新宋体"/>
          <w:color w:val="auto"/>
          <w:spacing w:val="-11"/>
          <w:sz w:val="24"/>
          <w:szCs w:val="24"/>
          <w:highlight w:val="none"/>
        </w:rPr>
        <w:t>履约保证金；</w:t>
      </w:r>
    </w:p>
    <w:p w14:paraId="4575C97C">
      <w:pPr>
        <w:pStyle w:val="4"/>
        <w:spacing w:before="103" w:line="284" w:lineRule="auto"/>
        <w:ind w:firstLine="475"/>
        <w:rPr>
          <w:rFonts w:ascii="新宋体" w:hAnsi="新宋体" w:eastAsia="新宋体" w:cs="新宋体"/>
          <w:color w:val="auto"/>
          <w:sz w:val="24"/>
          <w:szCs w:val="24"/>
          <w:highlight w:val="none"/>
        </w:rPr>
      </w:pPr>
      <w:bookmarkStart w:id="46" w:name="bookmark13"/>
      <w:bookmarkEnd w:id="46"/>
      <w:r>
        <w:rPr>
          <w:rFonts w:ascii="新宋体" w:hAnsi="新宋体" w:eastAsia="新宋体" w:cs="新宋体"/>
          <w:color w:val="auto"/>
          <w:sz w:val="24"/>
          <w:szCs w:val="24"/>
          <w:highlight w:val="none"/>
        </w:rPr>
        <w:t>2.21.2  履约保证金在</w:t>
      </w:r>
      <w:r>
        <w:rPr>
          <w:b/>
          <w:bCs/>
          <w:color w:val="auto"/>
          <w:sz w:val="24"/>
          <w:szCs w:val="24"/>
          <w:highlight w:val="none"/>
          <w:u w:val="single" w:color="auto"/>
        </w:rPr>
        <w:t>合同专用条款</w:t>
      </w:r>
      <w:r>
        <w:rPr>
          <w:rFonts w:ascii="新宋体" w:hAnsi="新宋体" w:eastAsia="新宋体" w:cs="新宋体"/>
          <w:color w:val="auto"/>
          <w:sz w:val="24"/>
          <w:szCs w:val="24"/>
          <w:highlight w:val="none"/>
        </w:rPr>
        <w:t>约定期间内或者货物质</w:t>
      </w:r>
      <w:r>
        <w:rPr>
          <w:rFonts w:ascii="新宋体" w:hAnsi="新宋体" w:eastAsia="新宋体" w:cs="新宋体"/>
          <w:color w:val="auto"/>
          <w:spacing w:val="-1"/>
          <w:sz w:val="24"/>
          <w:szCs w:val="24"/>
          <w:highlight w:val="none"/>
        </w:rPr>
        <w:t>量保证期内不予退还或者应完全有效，前述约定期间届满或者货物质量保证期届满之日起</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95"/>
          <w:sz w:val="24"/>
          <w:szCs w:val="24"/>
          <w:highlight w:val="none"/>
        </w:rPr>
        <w:t xml:space="preserve"> </w:t>
      </w:r>
      <w:r>
        <w:rPr>
          <w:rFonts w:ascii="新宋体" w:hAnsi="新宋体" w:eastAsia="新宋体" w:cs="新宋体"/>
          <w:color w:val="auto"/>
          <w:spacing w:val="-1"/>
          <w:sz w:val="24"/>
          <w:szCs w:val="24"/>
          <w:highlight w:val="none"/>
        </w:rPr>
        <w:t>个工作日内，甲方应将履约保证</w:t>
      </w:r>
      <w:r>
        <w:rPr>
          <w:rFonts w:ascii="新宋体" w:hAnsi="新宋体" w:eastAsia="新宋体" w:cs="新宋体"/>
          <w:color w:val="auto"/>
          <w:spacing w:val="-10"/>
          <w:sz w:val="24"/>
          <w:szCs w:val="24"/>
          <w:highlight w:val="none"/>
        </w:rPr>
        <w:t>金退还乙方；</w:t>
      </w:r>
    </w:p>
    <w:p w14:paraId="76E5F183">
      <w:pPr>
        <w:spacing w:before="174" w:line="314" w:lineRule="auto"/>
        <w:ind w:right="101" w:firstLine="474"/>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2.21.3 如果乙方不履行合同，履约保证金不予退还；如果乙方未能按合同约定全面履行</w:t>
      </w:r>
      <w:r>
        <w:rPr>
          <w:rFonts w:ascii="新宋体" w:hAnsi="新宋体" w:eastAsia="新宋体" w:cs="新宋体"/>
          <w:color w:val="auto"/>
          <w:spacing w:val="-3"/>
          <w:sz w:val="24"/>
          <w:szCs w:val="24"/>
          <w:highlight w:val="none"/>
        </w:rPr>
        <w:t>义务，那么甲方有权从履约保证金中取得补偿或赔偿，同时不影响甲方要求乙方承担合同约定</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3"/>
          <w:sz w:val="24"/>
          <w:szCs w:val="24"/>
          <w:highlight w:val="none"/>
        </w:rPr>
        <w:t>的超过履约保证金的违约责任的权利。</w:t>
      </w:r>
    </w:p>
    <w:p w14:paraId="5EBFA454">
      <w:pPr>
        <w:pStyle w:val="4"/>
        <w:spacing w:before="176" w:line="188" w:lineRule="auto"/>
        <w:ind w:left="475"/>
        <w:rPr>
          <w:color w:val="auto"/>
          <w:sz w:val="24"/>
          <w:szCs w:val="24"/>
          <w:highlight w:val="none"/>
        </w:rPr>
      </w:pPr>
      <w:r>
        <w:rPr>
          <w:b/>
          <w:bCs/>
          <w:color w:val="auto"/>
          <w:spacing w:val="-7"/>
          <w:sz w:val="24"/>
          <w:szCs w:val="24"/>
          <w:highlight w:val="none"/>
        </w:rPr>
        <w:t>2.22  合同份数</w:t>
      </w:r>
    </w:p>
    <w:p w14:paraId="4FF035DC">
      <w:pPr>
        <w:pStyle w:val="4"/>
        <w:spacing w:before="143" w:line="187" w:lineRule="auto"/>
        <w:ind w:left="486"/>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合同份数按</w:t>
      </w:r>
      <w:r>
        <w:rPr>
          <w:b/>
          <w:bCs/>
          <w:color w:val="auto"/>
          <w:spacing w:val="-2"/>
          <w:sz w:val="24"/>
          <w:szCs w:val="24"/>
          <w:highlight w:val="none"/>
          <w:u w:val="single" w:color="auto"/>
        </w:rPr>
        <w:t>合同专用条款</w:t>
      </w:r>
      <w:r>
        <w:rPr>
          <w:rFonts w:ascii="新宋体" w:hAnsi="新宋体" w:eastAsia="新宋体" w:cs="新宋体"/>
          <w:color w:val="auto"/>
          <w:spacing w:val="-2"/>
          <w:sz w:val="24"/>
          <w:szCs w:val="24"/>
          <w:highlight w:val="none"/>
        </w:rPr>
        <w:t>规定，每份均具有同等法律效力。</w:t>
      </w:r>
    </w:p>
    <w:p w14:paraId="0ED087DD">
      <w:pPr>
        <w:spacing w:line="187" w:lineRule="auto"/>
        <w:rPr>
          <w:rFonts w:ascii="新宋体" w:hAnsi="新宋体" w:eastAsia="新宋体" w:cs="新宋体"/>
          <w:color w:val="auto"/>
          <w:sz w:val="24"/>
          <w:szCs w:val="24"/>
          <w:highlight w:val="none"/>
        </w:rPr>
        <w:sectPr>
          <w:footerReference r:id="rId15" w:type="default"/>
          <w:pgSz w:w="11905" w:h="16839"/>
          <w:pgMar w:top="1440" w:right="1800" w:bottom="1440" w:left="1800" w:header="0" w:footer="1090" w:gutter="0"/>
          <w:pgNumType w:fmt="decimal"/>
          <w:cols w:space="720" w:num="1"/>
        </w:sectPr>
      </w:pPr>
    </w:p>
    <w:p w14:paraId="57AB2FDE">
      <w:pPr>
        <w:spacing w:line="319" w:lineRule="auto"/>
        <w:rPr>
          <w:rFonts w:ascii="Arial"/>
          <w:color w:val="auto"/>
          <w:sz w:val="21"/>
          <w:highlight w:val="none"/>
        </w:rPr>
      </w:pPr>
    </w:p>
    <w:p w14:paraId="7E76555C">
      <w:pPr>
        <w:pStyle w:val="4"/>
        <w:spacing w:before="120" w:line="187" w:lineRule="auto"/>
        <w:jc w:val="center"/>
        <w:rPr>
          <w:color w:val="auto"/>
          <w:sz w:val="28"/>
          <w:szCs w:val="28"/>
          <w:highlight w:val="none"/>
        </w:rPr>
      </w:pPr>
      <w:r>
        <w:rPr>
          <w:b/>
          <w:bCs/>
          <w:color w:val="auto"/>
          <w:spacing w:val="-6"/>
          <w:sz w:val="28"/>
          <w:szCs w:val="28"/>
          <w:highlight w:val="none"/>
        </w:rPr>
        <w:t>第三部分</w:t>
      </w:r>
      <w:r>
        <w:rPr>
          <w:b/>
          <w:bCs/>
          <w:color w:val="auto"/>
          <w:spacing w:val="20"/>
          <w:w w:val="101"/>
          <w:sz w:val="28"/>
          <w:szCs w:val="28"/>
          <w:highlight w:val="none"/>
        </w:rPr>
        <w:t xml:space="preserve">   </w:t>
      </w:r>
      <w:r>
        <w:rPr>
          <w:b/>
          <w:bCs/>
          <w:color w:val="auto"/>
          <w:spacing w:val="-6"/>
          <w:sz w:val="28"/>
          <w:szCs w:val="28"/>
          <w:highlight w:val="none"/>
        </w:rPr>
        <w:t>合同专用条款</w:t>
      </w:r>
    </w:p>
    <w:p w14:paraId="53A2366B">
      <w:pPr>
        <w:spacing w:before="166" w:line="349" w:lineRule="auto"/>
        <w:ind w:firstLine="479"/>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本部分是对前两部分的补充和修改，如果前两部分和本部分的约定不一致，应以本部</w:t>
      </w:r>
      <w:r>
        <w:rPr>
          <w:rFonts w:ascii="新宋体" w:hAnsi="新宋体" w:eastAsia="新宋体" w:cs="新宋体"/>
          <w:color w:val="auto"/>
          <w:spacing w:val="-4"/>
          <w:sz w:val="24"/>
          <w:szCs w:val="24"/>
          <w:highlight w:val="none"/>
        </w:rPr>
        <w:t>分的</w:t>
      </w:r>
      <w:r>
        <w:rPr>
          <w:rFonts w:ascii="新宋体" w:hAnsi="新宋体" w:eastAsia="新宋体" w:cs="新宋体"/>
          <w:color w:val="auto"/>
          <w:spacing w:val="-3"/>
          <w:sz w:val="24"/>
          <w:szCs w:val="24"/>
          <w:highlight w:val="none"/>
        </w:rPr>
        <w:t>约定为准。本部分的条款号应与前两部分的条款号保持对应；与前两部分无对应关系的内容可</w:t>
      </w:r>
      <w:r>
        <w:rPr>
          <w:rFonts w:ascii="新宋体" w:hAnsi="新宋体" w:eastAsia="新宋体" w:cs="新宋体"/>
          <w:color w:val="auto"/>
          <w:spacing w:val="-6"/>
          <w:sz w:val="24"/>
          <w:szCs w:val="24"/>
          <w:highlight w:val="none"/>
        </w:rPr>
        <w:t>另行编制条款号。</w:t>
      </w:r>
    </w:p>
    <w:tbl>
      <w:tblPr>
        <w:tblStyle w:val="16"/>
        <w:tblW w:w="84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4"/>
        <w:gridCol w:w="7629"/>
      </w:tblGrid>
      <w:tr w14:paraId="6E2A9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804" w:type="dxa"/>
            <w:tcBorders>
              <w:left w:val="single" w:color="000000" w:sz="4" w:space="0"/>
            </w:tcBorders>
            <w:vAlign w:val="top"/>
          </w:tcPr>
          <w:p w14:paraId="5E29688B">
            <w:pPr>
              <w:spacing w:before="78" w:line="180" w:lineRule="auto"/>
              <w:ind w:left="54"/>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5"/>
                <w:sz w:val="24"/>
                <w:szCs w:val="24"/>
                <w:highlight w:val="none"/>
              </w:rPr>
              <w:t>条款号</w:t>
            </w:r>
          </w:p>
        </w:tc>
        <w:tc>
          <w:tcPr>
            <w:tcW w:w="7629" w:type="dxa"/>
            <w:vAlign w:val="top"/>
          </w:tcPr>
          <w:p w14:paraId="07B9764A">
            <w:pPr>
              <w:spacing w:before="78" w:line="180" w:lineRule="auto"/>
              <w:ind w:left="334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4"/>
                <w:sz w:val="24"/>
                <w:szCs w:val="24"/>
                <w:highlight w:val="none"/>
              </w:rPr>
              <w:t>约定内容</w:t>
            </w:r>
          </w:p>
        </w:tc>
      </w:tr>
      <w:tr w14:paraId="25152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804" w:type="dxa"/>
            <w:tcBorders>
              <w:left w:val="single" w:color="000000" w:sz="4" w:space="0"/>
            </w:tcBorders>
            <w:vAlign w:val="top"/>
          </w:tcPr>
          <w:p w14:paraId="75F8E301">
            <w:pPr>
              <w:rPr>
                <w:rFonts w:ascii="Arial"/>
                <w:color w:val="auto"/>
                <w:sz w:val="21"/>
                <w:highlight w:val="none"/>
              </w:rPr>
            </w:pPr>
          </w:p>
        </w:tc>
        <w:tc>
          <w:tcPr>
            <w:tcW w:w="7629" w:type="dxa"/>
            <w:vAlign w:val="top"/>
          </w:tcPr>
          <w:p w14:paraId="2A59CE53">
            <w:pPr>
              <w:rPr>
                <w:rFonts w:ascii="Arial"/>
                <w:color w:val="auto"/>
                <w:sz w:val="21"/>
                <w:highlight w:val="none"/>
              </w:rPr>
            </w:pPr>
          </w:p>
        </w:tc>
      </w:tr>
      <w:tr w14:paraId="7E861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804" w:type="dxa"/>
            <w:tcBorders>
              <w:left w:val="single" w:color="000000" w:sz="4" w:space="0"/>
            </w:tcBorders>
            <w:vAlign w:val="top"/>
          </w:tcPr>
          <w:p w14:paraId="52AF6536">
            <w:pPr>
              <w:rPr>
                <w:rFonts w:ascii="Arial"/>
                <w:color w:val="auto"/>
                <w:sz w:val="21"/>
                <w:highlight w:val="none"/>
              </w:rPr>
            </w:pPr>
          </w:p>
        </w:tc>
        <w:tc>
          <w:tcPr>
            <w:tcW w:w="7629" w:type="dxa"/>
            <w:vAlign w:val="top"/>
          </w:tcPr>
          <w:p w14:paraId="12A8BC48">
            <w:pPr>
              <w:rPr>
                <w:rFonts w:ascii="Arial"/>
                <w:color w:val="auto"/>
                <w:sz w:val="21"/>
                <w:highlight w:val="none"/>
              </w:rPr>
            </w:pPr>
          </w:p>
        </w:tc>
      </w:tr>
      <w:tr w14:paraId="5AD1A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804" w:type="dxa"/>
            <w:tcBorders>
              <w:left w:val="single" w:color="000000" w:sz="4" w:space="0"/>
            </w:tcBorders>
            <w:vAlign w:val="top"/>
          </w:tcPr>
          <w:p w14:paraId="308F24D3">
            <w:pPr>
              <w:rPr>
                <w:rFonts w:ascii="Arial"/>
                <w:color w:val="auto"/>
                <w:sz w:val="21"/>
                <w:highlight w:val="none"/>
              </w:rPr>
            </w:pPr>
          </w:p>
        </w:tc>
        <w:tc>
          <w:tcPr>
            <w:tcW w:w="7629" w:type="dxa"/>
            <w:vAlign w:val="top"/>
          </w:tcPr>
          <w:p w14:paraId="1DA2EDFF">
            <w:pPr>
              <w:rPr>
                <w:rFonts w:ascii="Arial"/>
                <w:color w:val="auto"/>
                <w:sz w:val="21"/>
                <w:highlight w:val="none"/>
              </w:rPr>
            </w:pPr>
          </w:p>
        </w:tc>
      </w:tr>
      <w:tr w14:paraId="40DFE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804" w:type="dxa"/>
            <w:tcBorders>
              <w:left w:val="single" w:color="000000" w:sz="4" w:space="0"/>
            </w:tcBorders>
            <w:vAlign w:val="top"/>
          </w:tcPr>
          <w:p w14:paraId="4E3B51BE">
            <w:pPr>
              <w:rPr>
                <w:rFonts w:ascii="Arial"/>
                <w:color w:val="auto"/>
                <w:sz w:val="21"/>
                <w:highlight w:val="none"/>
              </w:rPr>
            </w:pPr>
          </w:p>
        </w:tc>
        <w:tc>
          <w:tcPr>
            <w:tcW w:w="7629" w:type="dxa"/>
            <w:vAlign w:val="top"/>
          </w:tcPr>
          <w:p w14:paraId="10D9C38B">
            <w:pPr>
              <w:rPr>
                <w:rFonts w:ascii="Arial"/>
                <w:color w:val="auto"/>
                <w:sz w:val="21"/>
                <w:highlight w:val="none"/>
              </w:rPr>
            </w:pPr>
          </w:p>
        </w:tc>
      </w:tr>
      <w:tr w14:paraId="05026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804" w:type="dxa"/>
            <w:tcBorders>
              <w:left w:val="single" w:color="000000" w:sz="4" w:space="0"/>
            </w:tcBorders>
            <w:vAlign w:val="top"/>
          </w:tcPr>
          <w:p w14:paraId="05E5FA5C">
            <w:pPr>
              <w:rPr>
                <w:rFonts w:ascii="Arial"/>
                <w:color w:val="auto"/>
                <w:sz w:val="21"/>
                <w:highlight w:val="none"/>
              </w:rPr>
            </w:pPr>
          </w:p>
        </w:tc>
        <w:tc>
          <w:tcPr>
            <w:tcW w:w="7629" w:type="dxa"/>
            <w:vAlign w:val="top"/>
          </w:tcPr>
          <w:p w14:paraId="5E460F9A">
            <w:pPr>
              <w:rPr>
                <w:rFonts w:ascii="Arial"/>
                <w:color w:val="auto"/>
                <w:sz w:val="21"/>
                <w:highlight w:val="none"/>
              </w:rPr>
            </w:pPr>
          </w:p>
        </w:tc>
      </w:tr>
      <w:tr w14:paraId="2F5E3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804" w:type="dxa"/>
            <w:tcBorders>
              <w:left w:val="single" w:color="000000" w:sz="4" w:space="0"/>
            </w:tcBorders>
            <w:vAlign w:val="top"/>
          </w:tcPr>
          <w:p w14:paraId="40D5BCAA">
            <w:pPr>
              <w:rPr>
                <w:rFonts w:ascii="Arial"/>
                <w:color w:val="auto"/>
                <w:sz w:val="21"/>
                <w:highlight w:val="none"/>
              </w:rPr>
            </w:pPr>
          </w:p>
        </w:tc>
        <w:tc>
          <w:tcPr>
            <w:tcW w:w="7629" w:type="dxa"/>
            <w:vAlign w:val="top"/>
          </w:tcPr>
          <w:p w14:paraId="2C86478D">
            <w:pPr>
              <w:rPr>
                <w:rFonts w:ascii="Arial"/>
                <w:color w:val="auto"/>
                <w:sz w:val="21"/>
                <w:highlight w:val="none"/>
              </w:rPr>
            </w:pPr>
          </w:p>
        </w:tc>
      </w:tr>
      <w:tr w14:paraId="57277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804" w:type="dxa"/>
            <w:tcBorders>
              <w:left w:val="single" w:color="000000" w:sz="4" w:space="0"/>
            </w:tcBorders>
            <w:vAlign w:val="top"/>
          </w:tcPr>
          <w:p w14:paraId="7DA0FE7F">
            <w:pPr>
              <w:rPr>
                <w:rFonts w:ascii="Arial"/>
                <w:color w:val="auto"/>
                <w:sz w:val="21"/>
                <w:highlight w:val="none"/>
              </w:rPr>
            </w:pPr>
          </w:p>
        </w:tc>
        <w:tc>
          <w:tcPr>
            <w:tcW w:w="7629" w:type="dxa"/>
            <w:vAlign w:val="top"/>
          </w:tcPr>
          <w:p w14:paraId="7D82853C">
            <w:pPr>
              <w:rPr>
                <w:rFonts w:ascii="Arial"/>
                <w:color w:val="auto"/>
                <w:sz w:val="21"/>
                <w:highlight w:val="none"/>
              </w:rPr>
            </w:pPr>
          </w:p>
        </w:tc>
      </w:tr>
      <w:tr w14:paraId="2505A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804" w:type="dxa"/>
            <w:tcBorders>
              <w:left w:val="single" w:color="000000" w:sz="4" w:space="0"/>
            </w:tcBorders>
            <w:vAlign w:val="top"/>
          </w:tcPr>
          <w:p w14:paraId="467DB557">
            <w:pPr>
              <w:rPr>
                <w:rFonts w:ascii="Arial"/>
                <w:color w:val="auto"/>
                <w:sz w:val="21"/>
                <w:highlight w:val="none"/>
              </w:rPr>
            </w:pPr>
          </w:p>
        </w:tc>
        <w:tc>
          <w:tcPr>
            <w:tcW w:w="7629" w:type="dxa"/>
            <w:vAlign w:val="top"/>
          </w:tcPr>
          <w:p w14:paraId="2D36D8DB">
            <w:pPr>
              <w:rPr>
                <w:rFonts w:ascii="Arial"/>
                <w:color w:val="auto"/>
                <w:sz w:val="21"/>
                <w:highlight w:val="none"/>
              </w:rPr>
            </w:pPr>
          </w:p>
        </w:tc>
      </w:tr>
      <w:tr w14:paraId="5F772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804" w:type="dxa"/>
            <w:tcBorders>
              <w:left w:val="single" w:color="000000" w:sz="4" w:space="0"/>
            </w:tcBorders>
            <w:vAlign w:val="top"/>
          </w:tcPr>
          <w:p w14:paraId="3B73262C">
            <w:pPr>
              <w:rPr>
                <w:rFonts w:ascii="Arial"/>
                <w:color w:val="auto"/>
                <w:sz w:val="21"/>
                <w:highlight w:val="none"/>
              </w:rPr>
            </w:pPr>
          </w:p>
        </w:tc>
        <w:tc>
          <w:tcPr>
            <w:tcW w:w="7629" w:type="dxa"/>
            <w:vAlign w:val="top"/>
          </w:tcPr>
          <w:p w14:paraId="474905BC">
            <w:pPr>
              <w:rPr>
                <w:rFonts w:ascii="Arial"/>
                <w:color w:val="auto"/>
                <w:sz w:val="21"/>
                <w:highlight w:val="none"/>
              </w:rPr>
            </w:pPr>
          </w:p>
        </w:tc>
      </w:tr>
      <w:tr w14:paraId="45386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804" w:type="dxa"/>
            <w:tcBorders>
              <w:left w:val="single" w:color="000000" w:sz="4" w:space="0"/>
            </w:tcBorders>
            <w:vAlign w:val="top"/>
          </w:tcPr>
          <w:p w14:paraId="19985B1D">
            <w:pPr>
              <w:rPr>
                <w:rFonts w:ascii="Arial"/>
                <w:color w:val="auto"/>
                <w:sz w:val="21"/>
                <w:highlight w:val="none"/>
              </w:rPr>
            </w:pPr>
          </w:p>
        </w:tc>
        <w:tc>
          <w:tcPr>
            <w:tcW w:w="7629" w:type="dxa"/>
            <w:vAlign w:val="top"/>
          </w:tcPr>
          <w:p w14:paraId="39694235">
            <w:pPr>
              <w:rPr>
                <w:rFonts w:ascii="Arial"/>
                <w:color w:val="auto"/>
                <w:sz w:val="21"/>
                <w:highlight w:val="none"/>
              </w:rPr>
            </w:pPr>
          </w:p>
        </w:tc>
      </w:tr>
      <w:tr w14:paraId="013B1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804" w:type="dxa"/>
            <w:tcBorders>
              <w:left w:val="single" w:color="000000" w:sz="4" w:space="0"/>
            </w:tcBorders>
            <w:vAlign w:val="top"/>
          </w:tcPr>
          <w:p w14:paraId="7FBC2826">
            <w:pPr>
              <w:rPr>
                <w:rFonts w:ascii="Arial"/>
                <w:color w:val="auto"/>
                <w:sz w:val="21"/>
                <w:highlight w:val="none"/>
              </w:rPr>
            </w:pPr>
          </w:p>
        </w:tc>
        <w:tc>
          <w:tcPr>
            <w:tcW w:w="7629" w:type="dxa"/>
            <w:vAlign w:val="top"/>
          </w:tcPr>
          <w:p w14:paraId="175802D8">
            <w:pPr>
              <w:rPr>
                <w:rFonts w:ascii="Arial"/>
                <w:color w:val="auto"/>
                <w:sz w:val="21"/>
                <w:highlight w:val="none"/>
              </w:rPr>
            </w:pPr>
          </w:p>
        </w:tc>
      </w:tr>
      <w:tr w14:paraId="3934C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jc w:val="center"/>
        </w:trPr>
        <w:tc>
          <w:tcPr>
            <w:tcW w:w="804" w:type="dxa"/>
            <w:tcBorders>
              <w:left w:val="single" w:color="000000" w:sz="4" w:space="0"/>
            </w:tcBorders>
            <w:vAlign w:val="top"/>
          </w:tcPr>
          <w:p w14:paraId="27E20DB6">
            <w:pPr>
              <w:rPr>
                <w:rFonts w:ascii="Arial"/>
                <w:color w:val="auto"/>
                <w:sz w:val="21"/>
                <w:highlight w:val="none"/>
              </w:rPr>
            </w:pPr>
          </w:p>
        </w:tc>
        <w:tc>
          <w:tcPr>
            <w:tcW w:w="7629" w:type="dxa"/>
            <w:vAlign w:val="top"/>
          </w:tcPr>
          <w:p w14:paraId="0076C218">
            <w:pPr>
              <w:rPr>
                <w:rFonts w:ascii="Arial"/>
                <w:color w:val="auto"/>
                <w:sz w:val="21"/>
                <w:highlight w:val="none"/>
              </w:rPr>
            </w:pPr>
          </w:p>
        </w:tc>
      </w:tr>
    </w:tbl>
    <w:p w14:paraId="6CEA6557">
      <w:pPr>
        <w:rPr>
          <w:rFonts w:ascii="Arial"/>
          <w:color w:val="auto"/>
          <w:sz w:val="21"/>
          <w:highlight w:val="none"/>
        </w:rPr>
      </w:pPr>
    </w:p>
    <w:p w14:paraId="1BF7A9F0">
      <w:pPr>
        <w:rPr>
          <w:rFonts w:ascii="Arial" w:hAnsi="Arial" w:eastAsia="Arial" w:cs="Arial"/>
          <w:color w:val="auto"/>
          <w:sz w:val="21"/>
          <w:szCs w:val="21"/>
          <w:highlight w:val="none"/>
        </w:rPr>
        <w:sectPr>
          <w:footerReference r:id="rId16" w:type="default"/>
          <w:pgSz w:w="11905" w:h="16839"/>
          <w:pgMar w:top="1440" w:right="1800" w:bottom="1440" w:left="1800" w:header="0" w:footer="1090" w:gutter="0"/>
          <w:pgNumType w:fmt="decimal"/>
          <w:cols w:space="720" w:num="1"/>
        </w:sectPr>
      </w:pPr>
    </w:p>
    <w:p w14:paraId="6F89B7B7">
      <w:pPr>
        <w:spacing w:line="255" w:lineRule="auto"/>
        <w:rPr>
          <w:rFonts w:ascii="Arial"/>
          <w:color w:val="auto"/>
          <w:sz w:val="21"/>
          <w:highlight w:val="none"/>
        </w:rPr>
      </w:pPr>
    </w:p>
    <w:p w14:paraId="66421D0E">
      <w:pPr>
        <w:spacing w:line="256" w:lineRule="auto"/>
        <w:rPr>
          <w:rFonts w:ascii="Arial"/>
          <w:color w:val="auto"/>
          <w:sz w:val="21"/>
          <w:highlight w:val="none"/>
        </w:rPr>
      </w:pPr>
    </w:p>
    <w:p w14:paraId="3AAF6D30">
      <w:pPr>
        <w:spacing w:line="256" w:lineRule="auto"/>
        <w:rPr>
          <w:rFonts w:ascii="Arial"/>
          <w:color w:val="auto"/>
          <w:sz w:val="21"/>
          <w:highlight w:val="none"/>
        </w:rPr>
      </w:pPr>
    </w:p>
    <w:p w14:paraId="29C45427">
      <w:pPr>
        <w:pStyle w:val="4"/>
        <w:spacing w:before="129" w:line="188" w:lineRule="auto"/>
        <w:ind w:left="2824"/>
        <w:outlineLvl w:val="0"/>
        <w:rPr>
          <w:color w:val="auto"/>
          <w:sz w:val="30"/>
          <w:szCs w:val="30"/>
          <w:highlight w:val="none"/>
        </w:rPr>
      </w:pPr>
      <w:bookmarkStart w:id="47" w:name="bookmark8"/>
      <w:bookmarkEnd w:id="47"/>
      <w:bookmarkStart w:id="48" w:name="_Toc12478"/>
      <w:r>
        <w:rPr>
          <w:b/>
          <w:bCs/>
          <w:color w:val="auto"/>
          <w:spacing w:val="-6"/>
          <w:sz w:val="30"/>
          <w:szCs w:val="30"/>
          <w:highlight w:val="none"/>
        </w:rPr>
        <w:t>第六章</w:t>
      </w:r>
      <w:r>
        <w:rPr>
          <w:b/>
          <w:bCs/>
          <w:color w:val="auto"/>
          <w:spacing w:val="18"/>
          <w:sz w:val="30"/>
          <w:szCs w:val="30"/>
          <w:highlight w:val="none"/>
        </w:rPr>
        <w:t xml:space="preserve">   </w:t>
      </w:r>
      <w:r>
        <w:rPr>
          <w:b/>
          <w:bCs/>
          <w:color w:val="auto"/>
          <w:spacing w:val="-6"/>
          <w:sz w:val="30"/>
          <w:szCs w:val="30"/>
          <w:highlight w:val="none"/>
        </w:rPr>
        <w:t>投标文件格式</w:t>
      </w:r>
      <w:bookmarkEnd w:id="48"/>
    </w:p>
    <w:p w14:paraId="67BE60E6">
      <w:pPr>
        <w:spacing w:line="312" w:lineRule="auto"/>
        <w:rPr>
          <w:rFonts w:ascii="Arial"/>
          <w:color w:val="auto"/>
          <w:sz w:val="21"/>
          <w:highlight w:val="none"/>
        </w:rPr>
      </w:pPr>
    </w:p>
    <w:p w14:paraId="706C998C">
      <w:pPr>
        <w:spacing w:line="313" w:lineRule="auto"/>
        <w:rPr>
          <w:rFonts w:ascii="Arial"/>
          <w:color w:val="auto"/>
          <w:sz w:val="21"/>
          <w:highlight w:val="none"/>
        </w:rPr>
      </w:pPr>
    </w:p>
    <w:p w14:paraId="3D9F0C3C">
      <w:pPr>
        <w:spacing w:line="313" w:lineRule="auto"/>
        <w:rPr>
          <w:rFonts w:ascii="Arial"/>
          <w:color w:val="auto"/>
          <w:sz w:val="21"/>
          <w:highlight w:val="none"/>
        </w:rPr>
      </w:pPr>
    </w:p>
    <w:p w14:paraId="19FCEFE7">
      <w:pPr>
        <w:pStyle w:val="4"/>
        <w:spacing w:line="240" w:lineRule="auto"/>
        <w:ind w:left="0" w:right="0" w:firstLine="0"/>
        <w:jc w:val="center"/>
        <w:rPr>
          <w:color w:val="auto"/>
          <w:spacing w:val="9"/>
          <w:sz w:val="48"/>
          <w:szCs w:val="48"/>
          <w:highlight w:val="none"/>
        </w:rPr>
      </w:pPr>
      <w:r>
        <w:rPr>
          <w:color w:val="auto"/>
          <w:spacing w:val="9"/>
          <w:sz w:val="48"/>
          <w:szCs w:val="48"/>
          <w:highlight w:val="none"/>
        </w:rPr>
        <w:t>(项目名称)</w:t>
      </w:r>
    </w:p>
    <w:p w14:paraId="58CA3BA7">
      <w:pPr>
        <w:pStyle w:val="4"/>
        <w:spacing w:line="240" w:lineRule="auto"/>
        <w:ind w:left="0" w:right="0" w:firstLine="0"/>
        <w:jc w:val="center"/>
        <w:rPr>
          <w:color w:val="auto"/>
          <w:highlight w:val="none"/>
        </w:rPr>
      </w:pPr>
      <w:r>
        <w:rPr>
          <w:color w:val="auto"/>
          <w:spacing w:val="-16"/>
          <w:highlight w:val="none"/>
        </w:rPr>
        <w:t>项目编码：</w:t>
      </w:r>
    </w:p>
    <w:p w14:paraId="19823EAF">
      <w:pPr>
        <w:spacing w:line="242" w:lineRule="auto"/>
        <w:rPr>
          <w:rFonts w:ascii="Arial"/>
          <w:color w:val="auto"/>
          <w:sz w:val="21"/>
          <w:highlight w:val="none"/>
        </w:rPr>
      </w:pPr>
    </w:p>
    <w:p w14:paraId="32332EC3">
      <w:pPr>
        <w:spacing w:line="242" w:lineRule="auto"/>
        <w:rPr>
          <w:rFonts w:ascii="Arial"/>
          <w:color w:val="auto"/>
          <w:sz w:val="21"/>
          <w:highlight w:val="none"/>
        </w:rPr>
      </w:pPr>
    </w:p>
    <w:p w14:paraId="5DCB7921">
      <w:pPr>
        <w:spacing w:line="242" w:lineRule="auto"/>
        <w:rPr>
          <w:rFonts w:ascii="Arial"/>
          <w:color w:val="auto"/>
          <w:sz w:val="21"/>
          <w:highlight w:val="none"/>
        </w:rPr>
      </w:pPr>
    </w:p>
    <w:p w14:paraId="405B157F">
      <w:pPr>
        <w:spacing w:line="242" w:lineRule="auto"/>
        <w:rPr>
          <w:rFonts w:ascii="Arial"/>
          <w:color w:val="auto"/>
          <w:sz w:val="21"/>
          <w:highlight w:val="none"/>
        </w:rPr>
      </w:pPr>
    </w:p>
    <w:p w14:paraId="6B3E4FE7">
      <w:pPr>
        <w:spacing w:line="243" w:lineRule="auto"/>
        <w:rPr>
          <w:rFonts w:ascii="Arial"/>
          <w:color w:val="auto"/>
          <w:sz w:val="21"/>
          <w:highlight w:val="none"/>
        </w:rPr>
      </w:pPr>
      <w:r>
        <w:rPr>
          <w:color w:val="auto"/>
          <w:highlight w:val="none"/>
        </w:rPr>
        <w:pict>
          <v:shape id="_x0000_s1026" o:spid="_x0000_s1026" o:spt="202" type="#_x0000_t202" style="position:absolute;left:0pt;margin-left:185.55pt;margin-top:1.3pt;height:248.95pt;width:48.05pt;z-index:251660288;mso-width-relative:page;mso-height-relative:page;" filled="f" stroked="f" coordsize="21600,21600">
            <v:path/>
            <v:fill on="f" focussize="0,0"/>
            <v:stroke on="f"/>
            <v:imagedata o:title=""/>
            <o:lock v:ext="edit" aspectratio="f"/>
            <v:textbox inset="0mm,0mm,0mm,0mm" style="layout-flow:vertical-ideographic;">
              <w:txbxContent>
                <w:p w14:paraId="34D4F1F6">
                  <w:pPr>
                    <w:pStyle w:val="4"/>
                    <w:spacing w:before="18" w:line="174" w:lineRule="auto"/>
                    <w:ind w:left="20"/>
                    <w:rPr>
                      <w:sz w:val="72"/>
                      <w:szCs w:val="72"/>
                    </w:rPr>
                  </w:pPr>
                  <w:r>
                    <w:rPr>
                      <w:spacing w:val="10"/>
                      <w:sz w:val="72"/>
                      <w:szCs w:val="72"/>
                    </w:rPr>
                    <w:t>投   标   文   件</w:t>
                  </w:r>
                </w:p>
              </w:txbxContent>
            </v:textbox>
          </v:shape>
        </w:pict>
      </w:r>
    </w:p>
    <w:p w14:paraId="26C7C950">
      <w:pPr>
        <w:spacing w:line="243" w:lineRule="auto"/>
        <w:rPr>
          <w:rFonts w:ascii="Arial"/>
          <w:color w:val="auto"/>
          <w:sz w:val="21"/>
          <w:highlight w:val="none"/>
        </w:rPr>
      </w:pPr>
    </w:p>
    <w:p w14:paraId="233698CA">
      <w:pPr>
        <w:spacing w:line="243" w:lineRule="auto"/>
        <w:rPr>
          <w:rFonts w:ascii="Arial"/>
          <w:color w:val="auto"/>
          <w:sz w:val="21"/>
          <w:highlight w:val="none"/>
        </w:rPr>
      </w:pPr>
    </w:p>
    <w:p w14:paraId="1224AE41">
      <w:pPr>
        <w:spacing w:line="243" w:lineRule="auto"/>
        <w:rPr>
          <w:rFonts w:ascii="Arial"/>
          <w:color w:val="auto"/>
          <w:sz w:val="21"/>
          <w:highlight w:val="none"/>
        </w:rPr>
      </w:pPr>
    </w:p>
    <w:p w14:paraId="35B0AA21">
      <w:pPr>
        <w:spacing w:line="243" w:lineRule="auto"/>
        <w:rPr>
          <w:rFonts w:ascii="Arial"/>
          <w:color w:val="auto"/>
          <w:sz w:val="21"/>
          <w:highlight w:val="none"/>
        </w:rPr>
      </w:pPr>
    </w:p>
    <w:p w14:paraId="42798300">
      <w:pPr>
        <w:spacing w:line="243" w:lineRule="auto"/>
        <w:rPr>
          <w:rFonts w:ascii="Arial"/>
          <w:color w:val="auto"/>
          <w:sz w:val="21"/>
          <w:highlight w:val="none"/>
        </w:rPr>
      </w:pPr>
    </w:p>
    <w:p w14:paraId="7CB18917">
      <w:pPr>
        <w:spacing w:line="243" w:lineRule="auto"/>
        <w:rPr>
          <w:rFonts w:ascii="Arial"/>
          <w:color w:val="auto"/>
          <w:sz w:val="21"/>
          <w:highlight w:val="none"/>
        </w:rPr>
      </w:pPr>
    </w:p>
    <w:p w14:paraId="473F569C">
      <w:pPr>
        <w:spacing w:line="243" w:lineRule="auto"/>
        <w:rPr>
          <w:rFonts w:ascii="Arial"/>
          <w:color w:val="auto"/>
          <w:sz w:val="21"/>
          <w:highlight w:val="none"/>
        </w:rPr>
      </w:pPr>
    </w:p>
    <w:p w14:paraId="1A4B33AF">
      <w:pPr>
        <w:spacing w:line="243" w:lineRule="auto"/>
        <w:rPr>
          <w:rFonts w:ascii="Arial"/>
          <w:color w:val="auto"/>
          <w:sz w:val="21"/>
          <w:highlight w:val="none"/>
        </w:rPr>
      </w:pPr>
    </w:p>
    <w:p w14:paraId="25DBBA34">
      <w:pPr>
        <w:spacing w:line="243" w:lineRule="auto"/>
        <w:rPr>
          <w:rFonts w:ascii="Arial"/>
          <w:color w:val="auto"/>
          <w:sz w:val="21"/>
          <w:highlight w:val="none"/>
        </w:rPr>
      </w:pPr>
    </w:p>
    <w:p w14:paraId="1275A044">
      <w:pPr>
        <w:spacing w:line="243" w:lineRule="auto"/>
        <w:rPr>
          <w:rFonts w:ascii="Arial"/>
          <w:color w:val="auto"/>
          <w:sz w:val="21"/>
          <w:highlight w:val="none"/>
        </w:rPr>
      </w:pPr>
    </w:p>
    <w:p w14:paraId="2D8F5E07">
      <w:pPr>
        <w:spacing w:line="243" w:lineRule="auto"/>
        <w:rPr>
          <w:rFonts w:ascii="Arial"/>
          <w:color w:val="auto"/>
          <w:sz w:val="21"/>
          <w:highlight w:val="none"/>
        </w:rPr>
      </w:pPr>
    </w:p>
    <w:p w14:paraId="711FFF84">
      <w:pPr>
        <w:spacing w:line="243" w:lineRule="auto"/>
        <w:rPr>
          <w:rFonts w:ascii="Arial"/>
          <w:color w:val="auto"/>
          <w:sz w:val="21"/>
          <w:highlight w:val="none"/>
        </w:rPr>
      </w:pPr>
    </w:p>
    <w:p w14:paraId="6B719041">
      <w:pPr>
        <w:spacing w:line="243" w:lineRule="auto"/>
        <w:rPr>
          <w:rFonts w:ascii="Arial"/>
          <w:color w:val="auto"/>
          <w:sz w:val="21"/>
          <w:highlight w:val="none"/>
        </w:rPr>
      </w:pPr>
    </w:p>
    <w:p w14:paraId="2E1E151C">
      <w:pPr>
        <w:spacing w:line="243" w:lineRule="auto"/>
        <w:rPr>
          <w:rFonts w:ascii="Arial"/>
          <w:color w:val="auto"/>
          <w:sz w:val="21"/>
          <w:highlight w:val="none"/>
        </w:rPr>
      </w:pPr>
    </w:p>
    <w:p w14:paraId="5AAC6FE2">
      <w:pPr>
        <w:spacing w:line="243" w:lineRule="auto"/>
        <w:rPr>
          <w:rFonts w:ascii="Arial"/>
          <w:color w:val="auto"/>
          <w:sz w:val="21"/>
          <w:highlight w:val="none"/>
        </w:rPr>
      </w:pPr>
    </w:p>
    <w:p w14:paraId="55295C28">
      <w:pPr>
        <w:spacing w:line="243" w:lineRule="auto"/>
        <w:rPr>
          <w:rFonts w:ascii="Arial"/>
          <w:color w:val="auto"/>
          <w:sz w:val="21"/>
          <w:highlight w:val="none"/>
        </w:rPr>
      </w:pPr>
    </w:p>
    <w:p w14:paraId="2E8107DE">
      <w:pPr>
        <w:spacing w:line="243" w:lineRule="auto"/>
        <w:rPr>
          <w:rFonts w:ascii="Arial"/>
          <w:color w:val="auto"/>
          <w:sz w:val="21"/>
          <w:highlight w:val="none"/>
        </w:rPr>
      </w:pPr>
    </w:p>
    <w:p w14:paraId="49B4BE45">
      <w:pPr>
        <w:spacing w:line="243" w:lineRule="auto"/>
        <w:rPr>
          <w:rFonts w:ascii="Arial"/>
          <w:color w:val="auto"/>
          <w:sz w:val="21"/>
          <w:highlight w:val="none"/>
        </w:rPr>
      </w:pPr>
    </w:p>
    <w:p w14:paraId="5F981609">
      <w:pPr>
        <w:spacing w:line="243" w:lineRule="auto"/>
        <w:rPr>
          <w:rFonts w:ascii="Arial"/>
          <w:color w:val="auto"/>
          <w:sz w:val="21"/>
          <w:highlight w:val="none"/>
        </w:rPr>
      </w:pPr>
    </w:p>
    <w:p w14:paraId="52EFB03B">
      <w:pPr>
        <w:spacing w:line="243" w:lineRule="auto"/>
        <w:rPr>
          <w:rFonts w:ascii="Arial"/>
          <w:color w:val="auto"/>
          <w:sz w:val="21"/>
          <w:highlight w:val="none"/>
        </w:rPr>
      </w:pPr>
    </w:p>
    <w:p w14:paraId="56796889">
      <w:pPr>
        <w:spacing w:line="243" w:lineRule="auto"/>
        <w:rPr>
          <w:rFonts w:ascii="Arial"/>
          <w:color w:val="auto"/>
          <w:sz w:val="21"/>
          <w:highlight w:val="none"/>
        </w:rPr>
      </w:pPr>
    </w:p>
    <w:p w14:paraId="4A8531A8">
      <w:pPr>
        <w:spacing w:line="243" w:lineRule="auto"/>
        <w:rPr>
          <w:rFonts w:ascii="Arial"/>
          <w:color w:val="auto"/>
          <w:sz w:val="21"/>
          <w:highlight w:val="none"/>
        </w:rPr>
      </w:pPr>
    </w:p>
    <w:p w14:paraId="6B33B42F">
      <w:pPr>
        <w:pStyle w:val="4"/>
        <w:spacing w:before="120" w:line="279" w:lineRule="auto"/>
        <w:rPr>
          <w:color w:val="auto"/>
          <w:sz w:val="28"/>
          <w:szCs w:val="28"/>
          <w:highlight w:val="none"/>
        </w:rPr>
      </w:pPr>
      <w:r>
        <w:rPr>
          <w:color w:val="auto"/>
          <w:spacing w:val="-3"/>
          <w:sz w:val="28"/>
          <w:szCs w:val="28"/>
          <w:highlight w:val="none"/>
        </w:rPr>
        <w:t>投标单位名称</w:t>
      </w:r>
      <w:r>
        <w:rPr>
          <w:color w:val="auto"/>
          <w:sz w:val="28"/>
          <w:szCs w:val="28"/>
          <w:highlight w:val="none"/>
        </w:rPr>
        <w:t>：</w:t>
      </w:r>
      <w:r>
        <w:rPr>
          <w:color w:val="auto"/>
          <w:spacing w:val="1"/>
          <w:sz w:val="28"/>
          <w:szCs w:val="28"/>
          <w:highlight w:val="none"/>
          <w:u w:val="single" w:color="auto"/>
        </w:rPr>
        <w:t xml:space="preserve">                                      </w:t>
      </w:r>
      <w:r>
        <w:rPr>
          <w:color w:val="auto"/>
          <w:sz w:val="28"/>
          <w:szCs w:val="28"/>
          <w:highlight w:val="none"/>
          <w:u w:val="single" w:color="auto"/>
        </w:rPr>
        <w:t xml:space="preserve">           </w:t>
      </w:r>
      <w:r>
        <w:rPr>
          <w:color w:val="auto"/>
          <w:sz w:val="28"/>
          <w:szCs w:val="28"/>
          <w:highlight w:val="none"/>
        </w:rPr>
        <w:t>（</w:t>
      </w:r>
      <w:r>
        <w:rPr>
          <w:color w:val="auto"/>
          <w:spacing w:val="-3"/>
          <w:sz w:val="28"/>
          <w:szCs w:val="28"/>
          <w:highlight w:val="none"/>
        </w:rPr>
        <w:t>加盖单位公章）</w:t>
      </w:r>
      <w:r>
        <w:rPr>
          <w:color w:val="auto"/>
          <w:spacing w:val="1"/>
          <w:sz w:val="28"/>
          <w:szCs w:val="28"/>
          <w:highlight w:val="none"/>
        </w:rPr>
        <w:t xml:space="preserve"> </w:t>
      </w:r>
      <w:r>
        <w:rPr>
          <w:color w:val="auto"/>
          <w:spacing w:val="-1"/>
          <w:sz w:val="28"/>
          <w:szCs w:val="28"/>
          <w:highlight w:val="none"/>
        </w:rPr>
        <w:t>投标单位地址：</w:t>
      </w:r>
      <w:r>
        <w:rPr>
          <w:color w:val="auto"/>
          <w:spacing w:val="-1"/>
          <w:sz w:val="28"/>
          <w:szCs w:val="28"/>
          <w:highlight w:val="none"/>
          <w:u w:val="single" w:color="auto"/>
        </w:rPr>
        <w:t xml:space="preserve">                                                          </w:t>
      </w:r>
    </w:p>
    <w:p w14:paraId="5C867D5D">
      <w:pPr>
        <w:pStyle w:val="4"/>
        <w:spacing w:before="3" w:line="279" w:lineRule="auto"/>
        <w:ind w:right="2221" w:firstLine="9"/>
        <w:rPr>
          <w:color w:val="auto"/>
          <w:sz w:val="28"/>
          <w:szCs w:val="28"/>
          <w:highlight w:val="none"/>
        </w:rPr>
      </w:pPr>
      <w:r>
        <w:rPr>
          <w:color w:val="auto"/>
          <w:spacing w:val="-2"/>
          <w:sz w:val="28"/>
          <w:szCs w:val="28"/>
          <w:highlight w:val="none"/>
        </w:rPr>
        <w:t>法人或法人授权代表（签字或盖章</w:t>
      </w:r>
      <w:r>
        <w:rPr>
          <w:color w:val="auto"/>
          <w:sz w:val="28"/>
          <w:szCs w:val="28"/>
          <w:highlight w:val="none"/>
        </w:rPr>
        <w:t>）：</w:t>
      </w:r>
      <w:r>
        <w:rPr>
          <w:color w:val="auto"/>
          <w:spacing w:val="2"/>
          <w:sz w:val="28"/>
          <w:szCs w:val="28"/>
          <w:highlight w:val="none"/>
          <w:u w:val="single" w:color="auto"/>
        </w:rPr>
        <w:t xml:space="preserve">                       </w:t>
      </w:r>
      <w:r>
        <w:rPr>
          <w:color w:val="auto"/>
          <w:spacing w:val="9"/>
          <w:sz w:val="28"/>
          <w:szCs w:val="28"/>
          <w:highlight w:val="none"/>
        </w:rPr>
        <w:t xml:space="preserve"> </w:t>
      </w:r>
      <w:r>
        <w:rPr>
          <w:color w:val="auto"/>
          <w:spacing w:val="-2"/>
          <w:sz w:val="28"/>
          <w:szCs w:val="28"/>
          <w:highlight w:val="none"/>
        </w:rPr>
        <w:t>投标单位联系电话：</w:t>
      </w:r>
      <w:r>
        <w:rPr>
          <w:color w:val="auto"/>
          <w:sz w:val="28"/>
          <w:szCs w:val="28"/>
          <w:highlight w:val="none"/>
          <w:u w:val="single" w:color="auto"/>
        </w:rPr>
        <w:t xml:space="preserve">                                                   </w:t>
      </w:r>
    </w:p>
    <w:p w14:paraId="2A649ED8">
      <w:pPr>
        <w:spacing w:line="441" w:lineRule="auto"/>
        <w:rPr>
          <w:rFonts w:ascii="Arial"/>
          <w:color w:val="auto"/>
          <w:sz w:val="21"/>
          <w:highlight w:val="none"/>
        </w:rPr>
      </w:pPr>
    </w:p>
    <w:p w14:paraId="248408A9">
      <w:pPr>
        <w:pStyle w:val="4"/>
        <w:tabs>
          <w:tab w:val="left" w:pos="4011"/>
        </w:tabs>
        <w:spacing w:before="120" w:line="188" w:lineRule="auto"/>
        <w:ind w:left="3451"/>
        <w:rPr>
          <w:color w:val="auto"/>
          <w:sz w:val="28"/>
          <w:szCs w:val="28"/>
          <w:highlight w:val="none"/>
        </w:rPr>
      </w:pPr>
      <w:r>
        <w:rPr>
          <w:color w:val="auto"/>
          <w:sz w:val="28"/>
          <w:szCs w:val="28"/>
          <w:highlight w:val="none"/>
          <w:u w:val="single" w:color="auto"/>
        </w:rPr>
        <w:tab/>
      </w:r>
      <w:r>
        <w:rPr>
          <w:color w:val="auto"/>
          <w:spacing w:val="-56"/>
          <w:sz w:val="28"/>
          <w:szCs w:val="28"/>
          <w:highlight w:val="none"/>
        </w:rPr>
        <w:t xml:space="preserve"> </w:t>
      </w:r>
      <w:r>
        <w:rPr>
          <w:color w:val="auto"/>
          <w:spacing w:val="-16"/>
          <w:sz w:val="28"/>
          <w:szCs w:val="28"/>
          <w:highlight w:val="none"/>
        </w:rPr>
        <w:t>年</w:t>
      </w:r>
      <w:r>
        <w:rPr>
          <w:color w:val="auto"/>
          <w:spacing w:val="1"/>
          <w:sz w:val="28"/>
          <w:szCs w:val="28"/>
          <w:highlight w:val="none"/>
          <w:u w:val="single" w:color="auto"/>
        </w:rPr>
        <w:t xml:space="preserve">     </w:t>
      </w:r>
      <w:r>
        <w:rPr>
          <w:color w:val="auto"/>
          <w:spacing w:val="-51"/>
          <w:sz w:val="28"/>
          <w:szCs w:val="28"/>
          <w:highlight w:val="none"/>
        </w:rPr>
        <w:t xml:space="preserve"> </w:t>
      </w:r>
      <w:r>
        <w:rPr>
          <w:color w:val="auto"/>
          <w:spacing w:val="-16"/>
          <w:sz w:val="28"/>
          <w:szCs w:val="28"/>
          <w:highlight w:val="none"/>
        </w:rPr>
        <w:t>月</w:t>
      </w:r>
      <w:r>
        <w:rPr>
          <w:color w:val="auto"/>
          <w:spacing w:val="1"/>
          <w:sz w:val="28"/>
          <w:szCs w:val="28"/>
          <w:highlight w:val="none"/>
          <w:u w:val="single" w:color="auto"/>
        </w:rPr>
        <w:t xml:space="preserve">     </w:t>
      </w:r>
      <w:r>
        <w:rPr>
          <w:color w:val="auto"/>
          <w:spacing w:val="-16"/>
          <w:sz w:val="28"/>
          <w:szCs w:val="28"/>
          <w:highlight w:val="none"/>
        </w:rPr>
        <w:t xml:space="preserve"> 日</w:t>
      </w:r>
    </w:p>
    <w:p w14:paraId="45B6A648">
      <w:pPr>
        <w:spacing w:line="188" w:lineRule="auto"/>
        <w:rPr>
          <w:color w:val="auto"/>
          <w:sz w:val="28"/>
          <w:szCs w:val="28"/>
          <w:highlight w:val="none"/>
        </w:rPr>
        <w:sectPr>
          <w:footerReference r:id="rId17" w:type="default"/>
          <w:pgSz w:w="11905" w:h="16839"/>
          <w:pgMar w:top="1440" w:right="1800" w:bottom="1440" w:left="1800" w:header="0" w:footer="1090" w:gutter="0"/>
          <w:pgNumType w:fmt="decimal"/>
          <w:cols w:space="720" w:num="1"/>
        </w:sectPr>
      </w:pPr>
    </w:p>
    <w:p w14:paraId="37865500">
      <w:pPr>
        <w:spacing w:before="143" w:line="224" w:lineRule="auto"/>
        <w:jc w:val="center"/>
        <w:rPr>
          <w:rFonts w:ascii="新宋体" w:hAnsi="新宋体" w:eastAsia="新宋体" w:cs="新宋体"/>
          <w:color w:val="auto"/>
          <w:spacing w:val="-6"/>
          <w:sz w:val="44"/>
          <w:szCs w:val="44"/>
          <w:highlight w:val="none"/>
        </w:rPr>
      </w:pPr>
      <w:r>
        <w:rPr>
          <w:rFonts w:ascii="新宋体" w:hAnsi="新宋体" w:eastAsia="新宋体" w:cs="新宋体"/>
          <w:color w:val="auto"/>
          <w:spacing w:val="-6"/>
          <w:sz w:val="44"/>
          <w:szCs w:val="44"/>
          <w:highlight w:val="none"/>
        </w:rPr>
        <w:t>第一部分：商务部分</w:t>
      </w:r>
    </w:p>
    <w:p w14:paraId="1F962B9A">
      <w:pPr>
        <w:spacing w:before="143" w:line="224" w:lineRule="auto"/>
        <w:jc w:val="center"/>
        <w:rPr>
          <w:color w:val="auto"/>
          <w:sz w:val="28"/>
          <w:szCs w:val="28"/>
          <w:highlight w:val="none"/>
        </w:rPr>
      </w:pPr>
      <w:r>
        <w:rPr>
          <w:b/>
          <w:bCs/>
          <w:color w:val="auto"/>
          <w:spacing w:val="-4"/>
          <w:sz w:val="28"/>
          <w:szCs w:val="28"/>
          <w:highlight w:val="none"/>
        </w:rPr>
        <w:t>1、法定代表人身份证明或授权委托书</w:t>
      </w:r>
    </w:p>
    <w:p w14:paraId="6D69C4F9">
      <w:pPr>
        <w:pStyle w:val="4"/>
        <w:spacing w:before="169" w:line="184" w:lineRule="auto"/>
        <w:jc w:val="center"/>
        <w:rPr>
          <w:color w:val="auto"/>
          <w:sz w:val="24"/>
          <w:szCs w:val="24"/>
          <w:highlight w:val="none"/>
        </w:rPr>
      </w:pPr>
      <w:r>
        <w:rPr>
          <w:b/>
          <w:bCs/>
          <w:color w:val="auto"/>
          <w:spacing w:val="-5"/>
          <w:sz w:val="28"/>
          <w:szCs w:val="28"/>
          <w:highlight w:val="none"/>
        </w:rPr>
        <w:t>（1）</w:t>
      </w:r>
      <w:r>
        <w:rPr>
          <w:b/>
          <w:bCs/>
          <w:color w:val="auto"/>
          <w:spacing w:val="-5"/>
          <w:sz w:val="24"/>
          <w:szCs w:val="24"/>
          <w:highlight w:val="none"/>
        </w:rPr>
        <w:t>法定代表人身份证明</w:t>
      </w:r>
    </w:p>
    <w:p w14:paraId="13913A46">
      <w:pPr>
        <w:spacing w:line="240" w:lineRule="auto"/>
        <w:ind w:left="0" w:right="0"/>
        <w:rPr>
          <w:rFonts w:ascii="Arial"/>
          <w:color w:val="auto"/>
          <w:sz w:val="21"/>
          <w:highlight w:val="none"/>
        </w:rPr>
      </w:pPr>
    </w:p>
    <w:p w14:paraId="297B510C">
      <w:pPr>
        <w:keepNext w:val="0"/>
        <w:keepLines w:val="0"/>
        <w:pageBreakBefore w:val="0"/>
        <w:widowControl/>
        <w:tabs>
          <w:tab w:val="left" w:pos="8024"/>
        </w:tabs>
        <w:kinsoku w:val="0"/>
        <w:wordWrap/>
        <w:overflowPunct/>
        <w:topLinePunct w:val="0"/>
        <w:autoSpaceDE w:val="0"/>
        <w:autoSpaceDN w:val="0"/>
        <w:bidi w:val="0"/>
        <w:adjustRightInd w:val="0"/>
        <w:snapToGrid w:val="0"/>
        <w:spacing w:line="360" w:lineRule="auto"/>
        <w:ind w:left="0" w:right="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单位名称：</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单位性质：</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9"/>
          <w:sz w:val="24"/>
          <w:szCs w:val="24"/>
          <w:highlight w:val="none"/>
        </w:rPr>
        <w:t>成立时间：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6"/>
          <w:sz w:val="24"/>
          <w:szCs w:val="24"/>
          <w:highlight w:val="none"/>
        </w:rPr>
        <w:t xml:space="preserve"> </w:t>
      </w:r>
      <w:r>
        <w:rPr>
          <w:rFonts w:ascii="新宋体" w:hAnsi="新宋体" w:eastAsia="新宋体" w:cs="新宋体"/>
          <w:color w:val="auto"/>
          <w:spacing w:val="-9"/>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27"/>
          <w:sz w:val="24"/>
          <w:szCs w:val="24"/>
          <w:highlight w:val="none"/>
        </w:rPr>
        <w:t xml:space="preserve"> </w:t>
      </w:r>
      <w:r>
        <w:rPr>
          <w:rFonts w:ascii="新宋体" w:hAnsi="新宋体" w:eastAsia="新宋体" w:cs="新宋体"/>
          <w:color w:val="auto"/>
          <w:spacing w:val="-9"/>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4"/>
          <w:sz w:val="24"/>
          <w:szCs w:val="24"/>
          <w:highlight w:val="none"/>
        </w:rPr>
        <w:t xml:space="preserve"> </w:t>
      </w:r>
      <w:r>
        <w:rPr>
          <w:rFonts w:ascii="新宋体" w:hAnsi="新宋体" w:eastAsia="新宋体" w:cs="新宋体"/>
          <w:color w:val="auto"/>
          <w:spacing w:val="-9"/>
          <w:sz w:val="24"/>
          <w:szCs w:val="24"/>
          <w:highlight w:val="none"/>
        </w:rPr>
        <w:t>日</w:t>
      </w:r>
    </w:p>
    <w:p w14:paraId="2D515374">
      <w:pPr>
        <w:keepNext w:val="0"/>
        <w:keepLines w:val="0"/>
        <w:pageBreakBefore w:val="0"/>
        <w:widowControl/>
        <w:tabs>
          <w:tab w:val="left" w:pos="8144"/>
        </w:tabs>
        <w:kinsoku w:val="0"/>
        <w:wordWrap/>
        <w:overflowPunct/>
        <w:topLinePunct w:val="0"/>
        <w:autoSpaceDE w:val="0"/>
        <w:autoSpaceDN w:val="0"/>
        <w:bidi w:val="0"/>
        <w:adjustRightInd w:val="0"/>
        <w:snapToGrid w:val="0"/>
        <w:spacing w:line="360" w:lineRule="auto"/>
        <w:ind w:left="0" w:right="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经营期限：</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姓名：</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85"/>
          <w:sz w:val="24"/>
          <w:szCs w:val="24"/>
          <w:highlight w:val="none"/>
        </w:rPr>
        <w:t xml:space="preserve"> </w:t>
      </w:r>
      <w:r>
        <w:rPr>
          <w:rFonts w:ascii="新宋体" w:hAnsi="新宋体" w:eastAsia="新宋体" w:cs="新宋体"/>
          <w:color w:val="auto"/>
          <w:spacing w:val="-4"/>
          <w:sz w:val="24"/>
          <w:szCs w:val="24"/>
          <w:highlight w:val="none"/>
        </w:rPr>
        <w:t>性别：</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4"/>
          <w:sz w:val="24"/>
          <w:szCs w:val="24"/>
          <w:highlight w:val="none"/>
        </w:rPr>
        <w:t>年龄：</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5"/>
          <w:sz w:val="24"/>
          <w:szCs w:val="24"/>
          <w:highlight w:val="none"/>
        </w:rPr>
        <w:t xml:space="preserve"> </w:t>
      </w:r>
      <w:r>
        <w:rPr>
          <w:rFonts w:ascii="新宋体" w:hAnsi="新宋体" w:eastAsia="新宋体" w:cs="新宋体"/>
          <w:color w:val="auto"/>
          <w:spacing w:val="-4"/>
          <w:sz w:val="24"/>
          <w:szCs w:val="24"/>
          <w:highlight w:val="none"/>
        </w:rPr>
        <w:t>职务：</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9"/>
          <w:sz w:val="24"/>
          <w:szCs w:val="24"/>
          <w:highlight w:val="none"/>
        </w:rPr>
        <w:t>系</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88"/>
          <w:sz w:val="24"/>
          <w:szCs w:val="24"/>
          <w:highlight w:val="none"/>
        </w:rPr>
        <w:t xml:space="preserve"> </w:t>
      </w:r>
      <w:r>
        <w:rPr>
          <w:rFonts w:ascii="新宋体" w:hAnsi="新宋体" w:eastAsia="新宋体" w:cs="新宋体"/>
          <w:color w:val="auto"/>
          <w:spacing w:val="-9"/>
          <w:sz w:val="24"/>
          <w:szCs w:val="24"/>
          <w:highlight w:val="none"/>
        </w:rPr>
        <w:t>的法定代表人。</w:t>
      </w:r>
    </w:p>
    <w:p w14:paraId="77DB473A">
      <w:pPr>
        <w:keepNext w:val="0"/>
        <w:keepLines w:val="0"/>
        <w:pageBreakBefore w:val="0"/>
        <w:widowControl/>
        <w:kinsoku w:val="0"/>
        <w:wordWrap/>
        <w:overflowPunct/>
        <w:topLinePunct w:val="0"/>
        <w:autoSpaceDE w:val="0"/>
        <w:autoSpaceDN w:val="0"/>
        <w:bidi w:val="0"/>
        <w:adjustRightInd w:val="0"/>
        <w:snapToGrid w:val="0"/>
        <w:spacing w:line="360" w:lineRule="auto"/>
        <w:ind w:left="959"/>
        <w:textAlignment w:val="baseline"/>
        <w:rPr>
          <w:rFonts w:ascii="新宋体" w:hAnsi="新宋体" w:eastAsia="新宋体" w:cs="新宋体"/>
          <w:color w:val="auto"/>
          <w:sz w:val="24"/>
          <w:szCs w:val="24"/>
          <w:highlight w:val="none"/>
        </w:rPr>
      </w:pPr>
      <w:r>
        <w:rPr>
          <w:color w:val="auto"/>
          <w:highlight w:val="none"/>
        </w:rPr>
        <w:pict>
          <v:shape id="_x0000_s1027" o:spid="_x0000_s1027" o:spt="202" type="#_x0000_t202" style="position:absolute;left:0pt;margin-left:253.6pt;margin-top:33.3pt;height:141.95pt;width:197.5pt;z-index:251661312;mso-width-relative:page;mso-height-relative:page;" filled="f" stroked="f" coordsize="21600,21600">
            <v:path/>
            <v:fill on="f" focussize="0,0"/>
            <v:stroke on="f"/>
            <v:imagedata o:title=""/>
            <o:lock v:ext="edit" aspectratio="f"/>
            <v:textbox inset="0mm,0mm,0mm,0mm">
              <w:txbxContent>
                <w:p w14:paraId="4FCD8400">
                  <w:pPr>
                    <w:spacing w:line="20" w:lineRule="exact"/>
                  </w:pPr>
                </w:p>
                <w:p w14:paraId="079DB15C">
                  <w:pPr>
                    <w:rPr>
                      <w:rFonts w:ascii="Arial"/>
                      <w:sz w:val="21"/>
                    </w:rPr>
                  </w:pPr>
                </w:p>
              </w:txbxContent>
            </v:textbox>
          </v:shape>
        </w:pict>
      </w:r>
      <w:r>
        <w:rPr>
          <w:rFonts w:ascii="新宋体" w:hAnsi="新宋体" w:eastAsia="新宋体" w:cs="新宋体"/>
          <w:color w:val="auto"/>
          <w:spacing w:val="-8"/>
          <w:sz w:val="24"/>
          <w:szCs w:val="24"/>
          <w:highlight w:val="none"/>
        </w:rPr>
        <w:t>特此证明。</w:t>
      </w:r>
    </w:p>
    <w:p w14:paraId="1714230F">
      <w:pPr>
        <w:spacing w:before="135"/>
        <w:rPr>
          <w:color w:val="auto"/>
          <w:highlight w:val="none"/>
        </w:rPr>
      </w:pPr>
    </w:p>
    <w:tbl>
      <w:tblPr>
        <w:tblStyle w:val="16"/>
        <w:tblW w:w="3894" w:type="dxa"/>
        <w:jc w:val="center"/>
        <w:tblBorders>
          <w:top w:val="dotted" w:color="000000" w:sz="6" w:space="0"/>
          <w:left w:val="dotted" w:color="000000" w:sz="6" w:space="0"/>
          <w:bottom w:val="dotted" w:color="000000" w:sz="6" w:space="0"/>
          <w:right w:val="dotted" w:color="000000" w:sz="6" w:space="0"/>
          <w:insideH w:val="none" w:color="auto" w:sz="0" w:space="0"/>
          <w:insideV w:val="none" w:color="auto" w:sz="0" w:space="0"/>
        </w:tblBorders>
        <w:tblLayout w:type="fixed"/>
        <w:tblCellMar>
          <w:top w:w="0" w:type="dxa"/>
          <w:left w:w="0" w:type="dxa"/>
          <w:bottom w:w="0" w:type="dxa"/>
          <w:right w:w="0" w:type="dxa"/>
        </w:tblCellMar>
      </w:tblPr>
      <w:tblGrid>
        <w:gridCol w:w="3894"/>
      </w:tblGrid>
      <w:tr w14:paraId="3BD03996">
        <w:tblPrEx>
          <w:tblBorders>
            <w:top w:val="dotted" w:color="000000" w:sz="6" w:space="0"/>
            <w:left w:val="dotted" w:color="000000" w:sz="6" w:space="0"/>
            <w:bottom w:val="dotted" w:color="000000" w:sz="6" w:space="0"/>
            <w:right w:val="dotted" w:color="000000" w:sz="6" w:space="0"/>
            <w:insideH w:val="none" w:color="auto" w:sz="0" w:space="0"/>
            <w:insideV w:val="none" w:color="auto" w:sz="0" w:space="0"/>
          </w:tblBorders>
        </w:tblPrEx>
        <w:trPr>
          <w:trHeight w:val="2753" w:hRule="atLeast"/>
          <w:jc w:val="center"/>
        </w:trPr>
        <w:tc>
          <w:tcPr>
            <w:tcW w:w="3894" w:type="dxa"/>
            <w:vAlign w:val="top"/>
          </w:tcPr>
          <w:p w14:paraId="3944CF91">
            <w:pPr>
              <w:spacing w:before="115" w:line="220" w:lineRule="auto"/>
              <w:ind w:left="55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法人身份证复印件正面</w:t>
            </w:r>
          </w:p>
        </w:tc>
      </w:tr>
      <w:tr w14:paraId="26712E77">
        <w:tblPrEx>
          <w:tblBorders>
            <w:top w:val="dotted" w:color="000000" w:sz="6" w:space="0"/>
            <w:left w:val="dotted" w:color="000000" w:sz="6" w:space="0"/>
            <w:bottom w:val="dotted" w:color="000000" w:sz="6" w:space="0"/>
            <w:right w:val="dotted" w:color="000000" w:sz="6" w:space="0"/>
            <w:insideH w:val="none" w:color="auto" w:sz="0" w:space="0"/>
            <w:insideV w:val="none" w:color="auto" w:sz="0" w:space="0"/>
          </w:tblBorders>
        </w:tblPrEx>
        <w:trPr>
          <w:trHeight w:val="2753" w:hRule="atLeast"/>
          <w:jc w:val="center"/>
        </w:trPr>
        <w:tc>
          <w:tcPr>
            <w:tcW w:w="3894" w:type="dxa"/>
            <w:vAlign w:val="top"/>
          </w:tcPr>
          <w:p w14:paraId="37F0343E">
            <w:pPr>
              <w:spacing w:before="115" w:line="220" w:lineRule="auto"/>
              <w:ind w:left="551"/>
              <w:rPr>
                <w:rFonts w:ascii="宋体" w:hAnsi="宋体" w:eastAsia="宋体" w:cs="宋体"/>
                <w:color w:val="auto"/>
                <w:spacing w:val="-2"/>
                <w:sz w:val="28"/>
                <w:szCs w:val="28"/>
                <w:highlight w:val="none"/>
              </w:rPr>
            </w:pPr>
            <w:r>
              <w:rPr>
                <w:rFonts w:ascii="宋体" w:hAnsi="宋体" w:eastAsia="宋体" w:cs="宋体"/>
                <w:color w:val="auto"/>
                <w:spacing w:val="-2"/>
                <w:sz w:val="28"/>
                <w:szCs w:val="28"/>
              </w:rPr>
              <w:t>法人身份证复印件背面</w:t>
            </w:r>
          </w:p>
        </w:tc>
      </w:tr>
    </w:tbl>
    <w:p w14:paraId="134CDF55">
      <w:pPr>
        <w:spacing w:line="246" w:lineRule="auto"/>
        <w:rPr>
          <w:rFonts w:ascii="Arial"/>
          <w:color w:val="auto"/>
          <w:sz w:val="21"/>
          <w:highlight w:val="none"/>
        </w:rPr>
      </w:pPr>
    </w:p>
    <w:p w14:paraId="087293B3">
      <w:pPr>
        <w:spacing w:line="247" w:lineRule="auto"/>
        <w:rPr>
          <w:rFonts w:ascii="Arial"/>
          <w:color w:val="auto"/>
          <w:sz w:val="21"/>
          <w:highlight w:val="none"/>
        </w:rPr>
      </w:pPr>
    </w:p>
    <w:p w14:paraId="206B4762">
      <w:pPr>
        <w:spacing w:line="247" w:lineRule="auto"/>
        <w:rPr>
          <w:rFonts w:ascii="Arial"/>
          <w:color w:val="auto"/>
          <w:sz w:val="21"/>
          <w:highlight w:val="none"/>
        </w:rPr>
      </w:pPr>
    </w:p>
    <w:p w14:paraId="39882D12">
      <w:pPr>
        <w:spacing w:line="247" w:lineRule="auto"/>
        <w:rPr>
          <w:rFonts w:ascii="Arial"/>
          <w:color w:val="auto"/>
          <w:sz w:val="21"/>
          <w:highlight w:val="none"/>
        </w:rPr>
      </w:pPr>
    </w:p>
    <w:p w14:paraId="552C311C">
      <w:pPr>
        <w:spacing w:before="79"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46309AE1">
      <w:pPr>
        <w:spacing w:before="177" w:line="345" w:lineRule="auto"/>
        <w:ind w:left="50" w:right="1356"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467EBF9D">
      <w:pPr>
        <w:spacing w:line="345" w:lineRule="auto"/>
        <w:rPr>
          <w:rFonts w:ascii="新宋体" w:hAnsi="新宋体" w:eastAsia="新宋体" w:cs="新宋体"/>
          <w:color w:val="auto"/>
          <w:sz w:val="24"/>
          <w:szCs w:val="24"/>
          <w:highlight w:val="none"/>
        </w:rPr>
        <w:sectPr>
          <w:footerReference r:id="rId18" w:type="default"/>
          <w:pgSz w:w="11905" w:h="16839"/>
          <w:pgMar w:top="1440" w:right="1800" w:bottom="1440" w:left="1800" w:header="0" w:footer="1090" w:gutter="0"/>
          <w:pgNumType w:fmt="decimal"/>
          <w:cols w:space="720" w:num="1"/>
        </w:sectPr>
      </w:pPr>
    </w:p>
    <w:p w14:paraId="2F3618D8">
      <w:pPr>
        <w:pStyle w:val="4"/>
        <w:spacing w:before="120" w:line="184" w:lineRule="auto"/>
        <w:jc w:val="center"/>
        <w:rPr>
          <w:color w:val="auto"/>
          <w:sz w:val="28"/>
          <w:szCs w:val="28"/>
          <w:highlight w:val="none"/>
        </w:rPr>
      </w:pPr>
      <w:r>
        <w:rPr>
          <w:b/>
          <w:bCs/>
          <w:color w:val="auto"/>
          <w:spacing w:val="-11"/>
          <w:sz w:val="28"/>
          <w:szCs w:val="28"/>
          <w:highlight w:val="none"/>
        </w:rPr>
        <w:t>（2）授权委托书</w:t>
      </w:r>
    </w:p>
    <w:p w14:paraId="0D0378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本授权委托书声明：我</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90"/>
          <w:sz w:val="24"/>
          <w:szCs w:val="24"/>
          <w:highlight w:val="none"/>
        </w:rPr>
        <w:t xml:space="preserve"> </w:t>
      </w:r>
      <w:r>
        <w:rPr>
          <w:rFonts w:ascii="新宋体" w:hAnsi="新宋体" w:eastAsia="新宋体" w:cs="新宋体"/>
          <w:color w:val="auto"/>
          <w:spacing w:val="-4"/>
          <w:sz w:val="24"/>
          <w:szCs w:val="24"/>
          <w:highlight w:val="none"/>
        </w:rPr>
        <w:t>系</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90"/>
          <w:sz w:val="24"/>
          <w:szCs w:val="24"/>
          <w:highlight w:val="none"/>
        </w:rPr>
        <w:t xml:space="preserve"> </w:t>
      </w:r>
      <w:r>
        <w:rPr>
          <w:rFonts w:ascii="新宋体" w:hAnsi="新宋体" w:eastAsia="新宋体" w:cs="新宋体"/>
          <w:color w:val="auto"/>
          <w:spacing w:val="-4"/>
          <w:sz w:val="24"/>
          <w:szCs w:val="24"/>
          <w:highlight w:val="none"/>
        </w:rPr>
        <w:t>的法定代表人，</w:t>
      </w:r>
      <w:r>
        <w:rPr>
          <w:rFonts w:ascii="新宋体" w:hAnsi="新宋体" w:eastAsia="新宋体" w:cs="新宋体"/>
          <w:color w:val="auto"/>
          <w:spacing w:val="-1"/>
          <w:sz w:val="24"/>
          <w:szCs w:val="24"/>
          <w:highlight w:val="none"/>
        </w:rPr>
        <w:t>现授权委托</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90"/>
          <w:sz w:val="24"/>
          <w:szCs w:val="24"/>
          <w:highlight w:val="none"/>
        </w:rPr>
        <w:t xml:space="preserve"> </w:t>
      </w:r>
      <w:r>
        <w:rPr>
          <w:rFonts w:ascii="新宋体" w:hAnsi="新宋体" w:eastAsia="新宋体" w:cs="新宋体"/>
          <w:color w:val="auto"/>
          <w:spacing w:val="-1"/>
          <w:sz w:val="24"/>
          <w:szCs w:val="24"/>
          <w:highlight w:val="none"/>
        </w:rPr>
        <w:t>的</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96"/>
          <w:sz w:val="24"/>
          <w:szCs w:val="24"/>
          <w:highlight w:val="none"/>
        </w:rPr>
        <w:t xml:space="preserve"> </w:t>
      </w:r>
      <w:r>
        <w:rPr>
          <w:rFonts w:ascii="新宋体" w:hAnsi="新宋体" w:eastAsia="新宋体" w:cs="新宋体"/>
          <w:color w:val="auto"/>
          <w:spacing w:val="-1"/>
          <w:sz w:val="24"/>
          <w:szCs w:val="24"/>
          <w:highlight w:val="none"/>
        </w:rPr>
        <w:t>为我的代理</w:t>
      </w:r>
      <w:r>
        <w:rPr>
          <w:rFonts w:ascii="新宋体" w:hAnsi="新宋体" w:eastAsia="新宋体" w:cs="新宋体"/>
          <w:color w:val="auto"/>
          <w:spacing w:val="-2"/>
          <w:sz w:val="24"/>
          <w:szCs w:val="24"/>
          <w:highlight w:val="none"/>
        </w:rPr>
        <w:t>人，以本单位的名义参</w:t>
      </w:r>
      <w:r>
        <w:rPr>
          <w:rFonts w:ascii="新宋体" w:hAnsi="新宋体" w:eastAsia="新宋体" w:cs="新宋体"/>
          <w:color w:val="auto"/>
          <w:sz w:val="24"/>
          <w:szCs w:val="24"/>
          <w:highlight w:val="none"/>
        </w:rPr>
        <w:t>加</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105"/>
          <w:sz w:val="24"/>
          <w:szCs w:val="24"/>
          <w:highlight w:val="none"/>
        </w:rPr>
        <w:t xml:space="preserve"> </w:t>
      </w:r>
      <w:r>
        <w:rPr>
          <w:rFonts w:ascii="新宋体" w:hAnsi="新宋体" w:eastAsia="新宋体" w:cs="新宋体"/>
          <w:color w:val="auto"/>
          <w:spacing w:val="-1"/>
          <w:sz w:val="24"/>
          <w:szCs w:val="24"/>
          <w:highlight w:val="none"/>
        </w:rPr>
        <w:t>投标活动。代理人在参加整个招标投标活动、合同签</w:t>
      </w:r>
      <w:r>
        <w:rPr>
          <w:rFonts w:ascii="新宋体" w:hAnsi="新宋体" w:eastAsia="新宋体" w:cs="新宋体"/>
          <w:color w:val="auto"/>
          <w:spacing w:val="-2"/>
          <w:sz w:val="24"/>
          <w:szCs w:val="24"/>
          <w:highlight w:val="none"/>
        </w:rPr>
        <w:t>订过程中所签署的一切文件和处理与之相关的一切事物，我均予承认。</w:t>
      </w:r>
    </w:p>
    <w:p w14:paraId="24A01AD5">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0" w:firstLine="0" w:firstLineChars="0"/>
        <w:textAlignment w:val="baseline"/>
        <w:rPr>
          <w:rFonts w:ascii="新宋体" w:hAnsi="新宋体" w:eastAsia="新宋体" w:cs="新宋体"/>
          <w:color w:val="auto"/>
          <w:sz w:val="24"/>
          <w:szCs w:val="24"/>
          <w:highlight w:val="none"/>
        </w:rPr>
      </w:pPr>
      <w:r>
        <w:rPr>
          <w:color w:val="auto"/>
          <w:highlight w:val="none"/>
        </w:rPr>
        <w:pict>
          <v:shape id="_x0000_s1028" o:spid="_x0000_s1028" o:spt="202" type="#_x0000_t202" style="position:absolute;left:0pt;margin-left:-0.25pt;margin-top:54.9pt;height:152pt;width:236.75pt;z-index:251663360;mso-width-relative:page;mso-height-relative:page;" filled="f" stroked="f" coordsize="21600,21600">
            <v:path/>
            <v:fill on="f" focussize="0,0"/>
            <v:stroke on="f"/>
            <v:imagedata o:title=""/>
            <o:lock v:ext="edit" aspectratio="f"/>
            <v:textbox inset="0mm,0mm,0mm,0mm">
              <w:txbxContent>
                <w:p w14:paraId="6B3F3A0F">
                  <w:pPr>
                    <w:spacing w:line="20" w:lineRule="exact"/>
                  </w:pPr>
                </w:p>
                <w:tbl>
                  <w:tblPr>
                    <w:tblStyle w:val="16"/>
                    <w:tblW w:w="4680"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80"/>
                  </w:tblGrid>
                  <w:tr w14:paraId="41A5150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80" w:type="dxa"/>
                        <w:vAlign w:val="top"/>
                      </w:tcPr>
                      <w:p w14:paraId="7C389A46">
                        <w:pPr>
                          <w:spacing w:line="312" w:lineRule="auto"/>
                          <w:rPr>
                            <w:rFonts w:ascii="Arial"/>
                            <w:sz w:val="21"/>
                          </w:rPr>
                        </w:pPr>
                      </w:p>
                      <w:p w14:paraId="287F2940">
                        <w:pPr>
                          <w:spacing w:line="313" w:lineRule="auto"/>
                          <w:rPr>
                            <w:rFonts w:ascii="Arial"/>
                            <w:sz w:val="21"/>
                          </w:rPr>
                        </w:pPr>
                      </w:p>
                      <w:p w14:paraId="0474F1CB">
                        <w:pPr>
                          <w:spacing w:line="313" w:lineRule="auto"/>
                          <w:rPr>
                            <w:rFonts w:ascii="Arial"/>
                            <w:sz w:val="21"/>
                          </w:rPr>
                        </w:pPr>
                      </w:p>
                      <w:p w14:paraId="345B32F8">
                        <w:pPr>
                          <w:pStyle w:val="17"/>
                          <w:spacing w:before="117" w:line="224" w:lineRule="auto"/>
                          <w:ind w:left="927"/>
                          <w:rPr>
                            <w:sz w:val="36"/>
                            <w:szCs w:val="36"/>
                          </w:rPr>
                        </w:pPr>
                        <w:r>
                          <w:rPr>
                            <w:spacing w:val="-4"/>
                            <w:sz w:val="36"/>
                            <w:szCs w:val="36"/>
                          </w:rPr>
                          <w:t>法定代表人身份证</w:t>
                        </w:r>
                      </w:p>
                      <w:p w14:paraId="33CBCE27">
                        <w:pPr>
                          <w:pStyle w:val="17"/>
                          <w:spacing w:before="30" w:line="225" w:lineRule="auto"/>
                          <w:ind w:left="1636"/>
                          <w:rPr>
                            <w:sz w:val="36"/>
                            <w:szCs w:val="36"/>
                          </w:rPr>
                        </w:pPr>
                        <w:r>
                          <w:rPr>
                            <w:spacing w:val="-9"/>
                            <w:sz w:val="36"/>
                            <w:szCs w:val="36"/>
                          </w:rPr>
                          <w:t>（正面）</w:t>
                        </w:r>
                      </w:p>
                    </w:tc>
                  </w:tr>
                </w:tbl>
                <w:p w14:paraId="7D5B8DC6">
                  <w:pPr>
                    <w:rPr>
                      <w:rFonts w:ascii="Arial"/>
                      <w:sz w:val="21"/>
                    </w:rPr>
                  </w:pPr>
                </w:p>
              </w:txbxContent>
            </v:textbox>
          </v:shape>
        </w:pict>
      </w:r>
      <w:r>
        <w:rPr>
          <w:color w:val="auto"/>
          <w:highlight w:val="none"/>
        </w:rPr>
        <w:pict>
          <v:shape id="_x0000_s1029" o:spid="_x0000_s1029" o:spt="202" type="#_x0000_t202" style="position:absolute;left:0pt;margin-left:-1pt;margin-top:213.1pt;height:152pt;width:236.75pt;z-index:251662336;mso-width-relative:page;mso-height-relative:page;" filled="f" stroked="f" coordsize="21600,21600">
            <v:path/>
            <v:fill on="f" focussize="0,0"/>
            <v:stroke on="f"/>
            <v:imagedata o:title=""/>
            <o:lock v:ext="edit" aspectratio="f"/>
            <v:textbox inset="0mm,0mm,0mm,0mm">
              <w:txbxContent>
                <w:p w14:paraId="0904E7E6">
                  <w:pPr>
                    <w:spacing w:line="20" w:lineRule="exact"/>
                  </w:pPr>
                </w:p>
                <w:tbl>
                  <w:tblPr>
                    <w:tblStyle w:val="16"/>
                    <w:tblW w:w="4680"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80"/>
                  </w:tblGrid>
                  <w:tr w14:paraId="4F294C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80" w:type="dxa"/>
                        <w:vAlign w:val="top"/>
                      </w:tcPr>
                      <w:p w14:paraId="1BFAAD65">
                        <w:pPr>
                          <w:spacing w:line="312" w:lineRule="auto"/>
                          <w:rPr>
                            <w:rFonts w:ascii="Arial"/>
                            <w:sz w:val="21"/>
                          </w:rPr>
                        </w:pPr>
                      </w:p>
                      <w:p w14:paraId="6E06DA01">
                        <w:pPr>
                          <w:spacing w:line="313" w:lineRule="auto"/>
                          <w:rPr>
                            <w:rFonts w:ascii="Arial"/>
                            <w:sz w:val="21"/>
                          </w:rPr>
                        </w:pPr>
                      </w:p>
                      <w:p w14:paraId="282D968C">
                        <w:pPr>
                          <w:spacing w:line="313" w:lineRule="auto"/>
                          <w:rPr>
                            <w:rFonts w:ascii="Arial"/>
                            <w:sz w:val="21"/>
                          </w:rPr>
                        </w:pPr>
                      </w:p>
                      <w:p w14:paraId="552E712F">
                        <w:pPr>
                          <w:pStyle w:val="17"/>
                          <w:spacing w:before="117" w:line="224" w:lineRule="auto"/>
                          <w:ind w:left="927"/>
                          <w:rPr>
                            <w:sz w:val="36"/>
                            <w:szCs w:val="36"/>
                          </w:rPr>
                        </w:pPr>
                        <w:r>
                          <w:rPr>
                            <w:spacing w:val="-4"/>
                            <w:sz w:val="36"/>
                            <w:szCs w:val="36"/>
                          </w:rPr>
                          <w:t>法定代表人身份证</w:t>
                        </w:r>
                      </w:p>
                      <w:p w14:paraId="2073BC3C">
                        <w:pPr>
                          <w:pStyle w:val="17"/>
                          <w:spacing w:before="30" w:line="225" w:lineRule="auto"/>
                          <w:ind w:left="1636"/>
                          <w:rPr>
                            <w:sz w:val="36"/>
                            <w:szCs w:val="36"/>
                          </w:rPr>
                        </w:pPr>
                        <w:r>
                          <w:rPr>
                            <w:spacing w:val="-9"/>
                            <w:sz w:val="36"/>
                            <w:szCs w:val="36"/>
                          </w:rPr>
                          <w:t>（反面）</w:t>
                        </w:r>
                      </w:p>
                    </w:tc>
                  </w:tr>
                </w:tbl>
                <w:p w14:paraId="3B2A231A">
                  <w:pPr>
                    <w:rPr>
                      <w:rFonts w:ascii="Arial"/>
                      <w:sz w:val="21"/>
                    </w:rPr>
                  </w:pPr>
                </w:p>
              </w:txbxContent>
            </v:textbox>
          </v:shape>
        </w:pict>
      </w:r>
      <w:r>
        <w:rPr>
          <w:rFonts w:ascii="新宋体" w:hAnsi="新宋体" w:eastAsia="新宋体" w:cs="新宋体"/>
          <w:color w:val="auto"/>
          <w:spacing w:val="-7"/>
          <w:sz w:val="24"/>
          <w:szCs w:val="24"/>
          <w:highlight w:val="none"/>
        </w:rPr>
        <w:t>代理人：</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7"/>
          <w:sz w:val="24"/>
          <w:szCs w:val="24"/>
          <w:highlight w:val="none"/>
        </w:rPr>
        <w:t>性别：</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
          <w:sz w:val="24"/>
          <w:szCs w:val="24"/>
          <w:highlight w:val="none"/>
        </w:rPr>
        <w:t xml:space="preserve">  </w:t>
      </w:r>
      <w:r>
        <w:rPr>
          <w:rFonts w:ascii="新宋体" w:hAnsi="新宋体" w:eastAsia="新宋体" w:cs="新宋体"/>
          <w:color w:val="auto"/>
          <w:spacing w:val="-7"/>
          <w:sz w:val="24"/>
          <w:szCs w:val="24"/>
          <w:highlight w:val="none"/>
        </w:rPr>
        <w:t>年龄：</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6"/>
          <w:sz w:val="24"/>
          <w:szCs w:val="24"/>
          <w:highlight w:val="none"/>
        </w:rPr>
        <w:t>部</w:t>
      </w:r>
      <w:r>
        <w:rPr>
          <w:rFonts w:ascii="新宋体" w:hAnsi="新宋体" w:eastAsia="新宋体" w:cs="新宋体"/>
          <w:color w:val="auto"/>
          <w:spacing w:val="20"/>
          <w:sz w:val="24"/>
          <w:szCs w:val="24"/>
          <w:highlight w:val="none"/>
        </w:rPr>
        <w:t xml:space="preserve">  </w:t>
      </w:r>
      <w:r>
        <w:rPr>
          <w:rFonts w:ascii="新宋体" w:hAnsi="新宋体" w:eastAsia="新宋体" w:cs="新宋体"/>
          <w:color w:val="auto"/>
          <w:spacing w:val="-6"/>
          <w:sz w:val="24"/>
          <w:szCs w:val="24"/>
          <w:highlight w:val="none"/>
        </w:rPr>
        <w:t>门：</w:t>
      </w:r>
      <w:r>
        <w:rPr>
          <w:rFonts w:ascii="新宋体" w:hAnsi="新宋体" w:eastAsia="新宋体" w:cs="新宋体"/>
          <w:color w:val="auto"/>
          <w:spacing w:val="-6"/>
          <w:sz w:val="24"/>
          <w:szCs w:val="24"/>
          <w:highlight w:val="none"/>
          <w:u w:val="single" w:color="auto"/>
        </w:rPr>
        <w:t xml:space="preserve">                    </w:t>
      </w:r>
      <w:r>
        <w:rPr>
          <w:rFonts w:ascii="新宋体" w:hAnsi="新宋体" w:eastAsia="新宋体" w:cs="新宋体"/>
          <w:color w:val="auto"/>
          <w:spacing w:val="-7"/>
          <w:sz w:val="24"/>
          <w:szCs w:val="24"/>
          <w:highlight w:val="none"/>
          <w:u w:val="single" w:color="auto"/>
        </w:rPr>
        <w:t xml:space="preserve">                     </w:t>
      </w:r>
      <w:r>
        <w:rPr>
          <w:rFonts w:ascii="新宋体" w:hAnsi="新宋体" w:eastAsia="新宋体" w:cs="新宋体"/>
          <w:color w:val="auto"/>
          <w:spacing w:val="-7"/>
          <w:sz w:val="24"/>
          <w:szCs w:val="24"/>
          <w:highlight w:val="none"/>
        </w:rPr>
        <w:t xml:space="preserve">  职务：</w:t>
      </w:r>
      <w:r>
        <w:rPr>
          <w:rFonts w:ascii="新宋体" w:hAnsi="新宋体" w:eastAsia="新宋体" w:cs="新宋体"/>
          <w:color w:val="auto"/>
          <w:spacing w:val="-7"/>
          <w:sz w:val="24"/>
          <w:szCs w:val="24"/>
          <w:highlight w:val="none"/>
          <w:u w:val="single" w:color="auto"/>
        </w:rPr>
        <w:t xml:space="preserve">              </w:t>
      </w:r>
    </w:p>
    <w:p w14:paraId="18B5B706">
      <w:pPr>
        <w:spacing w:line="184" w:lineRule="exact"/>
        <w:rPr>
          <w:color w:val="auto"/>
          <w:highlight w:val="none"/>
        </w:rPr>
      </w:pPr>
    </w:p>
    <w:tbl>
      <w:tblPr>
        <w:tblStyle w:val="16"/>
        <w:tblW w:w="4680" w:type="dxa"/>
        <w:tblInd w:w="506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80"/>
      </w:tblGrid>
      <w:tr w14:paraId="018281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80" w:type="dxa"/>
            <w:vAlign w:val="top"/>
          </w:tcPr>
          <w:p w14:paraId="772D7838">
            <w:pPr>
              <w:spacing w:line="312" w:lineRule="auto"/>
              <w:rPr>
                <w:rFonts w:ascii="Arial"/>
                <w:color w:val="auto"/>
                <w:sz w:val="21"/>
                <w:highlight w:val="none"/>
              </w:rPr>
            </w:pPr>
          </w:p>
          <w:p w14:paraId="03AAE205">
            <w:pPr>
              <w:spacing w:line="313" w:lineRule="auto"/>
              <w:rPr>
                <w:rFonts w:ascii="Arial"/>
                <w:color w:val="auto"/>
                <w:sz w:val="21"/>
                <w:highlight w:val="none"/>
              </w:rPr>
            </w:pPr>
          </w:p>
          <w:p w14:paraId="57D96AC0">
            <w:pPr>
              <w:spacing w:line="313" w:lineRule="auto"/>
              <w:rPr>
                <w:rFonts w:ascii="Arial"/>
                <w:color w:val="auto"/>
                <w:sz w:val="21"/>
                <w:highlight w:val="none"/>
              </w:rPr>
            </w:pPr>
          </w:p>
          <w:p w14:paraId="721F771A">
            <w:pPr>
              <w:pStyle w:val="17"/>
              <w:spacing w:before="117" w:line="224" w:lineRule="auto"/>
              <w:ind w:left="1283"/>
              <w:rPr>
                <w:color w:val="auto"/>
                <w:sz w:val="36"/>
                <w:szCs w:val="36"/>
                <w:highlight w:val="none"/>
              </w:rPr>
            </w:pPr>
            <w:r>
              <w:rPr>
                <w:color w:val="auto"/>
                <w:spacing w:val="-5"/>
                <w:sz w:val="36"/>
                <w:szCs w:val="36"/>
                <w:highlight w:val="none"/>
              </w:rPr>
              <w:t>代理人身份证</w:t>
            </w:r>
          </w:p>
          <w:p w14:paraId="51FD0F8D">
            <w:pPr>
              <w:pStyle w:val="17"/>
              <w:spacing w:before="30" w:line="225" w:lineRule="auto"/>
              <w:ind w:left="1636"/>
              <w:rPr>
                <w:color w:val="auto"/>
                <w:sz w:val="36"/>
                <w:szCs w:val="36"/>
                <w:highlight w:val="none"/>
              </w:rPr>
            </w:pPr>
            <w:r>
              <w:rPr>
                <w:color w:val="auto"/>
                <w:spacing w:val="-9"/>
                <w:sz w:val="36"/>
                <w:szCs w:val="36"/>
                <w:highlight w:val="none"/>
              </w:rPr>
              <w:t>（正面）</w:t>
            </w:r>
          </w:p>
        </w:tc>
      </w:tr>
    </w:tbl>
    <w:p w14:paraId="432F9E16">
      <w:pPr>
        <w:spacing w:line="164" w:lineRule="exact"/>
        <w:rPr>
          <w:color w:val="auto"/>
          <w:highlight w:val="none"/>
        </w:rPr>
      </w:pPr>
    </w:p>
    <w:tbl>
      <w:tblPr>
        <w:tblStyle w:val="16"/>
        <w:tblW w:w="4679" w:type="dxa"/>
        <w:tblInd w:w="504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79"/>
      </w:tblGrid>
      <w:tr w14:paraId="6F2170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79" w:type="dxa"/>
            <w:vAlign w:val="top"/>
          </w:tcPr>
          <w:p w14:paraId="7E65E9DE">
            <w:pPr>
              <w:spacing w:line="312" w:lineRule="auto"/>
              <w:rPr>
                <w:rFonts w:ascii="Arial"/>
                <w:color w:val="auto"/>
                <w:sz w:val="21"/>
                <w:highlight w:val="none"/>
              </w:rPr>
            </w:pPr>
          </w:p>
          <w:p w14:paraId="15A76DE2">
            <w:pPr>
              <w:spacing w:line="313" w:lineRule="auto"/>
              <w:rPr>
                <w:rFonts w:ascii="Arial"/>
                <w:color w:val="auto"/>
                <w:sz w:val="21"/>
                <w:highlight w:val="none"/>
              </w:rPr>
            </w:pPr>
          </w:p>
          <w:p w14:paraId="4B312D02">
            <w:pPr>
              <w:spacing w:line="313" w:lineRule="auto"/>
              <w:rPr>
                <w:rFonts w:ascii="Arial"/>
                <w:color w:val="auto"/>
                <w:sz w:val="21"/>
                <w:highlight w:val="none"/>
              </w:rPr>
            </w:pPr>
          </w:p>
          <w:p w14:paraId="2EEF765C">
            <w:pPr>
              <w:pStyle w:val="17"/>
              <w:spacing w:before="117" w:line="224" w:lineRule="auto"/>
              <w:ind w:left="1283"/>
              <w:rPr>
                <w:color w:val="auto"/>
                <w:sz w:val="36"/>
                <w:szCs w:val="36"/>
                <w:highlight w:val="none"/>
              </w:rPr>
            </w:pPr>
            <w:r>
              <w:rPr>
                <w:color w:val="auto"/>
                <w:spacing w:val="-5"/>
                <w:sz w:val="36"/>
                <w:szCs w:val="36"/>
                <w:highlight w:val="none"/>
              </w:rPr>
              <w:t>代理人身份证</w:t>
            </w:r>
          </w:p>
          <w:p w14:paraId="3C9DD1C0">
            <w:pPr>
              <w:pStyle w:val="17"/>
              <w:spacing w:before="30" w:line="225" w:lineRule="auto"/>
              <w:ind w:left="1636"/>
              <w:rPr>
                <w:color w:val="auto"/>
                <w:sz w:val="36"/>
                <w:szCs w:val="36"/>
                <w:highlight w:val="none"/>
              </w:rPr>
            </w:pPr>
            <w:r>
              <w:rPr>
                <w:color w:val="auto"/>
                <w:spacing w:val="-9"/>
                <w:sz w:val="36"/>
                <w:szCs w:val="36"/>
                <w:highlight w:val="none"/>
              </w:rPr>
              <w:t>（反面）</w:t>
            </w:r>
          </w:p>
        </w:tc>
      </w:tr>
    </w:tbl>
    <w:p w14:paraId="64C352F3">
      <w:pPr>
        <w:spacing w:line="304" w:lineRule="auto"/>
        <w:rPr>
          <w:rFonts w:ascii="Arial"/>
          <w:color w:val="auto"/>
          <w:sz w:val="21"/>
          <w:highlight w:val="none"/>
        </w:rPr>
      </w:pPr>
    </w:p>
    <w:p w14:paraId="241E679A">
      <w:pPr>
        <w:spacing w:line="305" w:lineRule="auto"/>
        <w:rPr>
          <w:rFonts w:ascii="Arial"/>
          <w:color w:val="auto"/>
          <w:sz w:val="21"/>
          <w:highlight w:val="none"/>
        </w:rPr>
      </w:pPr>
    </w:p>
    <w:p w14:paraId="071A99BA">
      <w:pPr>
        <w:spacing w:before="78" w:line="223" w:lineRule="auto"/>
        <w:ind w:left="183"/>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6129E5C0">
      <w:pPr>
        <w:spacing w:before="177" w:line="345" w:lineRule="auto"/>
        <w:ind w:left="234" w:right="2203"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76428CD2">
      <w:pPr>
        <w:spacing w:line="345" w:lineRule="auto"/>
        <w:rPr>
          <w:rFonts w:ascii="新宋体" w:hAnsi="新宋体" w:eastAsia="新宋体" w:cs="新宋体"/>
          <w:color w:val="auto"/>
          <w:sz w:val="24"/>
          <w:szCs w:val="24"/>
          <w:highlight w:val="none"/>
        </w:rPr>
        <w:sectPr>
          <w:footerReference r:id="rId19" w:type="default"/>
          <w:pgSz w:w="11905" w:h="16839"/>
          <w:pgMar w:top="1440" w:right="1800" w:bottom="1440" w:left="1800" w:header="0" w:footer="1090" w:gutter="0"/>
          <w:pgNumType w:fmt="decimal"/>
          <w:cols w:space="720" w:num="1"/>
        </w:sectPr>
      </w:pPr>
    </w:p>
    <w:p w14:paraId="0192DD17">
      <w:pPr>
        <w:pStyle w:val="4"/>
        <w:spacing w:before="120" w:line="188" w:lineRule="auto"/>
        <w:jc w:val="center"/>
        <w:rPr>
          <w:color w:val="auto"/>
          <w:sz w:val="28"/>
          <w:szCs w:val="28"/>
          <w:highlight w:val="none"/>
        </w:rPr>
      </w:pPr>
      <w:r>
        <w:rPr>
          <w:b/>
          <w:bCs/>
          <w:color w:val="auto"/>
          <w:spacing w:val="-5"/>
          <w:sz w:val="28"/>
          <w:szCs w:val="28"/>
          <w:highlight w:val="none"/>
        </w:rPr>
        <w:t>2、投标单位基本情况</w:t>
      </w:r>
    </w:p>
    <w:p w14:paraId="15895EEB">
      <w:pPr>
        <w:pStyle w:val="4"/>
        <w:spacing w:before="161" w:line="188" w:lineRule="auto"/>
        <w:jc w:val="center"/>
        <w:rPr>
          <w:color w:val="auto"/>
          <w:sz w:val="24"/>
          <w:szCs w:val="24"/>
          <w:highlight w:val="none"/>
        </w:rPr>
      </w:pPr>
      <w:r>
        <w:rPr>
          <w:b/>
          <w:bCs/>
          <w:color w:val="auto"/>
          <w:spacing w:val="-3"/>
          <w:sz w:val="24"/>
          <w:szCs w:val="24"/>
          <w:highlight w:val="none"/>
        </w:rPr>
        <w:t>企业信息一览表</w:t>
      </w:r>
    </w:p>
    <w:p w14:paraId="131E11C5">
      <w:pPr>
        <w:spacing w:line="106" w:lineRule="exact"/>
        <w:rPr>
          <w:color w:val="auto"/>
          <w:highlight w:val="none"/>
        </w:rPr>
      </w:pPr>
    </w:p>
    <w:tbl>
      <w:tblPr>
        <w:tblStyle w:val="16"/>
        <w:tblW w:w="96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9"/>
        <w:gridCol w:w="1216"/>
        <w:gridCol w:w="1216"/>
        <w:gridCol w:w="1216"/>
        <w:gridCol w:w="1216"/>
        <w:gridCol w:w="1216"/>
        <w:gridCol w:w="1862"/>
      </w:tblGrid>
      <w:tr w14:paraId="7D8AD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739" w:type="dxa"/>
            <w:vAlign w:val="top"/>
          </w:tcPr>
          <w:p w14:paraId="21DEAF40">
            <w:pPr>
              <w:spacing w:line="244" w:lineRule="auto"/>
              <w:rPr>
                <w:rFonts w:ascii="Arial"/>
                <w:color w:val="auto"/>
                <w:sz w:val="21"/>
                <w:highlight w:val="none"/>
              </w:rPr>
            </w:pPr>
          </w:p>
          <w:p w14:paraId="5371EE95">
            <w:pPr>
              <w:pStyle w:val="17"/>
              <w:spacing w:before="78" w:line="224" w:lineRule="auto"/>
              <w:ind w:left="158"/>
              <w:rPr>
                <w:color w:val="auto"/>
                <w:highlight w:val="none"/>
              </w:rPr>
            </w:pPr>
            <w:r>
              <w:rPr>
                <w:color w:val="auto"/>
                <w:spacing w:val="-3"/>
                <w:highlight w:val="none"/>
              </w:rPr>
              <w:t>投标单位名称</w:t>
            </w:r>
          </w:p>
        </w:tc>
        <w:tc>
          <w:tcPr>
            <w:tcW w:w="7942" w:type="dxa"/>
            <w:gridSpan w:val="6"/>
            <w:vAlign w:val="top"/>
          </w:tcPr>
          <w:p w14:paraId="1FAF8891">
            <w:pPr>
              <w:rPr>
                <w:rFonts w:ascii="Arial"/>
                <w:color w:val="auto"/>
                <w:sz w:val="21"/>
                <w:highlight w:val="none"/>
              </w:rPr>
            </w:pPr>
          </w:p>
        </w:tc>
      </w:tr>
      <w:tr w14:paraId="099E8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739" w:type="dxa"/>
            <w:vAlign w:val="top"/>
          </w:tcPr>
          <w:p w14:paraId="550523B1">
            <w:pPr>
              <w:spacing w:line="245" w:lineRule="auto"/>
              <w:rPr>
                <w:rFonts w:ascii="Arial"/>
                <w:color w:val="auto"/>
                <w:sz w:val="21"/>
                <w:highlight w:val="none"/>
              </w:rPr>
            </w:pPr>
          </w:p>
          <w:p w14:paraId="3EAB50E1">
            <w:pPr>
              <w:pStyle w:val="17"/>
              <w:spacing w:before="78" w:line="225" w:lineRule="auto"/>
              <w:ind w:left="405"/>
              <w:rPr>
                <w:color w:val="auto"/>
                <w:highlight w:val="none"/>
              </w:rPr>
            </w:pPr>
            <w:r>
              <w:rPr>
                <w:color w:val="auto"/>
                <w:spacing w:val="-5"/>
                <w:highlight w:val="none"/>
              </w:rPr>
              <w:t>注册地址</w:t>
            </w:r>
          </w:p>
        </w:tc>
        <w:tc>
          <w:tcPr>
            <w:tcW w:w="3648" w:type="dxa"/>
            <w:gridSpan w:val="3"/>
            <w:vAlign w:val="top"/>
          </w:tcPr>
          <w:p w14:paraId="5112606A">
            <w:pPr>
              <w:rPr>
                <w:rFonts w:ascii="Arial"/>
                <w:color w:val="auto"/>
                <w:sz w:val="21"/>
                <w:highlight w:val="none"/>
              </w:rPr>
            </w:pPr>
          </w:p>
        </w:tc>
        <w:tc>
          <w:tcPr>
            <w:tcW w:w="1216" w:type="dxa"/>
            <w:vAlign w:val="top"/>
          </w:tcPr>
          <w:p w14:paraId="2125CF92">
            <w:pPr>
              <w:spacing w:line="245" w:lineRule="auto"/>
              <w:rPr>
                <w:rFonts w:ascii="Arial"/>
                <w:color w:val="auto"/>
                <w:sz w:val="21"/>
                <w:highlight w:val="none"/>
              </w:rPr>
            </w:pPr>
          </w:p>
          <w:p w14:paraId="589E4337">
            <w:pPr>
              <w:pStyle w:val="17"/>
              <w:spacing w:before="78" w:line="224" w:lineRule="auto"/>
              <w:ind w:left="157"/>
              <w:rPr>
                <w:color w:val="auto"/>
                <w:highlight w:val="none"/>
              </w:rPr>
            </w:pPr>
            <w:r>
              <w:rPr>
                <w:color w:val="auto"/>
                <w:spacing w:val="-7"/>
                <w:highlight w:val="none"/>
              </w:rPr>
              <w:t>邮政编码</w:t>
            </w:r>
          </w:p>
        </w:tc>
        <w:tc>
          <w:tcPr>
            <w:tcW w:w="3078" w:type="dxa"/>
            <w:gridSpan w:val="2"/>
            <w:vAlign w:val="top"/>
          </w:tcPr>
          <w:p w14:paraId="24B78352">
            <w:pPr>
              <w:rPr>
                <w:rFonts w:ascii="Arial"/>
                <w:color w:val="auto"/>
                <w:sz w:val="21"/>
                <w:highlight w:val="none"/>
              </w:rPr>
            </w:pPr>
          </w:p>
        </w:tc>
      </w:tr>
      <w:tr w14:paraId="49E03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39" w:type="dxa"/>
            <w:vMerge w:val="restart"/>
            <w:tcBorders>
              <w:bottom w:val="nil"/>
            </w:tcBorders>
            <w:vAlign w:val="top"/>
          </w:tcPr>
          <w:p w14:paraId="3880B62E">
            <w:pPr>
              <w:spacing w:line="431" w:lineRule="auto"/>
              <w:rPr>
                <w:rFonts w:ascii="Arial"/>
                <w:color w:val="auto"/>
                <w:sz w:val="21"/>
                <w:highlight w:val="none"/>
              </w:rPr>
            </w:pPr>
          </w:p>
          <w:p w14:paraId="2D994B96">
            <w:pPr>
              <w:pStyle w:val="17"/>
              <w:spacing w:before="78" w:line="225" w:lineRule="auto"/>
              <w:ind w:left="396"/>
              <w:rPr>
                <w:color w:val="auto"/>
                <w:highlight w:val="none"/>
              </w:rPr>
            </w:pPr>
            <w:r>
              <w:rPr>
                <w:color w:val="auto"/>
                <w:spacing w:val="-3"/>
                <w:highlight w:val="none"/>
              </w:rPr>
              <w:t>联系方式</w:t>
            </w:r>
          </w:p>
        </w:tc>
        <w:tc>
          <w:tcPr>
            <w:tcW w:w="1216" w:type="dxa"/>
            <w:vAlign w:val="top"/>
          </w:tcPr>
          <w:p w14:paraId="53035D76">
            <w:pPr>
              <w:pStyle w:val="17"/>
              <w:spacing w:before="186" w:line="226" w:lineRule="auto"/>
              <w:ind w:left="253"/>
              <w:rPr>
                <w:color w:val="auto"/>
                <w:highlight w:val="none"/>
              </w:rPr>
            </w:pPr>
            <w:r>
              <w:rPr>
                <w:color w:val="auto"/>
                <w:spacing w:val="-3"/>
                <w:highlight w:val="none"/>
              </w:rPr>
              <w:t>联系人</w:t>
            </w:r>
          </w:p>
        </w:tc>
        <w:tc>
          <w:tcPr>
            <w:tcW w:w="2432" w:type="dxa"/>
            <w:gridSpan w:val="2"/>
            <w:vAlign w:val="top"/>
          </w:tcPr>
          <w:p w14:paraId="24EAC4CE">
            <w:pPr>
              <w:rPr>
                <w:rFonts w:ascii="Arial"/>
                <w:color w:val="auto"/>
                <w:sz w:val="21"/>
                <w:highlight w:val="none"/>
              </w:rPr>
            </w:pPr>
          </w:p>
        </w:tc>
        <w:tc>
          <w:tcPr>
            <w:tcW w:w="1216" w:type="dxa"/>
            <w:vAlign w:val="top"/>
          </w:tcPr>
          <w:p w14:paraId="067DE417">
            <w:pPr>
              <w:pStyle w:val="17"/>
              <w:spacing w:before="186" w:line="226" w:lineRule="auto"/>
              <w:ind w:left="137"/>
              <w:rPr>
                <w:color w:val="auto"/>
                <w:highlight w:val="none"/>
              </w:rPr>
            </w:pPr>
            <w:r>
              <w:rPr>
                <w:color w:val="auto"/>
                <w:spacing w:val="-3"/>
                <w:highlight w:val="none"/>
              </w:rPr>
              <w:t>联系电话</w:t>
            </w:r>
          </w:p>
        </w:tc>
        <w:tc>
          <w:tcPr>
            <w:tcW w:w="3078" w:type="dxa"/>
            <w:gridSpan w:val="2"/>
            <w:vAlign w:val="top"/>
          </w:tcPr>
          <w:p w14:paraId="37C7C48A">
            <w:pPr>
              <w:rPr>
                <w:rFonts w:ascii="Arial"/>
                <w:color w:val="auto"/>
                <w:sz w:val="21"/>
                <w:highlight w:val="none"/>
              </w:rPr>
            </w:pPr>
          </w:p>
        </w:tc>
      </w:tr>
      <w:tr w14:paraId="60F19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739" w:type="dxa"/>
            <w:vMerge w:val="continue"/>
            <w:tcBorders>
              <w:top w:val="nil"/>
            </w:tcBorders>
            <w:vAlign w:val="top"/>
          </w:tcPr>
          <w:p w14:paraId="7811F2B0">
            <w:pPr>
              <w:rPr>
                <w:rFonts w:ascii="Arial"/>
                <w:color w:val="auto"/>
                <w:sz w:val="21"/>
                <w:highlight w:val="none"/>
              </w:rPr>
            </w:pPr>
          </w:p>
        </w:tc>
        <w:tc>
          <w:tcPr>
            <w:tcW w:w="1216" w:type="dxa"/>
            <w:vAlign w:val="top"/>
          </w:tcPr>
          <w:p w14:paraId="4BDDAA20">
            <w:pPr>
              <w:pStyle w:val="17"/>
              <w:spacing w:before="199" w:line="223" w:lineRule="auto"/>
              <w:ind w:left="379"/>
              <w:rPr>
                <w:color w:val="auto"/>
                <w:highlight w:val="none"/>
              </w:rPr>
            </w:pPr>
            <w:r>
              <w:rPr>
                <w:color w:val="auto"/>
                <w:spacing w:val="-5"/>
                <w:highlight w:val="none"/>
              </w:rPr>
              <w:t>传真</w:t>
            </w:r>
          </w:p>
        </w:tc>
        <w:tc>
          <w:tcPr>
            <w:tcW w:w="2432" w:type="dxa"/>
            <w:gridSpan w:val="2"/>
            <w:vAlign w:val="top"/>
          </w:tcPr>
          <w:p w14:paraId="279B307A">
            <w:pPr>
              <w:rPr>
                <w:rFonts w:ascii="Arial"/>
                <w:color w:val="auto"/>
                <w:sz w:val="21"/>
                <w:highlight w:val="none"/>
              </w:rPr>
            </w:pPr>
          </w:p>
        </w:tc>
        <w:tc>
          <w:tcPr>
            <w:tcW w:w="1216" w:type="dxa"/>
            <w:vAlign w:val="top"/>
          </w:tcPr>
          <w:p w14:paraId="02AA24B7">
            <w:pPr>
              <w:pStyle w:val="17"/>
              <w:spacing w:before="199" w:line="224" w:lineRule="auto"/>
              <w:ind w:left="397"/>
              <w:rPr>
                <w:color w:val="auto"/>
                <w:highlight w:val="none"/>
              </w:rPr>
            </w:pPr>
            <w:r>
              <w:rPr>
                <w:color w:val="auto"/>
                <w:spacing w:val="-9"/>
                <w:highlight w:val="none"/>
              </w:rPr>
              <w:t>邮箱</w:t>
            </w:r>
          </w:p>
        </w:tc>
        <w:tc>
          <w:tcPr>
            <w:tcW w:w="3078" w:type="dxa"/>
            <w:gridSpan w:val="2"/>
            <w:vAlign w:val="top"/>
          </w:tcPr>
          <w:p w14:paraId="3C3D2326">
            <w:pPr>
              <w:rPr>
                <w:rFonts w:ascii="Arial"/>
                <w:color w:val="auto"/>
                <w:sz w:val="21"/>
                <w:highlight w:val="none"/>
              </w:rPr>
            </w:pPr>
          </w:p>
        </w:tc>
      </w:tr>
      <w:tr w14:paraId="7C037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739" w:type="dxa"/>
            <w:vAlign w:val="top"/>
          </w:tcPr>
          <w:p w14:paraId="1883874B">
            <w:pPr>
              <w:pStyle w:val="17"/>
              <w:spacing w:before="223" w:line="224" w:lineRule="auto"/>
              <w:ind w:left="399"/>
              <w:rPr>
                <w:color w:val="auto"/>
                <w:highlight w:val="none"/>
              </w:rPr>
            </w:pPr>
            <w:r>
              <w:rPr>
                <w:color w:val="auto"/>
                <w:spacing w:val="-4"/>
                <w:highlight w:val="none"/>
              </w:rPr>
              <w:t>企业性质</w:t>
            </w:r>
          </w:p>
        </w:tc>
        <w:tc>
          <w:tcPr>
            <w:tcW w:w="7942" w:type="dxa"/>
            <w:gridSpan w:val="6"/>
            <w:vAlign w:val="top"/>
          </w:tcPr>
          <w:p w14:paraId="556E7191">
            <w:pPr>
              <w:rPr>
                <w:rFonts w:ascii="Arial"/>
                <w:color w:val="auto"/>
                <w:sz w:val="21"/>
                <w:highlight w:val="none"/>
              </w:rPr>
            </w:pPr>
          </w:p>
        </w:tc>
      </w:tr>
      <w:tr w14:paraId="0872D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39" w:type="dxa"/>
            <w:vAlign w:val="top"/>
          </w:tcPr>
          <w:p w14:paraId="080E317C">
            <w:pPr>
              <w:pStyle w:val="17"/>
              <w:spacing w:before="160" w:line="224" w:lineRule="auto"/>
              <w:ind w:left="286"/>
              <w:rPr>
                <w:color w:val="auto"/>
                <w:highlight w:val="none"/>
              </w:rPr>
            </w:pPr>
            <w:r>
              <w:rPr>
                <w:color w:val="auto"/>
                <w:spacing w:val="-4"/>
                <w:highlight w:val="none"/>
              </w:rPr>
              <w:t>法定代表人</w:t>
            </w:r>
          </w:p>
        </w:tc>
        <w:tc>
          <w:tcPr>
            <w:tcW w:w="1216" w:type="dxa"/>
            <w:vAlign w:val="top"/>
          </w:tcPr>
          <w:p w14:paraId="142E3B44">
            <w:pPr>
              <w:pStyle w:val="17"/>
              <w:spacing w:before="160" w:line="224" w:lineRule="auto"/>
              <w:ind w:left="376"/>
              <w:rPr>
                <w:color w:val="auto"/>
                <w:highlight w:val="none"/>
              </w:rPr>
            </w:pPr>
            <w:r>
              <w:rPr>
                <w:color w:val="auto"/>
                <w:spacing w:val="-4"/>
                <w:highlight w:val="none"/>
              </w:rPr>
              <w:t>姓名</w:t>
            </w:r>
          </w:p>
        </w:tc>
        <w:tc>
          <w:tcPr>
            <w:tcW w:w="1216" w:type="dxa"/>
            <w:vAlign w:val="top"/>
          </w:tcPr>
          <w:p w14:paraId="4C4C59EE">
            <w:pPr>
              <w:rPr>
                <w:rFonts w:ascii="Arial"/>
                <w:color w:val="auto"/>
                <w:sz w:val="21"/>
                <w:highlight w:val="none"/>
              </w:rPr>
            </w:pPr>
          </w:p>
        </w:tc>
        <w:tc>
          <w:tcPr>
            <w:tcW w:w="1216" w:type="dxa"/>
            <w:vAlign w:val="top"/>
          </w:tcPr>
          <w:p w14:paraId="5B2E02FE">
            <w:pPr>
              <w:pStyle w:val="17"/>
              <w:spacing w:before="160" w:line="224" w:lineRule="auto"/>
              <w:ind w:left="139"/>
              <w:rPr>
                <w:color w:val="auto"/>
                <w:highlight w:val="none"/>
              </w:rPr>
            </w:pPr>
            <w:r>
              <w:rPr>
                <w:color w:val="auto"/>
                <w:spacing w:val="-4"/>
                <w:highlight w:val="none"/>
              </w:rPr>
              <w:t>技术职称</w:t>
            </w:r>
          </w:p>
        </w:tc>
        <w:tc>
          <w:tcPr>
            <w:tcW w:w="1216" w:type="dxa"/>
            <w:vAlign w:val="top"/>
          </w:tcPr>
          <w:p w14:paraId="00C49BCE">
            <w:pPr>
              <w:rPr>
                <w:rFonts w:ascii="Arial"/>
                <w:color w:val="auto"/>
                <w:sz w:val="21"/>
                <w:highlight w:val="none"/>
              </w:rPr>
            </w:pPr>
          </w:p>
        </w:tc>
        <w:tc>
          <w:tcPr>
            <w:tcW w:w="1216" w:type="dxa"/>
            <w:vAlign w:val="top"/>
          </w:tcPr>
          <w:p w14:paraId="771625B1">
            <w:pPr>
              <w:pStyle w:val="17"/>
              <w:spacing w:before="160" w:line="226" w:lineRule="auto"/>
              <w:ind w:left="408"/>
              <w:rPr>
                <w:color w:val="auto"/>
                <w:highlight w:val="none"/>
              </w:rPr>
            </w:pPr>
            <w:r>
              <w:rPr>
                <w:color w:val="auto"/>
                <w:spacing w:val="-11"/>
                <w:highlight w:val="none"/>
              </w:rPr>
              <w:t>电话</w:t>
            </w:r>
          </w:p>
        </w:tc>
        <w:tc>
          <w:tcPr>
            <w:tcW w:w="1862" w:type="dxa"/>
            <w:vAlign w:val="top"/>
          </w:tcPr>
          <w:p w14:paraId="468CCAD1">
            <w:pPr>
              <w:rPr>
                <w:rFonts w:ascii="Arial"/>
                <w:color w:val="auto"/>
                <w:sz w:val="21"/>
                <w:highlight w:val="none"/>
              </w:rPr>
            </w:pPr>
          </w:p>
        </w:tc>
      </w:tr>
      <w:tr w14:paraId="5340D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39" w:type="dxa"/>
            <w:vAlign w:val="top"/>
          </w:tcPr>
          <w:p w14:paraId="5F1263F0">
            <w:pPr>
              <w:pStyle w:val="17"/>
              <w:spacing w:before="183" w:line="224" w:lineRule="auto"/>
              <w:ind w:left="279"/>
              <w:rPr>
                <w:color w:val="auto"/>
                <w:highlight w:val="none"/>
              </w:rPr>
            </w:pPr>
            <w:r>
              <w:rPr>
                <w:color w:val="auto"/>
                <w:spacing w:val="-3"/>
                <w:highlight w:val="none"/>
              </w:rPr>
              <w:t>技术负责人</w:t>
            </w:r>
          </w:p>
        </w:tc>
        <w:tc>
          <w:tcPr>
            <w:tcW w:w="1216" w:type="dxa"/>
            <w:vAlign w:val="top"/>
          </w:tcPr>
          <w:p w14:paraId="6AFB2614">
            <w:pPr>
              <w:pStyle w:val="17"/>
              <w:spacing w:before="183" w:line="224" w:lineRule="auto"/>
              <w:ind w:left="376"/>
              <w:rPr>
                <w:color w:val="auto"/>
                <w:highlight w:val="none"/>
              </w:rPr>
            </w:pPr>
            <w:r>
              <w:rPr>
                <w:color w:val="auto"/>
                <w:spacing w:val="-4"/>
                <w:highlight w:val="none"/>
              </w:rPr>
              <w:t>姓名</w:t>
            </w:r>
          </w:p>
        </w:tc>
        <w:tc>
          <w:tcPr>
            <w:tcW w:w="1216" w:type="dxa"/>
            <w:vAlign w:val="top"/>
          </w:tcPr>
          <w:p w14:paraId="2FBE7809">
            <w:pPr>
              <w:rPr>
                <w:rFonts w:ascii="Arial"/>
                <w:color w:val="auto"/>
                <w:sz w:val="21"/>
                <w:highlight w:val="none"/>
              </w:rPr>
            </w:pPr>
          </w:p>
        </w:tc>
        <w:tc>
          <w:tcPr>
            <w:tcW w:w="1216" w:type="dxa"/>
            <w:vAlign w:val="top"/>
          </w:tcPr>
          <w:p w14:paraId="184ACB81">
            <w:pPr>
              <w:pStyle w:val="17"/>
              <w:spacing w:before="183" w:line="224" w:lineRule="auto"/>
              <w:ind w:left="139"/>
              <w:rPr>
                <w:color w:val="auto"/>
                <w:highlight w:val="none"/>
              </w:rPr>
            </w:pPr>
            <w:r>
              <w:rPr>
                <w:color w:val="auto"/>
                <w:spacing w:val="-4"/>
                <w:highlight w:val="none"/>
              </w:rPr>
              <w:t>技术职称</w:t>
            </w:r>
          </w:p>
        </w:tc>
        <w:tc>
          <w:tcPr>
            <w:tcW w:w="1216" w:type="dxa"/>
            <w:vAlign w:val="top"/>
          </w:tcPr>
          <w:p w14:paraId="6AC0F6CD">
            <w:pPr>
              <w:rPr>
                <w:rFonts w:ascii="Arial"/>
                <w:color w:val="auto"/>
                <w:sz w:val="21"/>
                <w:highlight w:val="none"/>
              </w:rPr>
            </w:pPr>
          </w:p>
        </w:tc>
        <w:tc>
          <w:tcPr>
            <w:tcW w:w="1216" w:type="dxa"/>
            <w:vAlign w:val="top"/>
          </w:tcPr>
          <w:p w14:paraId="72DAB2DF">
            <w:pPr>
              <w:pStyle w:val="17"/>
              <w:spacing w:before="183" w:line="226" w:lineRule="auto"/>
              <w:ind w:left="408"/>
              <w:rPr>
                <w:color w:val="auto"/>
                <w:highlight w:val="none"/>
              </w:rPr>
            </w:pPr>
            <w:r>
              <w:rPr>
                <w:color w:val="auto"/>
                <w:spacing w:val="-11"/>
                <w:highlight w:val="none"/>
              </w:rPr>
              <w:t>电话</w:t>
            </w:r>
          </w:p>
        </w:tc>
        <w:tc>
          <w:tcPr>
            <w:tcW w:w="1862" w:type="dxa"/>
            <w:vAlign w:val="top"/>
          </w:tcPr>
          <w:p w14:paraId="16022152">
            <w:pPr>
              <w:rPr>
                <w:rFonts w:ascii="Arial"/>
                <w:color w:val="auto"/>
                <w:sz w:val="21"/>
                <w:highlight w:val="none"/>
              </w:rPr>
            </w:pPr>
          </w:p>
        </w:tc>
      </w:tr>
      <w:tr w14:paraId="16B61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739" w:type="dxa"/>
            <w:vAlign w:val="top"/>
          </w:tcPr>
          <w:p w14:paraId="5804FE10">
            <w:pPr>
              <w:pStyle w:val="17"/>
              <w:spacing w:before="230" w:line="225" w:lineRule="auto"/>
              <w:ind w:left="402"/>
              <w:rPr>
                <w:color w:val="auto"/>
                <w:highlight w:val="none"/>
              </w:rPr>
            </w:pPr>
            <w:r>
              <w:rPr>
                <w:color w:val="auto"/>
                <w:spacing w:val="-4"/>
                <w:highlight w:val="none"/>
              </w:rPr>
              <w:t>成立时间</w:t>
            </w:r>
          </w:p>
        </w:tc>
        <w:tc>
          <w:tcPr>
            <w:tcW w:w="2432" w:type="dxa"/>
            <w:gridSpan w:val="2"/>
            <w:vAlign w:val="top"/>
          </w:tcPr>
          <w:p w14:paraId="0515B914">
            <w:pPr>
              <w:rPr>
                <w:rFonts w:ascii="Arial"/>
                <w:color w:val="auto"/>
                <w:sz w:val="21"/>
                <w:highlight w:val="none"/>
              </w:rPr>
            </w:pPr>
          </w:p>
        </w:tc>
        <w:tc>
          <w:tcPr>
            <w:tcW w:w="5510" w:type="dxa"/>
            <w:gridSpan w:val="4"/>
            <w:vAlign w:val="top"/>
          </w:tcPr>
          <w:p w14:paraId="2794555E">
            <w:pPr>
              <w:pStyle w:val="17"/>
              <w:spacing w:before="229" w:line="224" w:lineRule="auto"/>
              <w:ind w:left="136"/>
              <w:rPr>
                <w:color w:val="auto"/>
                <w:highlight w:val="none"/>
              </w:rPr>
            </w:pPr>
            <w:r>
              <w:rPr>
                <w:color w:val="auto"/>
                <w:spacing w:val="-13"/>
                <w:highlight w:val="none"/>
              </w:rPr>
              <w:t>员工总人数：</w:t>
            </w:r>
          </w:p>
        </w:tc>
      </w:tr>
      <w:tr w14:paraId="4F83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739" w:type="dxa"/>
            <w:vAlign w:val="top"/>
          </w:tcPr>
          <w:p w14:paraId="7BEEB0E5">
            <w:pPr>
              <w:pStyle w:val="17"/>
              <w:spacing w:before="201" w:line="224" w:lineRule="auto"/>
              <w:ind w:left="285"/>
              <w:rPr>
                <w:color w:val="auto"/>
                <w:highlight w:val="none"/>
              </w:rPr>
            </w:pPr>
            <w:r>
              <w:rPr>
                <w:color w:val="auto"/>
                <w:spacing w:val="-4"/>
                <w:highlight w:val="none"/>
              </w:rPr>
              <w:t>营业执照号</w:t>
            </w:r>
          </w:p>
        </w:tc>
        <w:tc>
          <w:tcPr>
            <w:tcW w:w="7942" w:type="dxa"/>
            <w:gridSpan w:val="6"/>
            <w:vAlign w:val="top"/>
          </w:tcPr>
          <w:p w14:paraId="29087238">
            <w:pPr>
              <w:rPr>
                <w:rFonts w:ascii="Arial"/>
                <w:color w:val="auto"/>
                <w:sz w:val="21"/>
                <w:highlight w:val="none"/>
              </w:rPr>
            </w:pPr>
          </w:p>
        </w:tc>
      </w:tr>
      <w:tr w14:paraId="13D24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739" w:type="dxa"/>
            <w:vAlign w:val="top"/>
          </w:tcPr>
          <w:p w14:paraId="113A9F08">
            <w:pPr>
              <w:pStyle w:val="17"/>
              <w:spacing w:before="232" w:line="225" w:lineRule="auto"/>
              <w:ind w:left="405"/>
              <w:rPr>
                <w:color w:val="auto"/>
                <w:highlight w:val="none"/>
              </w:rPr>
            </w:pPr>
            <w:r>
              <w:rPr>
                <w:color w:val="auto"/>
                <w:spacing w:val="-5"/>
                <w:highlight w:val="none"/>
              </w:rPr>
              <w:t>注册时间</w:t>
            </w:r>
          </w:p>
        </w:tc>
        <w:tc>
          <w:tcPr>
            <w:tcW w:w="7942" w:type="dxa"/>
            <w:gridSpan w:val="6"/>
            <w:vAlign w:val="top"/>
          </w:tcPr>
          <w:p w14:paraId="4D158F08">
            <w:pPr>
              <w:rPr>
                <w:rFonts w:ascii="Arial"/>
                <w:color w:val="auto"/>
                <w:sz w:val="21"/>
                <w:highlight w:val="none"/>
              </w:rPr>
            </w:pPr>
          </w:p>
        </w:tc>
      </w:tr>
      <w:tr w14:paraId="347C0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739" w:type="dxa"/>
            <w:vAlign w:val="top"/>
          </w:tcPr>
          <w:p w14:paraId="4E38084D">
            <w:pPr>
              <w:pStyle w:val="17"/>
              <w:spacing w:before="227" w:line="224" w:lineRule="auto"/>
              <w:ind w:left="398"/>
              <w:rPr>
                <w:color w:val="auto"/>
                <w:highlight w:val="none"/>
              </w:rPr>
            </w:pPr>
            <w:r>
              <w:rPr>
                <w:color w:val="auto"/>
                <w:spacing w:val="-3"/>
                <w:highlight w:val="none"/>
              </w:rPr>
              <w:t>开户银行</w:t>
            </w:r>
          </w:p>
        </w:tc>
        <w:tc>
          <w:tcPr>
            <w:tcW w:w="7942" w:type="dxa"/>
            <w:gridSpan w:val="6"/>
            <w:vAlign w:val="top"/>
          </w:tcPr>
          <w:p w14:paraId="246ECC5D">
            <w:pPr>
              <w:rPr>
                <w:rFonts w:ascii="Arial"/>
                <w:color w:val="auto"/>
                <w:sz w:val="21"/>
                <w:highlight w:val="none"/>
              </w:rPr>
            </w:pPr>
          </w:p>
        </w:tc>
      </w:tr>
      <w:tr w14:paraId="79C8E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739" w:type="dxa"/>
            <w:vAlign w:val="top"/>
          </w:tcPr>
          <w:p w14:paraId="6C9D01D6">
            <w:pPr>
              <w:pStyle w:val="17"/>
              <w:spacing w:before="257" w:line="224" w:lineRule="auto"/>
              <w:ind w:left="399"/>
              <w:rPr>
                <w:color w:val="auto"/>
                <w:highlight w:val="none"/>
              </w:rPr>
            </w:pPr>
            <w:r>
              <w:rPr>
                <w:color w:val="auto"/>
                <w:spacing w:val="-4"/>
                <w:highlight w:val="none"/>
              </w:rPr>
              <w:t>银行账号</w:t>
            </w:r>
          </w:p>
        </w:tc>
        <w:tc>
          <w:tcPr>
            <w:tcW w:w="7942" w:type="dxa"/>
            <w:gridSpan w:val="6"/>
            <w:vAlign w:val="top"/>
          </w:tcPr>
          <w:p w14:paraId="24C5B4C9">
            <w:pPr>
              <w:rPr>
                <w:rFonts w:ascii="Arial"/>
                <w:color w:val="auto"/>
                <w:sz w:val="21"/>
                <w:highlight w:val="none"/>
              </w:rPr>
            </w:pPr>
          </w:p>
        </w:tc>
      </w:tr>
      <w:tr w14:paraId="1F311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1739" w:type="dxa"/>
            <w:vAlign w:val="top"/>
          </w:tcPr>
          <w:p w14:paraId="3AB6AE0D">
            <w:pPr>
              <w:spacing w:line="251" w:lineRule="auto"/>
              <w:rPr>
                <w:rFonts w:ascii="Arial"/>
                <w:color w:val="auto"/>
                <w:sz w:val="21"/>
                <w:highlight w:val="none"/>
              </w:rPr>
            </w:pPr>
          </w:p>
          <w:p w14:paraId="0E0A1192">
            <w:pPr>
              <w:spacing w:line="252" w:lineRule="auto"/>
              <w:rPr>
                <w:rFonts w:ascii="Arial"/>
                <w:color w:val="auto"/>
                <w:sz w:val="21"/>
                <w:highlight w:val="none"/>
              </w:rPr>
            </w:pPr>
          </w:p>
          <w:p w14:paraId="14C73B07">
            <w:pPr>
              <w:spacing w:line="252" w:lineRule="auto"/>
              <w:rPr>
                <w:rFonts w:ascii="Arial"/>
                <w:color w:val="auto"/>
                <w:sz w:val="21"/>
                <w:highlight w:val="none"/>
              </w:rPr>
            </w:pPr>
          </w:p>
          <w:p w14:paraId="49E19179">
            <w:pPr>
              <w:pStyle w:val="17"/>
              <w:spacing w:before="78" w:line="224" w:lineRule="auto"/>
              <w:ind w:left="158"/>
              <w:rPr>
                <w:color w:val="auto"/>
                <w:highlight w:val="none"/>
              </w:rPr>
            </w:pPr>
            <w:r>
              <w:rPr>
                <w:color w:val="auto"/>
                <w:spacing w:val="-3"/>
                <w:highlight w:val="none"/>
              </w:rPr>
              <w:t>经营范围备注</w:t>
            </w:r>
          </w:p>
        </w:tc>
        <w:tc>
          <w:tcPr>
            <w:tcW w:w="7942" w:type="dxa"/>
            <w:gridSpan w:val="6"/>
            <w:vAlign w:val="top"/>
          </w:tcPr>
          <w:p w14:paraId="02AA30B7">
            <w:pPr>
              <w:rPr>
                <w:rFonts w:ascii="Arial"/>
                <w:color w:val="auto"/>
                <w:sz w:val="21"/>
                <w:highlight w:val="none"/>
              </w:rPr>
            </w:pPr>
          </w:p>
        </w:tc>
      </w:tr>
    </w:tbl>
    <w:p w14:paraId="4A6DDEDD">
      <w:pPr>
        <w:rPr>
          <w:rFonts w:ascii="Arial"/>
          <w:color w:val="auto"/>
          <w:sz w:val="21"/>
          <w:highlight w:val="none"/>
        </w:rPr>
      </w:pPr>
    </w:p>
    <w:p w14:paraId="2166BFF3">
      <w:pPr>
        <w:rPr>
          <w:rFonts w:ascii="Arial" w:hAnsi="Arial" w:eastAsia="Arial" w:cs="Arial"/>
          <w:color w:val="auto"/>
          <w:sz w:val="21"/>
          <w:szCs w:val="21"/>
          <w:highlight w:val="none"/>
        </w:rPr>
        <w:sectPr>
          <w:footerReference r:id="rId20" w:type="default"/>
          <w:pgSz w:w="11905" w:h="16839"/>
          <w:pgMar w:top="1440" w:right="1800" w:bottom="1440" w:left="1800" w:header="0" w:footer="1090" w:gutter="0"/>
          <w:pgNumType w:fmt="decimal"/>
          <w:cols w:space="720" w:num="1"/>
        </w:sectPr>
      </w:pPr>
    </w:p>
    <w:p w14:paraId="157BE20E">
      <w:pPr>
        <w:spacing w:line="319" w:lineRule="auto"/>
        <w:rPr>
          <w:rFonts w:ascii="Arial"/>
          <w:color w:val="auto"/>
          <w:sz w:val="21"/>
          <w:highlight w:val="none"/>
        </w:rPr>
      </w:pPr>
    </w:p>
    <w:p w14:paraId="4AF3D4AC">
      <w:pPr>
        <w:spacing w:line="319" w:lineRule="auto"/>
        <w:rPr>
          <w:rFonts w:ascii="Arial"/>
          <w:color w:val="auto"/>
          <w:sz w:val="21"/>
          <w:highlight w:val="none"/>
        </w:rPr>
      </w:pPr>
    </w:p>
    <w:p w14:paraId="36872A1E">
      <w:pPr>
        <w:spacing w:line="319" w:lineRule="auto"/>
        <w:rPr>
          <w:rFonts w:ascii="Arial"/>
          <w:color w:val="auto"/>
          <w:sz w:val="21"/>
          <w:highlight w:val="none"/>
        </w:rPr>
      </w:pPr>
    </w:p>
    <w:p w14:paraId="21434F65">
      <w:pPr>
        <w:pStyle w:val="4"/>
        <w:spacing w:before="120" w:line="188" w:lineRule="auto"/>
        <w:ind w:left="2012"/>
        <w:rPr>
          <w:color w:val="auto"/>
          <w:sz w:val="28"/>
          <w:szCs w:val="28"/>
          <w:highlight w:val="none"/>
        </w:rPr>
      </w:pPr>
      <w:r>
        <w:rPr>
          <w:b/>
          <w:bCs/>
          <w:color w:val="auto"/>
          <w:spacing w:val="-3"/>
          <w:sz w:val="28"/>
          <w:szCs w:val="28"/>
          <w:highlight w:val="none"/>
        </w:rPr>
        <w:t>3、投标保证金打款凭证或投标保函</w:t>
      </w:r>
    </w:p>
    <w:p w14:paraId="71D3077E">
      <w:pPr>
        <w:spacing w:before="157" w:line="224" w:lineRule="auto"/>
        <w:ind w:left="2500"/>
        <w:rPr>
          <w:rFonts w:ascii="新宋体" w:hAnsi="新宋体" w:eastAsia="新宋体" w:cs="新宋体"/>
          <w:color w:val="auto"/>
          <w:sz w:val="21"/>
          <w:szCs w:val="21"/>
          <w:highlight w:val="none"/>
        </w:rPr>
      </w:pPr>
      <w:r>
        <w:rPr>
          <w:rFonts w:ascii="新宋体" w:hAnsi="新宋体" w:eastAsia="新宋体" w:cs="新宋体"/>
          <w:color w:val="auto"/>
          <w:spacing w:val="-2"/>
          <w:sz w:val="21"/>
          <w:szCs w:val="21"/>
          <w:highlight w:val="none"/>
        </w:rPr>
        <w:t>（投标保证金打款凭证或保函凭证）</w:t>
      </w:r>
    </w:p>
    <w:p w14:paraId="7672E886">
      <w:pPr>
        <w:spacing w:line="224" w:lineRule="auto"/>
        <w:rPr>
          <w:rFonts w:ascii="新宋体" w:hAnsi="新宋体" w:eastAsia="新宋体" w:cs="新宋体"/>
          <w:color w:val="auto"/>
          <w:sz w:val="21"/>
          <w:szCs w:val="21"/>
          <w:highlight w:val="none"/>
        </w:rPr>
        <w:sectPr>
          <w:footerReference r:id="rId21" w:type="default"/>
          <w:pgSz w:w="11905" w:h="16839"/>
          <w:pgMar w:top="1440" w:right="1800" w:bottom="1440" w:left="1800" w:header="0" w:footer="1090" w:gutter="0"/>
          <w:pgNumType w:fmt="decimal"/>
          <w:cols w:space="720" w:num="1"/>
        </w:sectPr>
      </w:pPr>
    </w:p>
    <w:p w14:paraId="2A92AAF8">
      <w:pPr>
        <w:pStyle w:val="4"/>
        <w:spacing w:before="120" w:line="188" w:lineRule="auto"/>
        <w:jc w:val="center"/>
        <w:rPr>
          <w:color w:val="auto"/>
          <w:sz w:val="28"/>
          <w:szCs w:val="28"/>
          <w:highlight w:val="none"/>
        </w:rPr>
      </w:pPr>
      <w:r>
        <w:rPr>
          <w:b/>
          <w:bCs/>
          <w:color w:val="auto"/>
          <w:spacing w:val="-3"/>
          <w:sz w:val="28"/>
          <w:szCs w:val="28"/>
          <w:highlight w:val="none"/>
        </w:rPr>
        <w:t>4、商务条款响应/偏离表</w:t>
      </w:r>
    </w:p>
    <w:p w14:paraId="78AA4E9C">
      <w:pPr>
        <w:spacing w:before="162"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投标单位名称（公章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3"/>
          <w:sz w:val="24"/>
          <w:szCs w:val="24"/>
          <w:highlight w:val="none"/>
        </w:rPr>
        <w:t xml:space="preserve"> </w:t>
      </w:r>
      <w:r>
        <w:rPr>
          <w:rFonts w:ascii="新宋体" w:hAnsi="新宋体" w:eastAsia="新宋体" w:cs="新宋体"/>
          <w:color w:val="auto"/>
          <w:spacing w:val="-3"/>
          <w:sz w:val="24"/>
          <w:szCs w:val="24"/>
          <w:highlight w:val="none"/>
        </w:rPr>
        <w:t>项目编码：</w:t>
      </w:r>
      <w:r>
        <w:rPr>
          <w:rFonts w:ascii="新宋体" w:hAnsi="新宋体" w:eastAsia="新宋体" w:cs="新宋体"/>
          <w:color w:val="auto"/>
          <w:sz w:val="24"/>
          <w:szCs w:val="24"/>
          <w:highlight w:val="none"/>
          <w:u w:val="single" w:color="auto"/>
        </w:rPr>
        <w:t xml:space="preserve">                     </w:t>
      </w:r>
    </w:p>
    <w:p w14:paraId="5C900E09">
      <w:pPr>
        <w:spacing w:before="17"/>
        <w:rPr>
          <w:color w:val="auto"/>
          <w:highlight w:val="none"/>
        </w:rPr>
      </w:pPr>
    </w:p>
    <w:tbl>
      <w:tblPr>
        <w:tblStyle w:val="16"/>
        <w:tblW w:w="9694"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2157"/>
        <w:gridCol w:w="2124"/>
        <w:gridCol w:w="1678"/>
        <w:gridCol w:w="2028"/>
      </w:tblGrid>
      <w:tr w14:paraId="2E331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707" w:type="dxa"/>
            <w:vAlign w:val="top"/>
          </w:tcPr>
          <w:p w14:paraId="59064B0B">
            <w:pPr>
              <w:pStyle w:val="17"/>
              <w:spacing w:before="222" w:line="225" w:lineRule="auto"/>
              <w:ind w:left="622"/>
              <w:rPr>
                <w:color w:val="auto"/>
                <w:highlight w:val="none"/>
              </w:rPr>
            </w:pPr>
            <w:r>
              <w:rPr>
                <w:color w:val="auto"/>
                <w:spacing w:val="-4"/>
                <w:highlight w:val="none"/>
              </w:rPr>
              <w:t>序号</w:t>
            </w:r>
          </w:p>
        </w:tc>
        <w:tc>
          <w:tcPr>
            <w:tcW w:w="2157" w:type="dxa"/>
            <w:vAlign w:val="top"/>
          </w:tcPr>
          <w:p w14:paraId="6DC95674">
            <w:pPr>
              <w:pStyle w:val="17"/>
              <w:spacing w:before="221" w:line="224" w:lineRule="auto"/>
              <w:ind w:left="367"/>
              <w:rPr>
                <w:color w:val="auto"/>
                <w:highlight w:val="none"/>
              </w:rPr>
            </w:pPr>
            <w:r>
              <w:rPr>
                <w:color w:val="auto"/>
                <w:spacing w:val="-3"/>
                <w:highlight w:val="none"/>
              </w:rPr>
              <w:t>招标文件要求</w:t>
            </w:r>
          </w:p>
        </w:tc>
        <w:tc>
          <w:tcPr>
            <w:tcW w:w="2124" w:type="dxa"/>
            <w:vAlign w:val="top"/>
          </w:tcPr>
          <w:p w14:paraId="15361D01">
            <w:pPr>
              <w:pStyle w:val="17"/>
              <w:spacing w:before="221" w:line="224" w:lineRule="auto"/>
              <w:ind w:left="353"/>
              <w:rPr>
                <w:color w:val="auto"/>
                <w:highlight w:val="none"/>
              </w:rPr>
            </w:pPr>
            <w:r>
              <w:rPr>
                <w:color w:val="auto"/>
                <w:spacing w:val="-3"/>
                <w:highlight w:val="none"/>
              </w:rPr>
              <w:t>投标文件响应</w:t>
            </w:r>
          </w:p>
        </w:tc>
        <w:tc>
          <w:tcPr>
            <w:tcW w:w="1678" w:type="dxa"/>
            <w:vAlign w:val="top"/>
          </w:tcPr>
          <w:p w14:paraId="67BA9BFE">
            <w:pPr>
              <w:pStyle w:val="17"/>
              <w:spacing w:before="221" w:line="224" w:lineRule="auto"/>
              <w:ind w:left="320"/>
              <w:rPr>
                <w:color w:val="auto"/>
                <w:highlight w:val="none"/>
              </w:rPr>
            </w:pPr>
            <w:r>
              <w:rPr>
                <w:color w:val="auto"/>
                <w:spacing w:val="-4"/>
                <w:highlight w:val="none"/>
              </w:rPr>
              <w:t>响应/偏离</w:t>
            </w:r>
          </w:p>
        </w:tc>
        <w:tc>
          <w:tcPr>
            <w:tcW w:w="2028" w:type="dxa"/>
            <w:vAlign w:val="top"/>
          </w:tcPr>
          <w:p w14:paraId="60D1534C">
            <w:pPr>
              <w:pStyle w:val="17"/>
              <w:spacing w:before="221" w:line="224" w:lineRule="auto"/>
              <w:ind w:left="788"/>
              <w:rPr>
                <w:color w:val="auto"/>
                <w:highlight w:val="none"/>
              </w:rPr>
            </w:pPr>
            <w:r>
              <w:rPr>
                <w:color w:val="auto"/>
                <w:spacing w:val="-5"/>
                <w:highlight w:val="none"/>
              </w:rPr>
              <w:t>说明</w:t>
            </w:r>
          </w:p>
        </w:tc>
      </w:tr>
      <w:tr w14:paraId="2E093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707" w:type="dxa"/>
            <w:vAlign w:val="top"/>
          </w:tcPr>
          <w:p w14:paraId="5ED3CE2D">
            <w:pPr>
              <w:pStyle w:val="17"/>
              <w:spacing w:before="262" w:line="182" w:lineRule="auto"/>
              <w:ind w:left="813"/>
              <w:rPr>
                <w:color w:val="auto"/>
                <w:highlight w:val="none"/>
              </w:rPr>
            </w:pPr>
            <w:r>
              <w:rPr>
                <w:color w:val="auto"/>
                <w:highlight w:val="none"/>
              </w:rPr>
              <w:t>1</w:t>
            </w:r>
          </w:p>
        </w:tc>
        <w:tc>
          <w:tcPr>
            <w:tcW w:w="2157" w:type="dxa"/>
            <w:vAlign w:val="top"/>
          </w:tcPr>
          <w:p w14:paraId="449CEE83">
            <w:pPr>
              <w:rPr>
                <w:rFonts w:ascii="Arial"/>
                <w:color w:val="auto"/>
                <w:sz w:val="21"/>
                <w:highlight w:val="none"/>
              </w:rPr>
            </w:pPr>
          </w:p>
        </w:tc>
        <w:tc>
          <w:tcPr>
            <w:tcW w:w="2124" w:type="dxa"/>
            <w:vAlign w:val="top"/>
          </w:tcPr>
          <w:p w14:paraId="422611DB">
            <w:pPr>
              <w:rPr>
                <w:rFonts w:ascii="Arial"/>
                <w:color w:val="auto"/>
                <w:sz w:val="21"/>
                <w:highlight w:val="none"/>
              </w:rPr>
            </w:pPr>
          </w:p>
        </w:tc>
        <w:tc>
          <w:tcPr>
            <w:tcW w:w="1678" w:type="dxa"/>
            <w:vAlign w:val="top"/>
          </w:tcPr>
          <w:p w14:paraId="1B1E689D">
            <w:pPr>
              <w:rPr>
                <w:rFonts w:ascii="Arial"/>
                <w:color w:val="auto"/>
                <w:sz w:val="21"/>
                <w:highlight w:val="none"/>
              </w:rPr>
            </w:pPr>
          </w:p>
        </w:tc>
        <w:tc>
          <w:tcPr>
            <w:tcW w:w="2028" w:type="dxa"/>
            <w:vAlign w:val="top"/>
          </w:tcPr>
          <w:p w14:paraId="203DB19F">
            <w:pPr>
              <w:rPr>
                <w:rFonts w:ascii="Arial"/>
                <w:color w:val="auto"/>
                <w:sz w:val="21"/>
                <w:highlight w:val="none"/>
              </w:rPr>
            </w:pPr>
          </w:p>
        </w:tc>
      </w:tr>
      <w:tr w14:paraId="128D6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07" w:type="dxa"/>
            <w:vAlign w:val="top"/>
          </w:tcPr>
          <w:p w14:paraId="6EF830A8">
            <w:pPr>
              <w:pStyle w:val="17"/>
              <w:spacing w:before="265" w:line="181" w:lineRule="auto"/>
              <w:ind w:left="798"/>
              <w:rPr>
                <w:color w:val="auto"/>
                <w:highlight w:val="none"/>
              </w:rPr>
            </w:pPr>
            <w:r>
              <w:rPr>
                <w:color w:val="auto"/>
                <w:highlight w:val="none"/>
              </w:rPr>
              <w:t>2</w:t>
            </w:r>
          </w:p>
        </w:tc>
        <w:tc>
          <w:tcPr>
            <w:tcW w:w="2157" w:type="dxa"/>
            <w:vAlign w:val="top"/>
          </w:tcPr>
          <w:p w14:paraId="77D66B7F">
            <w:pPr>
              <w:rPr>
                <w:rFonts w:ascii="Arial"/>
                <w:color w:val="auto"/>
                <w:sz w:val="21"/>
                <w:highlight w:val="none"/>
              </w:rPr>
            </w:pPr>
          </w:p>
        </w:tc>
        <w:tc>
          <w:tcPr>
            <w:tcW w:w="2124" w:type="dxa"/>
            <w:vAlign w:val="top"/>
          </w:tcPr>
          <w:p w14:paraId="473B1CEA">
            <w:pPr>
              <w:rPr>
                <w:rFonts w:ascii="Arial"/>
                <w:color w:val="auto"/>
                <w:sz w:val="21"/>
                <w:highlight w:val="none"/>
              </w:rPr>
            </w:pPr>
          </w:p>
        </w:tc>
        <w:tc>
          <w:tcPr>
            <w:tcW w:w="1678" w:type="dxa"/>
            <w:vAlign w:val="top"/>
          </w:tcPr>
          <w:p w14:paraId="5BD2CC32">
            <w:pPr>
              <w:rPr>
                <w:rFonts w:ascii="Arial"/>
                <w:color w:val="auto"/>
                <w:sz w:val="21"/>
                <w:highlight w:val="none"/>
              </w:rPr>
            </w:pPr>
          </w:p>
        </w:tc>
        <w:tc>
          <w:tcPr>
            <w:tcW w:w="2028" w:type="dxa"/>
            <w:vAlign w:val="top"/>
          </w:tcPr>
          <w:p w14:paraId="22EADBF0">
            <w:pPr>
              <w:rPr>
                <w:rFonts w:ascii="Arial"/>
                <w:color w:val="auto"/>
                <w:sz w:val="21"/>
                <w:highlight w:val="none"/>
              </w:rPr>
            </w:pPr>
          </w:p>
        </w:tc>
      </w:tr>
      <w:tr w14:paraId="43E0C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07" w:type="dxa"/>
            <w:vAlign w:val="top"/>
          </w:tcPr>
          <w:p w14:paraId="5FD8125A">
            <w:pPr>
              <w:pStyle w:val="17"/>
              <w:spacing w:before="266" w:line="181" w:lineRule="auto"/>
              <w:ind w:left="800"/>
              <w:rPr>
                <w:color w:val="auto"/>
                <w:highlight w:val="none"/>
              </w:rPr>
            </w:pPr>
            <w:r>
              <w:rPr>
                <w:color w:val="auto"/>
                <w:highlight w:val="none"/>
              </w:rPr>
              <w:t>3</w:t>
            </w:r>
          </w:p>
        </w:tc>
        <w:tc>
          <w:tcPr>
            <w:tcW w:w="2157" w:type="dxa"/>
            <w:vAlign w:val="top"/>
          </w:tcPr>
          <w:p w14:paraId="7518F882">
            <w:pPr>
              <w:rPr>
                <w:rFonts w:ascii="Arial"/>
                <w:color w:val="auto"/>
                <w:sz w:val="21"/>
                <w:highlight w:val="none"/>
              </w:rPr>
            </w:pPr>
          </w:p>
        </w:tc>
        <w:tc>
          <w:tcPr>
            <w:tcW w:w="2124" w:type="dxa"/>
            <w:vAlign w:val="top"/>
          </w:tcPr>
          <w:p w14:paraId="477CC809">
            <w:pPr>
              <w:rPr>
                <w:rFonts w:ascii="Arial"/>
                <w:color w:val="auto"/>
                <w:sz w:val="21"/>
                <w:highlight w:val="none"/>
              </w:rPr>
            </w:pPr>
          </w:p>
        </w:tc>
        <w:tc>
          <w:tcPr>
            <w:tcW w:w="1678" w:type="dxa"/>
            <w:vAlign w:val="top"/>
          </w:tcPr>
          <w:p w14:paraId="087B8D1B">
            <w:pPr>
              <w:rPr>
                <w:rFonts w:ascii="Arial"/>
                <w:color w:val="auto"/>
                <w:sz w:val="21"/>
                <w:highlight w:val="none"/>
              </w:rPr>
            </w:pPr>
          </w:p>
        </w:tc>
        <w:tc>
          <w:tcPr>
            <w:tcW w:w="2028" w:type="dxa"/>
            <w:vAlign w:val="top"/>
          </w:tcPr>
          <w:p w14:paraId="0689DED5">
            <w:pPr>
              <w:rPr>
                <w:rFonts w:ascii="Arial"/>
                <w:color w:val="auto"/>
                <w:sz w:val="21"/>
                <w:highlight w:val="none"/>
              </w:rPr>
            </w:pPr>
          </w:p>
        </w:tc>
      </w:tr>
      <w:tr w14:paraId="150E2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07" w:type="dxa"/>
            <w:vAlign w:val="top"/>
          </w:tcPr>
          <w:p w14:paraId="771BE203">
            <w:pPr>
              <w:pStyle w:val="17"/>
              <w:spacing w:before="267" w:line="181" w:lineRule="auto"/>
              <w:ind w:left="794"/>
              <w:rPr>
                <w:color w:val="auto"/>
                <w:highlight w:val="none"/>
              </w:rPr>
            </w:pPr>
            <w:r>
              <w:rPr>
                <w:color w:val="auto"/>
                <w:highlight w:val="none"/>
              </w:rPr>
              <w:t>4</w:t>
            </w:r>
          </w:p>
        </w:tc>
        <w:tc>
          <w:tcPr>
            <w:tcW w:w="2157" w:type="dxa"/>
            <w:vAlign w:val="top"/>
          </w:tcPr>
          <w:p w14:paraId="6827E8EA">
            <w:pPr>
              <w:rPr>
                <w:rFonts w:ascii="Arial"/>
                <w:color w:val="auto"/>
                <w:sz w:val="21"/>
                <w:highlight w:val="none"/>
              </w:rPr>
            </w:pPr>
          </w:p>
        </w:tc>
        <w:tc>
          <w:tcPr>
            <w:tcW w:w="2124" w:type="dxa"/>
            <w:vAlign w:val="top"/>
          </w:tcPr>
          <w:p w14:paraId="3F1C21C0">
            <w:pPr>
              <w:rPr>
                <w:rFonts w:ascii="Arial"/>
                <w:color w:val="auto"/>
                <w:sz w:val="21"/>
                <w:highlight w:val="none"/>
              </w:rPr>
            </w:pPr>
          </w:p>
        </w:tc>
        <w:tc>
          <w:tcPr>
            <w:tcW w:w="1678" w:type="dxa"/>
            <w:vAlign w:val="top"/>
          </w:tcPr>
          <w:p w14:paraId="2274586F">
            <w:pPr>
              <w:rPr>
                <w:rFonts w:ascii="Arial"/>
                <w:color w:val="auto"/>
                <w:sz w:val="21"/>
                <w:highlight w:val="none"/>
              </w:rPr>
            </w:pPr>
          </w:p>
        </w:tc>
        <w:tc>
          <w:tcPr>
            <w:tcW w:w="2028" w:type="dxa"/>
            <w:vAlign w:val="top"/>
          </w:tcPr>
          <w:p w14:paraId="36D77CA3">
            <w:pPr>
              <w:rPr>
                <w:rFonts w:ascii="Arial"/>
                <w:color w:val="auto"/>
                <w:sz w:val="21"/>
                <w:highlight w:val="none"/>
              </w:rPr>
            </w:pPr>
          </w:p>
        </w:tc>
      </w:tr>
      <w:tr w14:paraId="28A14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07" w:type="dxa"/>
            <w:vAlign w:val="top"/>
          </w:tcPr>
          <w:p w14:paraId="397D3686">
            <w:pPr>
              <w:pStyle w:val="17"/>
              <w:spacing w:before="223" w:line="384" w:lineRule="exact"/>
              <w:ind w:left="752"/>
              <w:rPr>
                <w:color w:val="auto"/>
                <w:highlight w:val="none"/>
              </w:rPr>
            </w:pPr>
            <w:r>
              <w:rPr>
                <w:color w:val="auto"/>
                <w:position w:val="3"/>
                <w:highlight w:val="none"/>
              </w:rPr>
              <w:t>…</w:t>
            </w:r>
          </w:p>
        </w:tc>
        <w:tc>
          <w:tcPr>
            <w:tcW w:w="2157" w:type="dxa"/>
            <w:vAlign w:val="top"/>
          </w:tcPr>
          <w:p w14:paraId="0BC68C57">
            <w:pPr>
              <w:rPr>
                <w:rFonts w:ascii="Arial"/>
                <w:color w:val="auto"/>
                <w:sz w:val="21"/>
                <w:highlight w:val="none"/>
              </w:rPr>
            </w:pPr>
          </w:p>
        </w:tc>
        <w:tc>
          <w:tcPr>
            <w:tcW w:w="2124" w:type="dxa"/>
            <w:vAlign w:val="top"/>
          </w:tcPr>
          <w:p w14:paraId="13F49946">
            <w:pPr>
              <w:rPr>
                <w:rFonts w:ascii="Arial"/>
                <w:color w:val="auto"/>
                <w:sz w:val="21"/>
                <w:highlight w:val="none"/>
              </w:rPr>
            </w:pPr>
          </w:p>
        </w:tc>
        <w:tc>
          <w:tcPr>
            <w:tcW w:w="1678" w:type="dxa"/>
            <w:vAlign w:val="top"/>
          </w:tcPr>
          <w:p w14:paraId="1FEA05F6">
            <w:pPr>
              <w:rPr>
                <w:rFonts w:ascii="Arial"/>
                <w:color w:val="auto"/>
                <w:sz w:val="21"/>
                <w:highlight w:val="none"/>
              </w:rPr>
            </w:pPr>
          </w:p>
        </w:tc>
        <w:tc>
          <w:tcPr>
            <w:tcW w:w="2028" w:type="dxa"/>
            <w:vAlign w:val="top"/>
          </w:tcPr>
          <w:p w14:paraId="163BE9C3">
            <w:pPr>
              <w:rPr>
                <w:rFonts w:ascii="Arial"/>
                <w:color w:val="auto"/>
                <w:sz w:val="21"/>
                <w:highlight w:val="none"/>
              </w:rPr>
            </w:pPr>
          </w:p>
        </w:tc>
      </w:tr>
      <w:tr w14:paraId="4F1FB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707" w:type="dxa"/>
            <w:vAlign w:val="top"/>
          </w:tcPr>
          <w:p w14:paraId="116AF38D">
            <w:pPr>
              <w:rPr>
                <w:rFonts w:ascii="Arial"/>
                <w:color w:val="auto"/>
                <w:sz w:val="21"/>
                <w:highlight w:val="none"/>
              </w:rPr>
            </w:pPr>
          </w:p>
        </w:tc>
        <w:tc>
          <w:tcPr>
            <w:tcW w:w="2157" w:type="dxa"/>
            <w:vAlign w:val="top"/>
          </w:tcPr>
          <w:p w14:paraId="72B6F80D">
            <w:pPr>
              <w:rPr>
                <w:rFonts w:ascii="Arial"/>
                <w:color w:val="auto"/>
                <w:sz w:val="21"/>
                <w:highlight w:val="none"/>
              </w:rPr>
            </w:pPr>
          </w:p>
        </w:tc>
        <w:tc>
          <w:tcPr>
            <w:tcW w:w="2124" w:type="dxa"/>
            <w:vAlign w:val="top"/>
          </w:tcPr>
          <w:p w14:paraId="6F3305B6">
            <w:pPr>
              <w:rPr>
                <w:rFonts w:ascii="Arial"/>
                <w:color w:val="auto"/>
                <w:sz w:val="21"/>
                <w:highlight w:val="none"/>
              </w:rPr>
            </w:pPr>
          </w:p>
        </w:tc>
        <w:tc>
          <w:tcPr>
            <w:tcW w:w="1678" w:type="dxa"/>
            <w:vAlign w:val="top"/>
          </w:tcPr>
          <w:p w14:paraId="19B6047A">
            <w:pPr>
              <w:rPr>
                <w:rFonts w:ascii="Arial"/>
                <w:color w:val="auto"/>
                <w:sz w:val="21"/>
                <w:highlight w:val="none"/>
              </w:rPr>
            </w:pPr>
          </w:p>
        </w:tc>
        <w:tc>
          <w:tcPr>
            <w:tcW w:w="2028" w:type="dxa"/>
            <w:vAlign w:val="top"/>
          </w:tcPr>
          <w:p w14:paraId="7EAEE8BC">
            <w:pPr>
              <w:rPr>
                <w:rFonts w:ascii="Arial"/>
                <w:color w:val="auto"/>
                <w:sz w:val="21"/>
                <w:highlight w:val="none"/>
              </w:rPr>
            </w:pPr>
          </w:p>
        </w:tc>
      </w:tr>
    </w:tbl>
    <w:p w14:paraId="60ECA4FE">
      <w:pPr>
        <w:spacing w:before="37" w:line="345" w:lineRule="auto"/>
        <w:ind w:left="5" w:firstLine="1"/>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注：本项目商务条款至少包括：合同履行期限、采购内容、投标保证金响应、投标文件有效期、</w:t>
      </w:r>
      <w:r>
        <w:rPr>
          <w:rFonts w:ascii="新宋体" w:hAnsi="新宋体" w:eastAsia="新宋体" w:cs="新宋体"/>
          <w:color w:val="auto"/>
          <w:spacing w:val="11"/>
          <w:sz w:val="24"/>
          <w:szCs w:val="24"/>
          <w:highlight w:val="none"/>
        </w:rPr>
        <w:t xml:space="preserve"> </w:t>
      </w:r>
      <w:r>
        <w:rPr>
          <w:rFonts w:ascii="新宋体" w:hAnsi="新宋体" w:eastAsia="新宋体" w:cs="新宋体"/>
          <w:color w:val="auto"/>
          <w:spacing w:val="-2"/>
          <w:sz w:val="24"/>
          <w:szCs w:val="24"/>
          <w:highlight w:val="none"/>
        </w:rPr>
        <w:t>履约保证金等，投标人必须与招标文件要求对</w:t>
      </w:r>
      <w:r>
        <w:rPr>
          <w:rFonts w:ascii="新宋体" w:hAnsi="新宋体" w:eastAsia="新宋体" w:cs="新宋体"/>
          <w:color w:val="auto"/>
          <w:spacing w:val="-3"/>
          <w:sz w:val="24"/>
          <w:szCs w:val="24"/>
          <w:highlight w:val="none"/>
        </w:rPr>
        <w:t>应填写。</w:t>
      </w:r>
    </w:p>
    <w:p w14:paraId="563A37CA">
      <w:pPr>
        <w:spacing w:line="295" w:lineRule="auto"/>
        <w:rPr>
          <w:rFonts w:ascii="Arial"/>
          <w:color w:val="auto"/>
          <w:sz w:val="21"/>
          <w:highlight w:val="none"/>
        </w:rPr>
      </w:pPr>
    </w:p>
    <w:p w14:paraId="5D9B9606">
      <w:pPr>
        <w:spacing w:line="295" w:lineRule="auto"/>
        <w:rPr>
          <w:rFonts w:ascii="Arial"/>
          <w:color w:val="auto"/>
          <w:sz w:val="21"/>
          <w:highlight w:val="none"/>
        </w:rPr>
      </w:pPr>
    </w:p>
    <w:p w14:paraId="1BCAC4B6">
      <w:pPr>
        <w:spacing w:line="296" w:lineRule="auto"/>
        <w:rPr>
          <w:rFonts w:ascii="Arial"/>
          <w:color w:val="auto"/>
          <w:sz w:val="21"/>
          <w:highlight w:val="none"/>
        </w:rPr>
      </w:pPr>
    </w:p>
    <w:p w14:paraId="70C0689E">
      <w:pPr>
        <w:spacing w:before="79"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738EA93B">
      <w:pPr>
        <w:spacing w:before="177" w:line="345" w:lineRule="auto"/>
        <w:ind w:left="50" w:right="2140"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58C7CC5C">
      <w:pPr>
        <w:spacing w:line="345" w:lineRule="auto"/>
        <w:rPr>
          <w:rFonts w:ascii="新宋体" w:hAnsi="新宋体" w:eastAsia="新宋体" w:cs="新宋体"/>
          <w:color w:val="auto"/>
          <w:sz w:val="24"/>
          <w:szCs w:val="24"/>
          <w:highlight w:val="none"/>
        </w:rPr>
        <w:sectPr>
          <w:footerReference r:id="rId22" w:type="default"/>
          <w:pgSz w:w="11905" w:h="16839"/>
          <w:pgMar w:top="1440" w:right="1800" w:bottom="1440" w:left="1800" w:header="0" w:footer="850" w:gutter="0"/>
          <w:pgNumType w:fmt="decimal"/>
          <w:cols w:space="720" w:num="1"/>
        </w:sectPr>
      </w:pPr>
    </w:p>
    <w:p w14:paraId="7E51E5FA">
      <w:pPr>
        <w:spacing w:line="319" w:lineRule="auto"/>
        <w:rPr>
          <w:rFonts w:ascii="Arial"/>
          <w:color w:val="auto"/>
          <w:sz w:val="21"/>
          <w:highlight w:val="none"/>
        </w:rPr>
      </w:pPr>
    </w:p>
    <w:p w14:paraId="7723E808">
      <w:pPr>
        <w:pStyle w:val="4"/>
        <w:spacing w:before="120" w:line="187" w:lineRule="auto"/>
        <w:jc w:val="center"/>
        <w:rPr>
          <w:color w:val="auto"/>
          <w:sz w:val="28"/>
          <w:szCs w:val="28"/>
          <w:highlight w:val="none"/>
        </w:rPr>
      </w:pPr>
      <w:r>
        <w:rPr>
          <w:b/>
          <w:bCs/>
          <w:color w:val="auto"/>
          <w:spacing w:val="-3"/>
          <w:sz w:val="28"/>
          <w:szCs w:val="28"/>
          <w:highlight w:val="none"/>
        </w:rPr>
        <w:t>5、在经营活动中没有重大违法记录的书面声明</w:t>
      </w:r>
    </w:p>
    <w:p w14:paraId="0B1CBAA5">
      <w:pPr>
        <w:spacing w:line="263" w:lineRule="auto"/>
        <w:rPr>
          <w:rFonts w:ascii="Arial"/>
          <w:color w:val="auto"/>
          <w:sz w:val="21"/>
          <w:highlight w:val="none"/>
        </w:rPr>
      </w:pPr>
    </w:p>
    <w:p w14:paraId="2D4AB081">
      <w:pPr>
        <w:spacing w:before="78" w:line="224" w:lineRule="auto"/>
        <w:ind w:left="3"/>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致</w:t>
      </w:r>
      <w:r>
        <w:rPr>
          <w:rFonts w:ascii="新宋体" w:hAnsi="新宋体" w:eastAsia="新宋体" w:cs="新宋体"/>
          <w:color w:val="auto"/>
          <w:spacing w:val="-2"/>
          <w:sz w:val="24"/>
          <w:szCs w:val="24"/>
          <w:highlight w:val="none"/>
        </w:rPr>
        <w:t>：</w:t>
      </w:r>
      <w:r>
        <w:rPr>
          <w:rFonts w:ascii="新宋体" w:hAnsi="新宋体" w:eastAsia="新宋体" w:cs="新宋体"/>
          <w:color w:val="auto"/>
          <w:spacing w:val="13"/>
          <w:sz w:val="24"/>
          <w:szCs w:val="24"/>
          <w:highlight w:val="none"/>
          <w:u w:val="single" w:color="auto"/>
        </w:rPr>
        <w:t xml:space="preserve">         </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3"/>
          <w:sz w:val="24"/>
          <w:szCs w:val="24"/>
          <w:highlight w:val="none"/>
          <w:u w:val="single" w:color="auto"/>
        </w:rPr>
        <w:t>招标人</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7"/>
          <w:sz w:val="24"/>
          <w:szCs w:val="24"/>
          <w:highlight w:val="none"/>
          <w:u w:val="single" w:color="auto"/>
        </w:rPr>
        <w:t xml:space="preserve">     </w:t>
      </w:r>
      <w:r>
        <w:rPr>
          <w:rFonts w:ascii="新宋体" w:hAnsi="新宋体" w:eastAsia="新宋体" w:cs="新宋体"/>
          <w:color w:val="auto"/>
          <w:spacing w:val="-2"/>
          <w:sz w:val="24"/>
          <w:szCs w:val="24"/>
          <w:highlight w:val="none"/>
          <w:u w:val="single" w:color="auto"/>
        </w:rPr>
        <w:t>：</w:t>
      </w:r>
    </w:p>
    <w:p w14:paraId="088946C4">
      <w:pPr>
        <w:spacing w:line="251" w:lineRule="auto"/>
        <w:rPr>
          <w:rFonts w:ascii="Arial"/>
          <w:color w:val="auto"/>
          <w:sz w:val="21"/>
          <w:highlight w:val="none"/>
        </w:rPr>
      </w:pPr>
    </w:p>
    <w:p w14:paraId="550847EA">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ascii="新宋体" w:hAnsi="新宋体" w:eastAsia="新宋体" w:cs="新宋体"/>
          <w:color w:val="auto"/>
          <w:spacing w:val="-3"/>
          <w:sz w:val="24"/>
          <w:szCs w:val="24"/>
          <w:highlight w:val="none"/>
        </w:rPr>
      </w:pPr>
      <w:r>
        <w:rPr>
          <w:rFonts w:ascii="新宋体" w:hAnsi="新宋体" w:eastAsia="新宋体" w:cs="新宋体"/>
          <w:color w:val="auto"/>
          <w:spacing w:val="-1"/>
          <w:sz w:val="24"/>
          <w:szCs w:val="24"/>
          <w:highlight w:val="none"/>
        </w:rPr>
        <w:t>我方参加</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102"/>
          <w:sz w:val="24"/>
          <w:szCs w:val="24"/>
          <w:highlight w:val="none"/>
        </w:rPr>
        <w:t xml:space="preserve"> </w:t>
      </w:r>
      <w:r>
        <w:rPr>
          <w:rFonts w:ascii="新宋体" w:hAnsi="新宋体" w:eastAsia="新宋体" w:cs="新宋体"/>
          <w:color w:val="auto"/>
          <w:spacing w:val="-2"/>
          <w:sz w:val="24"/>
          <w:szCs w:val="24"/>
          <w:highlight w:val="none"/>
        </w:rPr>
        <w:t>项目（项目编码</w:t>
      </w:r>
      <w:r>
        <w:rPr>
          <w:rFonts w:ascii="新宋体" w:hAnsi="新宋体" w:eastAsia="新宋体" w:cs="新宋体"/>
          <w:color w:val="auto"/>
          <w:spacing w:val="-3"/>
          <w:sz w:val="24"/>
          <w:szCs w:val="24"/>
          <w:highlight w:val="none"/>
        </w:rPr>
        <w:t>：</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3"/>
          <w:sz w:val="24"/>
          <w:szCs w:val="24"/>
          <w:highlight w:val="none"/>
        </w:rPr>
        <w:t>）</w:t>
      </w:r>
    </w:p>
    <w:p w14:paraId="1B56E9D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的政府采购</w:t>
      </w:r>
      <w:r>
        <w:rPr>
          <w:rFonts w:ascii="新宋体" w:hAnsi="新宋体" w:eastAsia="新宋体" w:cs="新宋体"/>
          <w:color w:val="auto"/>
          <w:spacing w:val="-10"/>
          <w:sz w:val="24"/>
          <w:szCs w:val="24"/>
          <w:highlight w:val="none"/>
        </w:rPr>
        <w:t>活动，并声明：</w:t>
      </w:r>
    </w:p>
    <w:p w14:paraId="000A07B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5EF52CF2">
      <w:pPr>
        <w:spacing w:before="78" w:line="464" w:lineRule="auto"/>
        <w:ind w:left="2" w:right="81" w:firstLine="486"/>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我方参加本采购项目政府采购前</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2"/>
          <w:sz w:val="24"/>
          <w:szCs w:val="24"/>
          <w:highlight w:val="none"/>
        </w:rPr>
        <w:t>3</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2"/>
          <w:sz w:val="24"/>
          <w:szCs w:val="24"/>
          <w:highlight w:val="none"/>
        </w:rPr>
        <w:t>年内在经营活动中没有因违法经营受到刑</w:t>
      </w:r>
      <w:r>
        <w:rPr>
          <w:rFonts w:ascii="新宋体" w:hAnsi="新宋体" w:eastAsia="新宋体" w:cs="新宋体"/>
          <w:color w:val="auto"/>
          <w:spacing w:val="1"/>
          <w:sz w:val="24"/>
          <w:szCs w:val="24"/>
          <w:highlight w:val="none"/>
        </w:rPr>
        <w:t>事处罚或者</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责令停产停业、吊销许可证或者执照、较大数额罚款等行政处罚。</w:t>
      </w:r>
    </w:p>
    <w:p w14:paraId="02E5376C">
      <w:pPr>
        <w:spacing w:before="37" w:line="224" w:lineRule="auto"/>
        <w:ind w:left="479"/>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特此声明！</w:t>
      </w:r>
    </w:p>
    <w:p w14:paraId="5B57D889">
      <w:pPr>
        <w:spacing w:line="254" w:lineRule="auto"/>
        <w:rPr>
          <w:rFonts w:ascii="Arial"/>
          <w:color w:val="auto"/>
          <w:sz w:val="21"/>
          <w:highlight w:val="none"/>
        </w:rPr>
      </w:pPr>
    </w:p>
    <w:p w14:paraId="0D9C38E2">
      <w:pPr>
        <w:spacing w:line="254" w:lineRule="auto"/>
        <w:rPr>
          <w:rFonts w:ascii="Arial"/>
          <w:color w:val="auto"/>
          <w:sz w:val="21"/>
          <w:highlight w:val="none"/>
        </w:rPr>
      </w:pPr>
    </w:p>
    <w:p w14:paraId="1C8114C1">
      <w:pPr>
        <w:spacing w:line="254" w:lineRule="auto"/>
        <w:rPr>
          <w:rFonts w:ascii="Arial"/>
          <w:color w:val="auto"/>
          <w:sz w:val="21"/>
          <w:highlight w:val="none"/>
        </w:rPr>
      </w:pPr>
    </w:p>
    <w:p w14:paraId="0EC6299A">
      <w:pPr>
        <w:spacing w:line="255" w:lineRule="auto"/>
        <w:rPr>
          <w:rFonts w:ascii="Arial"/>
          <w:color w:val="auto"/>
          <w:sz w:val="21"/>
          <w:highlight w:val="none"/>
        </w:rPr>
      </w:pPr>
    </w:p>
    <w:p w14:paraId="4CBCB220">
      <w:pPr>
        <w:spacing w:line="255" w:lineRule="auto"/>
        <w:rPr>
          <w:rFonts w:ascii="Arial"/>
          <w:color w:val="auto"/>
          <w:sz w:val="21"/>
          <w:highlight w:val="none"/>
        </w:rPr>
      </w:pPr>
    </w:p>
    <w:p w14:paraId="18EECA15">
      <w:pPr>
        <w:spacing w:before="78"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6E0836DD">
      <w:pPr>
        <w:spacing w:before="177" w:line="345" w:lineRule="auto"/>
        <w:ind w:left="50" w:right="2140"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59236F6B">
      <w:pPr>
        <w:spacing w:line="345" w:lineRule="auto"/>
        <w:rPr>
          <w:rFonts w:ascii="新宋体" w:hAnsi="新宋体" w:eastAsia="新宋体" w:cs="新宋体"/>
          <w:color w:val="auto"/>
          <w:sz w:val="24"/>
          <w:szCs w:val="24"/>
          <w:highlight w:val="none"/>
        </w:rPr>
        <w:sectPr>
          <w:footerReference r:id="rId23" w:type="default"/>
          <w:pgSz w:w="11905" w:h="16839"/>
          <w:pgMar w:top="1440" w:right="1800" w:bottom="1440" w:left="1800" w:header="0" w:footer="850" w:gutter="0"/>
          <w:pgNumType w:fmt="decimal"/>
          <w:cols w:space="720" w:num="1"/>
        </w:sectPr>
      </w:pPr>
    </w:p>
    <w:p w14:paraId="7437D8D9">
      <w:pPr>
        <w:spacing w:line="319" w:lineRule="auto"/>
        <w:rPr>
          <w:rFonts w:ascii="Arial"/>
          <w:color w:val="auto"/>
          <w:sz w:val="21"/>
          <w:highlight w:val="none"/>
        </w:rPr>
      </w:pPr>
    </w:p>
    <w:p w14:paraId="1690774B">
      <w:pPr>
        <w:spacing w:line="319" w:lineRule="auto"/>
        <w:rPr>
          <w:rFonts w:ascii="Arial"/>
          <w:color w:val="auto"/>
          <w:sz w:val="21"/>
          <w:highlight w:val="none"/>
        </w:rPr>
      </w:pPr>
    </w:p>
    <w:p w14:paraId="19263BB9">
      <w:pPr>
        <w:pStyle w:val="4"/>
        <w:spacing w:before="120" w:line="187" w:lineRule="auto"/>
        <w:jc w:val="center"/>
        <w:rPr>
          <w:color w:val="auto"/>
          <w:sz w:val="28"/>
          <w:szCs w:val="28"/>
          <w:highlight w:val="none"/>
        </w:rPr>
      </w:pPr>
      <w:r>
        <w:rPr>
          <w:b/>
          <w:bCs/>
          <w:color w:val="auto"/>
          <w:spacing w:val="-3"/>
          <w:sz w:val="28"/>
          <w:szCs w:val="28"/>
          <w:highlight w:val="none"/>
        </w:rPr>
        <w:t>6、社会法人无失信被执行行为承诺书</w:t>
      </w:r>
    </w:p>
    <w:p w14:paraId="1EAE5DDD">
      <w:pPr>
        <w:spacing w:line="364" w:lineRule="auto"/>
        <w:rPr>
          <w:rFonts w:ascii="Arial"/>
          <w:color w:val="auto"/>
          <w:sz w:val="21"/>
          <w:highlight w:val="none"/>
        </w:rPr>
      </w:pPr>
    </w:p>
    <w:p w14:paraId="46AA43DE">
      <w:pPr>
        <w:spacing w:before="78" w:line="223" w:lineRule="auto"/>
        <w:ind w:left="1"/>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本公司郑重承诺：</w:t>
      </w:r>
    </w:p>
    <w:p w14:paraId="0084E370">
      <w:pPr>
        <w:spacing w:line="376" w:lineRule="auto"/>
        <w:rPr>
          <w:rFonts w:ascii="Arial"/>
          <w:color w:val="auto"/>
          <w:sz w:val="21"/>
          <w:highlight w:val="none"/>
        </w:rPr>
      </w:pPr>
    </w:p>
    <w:p w14:paraId="3D83FC50">
      <w:pPr>
        <w:spacing w:before="78" w:line="352" w:lineRule="auto"/>
        <w:ind w:firstLine="721"/>
        <w:jc w:val="both"/>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本公司遵守法律法规规定，愿意接受社会各界监督，若有违反</w:t>
      </w:r>
      <w:r>
        <w:rPr>
          <w:rFonts w:ascii="新宋体" w:hAnsi="新宋体" w:eastAsia="新宋体" w:cs="新宋体"/>
          <w:color w:val="auto"/>
          <w:spacing w:val="-3"/>
          <w:sz w:val="24"/>
          <w:szCs w:val="24"/>
          <w:highlight w:val="none"/>
        </w:rPr>
        <w:t>《中华人民共和国政府采购法》中对投标人应遵守的规定，自愿依法接受取消投标资格、记入信用档案、取消中标资格、没收投标保证金等有关处理，愿意承担法律责任，给招标人造成损失的，依法承担赔偿责任。</w:t>
      </w:r>
    </w:p>
    <w:p w14:paraId="64C9618B">
      <w:pPr>
        <w:spacing w:line="271" w:lineRule="auto"/>
        <w:rPr>
          <w:rFonts w:ascii="Arial"/>
          <w:color w:val="auto"/>
          <w:sz w:val="21"/>
          <w:highlight w:val="none"/>
        </w:rPr>
      </w:pPr>
    </w:p>
    <w:p w14:paraId="24A69B8A">
      <w:pPr>
        <w:spacing w:line="271" w:lineRule="auto"/>
        <w:rPr>
          <w:rFonts w:ascii="Arial"/>
          <w:color w:val="auto"/>
          <w:sz w:val="21"/>
          <w:highlight w:val="none"/>
        </w:rPr>
      </w:pPr>
    </w:p>
    <w:p w14:paraId="384416BF">
      <w:pPr>
        <w:spacing w:line="271" w:lineRule="auto"/>
        <w:rPr>
          <w:rFonts w:ascii="Arial"/>
          <w:color w:val="auto"/>
          <w:sz w:val="21"/>
          <w:highlight w:val="none"/>
        </w:rPr>
      </w:pPr>
    </w:p>
    <w:p w14:paraId="7332EB24">
      <w:pPr>
        <w:spacing w:line="272" w:lineRule="auto"/>
        <w:rPr>
          <w:rFonts w:ascii="Arial"/>
          <w:color w:val="auto"/>
          <w:sz w:val="21"/>
          <w:highlight w:val="none"/>
        </w:rPr>
      </w:pPr>
    </w:p>
    <w:p w14:paraId="38675EC9">
      <w:pPr>
        <w:spacing w:line="272" w:lineRule="auto"/>
        <w:rPr>
          <w:rFonts w:ascii="Arial"/>
          <w:color w:val="auto"/>
          <w:sz w:val="21"/>
          <w:highlight w:val="none"/>
        </w:rPr>
      </w:pPr>
    </w:p>
    <w:p w14:paraId="26576DEA">
      <w:pPr>
        <w:spacing w:line="272" w:lineRule="auto"/>
        <w:rPr>
          <w:rFonts w:ascii="Arial"/>
          <w:color w:val="auto"/>
          <w:sz w:val="21"/>
          <w:highlight w:val="none"/>
        </w:rPr>
      </w:pPr>
    </w:p>
    <w:p w14:paraId="43C6EFED">
      <w:pPr>
        <w:spacing w:before="78"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01A7169E">
      <w:pPr>
        <w:spacing w:before="177" w:line="345" w:lineRule="auto"/>
        <w:ind w:left="50" w:right="2058"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4235ABC1">
      <w:pPr>
        <w:spacing w:line="345" w:lineRule="auto"/>
        <w:rPr>
          <w:rFonts w:ascii="新宋体" w:hAnsi="新宋体" w:eastAsia="新宋体" w:cs="新宋体"/>
          <w:color w:val="auto"/>
          <w:sz w:val="24"/>
          <w:szCs w:val="24"/>
          <w:highlight w:val="none"/>
        </w:rPr>
        <w:sectPr>
          <w:footerReference r:id="rId24" w:type="default"/>
          <w:pgSz w:w="11905" w:h="16839"/>
          <w:pgMar w:top="1440" w:right="1800" w:bottom="1440" w:left="1800" w:header="0" w:footer="850" w:gutter="0"/>
          <w:pgNumType w:fmt="decimal"/>
          <w:cols w:space="720" w:num="1"/>
        </w:sectPr>
      </w:pPr>
    </w:p>
    <w:p w14:paraId="71AA92BB">
      <w:pPr>
        <w:spacing w:line="319" w:lineRule="auto"/>
        <w:rPr>
          <w:rFonts w:ascii="Arial"/>
          <w:color w:val="auto"/>
          <w:sz w:val="21"/>
          <w:highlight w:val="none"/>
        </w:rPr>
      </w:pPr>
    </w:p>
    <w:p w14:paraId="34CA7218">
      <w:pPr>
        <w:pStyle w:val="4"/>
        <w:spacing w:before="120" w:line="187" w:lineRule="auto"/>
        <w:jc w:val="center"/>
        <w:rPr>
          <w:color w:val="auto"/>
          <w:sz w:val="28"/>
          <w:szCs w:val="28"/>
          <w:highlight w:val="none"/>
        </w:rPr>
      </w:pPr>
      <w:r>
        <w:rPr>
          <w:b/>
          <w:bCs/>
          <w:color w:val="auto"/>
          <w:spacing w:val="-4"/>
          <w:sz w:val="28"/>
          <w:szCs w:val="28"/>
          <w:highlight w:val="none"/>
        </w:rPr>
        <w:t>7、无重大税收违法行为承诺书</w:t>
      </w:r>
    </w:p>
    <w:p w14:paraId="5BAE0B17">
      <w:pPr>
        <w:spacing w:line="363" w:lineRule="auto"/>
        <w:rPr>
          <w:rFonts w:ascii="Arial"/>
          <w:color w:val="auto"/>
          <w:sz w:val="21"/>
          <w:highlight w:val="none"/>
        </w:rPr>
      </w:pPr>
    </w:p>
    <w:p w14:paraId="3E35F93A">
      <w:pPr>
        <w:spacing w:before="78" w:line="223" w:lineRule="auto"/>
        <w:ind w:left="1"/>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本人以企业法定代表人的身份郑重承诺：</w:t>
      </w:r>
    </w:p>
    <w:p w14:paraId="34E10A54">
      <w:pPr>
        <w:spacing w:line="376" w:lineRule="auto"/>
        <w:rPr>
          <w:rFonts w:ascii="Arial"/>
          <w:color w:val="auto"/>
          <w:sz w:val="21"/>
          <w:highlight w:val="none"/>
        </w:rPr>
      </w:pPr>
    </w:p>
    <w:p w14:paraId="1CB88C32">
      <w:pPr>
        <w:spacing w:before="78" w:line="223" w:lineRule="auto"/>
        <w:ind w:left="601"/>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本公司近三年无重大税收违法行为，愿意接受社会各界监督。</w:t>
      </w:r>
    </w:p>
    <w:p w14:paraId="419921CB">
      <w:pPr>
        <w:spacing w:line="374" w:lineRule="auto"/>
        <w:rPr>
          <w:rFonts w:ascii="Arial"/>
          <w:color w:val="auto"/>
          <w:sz w:val="21"/>
          <w:highlight w:val="none"/>
        </w:rPr>
      </w:pPr>
    </w:p>
    <w:p w14:paraId="52044571">
      <w:pPr>
        <w:spacing w:before="78" w:line="350" w:lineRule="auto"/>
        <w:ind w:firstLine="601"/>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本公司及法定代表人若有违反承诺内容的行为，自愿依法接受取消投标资格、记入</w:t>
      </w:r>
      <w:r>
        <w:rPr>
          <w:rFonts w:ascii="新宋体" w:hAnsi="新宋体" w:eastAsia="新宋体" w:cs="新宋体"/>
          <w:color w:val="auto"/>
          <w:spacing w:val="-4"/>
          <w:sz w:val="24"/>
          <w:szCs w:val="24"/>
          <w:highlight w:val="none"/>
        </w:rPr>
        <w:t>信用</w:t>
      </w:r>
      <w:r>
        <w:rPr>
          <w:rFonts w:ascii="新宋体" w:hAnsi="新宋体" w:eastAsia="新宋体" w:cs="新宋体"/>
          <w:color w:val="auto"/>
          <w:spacing w:val="-8"/>
          <w:sz w:val="24"/>
          <w:szCs w:val="24"/>
          <w:highlight w:val="none"/>
        </w:rPr>
        <w:t>档案、取消中标资格、没收投标保证金等有关处理，</w:t>
      </w:r>
      <w:r>
        <w:rPr>
          <w:rFonts w:ascii="新宋体" w:hAnsi="新宋体" w:eastAsia="新宋体" w:cs="新宋体"/>
          <w:color w:val="auto"/>
          <w:spacing w:val="-9"/>
          <w:sz w:val="24"/>
          <w:szCs w:val="24"/>
          <w:highlight w:val="none"/>
        </w:rPr>
        <w:t>愿意承担法律责任，给招标人造成损失的，</w:t>
      </w:r>
      <w:r>
        <w:rPr>
          <w:rFonts w:ascii="新宋体" w:hAnsi="新宋体" w:eastAsia="新宋体" w:cs="新宋体"/>
          <w:color w:val="auto"/>
          <w:spacing w:val="-5"/>
          <w:sz w:val="24"/>
          <w:szCs w:val="24"/>
          <w:highlight w:val="none"/>
        </w:rPr>
        <w:t>依法承担赔偿责任。</w:t>
      </w:r>
    </w:p>
    <w:p w14:paraId="363F0390">
      <w:pPr>
        <w:spacing w:line="246" w:lineRule="auto"/>
        <w:rPr>
          <w:rFonts w:ascii="Arial"/>
          <w:color w:val="auto"/>
          <w:sz w:val="21"/>
          <w:highlight w:val="none"/>
        </w:rPr>
      </w:pPr>
    </w:p>
    <w:p w14:paraId="3D22CD48">
      <w:pPr>
        <w:spacing w:line="246" w:lineRule="auto"/>
        <w:rPr>
          <w:rFonts w:ascii="Arial"/>
          <w:color w:val="auto"/>
          <w:sz w:val="21"/>
          <w:highlight w:val="none"/>
        </w:rPr>
      </w:pPr>
    </w:p>
    <w:p w14:paraId="2C750CA3">
      <w:pPr>
        <w:spacing w:line="246" w:lineRule="auto"/>
        <w:rPr>
          <w:rFonts w:ascii="Arial"/>
          <w:color w:val="auto"/>
          <w:sz w:val="21"/>
          <w:highlight w:val="none"/>
        </w:rPr>
      </w:pPr>
    </w:p>
    <w:p w14:paraId="08462777">
      <w:pPr>
        <w:spacing w:line="246" w:lineRule="auto"/>
        <w:rPr>
          <w:rFonts w:ascii="Arial"/>
          <w:color w:val="auto"/>
          <w:sz w:val="21"/>
          <w:highlight w:val="none"/>
        </w:rPr>
      </w:pPr>
    </w:p>
    <w:p w14:paraId="20EAE712">
      <w:pPr>
        <w:spacing w:line="247" w:lineRule="auto"/>
        <w:rPr>
          <w:rFonts w:ascii="Arial"/>
          <w:color w:val="auto"/>
          <w:sz w:val="21"/>
          <w:highlight w:val="none"/>
        </w:rPr>
      </w:pPr>
    </w:p>
    <w:p w14:paraId="50653F43">
      <w:pPr>
        <w:spacing w:line="247" w:lineRule="auto"/>
        <w:rPr>
          <w:rFonts w:ascii="Arial"/>
          <w:color w:val="auto"/>
          <w:sz w:val="21"/>
          <w:highlight w:val="none"/>
        </w:rPr>
      </w:pPr>
    </w:p>
    <w:p w14:paraId="71C25AAE">
      <w:pPr>
        <w:spacing w:line="247" w:lineRule="auto"/>
        <w:rPr>
          <w:rFonts w:ascii="Arial"/>
          <w:color w:val="auto"/>
          <w:sz w:val="21"/>
          <w:highlight w:val="none"/>
        </w:rPr>
      </w:pPr>
    </w:p>
    <w:p w14:paraId="7C3EAEEE">
      <w:pPr>
        <w:spacing w:line="247" w:lineRule="auto"/>
        <w:rPr>
          <w:rFonts w:ascii="Arial"/>
          <w:color w:val="auto"/>
          <w:sz w:val="21"/>
          <w:highlight w:val="none"/>
        </w:rPr>
      </w:pPr>
    </w:p>
    <w:p w14:paraId="4D80946C">
      <w:pPr>
        <w:spacing w:line="247" w:lineRule="auto"/>
        <w:rPr>
          <w:rFonts w:ascii="Arial"/>
          <w:color w:val="auto"/>
          <w:sz w:val="21"/>
          <w:highlight w:val="none"/>
        </w:rPr>
      </w:pPr>
    </w:p>
    <w:p w14:paraId="54364E32">
      <w:pPr>
        <w:spacing w:line="247" w:lineRule="auto"/>
        <w:rPr>
          <w:rFonts w:ascii="Arial"/>
          <w:color w:val="auto"/>
          <w:sz w:val="21"/>
          <w:highlight w:val="none"/>
        </w:rPr>
      </w:pPr>
    </w:p>
    <w:p w14:paraId="734493BB">
      <w:pPr>
        <w:spacing w:line="247" w:lineRule="auto"/>
        <w:rPr>
          <w:rFonts w:ascii="Arial"/>
          <w:color w:val="auto"/>
          <w:sz w:val="21"/>
          <w:highlight w:val="none"/>
        </w:rPr>
      </w:pPr>
    </w:p>
    <w:p w14:paraId="66DA87B1">
      <w:pPr>
        <w:spacing w:line="247" w:lineRule="auto"/>
        <w:rPr>
          <w:rFonts w:ascii="Arial"/>
          <w:color w:val="auto"/>
          <w:sz w:val="21"/>
          <w:highlight w:val="none"/>
        </w:rPr>
      </w:pPr>
    </w:p>
    <w:p w14:paraId="1E87C1F7">
      <w:pPr>
        <w:spacing w:line="247" w:lineRule="auto"/>
        <w:rPr>
          <w:rFonts w:ascii="Arial"/>
          <w:color w:val="auto"/>
          <w:sz w:val="21"/>
          <w:highlight w:val="none"/>
        </w:rPr>
      </w:pPr>
    </w:p>
    <w:p w14:paraId="497CB1FE">
      <w:pPr>
        <w:spacing w:before="78"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702AB514">
      <w:pPr>
        <w:spacing w:before="177" w:line="345" w:lineRule="auto"/>
        <w:ind w:left="50" w:right="2129"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739BC228">
      <w:pPr>
        <w:spacing w:line="345" w:lineRule="auto"/>
        <w:rPr>
          <w:rFonts w:ascii="新宋体" w:hAnsi="新宋体" w:eastAsia="新宋体" w:cs="新宋体"/>
          <w:color w:val="auto"/>
          <w:sz w:val="24"/>
          <w:szCs w:val="24"/>
          <w:highlight w:val="none"/>
        </w:rPr>
        <w:sectPr>
          <w:footerReference r:id="rId25" w:type="default"/>
          <w:pgSz w:w="11905" w:h="16839"/>
          <w:pgMar w:top="1440" w:right="1800" w:bottom="1440" w:left="1800" w:header="0" w:footer="850" w:gutter="0"/>
          <w:pgNumType w:fmt="decimal"/>
          <w:cols w:space="720" w:num="1"/>
        </w:sectPr>
      </w:pPr>
    </w:p>
    <w:p w14:paraId="1E8DD625">
      <w:pPr>
        <w:spacing w:line="319" w:lineRule="auto"/>
        <w:rPr>
          <w:rFonts w:ascii="Arial"/>
          <w:color w:val="auto"/>
          <w:sz w:val="21"/>
          <w:highlight w:val="none"/>
        </w:rPr>
      </w:pPr>
    </w:p>
    <w:p w14:paraId="33C0FD36">
      <w:pPr>
        <w:spacing w:line="319" w:lineRule="auto"/>
        <w:rPr>
          <w:rFonts w:ascii="Arial"/>
          <w:color w:val="auto"/>
          <w:sz w:val="21"/>
          <w:highlight w:val="none"/>
        </w:rPr>
      </w:pPr>
    </w:p>
    <w:p w14:paraId="11CFE02D">
      <w:pPr>
        <w:pStyle w:val="4"/>
        <w:spacing w:before="120" w:line="188" w:lineRule="auto"/>
        <w:jc w:val="center"/>
        <w:rPr>
          <w:color w:val="auto"/>
          <w:sz w:val="28"/>
          <w:szCs w:val="28"/>
          <w:highlight w:val="none"/>
        </w:rPr>
      </w:pPr>
      <w:r>
        <w:rPr>
          <w:b/>
          <w:bCs/>
          <w:color w:val="auto"/>
          <w:spacing w:val="-4"/>
          <w:sz w:val="28"/>
          <w:szCs w:val="28"/>
          <w:highlight w:val="none"/>
        </w:rPr>
        <w:t>8、中标服务费承诺书</w:t>
      </w:r>
    </w:p>
    <w:p w14:paraId="7BF10DB3">
      <w:pPr>
        <w:spacing w:line="255" w:lineRule="auto"/>
        <w:rPr>
          <w:rFonts w:ascii="Arial"/>
          <w:color w:val="auto"/>
          <w:sz w:val="21"/>
          <w:highlight w:val="none"/>
        </w:rPr>
      </w:pPr>
    </w:p>
    <w:p w14:paraId="0D4C9F33">
      <w:pPr>
        <w:spacing w:line="256" w:lineRule="auto"/>
        <w:rPr>
          <w:rFonts w:ascii="Arial"/>
          <w:color w:val="auto"/>
          <w:sz w:val="21"/>
          <w:highlight w:val="none"/>
        </w:rPr>
      </w:pPr>
    </w:p>
    <w:p w14:paraId="5D75FF18">
      <w:pPr>
        <w:spacing w:line="256" w:lineRule="auto"/>
        <w:rPr>
          <w:rFonts w:ascii="Arial"/>
          <w:color w:val="auto"/>
          <w:sz w:val="21"/>
          <w:highlight w:val="none"/>
        </w:rPr>
      </w:pPr>
    </w:p>
    <w:p w14:paraId="7E7DF67A">
      <w:pPr>
        <w:spacing w:before="78" w:line="224" w:lineRule="auto"/>
        <w:rPr>
          <w:rFonts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lang w:eastAsia="zh-CN"/>
        </w:rPr>
        <w:t>新疆惠合正德工程管理有限公司</w:t>
      </w:r>
      <w:r>
        <w:rPr>
          <w:rFonts w:ascii="新宋体" w:hAnsi="新宋体" w:eastAsia="新宋体" w:cs="新宋体"/>
          <w:color w:val="auto"/>
          <w:spacing w:val="-4"/>
          <w:sz w:val="24"/>
          <w:szCs w:val="24"/>
          <w:highlight w:val="none"/>
        </w:rPr>
        <w:t>：</w:t>
      </w:r>
    </w:p>
    <w:p w14:paraId="7D345CB5">
      <w:pPr>
        <w:spacing w:line="264" w:lineRule="auto"/>
        <w:rPr>
          <w:rFonts w:ascii="Arial"/>
          <w:color w:val="auto"/>
          <w:sz w:val="21"/>
          <w:highlight w:val="none"/>
        </w:rPr>
      </w:pPr>
    </w:p>
    <w:p w14:paraId="7AE3AB29">
      <w:pPr>
        <w:spacing w:line="265" w:lineRule="auto"/>
        <w:rPr>
          <w:rFonts w:ascii="Arial"/>
          <w:color w:val="auto"/>
          <w:sz w:val="21"/>
          <w:highlight w:val="none"/>
        </w:rPr>
      </w:pPr>
    </w:p>
    <w:p w14:paraId="45D16DEB">
      <w:pPr>
        <w:spacing w:line="265" w:lineRule="auto"/>
        <w:rPr>
          <w:rFonts w:ascii="Arial"/>
          <w:color w:val="auto"/>
          <w:sz w:val="21"/>
          <w:highlight w:val="none"/>
        </w:rPr>
      </w:pPr>
    </w:p>
    <w:p w14:paraId="039A04B4">
      <w:pPr>
        <w:spacing w:line="265" w:lineRule="auto"/>
        <w:rPr>
          <w:rFonts w:ascii="Arial"/>
          <w:color w:val="auto"/>
          <w:sz w:val="21"/>
          <w:highlight w:val="none"/>
        </w:rPr>
      </w:pPr>
    </w:p>
    <w:p w14:paraId="3F6754E0">
      <w:pPr>
        <w:spacing w:before="78" w:line="345" w:lineRule="auto"/>
        <w:ind w:firstLine="48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我公司在贵公司组织的</w:t>
      </w:r>
      <w:r>
        <w:rPr>
          <w:rFonts w:ascii="新宋体" w:hAnsi="新宋体" w:eastAsia="新宋体" w:cs="新宋体"/>
          <w:color w:val="auto"/>
          <w:spacing w:val="-3"/>
          <w:sz w:val="24"/>
          <w:szCs w:val="24"/>
          <w:highlight w:val="none"/>
          <w:u w:val="single" w:color="auto"/>
        </w:rPr>
        <w:t>（项目名称</w:t>
      </w:r>
      <w:r>
        <w:rPr>
          <w:rFonts w:ascii="新宋体" w:hAnsi="新宋体" w:eastAsia="新宋体" w:cs="新宋体"/>
          <w:color w:val="auto"/>
          <w:spacing w:val="-7"/>
          <w:sz w:val="24"/>
          <w:szCs w:val="24"/>
          <w:highlight w:val="none"/>
          <w:u w:val="single" w:color="auto"/>
        </w:rPr>
        <w:t>）（</w:t>
      </w:r>
      <w:r>
        <w:rPr>
          <w:rFonts w:ascii="新宋体" w:hAnsi="新宋体" w:eastAsia="新宋体" w:cs="新宋体"/>
          <w:color w:val="auto"/>
          <w:spacing w:val="-3"/>
          <w:sz w:val="24"/>
          <w:szCs w:val="24"/>
          <w:highlight w:val="none"/>
          <w:u w:val="single" w:color="auto"/>
        </w:rPr>
        <w:t>项目编码）</w:t>
      </w:r>
      <w:r>
        <w:rPr>
          <w:rFonts w:ascii="新宋体" w:hAnsi="新宋体" w:eastAsia="新宋体" w:cs="新宋体"/>
          <w:color w:val="auto"/>
          <w:spacing w:val="-3"/>
          <w:sz w:val="24"/>
          <w:szCs w:val="24"/>
          <w:highlight w:val="none"/>
        </w:rPr>
        <w:t>招标中若获中标，我公司承诺，保</w:t>
      </w:r>
      <w:r>
        <w:rPr>
          <w:rFonts w:ascii="新宋体" w:hAnsi="新宋体" w:eastAsia="新宋体" w:cs="新宋体"/>
          <w:color w:val="auto"/>
          <w:spacing w:val="-4"/>
          <w:sz w:val="24"/>
          <w:szCs w:val="24"/>
          <w:highlight w:val="none"/>
        </w:rPr>
        <w:t>证在领取中标通知书前按招标书有关规定，电汇或贵公司认可的其他方式向贵公司支付中标服务费。</w:t>
      </w:r>
    </w:p>
    <w:p w14:paraId="28446586">
      <w:pPr>
        <w:spacing w:before="317" w:line="224" w:lineRule="auto"/>
        <w:ind w:left="479"/>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特此承诺。</w:t>
      </w:r>
    </w:p>
    <w:p w14:paraId="316A454F">
      <w:pPr>
        <w:spacing w:line="245" w:lineRule="auto"/>
        <w:rPr>
          <w:rFonts w:ascii="Arial"/>
          <w:color w:val="auto"/>
          <w:sz w:val="21"/>
          <w:highlight w:val="none"/>
        </w:rPr>
      </w:pPr>
    </w:p>
    <w:p w14:paraId="59B92F14">
      <w:pPr>
        <w:spacing w:line="245" w:lineRule="auto"/>
        <w:rPr>
          <w:rFonts w:ascii="Arial"/>
          <w:color w:val="auto"/>
          <w:sz w:val="21"/>
          <w:highlight w:val="none"/>
        </w:rPr>
      </w:pPr>
    </w:p>
    <w:p w14:paraId="4C744550">
      <w:pPr>
        <w:spacing w:line="245" w:lineRule="auto"/>
        <w:rPr>
          <w:rFonts w:ascii="Arial"/>
          <w:color w:val="auto"/>
          <w:sz w:val="21"/>
          <w:highlight w:val="none"/>
        </w:rPr>
      </w:pPr>
    </w:p>
    <w:p w14:paraId="18EC1A14">
      <w:pPr>
        <w:spacing w:line="245" w:lineRule="auto"/>
        <w:rPr>
          <w:rFonts w:ascii="Arial"/>
          <w:color w:val="auto"/>
          <w:sz w:val="21"/>
          <w:highlight w:val="none"/>
        </w:rPr>
      </w:pPr>
    </w:p>
    <w:p w14:paraId="4836E231">
      <w:pPr>
        <w:spacing w:line="245" w:lineRule="auto"/>
        <w:rPr>
          <w:rFonts w:ascii="Arial"/>
          <w:color w:val="auto"/>
          <w:sz w:val="21"/>
          <w:highlight w:val="none"/>
        </w:rPr>
      </w:pPr>
    </w:p>
    <w:p w14:paraId="022FF336">
      <w:pPr>
        <w:spacing w:line="245" w:lineRule="auto"/>
        <w:rPr>
          <w:rFonts w:ascii="Arial"/>
          <w:color w:val="auto"/>
          <w:sz w:val="21"/>
          <w:highlight w:val="none"/>
        </w:rPr>
      </w:pPr>
    </w:p>
    <w:p w14:paraId="062C4797">
      <w:pPr>
        <w:spacing w:line="246" w:lineRule="auto"/>
        <w:rPr>
          <w:rFonts w:ascii="Arial"/>
          <w:color w:val="auto"/>
          <w:sz w:val="21"/>
          <w:highlight w:val="none"/>
        </w:rPr>
      </w:pPr>
    </w:p>
    <w:p w14:paraId="684F70BF">
      <w:pPr>
        <w:spacing w:line="246" w:lineRule="auto"/>
        <w:rPr>
          <w:rFonts w:ascii="Arial"/>
          <w:color w:val="auto"/>
          <w:sz w:val="21"/>
          <w:highlight w:val="none"/>
        </w:rPr>
      </w:pPr>
    </w:p>
    <w:p w14:paraId="2EE1EEAD">
      <w:pPr>
        <w:spacing w:line="246" w:lineRule="auto"/>
        <w:rPr>
          <w:rFonts w:ascii="Arial"/>
          <w:color w:val="auto"/>
          <w:sz w:val="21"/>
          <w:highlight w:val="none"/>
        </w:rPr>
      </w:pPr>
    </w:p>
    <w:p w14:paraId="49944E87">
      <w:pPr>
        <w:spacing w:before="78"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508E5B78">
      <w:pPr>
        <w:spacing w:before="177" w:line="345" w:lineRule="auto"/>
        <w:ind w:left="50" w:right="2248"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5F90315D">
      <w:pPr>
        <w:spacing w:line="246" w:lineRule="auto"/>
        <w:rPr>
          <w:rFonts w:ascii="Arial"/>
          <w:color w:val="auto"/>
          <w:sz w:val="21"/>
          <w:highlight w:val="none"/>
        </w:rPr>
      </w:pPr>
    </w:p>
    <w:p w14:paraId="4CC04B0B">
      <w:pPr>
        <w:spacing w:line="246" w:lineRule="auto"/>
        <w:rPr>
          <w:rFonts w:ascii="Arial"/>
          <w:color w:val="auto"/>
          <w:sz w:val="21"/>
          <w:highlight w:val="none"/>
        </w:rPr>
      </w:pPr>
    </w:p>
    <w:p w14:paraId="2C893A57">
      <w:pPr>
        <w:spacing w:line="246" w:lineRule="auto"/>
        <w:rPr>
          <w:rFonts w:ascii="Arial"/>
          <w:color w:val="auto"/>
          <w:sz w:val="21"/>
          <w:highlight w:val="none"/>
        </w:rPr>
      </w:pPr>
    </w:p>
    <w:p w14:paraId="0B594C88">
      <w:pPr>
        <w:spacing w:line="247" w:lineRule="auto"/>
        <w:rPr>
          <w:rFonts w:ascii="Arial"/>
          <w:color w:val="auto"/>
          <w:sz w:val="21"/>
          <w:highlight w:val="none"/>
        </w:rPr>
      </w:pPr>
    </w:p>
    <w:p w14:paraId="08EE8855">
      <w:pPr>
        <w:spacing w:line="247" w:lineRule="auto"/>
        <w:rPr>
          <w:rFonts w:ascii="Arial"/>
          <w:color w:val="auto"/>
          <w:sz w:val="21"/>
          <w:highlight w:val="none"/>
        </w:rPr>
      </w:pPr>
    </w:p>
    <w:p w14:paraId="07B04BE0">
      <w:pPr>
        <w:spacing w:line="247" w:lineRule="auto"/>
        <w:rPr>
          <w:rFonts w:ascii="Arial"/>
          <w:color w:val="auto"/>
          <w:sz w:val="21"/>
          <w:highlight w:val="none"/>
        </w:rPr>
      </w:pPr>
    </w:p>
    <w:p w14:paraId="02B3A793">
      <w:pPr>
        <w:spacing w:line="247" w:lineRule="auto"/>
        <w:rPr>
          <w:rFonts w:ascii="Arial"/>
          <w:color w:val="auto"/>
          <w:sz w:val="21"/>
          <w:highlight w:val="none"/>
        </w:rPr>
      </w:pPr>
    </w:p>
    <w:p w14:paraId="6266B42A">
      <w:pPr>
        <w:spacing w:line="247" w:lineRule="auto"/>
        <w:rPr>
          <w:rFonts w:ascii="Arial"/>
          <w:color w:val="auto"/>
          <w:sz w:val="21"/>
          <w:highlight w:val="none"/>
        </w:rPr>
      </w:pPr>
    </w:p>
    <w:p w14:paraId="705024B1">
      <w:pPr>
        <w:spacing w:line="247" w:lineRule="auto"/>
        <w:rPr>
          <w:rFonts w:ascii="Arial"/>
          <w:color w:val="auto"/>
          <w:sz w:val="21"/>
          <w:highlight w:val="none"/>
        </w:rPr>
      </w:pPr>
    </w:p>
    <w:p w14:paraId="3C97D04B">
      <w:pPr>
        <w:spacing w:line="247" w:lineRule="auto"/>
        <w:rPr>
          <w:rFonts w:ascii="Arial"/>
          <w:color w:val="auto"/>
          <w:sz w:val="21"/>
          <w:highlight w:val="none"/>
        </w:rPr>
      </w:pPr>
    </w:p>
    <w:p w14:paraId="38C68F0D">
      <w:pPr>
        <w:spacing w:line="247" w:lineRule="auto"/>
        <w:rPr>
          <w:rFonts w:ascii="Arial"/>
          <w:color w:val="auto"/>
          <w:sz w:val="21"/>
          <w:highlight w:val="none"/>
        </w:rPr>
      </w:pPr>
    </w:p>
    <w:p w14:paraId="2EF9CBDC">
      <w:pPr>
        <w:spacing w:line="247" w:lineRule="auto"/>
        <w:rPr>
          <w:rFonts w:ascii="Arial"/>
          <w:color w:val="auto"/>
          <w:sz w:val="21"/>
          <w:highlight w:val="none"/>
        </w:rPr>
      </w:pPr>
    </w:p>
    <w:p w14:paraId="206067C0">
      <w:pPr>
        <w:spacing w:line="247" w:lineRule="auto"/>
        <w:rPr>
          <w:rFonts w:ascii="Arial"/>
          <w:color w:val="auto"/>
          <w:sz w:val="21"/>
          <w:highlight w:val="none"/>
        </w:rPr>
      </w:pPr>
    </w:p>
    <w:p w14:paraId="41C9248D">
      <w:pPr>
        <w:spacing w:line="247" w:lineRule="auto"/>
        <w:rPr>
          <w:rFonts w:ascii="Arial"/>
          <w:color w:val="auto"/>
          <w:sz w:val="21"/>
          <w:highlight w:val="none"/>
        </w:rPr>
      </w:pPr>
    </w:p>
    <w:p w14:paraId="24A4D75D">
      <w:pPr>
        <w:spacing w:line="247" w:lineRule="auto"/>
        <w:rPr>
          <w:rFonts w:ascii="Arial"/>
          <w:color w:val="auto"/>
          <w:sz w:val="21"/>
          <w:highlight w:val="none"/>
        </w:rPr>
      </w:pPr>
    </w:p>
    <w:p w14:paraId="42EDA5C3">
      <w:pPr>
        <w:spacing w:line="247" w:lineRule="auto"/>
        <w:rPr>
          <w:rFonts w:ascii="Arial"/>
          <w:color w:val="auto"/>
          <w:sz w:val="21"/>
          <w:highlight w:val="none"/>
        </w:rPr>
      </w:pPr>
    </w:p>
    <w:p w14:paraId="17CE2909">
      <w:pPr>
        <w:spacing w:line="247" w:lineRule="auto"/>
        <w:rPr>
          <w:rFonts w:ascii="Arial"/>
          <w:color w:val="auto"/>
          <w:sz w:val="21"/>
          <w:highlight w:val="none"/>
        </w:rPr>
      </w:pPr>
    </w:p>
    <w:p w14:paraId="20AAB253">
      <w:pPr>
        <w:spacing w:line="247" w:lineRule="auto"/>
        <w:rPr>
          <w:rFonts w:ascii="Arial"/>
          <w:color w:val="auto"/>
          <w:sz w:val="21"/>
          <w:highlight w:val="none"/>
        </w:rPr>
      </w:pPr>
    </w:p>
    <w:p w14:paraId="45A93B3E">
      <w:pPr>
        <w:spacing w:line="247" w:lineRule="auto"/>
        <w:rPr>
          <w:rFonts w:ascii="Arial"/>
          <w:color w:val="auto"/>
          <w:sz w:val="21"/>
          <w:highlight w:val="none"/>
        </w:rPr>
      </w:pPr>
    </w:p>
    <w:p w14:paraId="5D0C05B2">
      <w:pPr>
        <w:spacing w:line="247" w:lineRule="auto"/>
        <w:rPr>
          <w:rFonts w:ascii="Arial"/>
          <w:color w:val="auto"/>
          <w:sz w:val="21"/>
          <w:highlight w:val="none"/>
        </w:rPr>
      </w:pPr>
    </w:p>
    <w:p w14:paraId="1EB1D2FF">
      <w:pPr>
        <w:spacing w:line="247" w:lineRule="auto"/>
        <w:rPr>
          <w:rFonts w:ascii="Arial"/>
          <w:color w:val="auto"/>
          <w:sz w:val="21"/>
          <w:highlight w:val="none"/>
        </w:rPr>
      </w:pPr>
    </w:p>
    <w:p w14:paraId="0EB9B7B5">
      <w:pPr>
        <w:pStyle w:val="4"/>
        <w:spacing w:before="120" w:line="188" w:lineRule="auto"/>
        <w:jc w:val="center"/>
        <w:rPr>
          <w:color w:val="auto"/>
          <w:sz w:val="28"/>
          <w:szCs w:val="28"/>
          <w:highlight w:val="none"/>
        </w:rPr>
      </w:pPr>
      <w:r>
        <w:rPr>
          <w:b/>
          <w:bCs/>
          <w:color w:val="auto"/>
          <w:spacing w:val="-6"/>
          <w:sz w:val="28"/>
          <w:szCs w:val="28"/>
          <w:highlight w:val="none"/>
        </w:rPr>
        <w:t>9、售后服务</w:t>
      </w:r>
    </w:p>
    <w:p w14:paraId="1381C23A">
      <w:pPr>
        <w:spacing w:line="319" w:lineRule="auto"/>
        <w:rPr>
          <w:rFonts w:ascii="Arial"/>
          <w:color w:val="auto"/>
          <w:sz w:val="21"/>
          <w:highlight w:val="none"/>
        </w:rPr>
      </w:pPr>
    </w:p>
    <w:p w14:paraId="7CDEE03F">
      <w:pPr>
        <w:spacing w:line="319" w:lineRule="auto"/>
        <w:rPr>
          <w:rFonts w:ascii="Arial"/>
          <w:color w:val="auto"/>
          <w:sz w:val="21"/>
          <w:highlight w:val="none"/>
        </w:rPr>
      </w:pPr>
    </w:p>
    <w:p w14:paraId="5D40236F">
      <w:pPr>
        <w:spacing w:line="319" w:lineRule="auto"/>
        <w:rPr>
          <w:rFonts w:ascii="Arial"/>
          <w:color w:val="auto"/>
          <w:sz w:val="21"/>
          <w:highlight w:val="none"/>
        </w:rPr>
      </w:pPr>
    </w:p>
    <w:p w14:paraId="3AA557A0">
      <w:pPr>
        <w:pStyle w:val="4"/>
        <w:spacing w:before="120" w:line="184" w:lineRule="auto"/>
        <w:ind w:left="1385"/>
        <w:rPr>
          <w:color w:val="auto"/>
          <w:sz w:val="28"/>
          <w:szCs w:val="28"/>
          <w:highlight w:val="none"/>
        </w:rPr>
      </w:pPr>
      <w:r>
        <w:rPr>
          <w:b/>
          <w:bCs/>
          <w:color w:val="auto"/>
          <w:spacing w:val="-2"/>
          <w:sz w:val="28"/>
          <w:szCs w:val="28"/>
          <w:highlight w:val="none"/>
        </w:rPr>
        <w:t>（包含售后服务方案、场地、设备、人员等）</w:t>
      </w:r>
    </w:p>
    <w:p w14:paraId="466E7BC1">
      <w:pPr>
        <w:spacing w:line="243" w:lineRule="auto"/>
        <w:rPr>
          <w:rFonts w:ascii="Arial"/>
          <w:color w:val="auto"/>
          <w:sz w:val="21"/>
          <w:highlight w:val="none"/>
        </w:rPr>
      </w:pPr>
    </w:p>
    <w:p w14:paraId="4AC431C9">
      <w:pPr>
        <w:spacing w:line="243" w:lineRule="auto"/>
        <w:rPr>
          <w:rFonts w:ascii="Arial"/>
          <w:color w:val="auto"/>
          <w:sz w:val="21"/>
          <w:highlight w:val="none"/>
        </w:rPr>
      </w:pPr>
    </w:p>
    <w:p w14:paraId="73790270">
      <w:pPr>
        <w:spacing w:line="243" w:lineRule="auto"/>
        <w:rPr>
          <w:rFonts w:ascii="Arial"/>
          <w:color w:val="auto"/>
          <w:sz w:val="21"/>
          <w:highlight w:val="none"/>
        </w:rPr>
      </w:pPr>
    </w:p>
    <w:p w14:paraId="052CB7BD">
      <w:pPr>
        <w:pStyle w:val="4"/>
        <w:spacing w:before="120" w:line="188" w:lineRule="auto"/>
        <w:ind w:left="1817"/>
        <w:rPr>
          <w:b/>
          <w:bCs/>
          <w:color w:val="auto"/>
          <w:spacing w:val="-9"/>
          <w:sz w:val="28"/>
          <w:szCs w:val="28"/>
          <w:highlight w:val="none"/>
        </w:rPr>
      </w:pPr>
    </w:p>
    <w:p w14:paraId="6A6BC007">
      <w:pPr>
        <w:pStyle w:val="4"/>
        <w:spacing w:before="120" w:line="188" w:lineRule="auto"/>
        <w:ind w:left="1817"/>
        <w:rPr>
          <w:b/>
          <w:bCs/>
          <w:color w:val="auto"/>
          <w:spacing w:val="-9"/>
          <w:sz w:val="28"/>
          <w:szCs w:val="28"/>
          <w:highlight w:val="none"/>
        </w:rPr>
      </w:pPr>
    </w:p>
    <w:p w14:paraId="1311A764">
      <w:pPr>
        <w:pStyle w:val="4"/>
        <w:spacing w:before="120" w:line="188" w:lineRule="auto"/>
        <w:ind w:left="1817"/>
        <w:rPr>
          <w:b/>
          <w:bCs/>
          <w:color w:val="auto"/>
          <w:spacing w:val="-9"/>
          <w:sz w:val="28"/>
          <w:szCs w:val="28"/>
          <w:highlight w:val="none"/>
        </w:rPr>
      </w:pPr>
    </w:p>
    <w:p w14:paraId="58DB5A76">
      <w:pPr>
        <w:pStyle w:val="4"/>
        <w:spacing w:before="120" w:line="188" w:lineRule="auto"/>
        <w:ind w:left="1817"/>
        <w:rPr>
          <w:b/>
          <w:bCs/>
          <w:color w:val="auto"/>
          <w:spacing w:val="-9"/>
          <w:sz w:val="28"/>
          <w:szCs w:val="28"/>
          <w:highlight w:val="none"/>
        </w:rPr>
      </w:pPr>
    </w:p>
    <w:p w14:paraId="05FEE5B8">
      <w:pPr>
        <w:pStyle w:val="4"/>
        <w:spacing w:before="120" w:line="188" w:lineRule="auto"/>
        <w:ind w:left="1817"/>
        <w:rPr>
          <w:color w:val="auto"/>
          <w:sz w:val="28"/>
          <w:szCs w:val="28"/>
          <w:highlight w:val="none"/>
        </w:rPr>
      </w:pPr>
      <w:r>
        <w:rPr>
          <w:b/>
          <w:bCs/>
          <w:color w:val="auto"/>
          <w:spacing w:val="-9"/>
          <w:sz w:val="28"/>
          <w:szCs w:val="28"/>
          <w:highlight w:val="none"/>
        </w:rPr>
        <w:t>10、投标人认为需要提供的其他材料；</w:t>
      </w:r>
    </w:p>
    <w:p w14:paraId="3D59AF12">
      <w:pPr>
        <w:rPr>
          <w:rFonts w:ascii="Arial"/>
          <w:color w:val="auto"/>
          <w:sz w:val="21"/>
          <w:highlight w:val="none"/>
        </w:rPr>
      </w:pPr>
    </w:p>
    <w:p w14:paraId="239DAF01">
      <w:pPr>
        <w:rPr>
          <w:rFonts w:ascii="Arial"/>
          <w:color w:val="auto"/>
          <w:sz w:val="21"/>
          <w:highlight w:val="none"/>
        </w:rPr>
      </w:pPr>
    </w:p>
    <w:p w14:paraId="0CE82371">
      <w:pPr>
        <w:spacing w:line="241" w:lineRule="auto"/>
        <w:rPr>
          <w:rFonts w:ascii="Arial"/>
          <w:color w:val="auto"/>
          <w:sz w:val="21"/>
          <w:highlight w:val="none"/>
        </w:rPr>
      </w:pPr>
    </w:p>
    <w:p w14:paraId="1CF70B33">
      <w:pPr>
        <w:spacing w:line="241" w:lineRule="auto"/>
        <w:rPr>
          <w:rFonts w:ascii="Arial"/>
          <w:color w:val="auto"/>
          <w:sz w:val="21"/>
          <w:highlight w:val="none"/>
        </w:rPr>
      </w:pPr>
    </w:p>
    <w:p w14:paraId="7D2D6923">
      <w:pPr>
        <w:spacing w:line="241" w:lineRule="auto"/>
        <w:rPr>
          <w:rFonts w:ascii="Arial"/>
          <w:color w:val="auto"/>
          <w:sz w:val="21"/>
          <w:highlight w:val="none"/>
        </w:rPr>
      </w:pPr>
    </w:p>
    <w:p w14:paraId="6E5C4D08">
      <w:pPr>
        <w:spacing w:line="241" w:lineRule="auto"/>
        <w:rPr>
          <w:rFonts w:ascii="Arial"/>
          <w:color w:val="auto"/>
          <w:sz w:val="21"/>
          <w:highlight w:val="none"/>
        </w:rPr>
      </w:pPr>
    </w:p>
    <w:p w14:paraId="40A648E9">
      <w:pPr>
        <w:spacing w:line="241" w:lineRule="auto"/>
        <w:rPr>
          <w:rFonts w:ascii="Arial"/>
          <w:color w:val="auto"/>
          <w:sz w:val="21"/>
          <w:highlight w:val="none"/>
        </w:rPr>
      </w:pPr>
    </w:p>
    <w:p w14:paraId="10D30770">
      <w:pPr>
        <w:spacing w:line="241" w:lineRule="auto"/>
        <w:rPr>
          <w:rFonts w:ascii="Arial"/>
          <w:color w:val="auto"/>
          <w:sz w:val="21"/>
          <w:highlight w:val="none"/>
        </w:rPr>
      </w:pPr>
    </w:p>
    <w:p w14:paraId="161764FA">
      <w:pPr>
        <w:spacing w:line="241" w:lineRule="auto"/>
        <w:rPr>
          <w:rFonts w:ascii="Arial"/>
          <w:color w:val="auto"/>
          <w:sz w:val="21"/>
          <w:highlight w:val="none"/>
        </w:rPr>
      </w:pPr>
    </w:p>
    <w:p w14:paraId="45924C49">
      <w:pPr>
        <w:spacing w:line="241" w:lineRule="auto"/>
        <w:rPr>
          <w:rFonts w:ascii="Arial"/>
          <w:color w:val="auto"/>
          <w:sz w:val="21"/>
          <w:highlight w:val="none"/>
        </w:rPr>
      </w:pPr>
    </w:p>
    <w:p w14:paraId="0FD104D7">
      <w:pPr>
        <w:pStyle w:val="4"/>
        <w:spacing w:before="120" w:line="187" w:lineRule="auto"/>
        <w:ind w:left="837"/>
        <w:rPr>
          <w:color w:val="auto"/>
          <w:sz w:val="28"/>
          <w:szCs w:val="28"/>
          <w:highlight w:val="none"/>
        </w:rPr>
      </w:pPr>
      <w:r>
        <w:rPr>
          <w:b/>
          <w:bCs/>
          <w:color w:val="auto"/>
          <w:spacing w:val="-6"/>
          <w:sz w:val="28"/>
          <w:szCs w:val="28"/>
          <w:highlight w:val="none"/>
        </w:rPr>
        <w:t>11、商务部分评分细则里需要提供的相关材料及方</w:t>
      </w:r>
      <w:r>
        <w:rPr>
          <w:b/>
          <w:bCs/>
          <w:color w:val="auto"/>
          <w:spacing w:val="-7"/>
          <w:sz w:val="28"/>
          <w:szCs w:val="28"/>
          <w:highlight w:val="none"/>
        </w:rPr>
        <w:t>案；</w:t>
      </w:r>
    </w:p>
    <w:p w14:paraId="06E6C9E2">
      <w:pPr>
        <w:spacing w:line="362" w:lineRule="auto"/>
        <w:rPr>
          <w:rFonts w:ascii="Arial"/>
          <w:color w:val="auto"/>
          <w:sz w:val="21"/>
          <w:highlight w:val="none"/>
        </w:rPr>
      </w:pPr>
    </w:p>
    <w:p w14:paraId="65501E42">
      <w:pPr>
        <w:spacing w:line="242" w:lineRule="auto"/>
        <w:rPr>
          <w:rFonts w:ascii="Arial"/>
          <w:color w:val="auto"/>
          <w:sz w:val="21"/>
          <w:highlight w:val="none"/>
        </w:rPr>
      </w:pPr>
    </w:p>
    <w:p w14:paraId="1C25D570">
      <w:pPr>
        <w:spacing w:line="242" w:lineRule="auto"/>
        <w:rPr>
          <w:rFonts w:ascii="Arial"/>
          <w:color w:val="auto"/>
          <w:sz w:val="21"/>
          <w:highlight w:val="none"/>
        </w:rPr>
      </w:pPr>
    </w:p>
    <w:p w14:paraId="567C7DCB">
      <w:pPr>
        <w:spacing w:line="242" w:lineRule="auto"/>
        <w:rPr>
          <w:rFonts w:ascii="Arial"/>
          <w:color w:val="auto"/>
          <w:sz w:val="21"/>
          <w:highlight w:val="none"/>
        </w:rPr>
      </w:pPr>
    </w:p>
    <w:p w14:paraId="53B84BA3">
      <w:pPr>
        <w:spacing w:line="242" w:lineRule="auto"/>
        <w:rPr>
          <w:rFonts w:ascii="Arial"/>
          <w:color w:val="auto"/>
          <w:sz w:val="21"/>
          <w:highlight w:val="none"/>
        </w:rPr>
      </w:pPr>
    </w:p>
    <w:p w14:paraId="26AAA333">
      <w:pPr>
        <w:spacing w:line="242" w:lineRule="auto"/>
        <w:rPr>
          <w:rFonts w:ascii="Arial"/>
          <w:color w:val="auto"/>
          <w:sz w:val="21"/>
          <w:highlight w:val="none"/>
        </w:rPr>
      </w:pPr>
    </w:p>
    <w:p w14:paraId="00D86E92">
      <w:pPr>
        <w:spacing w:line="242" w:lineRule="auto"/>
        <w:rPr>
          <w:rFonts w:ascii="Arial"/>
          <w:color w:val="auto"/>
          <w:sz w:val="21"/>
          <w:highlight w:val="none"/>
        </w:rPr>
      </w:pPr>
    </w:p>
    <w:p w14:paraId="0B527CE3">
      <w:pPr>
        <w:spacing w:line="242" w:lineRule="auto"/>
        <w:rPr>
          <w:rFonts w:ascii="Arial"/>
          <w:color w:val="auto"/>
          <w:sz w:val="21"/>
          <w:highlight w:val="none"/>
        </w:rPr>
      </w:pPr>
    </w:p>
    <w:p w14:paraId="123E5E35">
      <w:pPr>
        <w:spacing w:line="242" w:lineRule="auto"/>
        <w:rPr>
          <w:rFonts w:ascii="Arial"/>
          <w:color w:val="auto"/>
          <w:sz w:val="21"/>
          <w:highlight w:val="none"/>
        </w:rPr>
      </w:pPr>
    </w:p>
    <w:p w14:paraId="076E00E6">
      <w:pPr>
        <w:spacing w:line="242" w:lineRule="auto"/>
        <w:rPr>
          <w:rFonts w:ascii="Arial"/>
          <w:color w:val="auto"/>
          <w:sz w:val="21"/>
          <w:highlight w:val="none"/>
        </w:rPr>
      </w:pPr>
    </w:p>
    <w:p w14:paraId="6BA28EB5">
      <w:pPr>
        <w:spacing w:line="242" w:lineRule="auto"/>
        <w:rPr>
          <w:rFonts w:ascii="Arial"/>
          <w:color w:val="auto"/>
          <w:sz w:val="21"/>
          <w:highlight w:val="none"/>
        </w:rPr>
      </w:pPr>
    </w:p>
    <w:p w14:paraId="6ECBBA39">
      <w:pPr>
        <w:spacing w:line="242" w:lineRule="auto"/>
        <w:rPr>
          <w:rFonts w:ascii="Arial"/>
          <w:color w:val="auto"/>
          <w:sz w:val="21"/>
          <w:highlight w:val="none"/>
        </w:rPr>
      </w:pPr>
    </w:p>
    <w:p w14:paraId="0F7A601A">
      <w:pPr>
        <w:spacing w:line="242" w:lineRule="auto"/>
        <w:rPr>
          <w:rFonts w:ascii="Arial"/>
          <w:color w:val="auto"/>
          <w:sz w:val="21"/>
          <w:highlight w:val="none"/>
        </w:rPr>
      </w:pPr>
    </w:p>
    <w:p w14:paraId="2E46D80D">
      <w:pPr>
        <w:spacing w:line="242" w:lineRule="auto"/>
        <w:rPr>
          <w:rFonts w:ascii="Arial"/>
          <w:color w:val="auto"/>
          <w:sz w:val="21"/>
          <w:highlight w:val="none"/>
        </w:rPr>
      </w:pPr>
    </w:p>
    <w:p w14:paraId="7FBC3838">
      <w:pPr>
        <w:spacing w:line="242" w:lineRule="auto"/>
        <w:rPr>
          <w:rFonts w:ascii="Arial"/>
          <w:color w:val="auto"/>
          <w:sz w:val="21"/>
          <w:highlight w:val="none"/>
        </w:rPr>
      </w:pPr>
    </w:p>
    <w:p w14:paraId="2768EF21">
      <w:pPr>
        <w:spacing w:line="242" w:lineRule="auto"/>
        <w:rPr>
          <w:rFonts w:ascii="Arial"/>
          <w:color w:val="auto"/>
          <w:sz w:val="21"/>
          <w:highlight w:val="none"/>
        </w:rPr>
      </w:pPr>
    </w:p>
    <w:p w14:paraId="7F673213">
      <w:pPr>
        <w:spacing w:line="242" w:lineRule="auto"/>
        <w:rPr>
          <w:rFonts w:ascii="Arial"/>
          <w:color w:val="auto"/>
          <w:sz w:val="21"/>
          <w:highlight w:val="none"/>
        </w:rPr>
      </w:pPr>
    </w:p>
    <w:p w14:paraId="56E04EC3">
      <w:pPr>
        <w:spacing w:line="242" w:lineRule="auto"/>
        <w:rPr>
          <w:rFonts w:ascii="Arial"/>
          <w:color w:val="auto"/>
          <w:sz w:val="21"/>
          <w:highlight w:val="none"/>
        </w:rPr>
      </w:pPr>
    </w:p>
    <w:p w14:paraId="1524BA1C">
      <w:pPr>
        <w:spacing w:line="242" w:lineRule="auto"/>
        <w:rPr>
          <w:rFonts w:ascii="Arial"/>
          <w:color w:val="auto"/>
          <w:sz w:val="21"/>
          <w:highlight w:val="none"/>
        </w:rPr>
      </w:pPr>
    </w:p>
    <w:p w14:paraId="51B344A1">
      <w:pPr>
        <w:spacing w:line="242" w:lineRule="auto"/>
        <w:rPr>
          <w:rFonts w:ascii="Arial"/>
          <w:color w:val="auto"/>
          <w:sz w:val="21"/>
          <w:highlight w:val="none"/>
        </w:rPr>
      </w:pPr>
    </w:p>
    <w:p w14:paraId="3CF274F7">
      <w:pPr>
        <w:spacing w:line="242" w:lineRule="auto"/>
        <w:rPr>
          <w:rFonts w:ascii="Arial"/>
          <w:color w:val="auto"/>
          <w:sz w:val="21"/>
          <w:highlight w:val="none"/>
        </w:rPr>
      </w:pPr>
    </w:p>
    <w:p w14:paraId="417CC2EA">
      <w:pPr>
        <w:pStyle w:val="4"/>
        <w:spacing w:before="189" w:line="188" w:lineRule="auto"/>
        <w:jc w:val="center"/>
        <w:rPr>
          <w:color w:val="auto"/>
          <w:sz w:val="44"/>
          <w:szCs w:val="44"/>
          <w:highlight w:val="none"/>
        </w:rPr>
      </w:pPr>
      <w:r>
        <w:rPr>
          <w:b/>
          <w:bCs/>
          <w:color w:val="auto"/>
          <w:spacing w:val="-5"/>
          <w:sz w:val="44"/>
          <w:szCs w:val="44"/>
          <w:highlight w:val="none"/>
        </w:rPr>
        <w:t>第二部分：技术部分</w:t>
      </w:r>
    </w:p>
    <w:p w14:paraId="5AD74567">
      <w:pPr>
        <w:pStyle w:val="4"/>
        <w:spacing w:before="238" w:line="188" w:lineRule="auto"/>
        <w:jc w:val="center"/>
        <w:rPr>
          <w:color w:val="auto"/>
          <w:sz w:val="28"/>
          <w:szCs w:val="28"/>
          <w:highlight w:val="none"/>
        </w:rPr>
      </w:pPr>
      <w:r>
        <w:rPr>
          <w:b/>
          <w:bCs/>
          <w:color w:val="auto"/>
          <w:spacing w:val="-5"/>
          <w:sz w:val="28"/>
          <w:szCs w:val="28"/>
          <w:highlight w:val="none"/>
        </w:rPr>
        <w:t>1、技术要求响应/偏离表</w:t>
      </w:r>
    </w:p>
    <w:p w14:paraId="7610CC94">
      <w:pPr>
        <w:spacing w:line="462" w:lineRule="auto"/>
        <w:rPr>
          <w:rFonts w:ascii="Arial"/>
          <w:color w:val="auto"/>
          <w:sz w:val="21"/>
          <w:highlight w:val="none"/>
        </w:rPr>
      </w:pPr>
    </w:p>
    <w:p w14:paraId="1D8D405A">
      <w:pPr>
        <w:pStyle w:val="4"/>
        <w:spacing w:before="102" w:line="183" w:lineRule="auto"/>
        <w:ind w:left="128"/>
        <w:rPr>
          <w:color w:val="auto"/>
          <w:sz w:val="24"/>
          <w:szCs w:val="24"/>
          <w:highlight w:val="none"/>
        </w:rPr>
      </w:pPr>
      <w:r>
        <w:rPr>
          <w:color w:val="auto"/>
          <w:spacing w:val="-3"/>
          <w:sz w:val="24"/>
          <w:szCs w:val="24"/>
          <w:highlight w:val="none"/>
        </w:rPr>
        <w:t>投标单位名称（公章</w:t>
      </w:r>
      <w:r>
        <w:rPr>
          <w:color w:val="auto"/>
          <w:spacing w:val="4"/>
          <w:sz w:val="24"/>
          <w:szCs w:val="24"/>
          <w:highlight w:val="none"/>
        </w:rPr>
        <w:t>）：</w:t>
      </w:r>
      <w:r>
        <w:rPr>
          <w:color w:val="auto"/>
          <w:spacing w:val="1"/>
          <w:sz w:val="24"/>
          <w:szCs w:val="24"/>
          <w:highlight w:val="none"/>
          <w:u w:val="single" w:color="auto"/>
        </w:rPr>
        <w:t xml:space="preserve">                                             </w:t>
      </w:r>
      <w:r>
        <w:rPr>
          <w:color w:val="auto"/>
          <w:spacing w:val="-54"/>
          <w:sz w:val="24"/>
          <w:szCs w:val="24"/>
          <w:highlight w:val="none"/>
        </w:rPr>
        <w:t xml:space="preserve"> </w:t>
      </w:r>
      <w:r>
        <w:rPr>
          <w:color w:val="auto"/>
          <w:spacing w:val="-3"/>
          <w:sz w:val="24"/>
          <w:szCs w:val="24"/>
          <w:highlight w:val="none"/>
        </w:rPr>
        <w:t>项目编码：</w:t>
      </w:r>
      <w:r>
        <w:rPr>
          <w:color w:val="auto"/>
          <w:sz w:val="24"/>
          <w:szCs w:val="24"/>
          <w:highlight w:val="none"/>
          <w:u w:val="single" w:color="auto"/>
        </w:rPr>
        <w:t xml:space="preserve">                                  </w:t>
      </w:r>
    </w:p>
    <w:p w14:paraId="35EEAC66">
      <w:pPr>
        <w:spacing w:line="234" w:lineRule="exact"/>
        <w:rPr>
          <w:color w:val="auto"/>
          <w:highlight w:val="none"/>
        </w:rPr>
      </w:pPr>
    </w:p>
    <w:tbl>
      <w:tblPr>
        <w:tblStyle w:val="16"/>
        <w:tblW w:w="98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1688"/>
        <w:gridCol w:w="1889"/>
        <w:gridCol w:w="1796"/>
        <w:gridCol w:w="1889"/>
        <w:gridCol w:w="1894"/>
      </w:tblGrid>
      <w:tr w14:paraId="6D851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680" w:type="dxa"/>
            <w:textDirection w:val="tbRlV"/>
            <w:vAlign w:val="top"/>
          </w:tcPr>
          <w:p w14:paraId="7DB4B4FB">
            <w:pPr>
              <w:spacing w:before="269" w:line="173" w:lineRule="auto"/>
              <w:ind w:left="3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序   号</w:t>
            </w:r>
          </w:p>
        </w:tc>
        <w:tc>
          <w:tcPr>
            <w:tcW w:w="1688" w:type="dxa"/>
            <w:vAlign w:val="top"/>
          </w:tcPr>
          <w:p w14:paraId="689FC2E3">
            <w:pPr>
              <w:spacing w:before="271" w:line="188" w:lineRule="auto"/>
              <w:ind w:left="32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4"/>
                <w:sz w:val="24"/>
                <w:szCs w:val="24"/>
                <w:highlight w:val="none"/>
              </w:rPr>
              <w:t>产品名称</w:t>
            </w:r>
          </w:p>
        </w:tc>
        <w:tc>
          <w:tcPr>
            <w:tcW w:w="1889" w:type="dxa"/>
            <w:vAlign w:val="top"/>
          </w:tcPr>
          <w:p w14:paraId="74BB328B">
            <w:pPr>
              <w:spacing w:before="271" w:line="188" w:lineRule="auto"/>
              <w:ind w:left="18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招标文件要求</w:t>
            </w:r>
          </w:p>
        </w:tc>
        <w:tc>
          <w:tcPr>
            <w:tcW w:w="1796" w:type="dxa"/>
            <w:vAlign w:val="top"/>
          </w:tcPr>
          <w:p w14:paraId="244EAD8B">
            <w:pPr>
              <w:spacing w:before="270" w:line="189" w:lineRule="auto"/>
              <w:ind w:left="376"/>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投标响应</w:t>
            </w:r>
          </w:p>
        </w:tc>
        <w:tc>
          <w:tcPr>
            <w:tcW w:w="1889" w:type="dxa"/>
            <w:vAlign w:val="top"/>
          </w:tcPr>
          <w:p w14:paraId="4FD08D31">
            <w:pPr>
              <w:spacing w:before="37" w:line="259" w:lineRule="auto"/>
              <w:ind w:left="552" w:right="268" w:hanging="359"/>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响应/正偏离/</w:t>
            </w:r>
            <w:r>
              <w:rPr>
                <w:rFonts w:ascii="微软雅黑" w:hAnsi="微软雅黑" w:eastAsia="微软雅黑" w:cs="微软雅黑"/>
                <w:color w:val="auto"/>
                <w:spacing w:val="3"/>
                <w:sz w:val="24"/>
                <w:szCs w:val="24"/>
                <w:highlight w:val="none"/>
              </w:rPr>
              <w:t xml:space="preserve"> </w:t>
            </w:r>
            <w:r>
              <w:rPr>
                <w:rFonts w:ascii="微软雅黑" w:hAnsi="微软雅黑" w:eastAsia="微软雅黑" w:cs="微软雅黑"/>
                <w:color w:val="auto"/>
                <w:spacing w:val="-6"/>
                <w:sz w:val="24"/>
                <w:szCs w:val="24"/>
                <w:highlight w:val="none"/>
              </w:rPr>
              <w:t>负偏离</w:t>
            </w:r>
          </w:p>
        </w:tc>
        <w:tc>
          <w:tcPr>
            <w:tcW w:w="1894" w:type="dxa"/>
            <w:vAlign w:val="top"/>
          </w:tcPr>
          <w:p w14:paraId="074B618D">
            <w:pPr>
              <w:spacing w:before="37" w:line="259" w:lineRule="auto"/>
              <w:ind w:left="441" w:right="272" w:hanging="25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偏离对产品性</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6"/>
                <w:sz w:val="24"/>
                <w:szCs w:val="24"/>
                <w:highlight w:val="none"/>
              </w:rPr>
              <w:t>能的影响</w:t>
            </w:r>
          </w:p>
        </w:tc>
      </w:tr>
      <w:tr w14:paraId="7F2E9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680" w:type="dxa"/>
            <w:vAlign w:val="top"/>
          </w:tcPr>
          <w:p w14:paraId="5BCD4499">
            <w:pPr>
              <w:rPr>
                <w:rFonts w:ascii="Arial"/>
                <w:color w:val="auto"/>
                <w:sz w:val="21"/>
                <w:highlight w:val="none"/>
              </w:rPr>
            </w:pPr>
          </w:p>
        </w:tc>
        <w:tc>
          <w:tcPr>
            <w:tcW w:w="1688" w:type="dxa"/>
            <w:vAlign w:val="top"/>
          </w:tcPr>
          <w:p w14:paraId="1C28B406">
            <w:pPr>
              <w:rPr>
                <w:rFonts w:ascii="Arial"/>
                <w:color w:val="auto"/>
                <w:sz w:val="21"/>
                <w:highlight w:val="none"/>
              </w:rPr>
            </w:pPr>
          </w:p>
        </w:tc>
        <w:tc>
          <w:tcPr>
            <w:tcW w:w="1889" w:type="dxa"/>
            <w:vAlign w:val="top"/>
          </w:tcPr>
          <w:p w14:paraId="5DA9A0B8">
            <w:pPr>
              <w:rPr>
                <w:rFonts w:ascii="Arial"/>
                <w:color w:val="auto"/>
                <w:sz w:val="21"/>
                <w:highlight w:val="none"/>
              </w:rPr>
            </w:pPr>
          </w:p>
        </w:tc>
        <w:tc>
          <w:tcPr>
            <w:tcW w:w="1796" w:type="dxa"/>
            <w:vAlign w:val="top"/>
          </w:tcPr>
          <w:p w14:paraId="4EFD58CC">
            <w:pPr>
              <w:rPr>
                <w:rFonts w:ascii="Arial"/>
                <w:color w:val="auto"/>
                <w:sz w:val="21"/>
                <w:highlight w:val="none"/>
              </w:rPr>
            </w:pPr>
          </w:p>
        </w:tc>
        <w:tc>
          <w:tcPr>
            <w:tcW w:w="1889" w:type="dxa"/>
            <w:vAlign w:val="top"/>
          </w:tcPr>
          <w:p w14:paraId="77B9168C">
            <w:pPr>
              <w:rPr>
                <w:rFonts w:ascii="Arial"/>
                <w:color w:val="auto"/>
                <w:sz w:val="21"/>
                <w:highlight w:val="none"/>
              </w:rPr>
            </w:pPr>
          </w:p>
        </w:tc>
        <w:tc>
          <w:tcPr>
            <w:tcW w:w="1894" w:type="dxa"/>
            <w:vAlign w:val="top"/>
          </w:tcPr>
          <w:p w14:paraId="0C75B699">
            <w:pPr>
              <w:rPr>
                <w:rFonts w:ascii="Arial"/>
                <w:color w:val="auto"/>
                <w:sz w:val="21"/>
                <w:highlight w:val="none"/>
              </w:rPr>
            </w:pPr>
          </w:p>
        </w:tc>
      </w:tr>
      <w:tr w14:paraId="529FD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680" w:type="dxa"/>
            <w:vAlign w:val="top"/>
          </w:tcPr>
          <w:p w14:paraId="3BE1EE78">
            <w:pPr>
              <w:rPr>
                <w:rFonts w:ascii="Arial"/>
                <w:color w:val="auto"/>
                <w:sz w:val="21"/>
                <w:highlight w:val="none"/>
              </w:rPr>
            </w:pPr>
          </w:p>
        </w:tc>
        <w:tc>
          <w:tcPr>
            <w:tcW w:w="1688" w:type="dxa"/>
            <w:vAlign w:val="top"/>
          </w:tcPr>
          <w:p w14:paraId="71D42821">
            <w:pPr>
              <w:rPr>
                <w:rFonts w:ascii="Arial"/>
                <w:color w:val="auto"/>
                <w:sz w:val="21"/>
                <w:highlight w:val="none"/>
              </w:rPr>
            </w:pPr>
          </w:p>
        </w:tc>
        <w:tc>
          <w:tcPr>
            <w:tcW w:w="1889" w:type="dxa"/>
            <w:vAlign w:val="top"/>
          </w:tcPr>
          <w:p w14:paraId="0546F22B">
            <w:pPr>
              <w:rPr>
                <w:rFonts w:ascii="Arial"/>
                <w:color w:val="auto"/>
                <w:sz w:val="21"/>
                <w:highlight w:val="none"/>
              </w:rPr>
            </w:pPr>
          </w:p>
        </w:tc>
        <w:tc>
          <w:tcPr>
            <w:tcW w:w="1796" w:type="dxa"/>
            <w:vAlign w:val="top"/>
          </w:tcPr>
          <w:p w14:paraId="44380D48">
            <w:pPr>
              <w:rPr>
                <w:rFonts w:ascii="Arial"/>
                <w:color w:val="auto"/>
                <w:sz w:val="21"/>
                <w:highlight w:val="none"/>
              </w:rPr>
            </w:pPr>
          </w:p>
        </w:tc>
        <w:tc>
          <w:tcPr>
            <w:tcW w:w="1889" w:type="dxa"/>
            <w:vAlign w:val="top"/>
          </w:tcPr>
          <w:p w14:paraId="1665FCAE">
            <w:pPr>
              <w:rPr>
                <w:rFonts w:ascii="Arial"/>
                <w:color w:val="auto"/>
                <w:sz w:val="21"/>
                <w:highlight w:val="none"/>
              </w:rPr>
            </w:pPr>
          </w:p>
        </w:tc>
        <w:tc>
          <w:tcPr>
            <w:tcW w:w="1894" w:type="dxa"/>
            <w:vAlign w:val="top"/>
          </w:tcPr>
          <w:p w14:paraId="181E34ED">
            <w:pPr>
              <w:rPr>
                <w:rFonts w:ascii="Arial"/>
                <w:color w:val="auto"/>
                <w:sz w:val="21"/>
                <w:highlight w:val="none"/>
              </w:rPr>
            </w:pPr>
          </w:p>
        </w:tc>
      </w:tr>
      <w:tr w14:paraId="62C4C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680" w:type="dxa"/>
            <w:vAlign w:val="top"/>
          </w:tcPr>
          <w:p w14:paraId="5B53A6DA">
            <w:pPr>
              <w:rPr>
                <w:rFonts w:ascii="Arial"/>
                <w:color w:val="auto"/>
                <w:sz w:val="21"/>
                <w:highlight w:val="none"/>
              </w:rPr>
            </w:pPr>
          </w:p>
        </w:tc>
        <w:tc>
          <w:tcPr>
            <w:tcW w:w="1688" w:type="dxa"/>
            <w:vAlign w:val="top"/>
          </w:tcPr>
          <w:p w14:paraId="33CC0674">
            <w:pPr>
              <w:rPr>
                <w:rFonts w:ascii="Arial"/>
                <w:color w:val="auto"/>
                <w:sz w:val="21"/>
                <w:highlight w:val="none"/>
              </w:rPr>
            </w:pPr>
          </w:p>
        </w:tc>
        <w:tc>
          <w:tcPr>
            <w:tcW w:w="1889" w:type="dxa"/>
            <w:vAlign w:val="top"/>
          </w:tcPr>
          <w:p w14:paraId="55B6CF79">
            <w:pPr>
              <w:rPr>
                <w:rFonts w:ascii="Arial"/>
                <w:color w:val="auto"/>
                <w:sz w:val="21"/>
                <w:highlight w:val="none"/>
              </w:rPr>
            </w:pPr>
          </w:p>
        </w:tc>
        <w:tc>
          <w:tcPr>
            <w:tcW w:w="1796" w:type="dxa"/>
            <w:vAlign w:val="top"/>
          </w:tcPr>
          <w:p w14:paraId="26D5926C">
            <w:pPr>
              <w:rPr>
                <w:rFonts w:ascii="Arial"/>
                <w:color w:val="auto"/>
                <w:sz w:val="21"/>
                <w:highlight w:val="none"/>
              </w:rPr>
            </w:pPr>
          </w:p>
        </w:tc>
        <w:tc>
          <w:tcPr>
            <w:tcW w:w="1889" w:type="dxa"/>
            <w:vAlign w:val="top"/>
          </w:tcPr>
          <w:p w14:paraId="45B40B6F">
            <w:pPr>
              <w:rPr>
                <w:rFonts w:ascii="Arial"/>
                <w:color w:val="auto"/>
                <w:sz w:val="21"/>
                <w:highlight w:val="none"/>
              </w:rPr>
            </w:pPr>
          </w:p>
        </w:tc>
        <w:tc>
          <w:tcPr>
            <w:tcW w:w="1894" w:type="dxa"/>
            <w:vAlign w:val="top"/>
          </w:tcPr>
          <w:p w14:paraId="40D272A9">
            <w:pPr>
              <w:rPr>
                <w:rFonts w:ascii="Arial"/>
                <w:color w:val="auto"/>
                <w:sz w:val="21"/>
                <w:highlight w:val="none"/>
              </w:rPr>
            </w:pPr>
          </w:p>
        </w:tc>
      </w:tr>
      <w:tr w14:paraId="083B6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680" w:type="dxa"/>
            <w:vAlign w:val="top"/>
          </w:tcPr>
          <w:p w14:paraId="7F98E84F">
            <w:pPr>
              <w:rPr>
                <w:rFonts w:ascii="Arial"/>
                <w:color w:val="auto"/>
                <w:sz w:val="21"/>
                <w:highlight w:val="none"/>
              </w:rPr>
            </w:pPr>
          </w:p>
        </w:tc>
        <w:tc>
          <w:tcPr>
            <w:tcW w:w="1688" w:type="dxa"/>
            <w:vAlign w:val="top"/>
          </w:tcPr>
          <w:p w14:paraId="636D23EB">
            <w:pPr>
              <w:rPr>
                <w:rFonts w:ascii="Arial"/>
                <w:color w:val="auto"/>
                <w:sz w:val="21"/>
                <w:highlight w:val="none"/>
              </w:rPr>
            </w:pPr>
          </w:p>
        </w:tc>
        <w:tc>
          <w:tcPr>
            <w:tcW w:w="1889" w:type="dxa"/>
            <w:vAlign w:val="top"/>
          </w:tcPr>
          <w:p w14:paraId="74007465">
            <w:pPr>
              <w:rPr>
                <w:rFonts w:ascii="Arial"/>
                <w:color w:val="auto"/>
                <w:sz w:val="21"/>
                <w:highlight w:val="none"/>
              </w:rPr>
            </w:pPr>
          </w:p>
        </w:tc>
        <w:tc>
          <w:tcPr>
            <w:tcW w:w="1796" w:type="dxa"/>
            <w:vAlign w:val="top"/>
          </w:tcPr>
          <w:p w14:paraId="301CAEBB">
            <w:pPr>
              <w:rPr>
                <w:rFonts w:ascii="Arial"/>
                <w:color w:val="auto"/>
                <w:sz w:val="21"/>
                <w:highlight w:val="none"/>
              </w:rPr>
            </w:pPr>
          </w:p>
        </w:tc>
        <w:tc>
          <w:tcPr>
            <w:tcW w:w="1889" w:type="dxa"/>
            <w:vAlign w:val="top"/>
          </w:tcPr>
          <w:p w14:paraId="591AB22E">
            <w:pPr>
              <w:rPr>
                <w:rFonts w:ascii="Arial"/>
                <w:color w:val="auto"/>
                <w:sz w:val="21"/>
                <w:highlight w:val="none"/>
              </w:rPr>
            </w:pPr>
          </w:p>
        </w:tc>
        <w:tc>
          <w:tcPr>
            <w:tcW w:w="1894" w:type="dxa"/>
            <w:vAlign w:val="top"/>
          </w:tcPr>
          <w:p w14:paraId="76385D3F">
            <w:pPr>
              <w:rPr>
                <w:rFonts w:ascii="Arial"/>
                <w:color w:val="auto"/>
                <w:sz w:val="21"/>
                <w:highlight w:val="none"/>
              </w:rPr>
            </w:pPr>
          </w:p>
        </w:tc>
      </w:tr>
      <w:tr w14:paraId="37BE1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680" w:type="dxa"/>
            <w:vAlign w:val="top"/>
          </w:tcPr>
          <w:p w14:paraId="115DBDE6">
            <w:pPr>
              <w:rPr>
                <w:rFonts w:ascii="Arial"/>
                <w:color w:val="auto"/>
                <w:sz w:val="21"/>
                <w:highlight w:val="none"/>
              </w:rPr>
            </w:pPr>
          </w:p>
        </w:tc>
        <w:tc>
          <w:tcPr>
            <w:tcW w:w="1688" w:type="dxa"/>
            <w:vAlign w:val="top"/>
          </w:tcPr>
          <w:p w14:paraId="3E35969D">
            <w:pPr>
              <w:rPr>
                <w:rFonts w:ascii="Arial"/>
                <w:color w:val="auto"/>
                <w:sz w:val="21"/>
                <w:highlight w:val="none"/>
              </w:rPr>
            </w:pPr>
          </w:p>
        </w:tc>
        <w:tc>
          <w:tcPr>
            <w:tcW w:w="1889" w:type="dxa"/>
            <w:vAlign w:val="top"/>
          </w:tcPr>
          <w:p w14:paraId="785E1D7D">
            <w:pPr>
              <w:rPr>
                <w:rFonts w:ascii="Arial"/>
                <w:color w:val="auto"/>
                <w:sz w:val="21"/>
                <w:highlight w:val="none"/>
              </w:rPr>
            </w:pPr>
          </w:p>
        </w:tc>
        <w:tc>
          <w:tcPr>
            <w:tcW w:w="1796" w:type="dxa"/>
            <w:vAlign w:val="top"/>
          </w:tcPr>
          <w:p w14:paraId="10A2F0EA">
            <w:pPr>
              <w:rPr>
                <w:rFonts w:ascii="Arial"/>
                <w:color w:val="auto"/>
                <w:sz w:val="21"/>
                <w:highlight w:val="none"/>
              </w:rPr>
            </w:pPr>
          </w:p>
        </w:tc>
        <w:tc>
          <w:tcPr>
            <w:tcW w:w="1889" w:type="dxa"/>
            <w:vAlign w:val="top"/>
          </w:tcPr>
          <w:p w14:paraId="116A397C">
            <w:pPr>
              <w:rPr>
                <w:rFonts w:ascii="Arial"/>
                <w:color w:val="auto"/>
                <w:sz w:val="21"/>
                <w:highlight w:val="none"/>
              </w:rPr>
            </w:pPr>
          </w:p>
        </w:tc>
        <w:tc>
          <w:tcPr>
            <w:tcW w:w="1894" w:type="dxa"/>
            <w:vAlign w:val="top"/>
          </w:tcPr>
          <w:p w14:paraId="0B8E05EF">
            <w:pPr>
              <w:rPr>
                <w:rFonts w:ascii="Arial"/>
                <w:color w:val="auto"/>
                <w:sz w:val="21"/>
                <w:highlight w:val="none"/>
              </w:rPr>
            </w:pPr>
          </w:p>
        </w:tc>
      </w:tr>
      <w:tr w14:paraId="574DA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680" w:type="dxa"/>
            <w:vAlign w:val="top"/>
          </w:tcPr>
          <w:p w14:paraId="345F6222">
            <w:pPr>
              <w:rPr>
                <w:rFonts w:ascii="Arial"/>
                <w:color w:val="auto"/>
                <w:sz w:val="21"/>
                <w:highlight w:val="none"/>
              </w:rPr>
            </w:pPr>
          </w:p>
        </w:tc>
        <w:tc>
          <w:tcPr>
            <w:tcW w:w="1688" w:type="dxa"/>
            <w:vAlign w:val="top"/>
          </w:tcPr>
          <w:p w14:paraId="4D9C80E1">
            <w:pPr>
              <w:rPr>
                <w:rFonts w:ascii="Arial"/>
                <w:color w:val="auto"/>
                <w:sz w:val="21"/>
                <w:highlight w:val="none"/>
              </w:rPr>
            </w:pPr>
          </w:p>
        </w:tc>
        <w:tc>
          <w:tcPr>
            <w:tcW w:w="1889" w:type="dxa"/>
            <w:vAlign w:val="top"/>
          </w:tcPr>
          <w:p w14:paraId="7F779ACA">
            <w:pPr>
              <w:rPr>
                <w:rFonts w:ascii="Arial"/>
                <w:color w:val="auto"/>
                <w:sz w:val="21"/>
                <w:highlight w:val="none"/>
              </w:rPr>
            </w:pPr>
          </w:p>
        </w:tc>
        <w:tc>
          <w:tcPr>
            <w:tcW w:w="1796" w:type="dxa"/>
            <w:vAlign w:val="top"/>
          </w:tcPr>
          <w:p w14:paraId="678BBA15">
            <w:pPr>
              <w:rPr>
                <w:rFonts w:ascii="Arial"/>
                <w:color w:val="auto"/>
                <w:sz w:val="21"/>
                <w:highlight w:val="none"/>
              </w:rPr>
            </w:pPr>
          </w:p>
        </w:tc>
        <w:tc>
          <w:tcPr>
            <w:tcW w:w="1889" w:type="dxa"/>
            <w:vAlign w:val="top"/>
          </w:tcPr>
          <w:p w14:paraId="427606B9">
            <w:pPr>
              <w:rPr>
                <w:rFonts w:ascii="Arial"/>
                <w:color w:val="auto"/>
                <w:sz w:val="21"/>
                <w:highlight w:val="none"/>
              </w:rPr>
            </w:pPr>
          </w:p>
        </w:tc>
        <w:tc>
          <w:tcPr>
            <w:tcW w:w="1894" w:type="dxa"/>
            <w:vAlign w:val="top"/>
          </w:tcPr>
          <w:p w14:paraId="6798FD4D">
            <w:pPr>
              <w:rPr>
                <w:rFonts w:ascii="Arial"/>
                <w:color w:val="auto"/>
                <w:sz w:val="21"/>
                <w:highlight w:val="none"/>
              </w:rPr>
            </w:pPr>
          </w:p>
        </w:tc>
      </w:tr>
      <w:tr w14:paraId="2A9DA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680" w:type="dxa"/>
            <w:vAlign w:val="top"/>
          </w:tcPr>
          <w:p w14:paraId="3BA4E571">
            <w:pPr>
              <w:rPr>
                <w:rFonts w:ascii="Arial"/>
                <w:color w:val="auto"/>
                <w:sz w:val="21"/>
                <w:highlight w:val="none"/>
              </w:rPr>
            </w:pPr>
          </w:p>
        </w:tc>
        <w:tc>
          <w:tcPr>
            <w:tcW w:w="1688" w:type="dxa"/>
            <w:vAlign w:val="top"/>
          </w:tcPr>
          <w:p w14:paraId="65E528CC">
            <w:pPr>
              <w:rPr>
                <w:rFonts w:ascii="Arial"/>
                <w:color w:val="auto"/>
                <w:sz w:val="21"/>
                <w:highlight w:val="none"/>
              </w:rPr>
            </w:pPr>
          </w:p>
        </w:tc>
        <w:tc>
          <w:tcPr>
            <w:tcW w:w="1889" w:type="dxa"/>
            <w:vAlign w:val="top"/>
          </w:tcPr>
          <w:p w14:paraId="331E893F">
            <w:pPr>
              <w:rPr>
                <w:rFonts w:ascii="Arial"/>
                <w:color w:val="auto"/>
                <w:sz w:val="21"/>
                <w:highlight w:val="none"/>
              </w:rPr>
            </w:pPr>
          </w:p>
        </w:tc>
        <w:tc>
          <w:tcPr>
            <w:tcW w:w="1796" w:type="dxa"/>
            <w:vAlign w:val="top"/>
          </w:tcPr>
          <w:p w14:paraId="15912CE9">
            <w:pPr>
              <w:rPr>
                <w:rFonts w:ascii="Arial"/>
                <w:color w:val="auto"/>
                <w:sz w:val="21"/>
                <w:highlight w:val="none"/>
              </w:rPr>
            </w:pPr>
          </w:p>
        </w:tc>
        <w:tc>
          <w:tcPr>
            <w:tcW w:w="1889" w:type="dxa"/>
            <w:vAlign w:val="top"/>
          </w:tcPr>
          <w:p w14:paraId="6994473C">
            <w:pPr>
              <w:rPr>
                <w:rFonts w:ascii="Arial"/>
                <w:color w:val="auto"/>
                <w:sz w:val="21"/>
                <w:highlight w:val="none"/>
              </w:rPr>
            </w:pPr>
          </w:p>
        </w:tc>
        <w:tc>
          <w:tcPr>
            <w:tcW w:w="1894" w:type="dxa"/>
            <w:vAlign w:val="top"/>
          </w:tcPr>
          <w:p w14:paraId="429E6723">
            <w:pPr>
              <w:rPr>
                <w:rFonts w:ascii="Arial"/>
                <w:color w:val="auto"/>
                <w:sz w:val="21"/>
                <w:highlight w:val="none"/>
              </w:rPr>
            </w:pPr>
          </w:p>
        </w:tc>
      </w:tr>
    </w:tbl>
    <w:p w14:paraId="0F38B877">
      <w:pPr>
        <w:pStyle w:val="4"/>
        <w:spacing w:before="36" w:line="271" w:lineRule="auto"/>
        <w:ind w:left="128" w:right="100" w:firstLine="6"/>
        <w:rPr>
          <w:color w:val="auto"/>
          <w:spacing w:val="-1"/>
          <w:sz w:val="24"/>
          <w:szCs w:val="24"/>
          <w:highlight w:val="none"/>
        </w:rPr>
      </w:pPr>
      <w:r>
        <w:rPr>
          <w:color w:val="auto"/>
          <w:sz w:val="24"/>
          <w:szCs w:val="24"/>
          <w:highlight w:val="none"/>
        </w:rPr>
        <w:t>注：</w:t>
      </w:r>
      <w:r>
        <w:rPr>
          <w:color w:val="auto"/>
          <w:spacing w:val="-44"/>
          <w:sz w:val="24"/>
          <w:szCs w:val="24"/>
          <w:highlight w:val="none"/>
        </w:rPr>
        <w:t xml:space="preserve"> </w:t>
      </w:r>
      <w:r>
        <w:rPr>
          <w:color w:val="auto"/>
          <w:sz w:val="24"/>
          <w:szCs w:val="24"/>
          <w:highlight w:val="none"/>
        </w:rPr>
        <w:t>根据招标文件技术参数要求逐条对应填写，投标</w:t>
      </w:r>
      <w:r>
        <w:rPr>
          <w:color w:val="auto"/>
          <w:spacing w:val="-1"/>
          <w:sz w:val="24"/>
          <w:szCs w:val="24"/>
          <w:highlight w:val="none"/>
        </w:rPr>
        <w:t>人必须根据所提供的相应的资格证明文</w:t>
      </w:r>
      <w:r>
        <w:rPr>
          <w:color w:val="auto"/>
          <w:sz w:val="24"/>
          <w:szCs w:val="24"/>
          <w:highlight w:val="none"/>
        </w:rPr>
        <w:t xml:space="preserve"> </w:t>
      </w:r>
      <w:r>
        <w:rPr>
          <w:color w:val="auto"/>
          <w:spacing w:val="-1"/>
          <w:sz w:val="24"/>
          <w:szCs w:val="24"/>
          <w:highlight w:val="none"/>
        </w:rPr>
        <w:t>件如实填写，不得虚假响应，否则将取消其投标或中标资格，并</w:t>
      </w:r>
      <w:r>
        <w:rPr>
          <w:color w:val="auto"/>
          <w:spacing w:val="-2"/>
          <w:sz w:val="24"/>
          <w:szCs w:val="24"/>
          <w:highlight w:val="none"/>
        </w:rPr>
        <w:t>按有关规定进行处罚</w:t>
      </w:r>
      <w:r>
        <w:rPr>
          <w:color w:val="auto"/>
          <w:spacing w:val="-1"/>
          <w:sz w:val="24"/>
          <w:szCs w:val="24"/>
          <w:highlight w:val="none"/>
        </w:rPr>
        <w:t>。</w:t>
      </w:r>
      <w:r>
        <w:rPr>
          <w:rFonts w:hint="eastAsia"/>
          <w:color w:val="auto"/>
          <w:spacing w:val="-1"/>
          <w:sz w:val="24"/>
          <w:szCs w:val="24"/>
          <w:highlight w:val="none"/>
        </w:rPr>
        <w:t>用户需求书中对应参数要求有明确要求提供证明材料的，</w:t>
      </w:r>
      <w:r>
        <w:rPr>
          <w:rFonts w:hint="eastAsia"/>
          <w:color w:val="auto"/>
          <w:spacing w:val="-1"/>
          <w:sz w:val="24"/>
          <w:szCs w:val="24"/>
          <w:highlight w:val="none"/>
          <w:lang w:val="en-GB"/>
        </w:rPr>
        <w:t>所有投标人应根据评审要求提供如投标产品彩页、检测报告和相应技术参数的厂家使用说明书等可以说明参数值得作为技术证明文件，否则评标委员会有权视相应技术参数响应不符合招标要求（如厂家的产品使用说明书为英文版，请同时提供中文版）。</w:t>
      </w:r>
      <w:r>
        <w:rPr>
          <w:rFonts w:hint="eastAsia"/>
          <w:color w:val="auto"/>
          <w:spacing w:val="-1"/>
          <w:sz w:val="24"/>
          <w:szCs w:val="24"/>
          <w:highlight w:val="none"/>
        </w:rPr>
        <w:t>如无要求的，无须提供。</w:t>
      </w:r>
    </w:p>
    <w:p w14:paraId="6BB71A49">
      <w:pPr>
        <w:spacing w:line="297" w:lineRule="auto"/>
        <w:rPr>
          <w:rFonts w:ascii="Arial"/>
          <w:color w:val="auto"/>
          <w:sz w:val="21"/>
          <w:highlight w:val="none"/>
        </w:rPr>
      </w:pPr>
    </w:p>
    <w:p w14:paraId="7C1F6357">
      <w:pPr>
        <w:spacing w:line="297" w:lineRule="auto"/>
        <w:rPr>
          <w:rFonts w:ascii="Arial"/>
          <w:color w:val="auto"/>
          <w:sz w:val="21"/>
          <w:highlight w:val="none"/>
        </w:rPr>
      </w:pPr>
    </w:p>
    <w:p w14:paraId="4A700183">
      <w:pPr>
        <w:spacing w:line="297" w:lineRule="auto"/>
        <w:rPr>
          <w:rFonts w:ascii="Arial"/>
          <w:color w:val="auto"/>
          <w:sz w:val="21"/>
          <w:highlight w:val="none"/>
        </w:rPr>
      </w:pPr>
    </w:p>
    <w:p w14:paraId="2A31B676">
      <w:pPr>
        <w:spacing w:line="297" w:lineRule="auto"/>
        <w:rPr>
          <w:rFonts w:ascii="Arial"/>
          <w:color w:val="auto"/>
          <w:sz w:val="21"/>
          <w:highlight w:val="none"/>
        </w:rPr>
      </w:pPr>
    </w:p>
    <w:p w14:paraId="536795C5">
      <w:pPr>
        <w:pStyle w:val="4"/>
        <w:spacing w:before="104" w:line="183" w:lineRule="auto"/>
        <w:ind w:left="128"/>
        <w:rPr>
          <w:color w:val="auto"/>
          <w:sz w:val="24"/>
          <w:szCs w:val="24"/>
          <w:highlight w:val="none"/>
        </w:rPr>
      </w:pPr>
      <w:r>
        <w:rPr>
          <w:color w:val="auto"/>
          <w:spacing w:val="-2"/>
          <w:sz w:val="24"/>
          <w:szCs w:val="24"/>
          <w:highlight w:val="none"/>
        </w:rPr>
        <w:t>投标单位名称（盖章</w:t>
      </w:r>
      <w:r>
        <w:rPr>
          <w:color w:val="auto"/>
          <w:sz w:val="24"/>
          <w:szCs w:val="24"/>
          <w:highlight w:val="none"/>
        </w:rPr>
        <w:t>）：</w:t>
      </w:r>
      <w:r>
        <w:rPr>
          <w:color w:val="auto"/>
          <w:sz w:val="24"/>
          <w:szCs w:val="24"/>
          <w:highlight w:val="none"/>
          <w:u w:val="single" w:color="auto"/>
        </w:rPr>
        <w:t xml:space="preserve">                                                       </w:t>
      </w:r>
    </w:p>
    <w:p w14:paraId="68A7F51C">
      <w:pPr>
        <w:pStyle w:val="4"/>
        <w:spacing w:before="150" w:line="271" w:lineRule="auto"/>
        <w:ind w:left="178" w:right="2053" w:hanging="42"/>
        <w:rPr>
          <w:color w:val="auto"/>
          <w:sz w:val="24"/>
          <w:szCs w:val="24"/>
          <w:highlight w:val="none"/>
        </w:rPr>
      </w:pPr>
      <w:r>
        <w:rPr>
          <w:color w:val="auto"/>
          <w:spacing w:val="-2"/>
          <w:sz w:val="24"/>
          <w:szCs w:val="24"/>
          <w:highlight w:val="none"/>
        </w:rPr>
        <w:t>法定代表人或授权代理人（签字或盖章</w:t>
      </w:r>
      <w:r>
        <w:rPr>
          <w:color w:val="auto"/>
          <w:spacing w:val="4"/>
          <w:sz w:val="24"/>
          <w:szCs w:val="24"/>
          <w:highlight w:val="none"/>
        </w:rPr>
        <w:t>）：</w:t>
      </w:r>
      <w:r>
        <w:rPr>
          <w:color w:val="auto"/>
          <w:spacing w:val="2"/>
          <w:sz w:val="24"/>
          <w:szCs w:val="24"/>
          <w:highlight w:val="none"/>
          <w:u w:val="single" w:color="auto"/>
        </w:rPr>
        <w:t xml:space="preserve">                       </w:t>
      </w:r>
      <w:r>
        <w:rPr>
          <w:color w:val="auto"/>
          <w:spacing w:val="1"/>
          <w:sz w:val="24"/>
          <w:szCs w:val="24"/>
          <w:highlight w:val="none"/>
          <w:u w:val="single" w:color="auto"/>
        </w:rPr>
        <w:t xml:space="preserve">                    </w:t>
      </w:r>
      <w:r>
        <w:rPr>
          <w:color w:val="auto"/>
          <w:spacing w:val="1"/>
          <w:sz w:val="24"/>
          <w:szCs w:val="24"/>
          <w:highlight w:val="none"/>
        </w:rPr>
        <w:t xml:space="preserve"> </w:t>
      </w:r>
      <w:r>
        <w:rPr>
          <w:color w:val="auto"/>
          <w:spacing w:val="-9"/>
          <w:sz w:val="24"/>
          <w:szCs w:val="24"/>
          <w:highlight w:val="none"/>
        </w:rPr>
        <w:t>日</w:t>
      </w:r>
      <w:r>
        <w:rPr>
          <w:color w:val="auto"/>
          <w:spacing w:val="12"/>
          <w:sz w:val="24"/>
          <w:szCs w:val="24"/>
          <w:highlight w:val="none"/>
        </w:rPr>
        <w:t xml:space="preserve">      </w:t>
      </w:r>
      <w:r>
        <w:rPr>
          <w:color w:val="auto"/>
          <w:spacing w:val="-9"/>
          <w:sz w:val="24"/>
          <w:szCs w:val="24"/>
          <w:highlight w:val="none"/>
        </w:rPr>
        <w:t>期：</w:t>
      </w:r>
      <w:r>
        <w:rPr>
          <w:color w:val="auto"/>
          <w:spacing w:val="2"/>
          <w:sz w:val="24"/>
          <w:szCs w:val="24"/>
          <w:highlight w:val="none"/>
          <w:u w:val="single" w:color="auto"/>
        </w:rPr>
        <w:t xml:space="preserve">             </w:t>
      </w:r>
      <w:r>
        <w:rPr>
          <w:color w:val="auto"/>
          <w:spacing w:val="-39"/>
          <w:sz w:val="24"/>
          <w:szCs w:val="24"/>
          <w:highlight w:val="none"/>
        </w:rPr>
        <w:t xml:space="preserve"> </w:t>
      </w:r>
      <w:r>
        <w:rPr>
          <w:color w:val="auto"/>
          <w:spacing w:val="-9"/>
          <w:sz w:val="24"/>
          <w:szCs w:val="24"/>
          <w:highlight w:val="none"/>
        </w:rPr>
        <w:t>年</w:t>
      </w:r>
      <w:r>
        <w:rPr>
          <w:color w:val="auto"/>
          <w:spacing w:val="-9"/>
          <w:sz w:val="24"/>
          <w:szCs w:val="24"/>
          <w:highlight w:val="none"/>
          <w:u w:val="single" w:color="auto"/>
        </w:rPr>
        <w:t xml:space="preserve">           </w:t>
      </w:r>
      <w:r>
        <w:rPr>
          <w:color w:val="auto"/>
          <w:spacing w:val="-44"/>
          <w:sz w:val="24"/>
          <w:szCs w:val="24"/>
          <w:highlight w:val="none"/>
        </w:rPr>
        <w:t xml:space="preserve"> </w:t>
      </w:r>
      <w:r>
        <w:rPr>
          <w:color w:val="auto"/>
          <w:spacing w:val="-9"/>
          <w:sz w:val="24"/>
          <w:szCs w:val="24"/>
          <w:highlight w:val="none"/>
        </w:rPr>
        <w:t>月</w:t>
      </w:r>
      <w:r>
        <w:rPr>
          <w:color w:val="auto"/>
          <w:spacing w:val="-9"/>
          <w:sz w:val="24"/>
          <w:szCs w:val="24"/>
          <w:highlight w:val="none"/>
          <w:u w:val="single" w:color="auto"/>
        </w:rPr>
        <w:t xml:space="preserve">           </w:t>
      </w:r>
      <w:r>
        <w:rPr>
          <w:color w:val="auto"/>
          <w:spacing w:val="-9"/>
          <w:sz w:val="24"/>
          <w:szCs w:val="24"/>
          <w:highlight w:val="none"/>
        </w:rPr>
        <w:t xml:space="preserve"> 日</w:t>
      </w:r>
    </w:p>
    <w:p w14:paraId="648B6822">
      <w:pPr>
        <w:spacing w:line="271" w:lineRule="auto"/>
        <w:rPr>
          <w:color w:val="auto"/>
          <w:sz w:val="24"/>
          <w:szCs w:val="24"/>
          <w:highlight w:val="none"/>
        </w:rPr>
        <w:sectPr>
          <w:footerReference r:id="rId26" w:type="default"/>
          <w:pgSz w:w="11905" w:h="16839"/>
          <w:pgMar w:top="1440" w:right="1800" w:bottom="1440" w:left="1800" w:header="0" w:footer="850" w:gutter="0"/>
          <w:pgNumType w:fmt="decimal"/>
          <w:cols w:space="720" w:num="1"/>
        </w:sectPr>
      </w:pPr>
    </w:p>
    <w:p w14:paraId="7DAA75B0">
      <w:pPr>
        <w:spacing w:line="319" w:lineRule="auto"/>
        <w:rPr>
          <w:rFonts w:ascii="Arial"/>
          <w:color w:val="auto"/>
          <w:sz w:val="21"/>
          <w:highlight w:val="none"/>
        </w:rPr>
      </w:pPr>
    </w:p>
    <w:p w14:paraId="7ABF07DF">
      <w:pPr>
        <w:pStyle w:val="4"/>
        <w:spacing w:before="120" w:line="188" w:lineRule="auto"/>
        <w:jc w:val="center"/>
        <w:rPr>
          <w:color w:val="auto"/>
          <w:sz w:val="28"/>
          <w:szCs w:val="28"/>
          <w:highlight w:val="none"/>
        </w:rPr>
      </w:pPr>
      <w:r>
        <w:rPr>
          <w:b/>
          <w:bCs/>
          <w:color w:val="auto"/>
          <w:spacing w:val="-4"/>
          <w:sz w:val="28"/>
          <w:szCs w:val="28"/>
          <w:highlight w:val="none"/>
        </w:rPr>
        <w:t>2、货物的详细配置清单</w:t>
      </w:r>
    </w:p>
    <w:p w14:paraId="4F5585FA">
      <w:pPr>
        <w:spacing w:before="6"/>
        <w:rPr>
          <w:color w:val="auto"/>
          <w:highlight w:val="none"/>
        </w:rPr>
      </w:pPr>
    </w:p>
    <w:tbl>
      <w:tblPr>
        <w:tblStyle w:val="16"/>
        <w:tblW w:w="94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3"/>
        <w:gridCol w:w="1370"/>
        <w:gridCol w:w="1596"/>
        <w:gridCol w:w="1051"/>
        <w:gridCol w:w="1556"/>
        <w:gridCol w:w="1696"/>
        <w:gridCol w:w="1358"/>
      </w:tblGrid>
      <w:tr w14:paraId="3C1A6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jc w:val="center"/>
        </w:trPr>
        <w:tc>
          <w:tcPr>
            <w:tcW w:w="793" w:type="dxa"/>
            <w:vAlign w:val="top"/>
          </w:tcPr>
          <w:p w14:paraId="2DF16CE0">
            <w:pPr>
              <w:pStyle w:val="17"/>
              <w:spacing w:before="118" w:line="225" w:lineRule="auto"/>
              <w:ind w:left="165"/>
              <w:rPr>
                <w:color w:val="auto"/>
                <w:highlight w:val="none"/>
              </w:rPr>
            </w:pPr>
            <w:r>
              <w:rPr>
                <w:color w:val="auto"/>
                <w:spacing w:val="-4"/>
                <w:highlight w:val="none"/>
              </w:rPr>
              <w:t>序号</w:t>
            </w:r>
          </w:p>
        </w:tc>
        <w:tc>
          <w:tcPr>
            <w:tcW w:w="1370" w:type="dxa"/>
            <w:vAlign w:val="top"/>
          </w:tcPr>
          <w:p w14:paraId="3EB3937F">
            <w:pPr>
              <w:pStyle w:val="17"/>
              <w:spacing w:before="118" w:line="226" w:lineRule="auto"/>
              <w:ind w:left="453"/>
              <w:rPr>
                <w:color w:val="auto"/>
                <w:highlight w:val="none"/>
              </w:rPr>
            </w:pPr>
            <w:r>
              <w:rPr>
                <w:color w:val="auto"/>
                <w:spacing w:val="-5"/>
                <w:highlight w:val="none"/>
              </w:rPr>
              <w:t>名称</w:t>
            </w:r>
          </w:p>
        </w:tc>
        <w:tc>
          <w:tcPr>
            <w:tcW w:w="1596" w:type="dxa"/>
            <w:vAlign w:val="top"/>
          </w:tcPr>
          <w:p w14:paraId="3895FA19">
            <w:pPr>
              <w:pStyle w:val="17"/>
              <w:spacing w:before="118" w:line="224" w:lineRule="auto"/>
              <w:ind w:left="593"/>
              <w:rPr>
                <w:color w:val="auto"/>
                <w:highlight w:val="none"/>
              </w:rPr>
            </w:pPr>
            <w:r>
              <w:rPr>
                <w:color w:val="auto"/>
                <w:spacing w:val="-11"/>
                <w:highlight w:val="none"/>
              </w:rPr>
              <w:t>品牌</w:t>
            </w:r>
          </w:p>
        </w:tc>
        <w:tc>
          <w:tcPr>
            <w:tcW w:w="1051" w:type="dxa"/>
            <w:vAlign w:val="top"/>
          </w:tcPr>
          <w:p w14:paraId="419B723D">
            <w:pPr>
              <w:pStyle w:val="17"/>
              <w:spacing w:before="118" w:line="224" w:lineRule="auto"/>
              <w:ind w:left="297"/>
              <w:rPr>
                <w:color w:val="auto"/>
                <w:highlight w:val="none"/>
              </w:rPr>
            </w:pPr>
            <w:r>
              <w:rPr>
                <w:color w:val="auto"/>
                <w:spacing w:val="-5"/>
                <w:highlight w:val="none"/>
              </w:rPr>
              <w:t>产地</w:t>
            </w:r>
          </w:p>
        </w:tc>
        <w:tc>
          <w:tcPr>
            <w:tcW w:w="1556" w:type="dxa"/>
            <w:vAlign w:val="top"/>
          </w:tcPr>
          <w:p w14:paraId="7851E646">
            <w:pPr>
              <w:pStyle w:val="17"/>
              <w:spacing w:before="118" w:line="224" w:lineRule="auto"/>
              <w:ind w:left="323"/>
              <w:rPr>
                <w:color w:val="auto"/>
                <w:highlight w:val="none"/>
              </w:rPr>
            </w:pPr>
            <w:r>
              <w:rPr>
                <w:color w:val="auto"/>
                <w:spacing w:val="-6"/>
                <w:highlight w:val="none"/>
              </w:rPr>
              <w:t>生产厂家</w:t>
            </w:r>
          </w:p>
        </w:tc>
        <w:tc>
          <w:tcPr>
            <w:tcW w:w="1696" w:type="dxa"/>
            <w:vAlign w:val="top"/>
          </w:tcPr>
          <w:p w14:paraId="3569824B">
            <w:pPr>
              <w:pStyle w:val="17"/>
              <w:spacing w:before="119" w:line="224" w:lineRule="auto"/>
              <w:ind w:left="142"/>
              <w:rPr>
                <w:color w:val="auto"/>
                <w:highlight w:val="none"/>
              </w:rPr>
            </w:pPr>
            <w:r>
              <w:rPr>
                <w:color w:val="auto"/>
                <w:spacing w:val="-3"/>
                <w:highlight w:val="none"/>
              </w:rPr>
              <w:t>详细配置清单</w:t>
            </w:r>
          </w:p>
        </w:tc>
        <w:tc>
          <w:tcPr>
            <w:tcW w:w="1358" w:type="dxa"/>
            <w:vAlign w:val="top"/>
          </w:tcPr>
          <w:p w14:paraId="2F6EB34B">
            <w:pPr>
              <w:pStyle w:val="17"/>
              <w:spacing w:before="118" w:line="224" w:lineRule="auto"/>
              <w:jc w:val="center"/>
              <w:rPr>
                <w:color w:val="auto"/>
                <w:highlight w:val="none"/>
              </w:rPr>
            </w:pPr>
            <w:r>
              <w:rPr>
                <w:color w:val="auto"/>
                <w:spacing w:val="-3"/>
                <w:highlight w:val="none"/>
              </w:rPr>
              <w:t>规格型号</w:t>
            </w:r>
          </w:p>
        </w:tc>
      </w:tr>
      <w:tr w14:paraId="7F93C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793" w:type="dxa"/>
            <w:vAlign w:val="top"/>
          </w:tcPr>
          <w:p w14:paraId="2193B4A7">
            <w:pPr>
              <w:rPr>
                <w:rFonts w:ascii="Arial"/>
                <w:color w:val="auto"/>
                <w:sz w:val="21"/>
                <w:highlight w:val="none"/>
              </w:rPr>
            </w:pPr>
          </w:p>
        </w:tc>
        <w:tc>
          <w:tcPr>
            <w:tcW w:w="1370" w:type="dxa"/>
            <w:vAlign w:val="top"/>
          </w:tcPr>
          <w:p w14:paraId="7B131E4C">
            <w:pPr>
              <w:rPr>
                <w:rFonts w:ascii="Arial"/>
                <w:color w:val="auto"/>
                <w:sz w:val="21"/>
                <w:highlight w:val="none"/>
              </w:rPr>
            </w:pPr>
          </w:p>
        </w:tc>
        <w:tc>
          <w:tcPr>
            <w:tcW w:w="1596" w:type="dxa"/>
            <w:vAlign w:val="top"/>
          </w:tcPr>
          <w:p w14:paraId="0FBD23D1">
            <w:pPr>
              <w:rPr>
                <w:rFonts w:ascii="Arial"/>
                <w:color w:val="auto"/>
                <w:sz w:val="21"/>
                <w:highlight w:val="none"/>
              </w:rPr>
            </w:pPr>
          </w:p>
        </w:tc>
        <w:tc>
          <w:tcPr>
            <w:tcW w:w="1051" w:type="dxa"/>
            <w:vAlign w:val="top"/>
          </w:tcPr>
          <w:p w14:paraId="7087FED1">
            <w:pPr>
              <w:rPr>
                <w:rFonts w:ascii="Arial"/>
                <w:color w:val="auto"/>
                <w:sz w:val="21"/>
                <w:highlight w:val="none"/>
              </w:rPr>
            </w:pPr>
          </w:p>
        </w:tc>
        <w:tc>
          <w:tcPr>
            <w:tcW w:w="1556" w:type="dxa"/>
            <w:vAlign w:val="top"/>
          </w:tcPr>
          <w:p w14:paraId="7A5681F7">
            <w:pPr>
              <w:rPr>
                <w:rFonts w:ascii="Arial"/>
                <w:color w:val="auto"/>
                <w:sz w:val="21"/>
                <w:highlight w:val="none"/>
              </w:rPr>
            </w:pPr>
          </w:p>
        </w:tc>
        <w:tc>
          <w:tcPr>
            <w:tcW w:w="1696" w:type="dxa"/>
            <w:vAlign w:val="top"/>
          </w:tcPr>
          <w:p w14:paraId="0C6C5318">
            <w:pPr>
              <w:rPr>
                <w:rFonts w:ascii="Arial"/>
                <w:color w:val="auto"/>
                <w:sz w:val="21"/>
                <w:highlight w:val="none"/>
              </w:rPr>
            </w:pPr>
          </w:p>
        </w:tc>
        <w:tc>
          <w:tcPr>
            <w:tcW w:w="1358" w:type="dxa"/>
            <w:vAlign w:val="top"/>
          </w:tcPr>
          <w:p w14:paraId="34FB84E7">
            <w:pPr>
              <w:rPr>
                <w:rFonts w:ascii="Arial"/>
                <w:color w:val="auto"/>
                <w:sz w:val="21"/>
                <w:highlight w:val="none"/>
              </w:rPr>
            </w:pPr>
          </w:p>
        </w:tc>
      </w:tr>
      <w:tr w14:paraId="08BC0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93" w:type="dxa"/>
            <w:vAlign w:val="top"/>
          </w:tcPr>
          <w:p w14:paraId="1C385BB4">
            <w:pPr>
              <w:rPr>
                <w:rFonts w:ascii="Arial"/>
                <w:color w:val="auto"/>
                <w:sz w:val="21"/>
                <w:highlight w:val="none"/>
              </w:rPr>
            </w:pPr>
          </w:p>
        </w:tc>
        <w:tc>
          <w:tcPr>
            <w:tcW w:w="1370" w:type="dxa"/>
            <w:vAlign w:val="top"/>
          </w:tcPr>
          <w:p w14:paraId="6D1DA0A5">
            <w:pPr>
              <w:rPr>
                <w:rFonts w:ascii="Arial"/>
                <w:color w:val="auto"/>
                <w:sz w:val="21"/>
                <w:highlight w:val="none"/>
              </w:rPr>
            </w:pPr>
          </w:p>
        </w:tc>
        <w:tc>
          <w:tcPr>
            <w:tcW w:w="1596" w:type="dxa"/>
            <w:vAlign w:val="top"/>
          </w:tcPr>
          <w:p w14:paraId="60257D9F">
            <w:pPr>
              <w:rPr>
                <w:rFonts w:ascii="Arial"/>
                <w:color w:val="auto"/>
                <w:sz w:val="21"/>
                <w:highlight w:val="none"/>
              </w:rPr>
            </w:pPr>
          </w:p>
        </w:tc>
        <w:tc>
          <w:tcPr>
            <w:tcW w:w="1051" w:type="dxa"/>
            <w:vAlign w:val="top"/>
          </w:tcPr>
          <w:p w14:paraId="77455CB9">
            <w:pPr>
              <w:rPr>
                <w:rFonts w:ascii="Arial"/>
                <w:color w:val="auto"/>
                <w:sz w:val="21"/>
                <w:highlight w:val="none"/>
              </w:rPr>
            </w:pPr>
          </w:p>
        </w:tc>
        <w:tc>
          <w:tcPr>
            <w:tcW w:w="1556" w:type="dxa"/>
            <w:vAlign w:val="top"/>
          </w:tcPr>
          <w:p w14:paraId="60985D83">
            <w:pPr>
              <w:rPr>
                <w:rFonts w:ascii="Arial"/>
                <w:color w:val="auto"/>
                <w:sz w:val="21"/>
                <w:highlight w:val="none"/>
              </w:rPr>
            </w:pPr>
          </w:p>
        </w:tc>
        <w:tc>
          <w:tcPr>
            <w:tcW w:w="1696" w:type="dxa"/>
            <w:vAlign w:val="top"/>
          </w:tcPr>
          <w:p w14:paraId="10D86325">
            <w:pPr>
              <w:rPr>
                <w:rFonts w:ascii="Arial"/>
                <w:color w:val="auto"/>
                <w:sz w:val="21"/>
                <w:highlight w:val="none"/>
              </w:rPr>
            </w:pPr>
          </w:p>
        </w:tc>
        <w:tc>
          <w:tcPr>
            <w:tcW w:w="1358" w:type="dxa"/>
            <w:vAlign w:val="top"/>
          </w:tcPr>
          <w:p w14:paraId="43F86726">
            <w:pPr>
              <w:rPr>
                <w:rFonts w:ascii="Arial"/>
                <w:color w:val="auto"/>
                <w:sz w:val="21"/>
                <w:highlight w:val="none"/>
              </w:rPr>
            </w:pPr>
          </w:p>
        </w:tc>
      </w:tr>
      <w:tr w14:paraId="433A1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93" w:type="dxa"/>
            <w:vAlign w:val="top"/>
          </w:tcPr>
          <w:p w14:paraId="78DA7E20">
            <w:pPr>
              <w:rPr>
                <w:rFonts w:ascii="Arial"/>
                <w:color w:val="auto"/>
                <w:sz w:val="21"/>
                <w:highlight w:val="none"/>
              </w:rPr>
            </w:pPr>
          </w:p>
        </w:tc>
        <w:tc>
          <w:tcPr>
            <w:tcW w:w="1370" w:type="dxa"/>
            <w:vAlign w:val="top"/>
          </w:tcPr>
          <w:p w14:paraId="5987D6CB">
            <w:pPr>
              <w:rPr>
                <w:rFonts w:ascii="Arial"/>
                <w:color w:val="auto"/>
                <w:sz w:val="21"/>
                <w:highlight w:val="none"/>
              </w:rPr>
            </w:pPr>
          </w:p>
        </w:tc>
        <w:tc>
          <w:tcPr>
            <w:tcW w:w="1596" w:type="dxa"/>
            <w:vAlign w:val="top"/>
          </w:tcPr>
          <w:p w14:paraId="73BE40CC">
            <w:pPr>
              <w:rPr>
                <w:rFonts w:ascii="Arial"/>
                <w:color w:val="auto"/>
                <w:sz w:val="21"/>
                <w:highlight w:val="none"/>
              </w:rPr>
            </w:pPr>
          </w:p>
        </w:tc>
        <w:tc>
          <w:tcPr>
            <w:tcW w:w="1051" w:type="dxa"/>
            <w:vAlign w:val="top"/>
          </w:tcPr>
          <w:p w14:paraId="31726953">
            <w:pPr>
              <w:rPr>
                <w:rFonts w:ascii="Arial"/>
                <w:color w:val="auto"/>
                <w:sz w:val="21"/>
                <w:highlight w:val="none"/>
              </w:rPr>
            </w:pPr>
          </w:p>
        </w:tc>
        <w:tc>
          <w:tcPr>
            <w:tcW w:w="1556" w:type="dxa"/>
            <w:vAlign w:val="top"/>
          </w:tcPr>
          <w:p w14:paraId="6EF35E43">
            <w:pPr>
              <w:rPr>
                <w:rFonts w:ascii="Arial"/>
                <w:color w:val="auto"/>
                <w:sz w:val="21"/>
                <w:highlight w:val="none"/>
              </w:rPr>
            </w:pPr>
          </w:p>
        </w:tc>
        <w:tc>
          <w:tcPr>
            <w:tcW w:w="1696" w:type="dxa"/>
            <w:vAlign w:val="top"/>
          </w:tcPr>
          <w:p w14:paraId="2DCB7425">
            <w:pPr>
              <w:rPr>
                <w:rFonts w:ascii="Arial"/>
                <w:color w:val="auto"/>
                <w:sz w:val="21"/>
                <w:highlight w:val="none"/>
              </w:rPr>
            </w:pPr>
          </w:p>
        </w:tc>
        <w:tc>
          <w:tcPr>
            <w:tcW w:w="1358" w:type="dxa"/>
            <w:vAlign w:val="top"/>
          </w:tcPr>
          <w:p w14:paraId="18BB28F1">
            <w:pPr>
              <w:rPr>
                <w:rFonts w:ascii="Arial"/>
                <w:color w:val="auto"/>
                <w:sz w:val="21"/>
                <w:highlight w:val="none"/>
              </w:rPr>
            </w:pPr>
          </w:p>
        </w:tc>
      </w:tr>
      <w:tr w14:paraId="61B8F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93" w:type="dxa"/>
            <w:vAlign w:val="top"/>
          </w:tcPr>
          <w:p w14:paraId="3A8876B7">
            <w:pPr>
              <w:rPr>
                <w:rFonts w:ascii="Arial"/>
                <w:color w:val="auto"/>
                <w:sz w:val="21"/>
                <w:highlight w:val="none"/>
              </w:rPr>
            </w:pPr>
          </w:p>
        </w:tc>
        <w:tc>
          <w:tcPr>
            <w:tcW w:w="1370" w:type="dxa"/>
            <w:vAlign w:val="top"/>
          </w:tcPr>
          <w:p w14:paraId="101CCD71">
            <w:pPr>
              <w:rPr>
                <w:rFonts w:ascii="Arial"/>
                <w:color w:val="auto"/>
                <w:sz w:val="21"/>
                <w:highlight w:val="none"/>
              </w:rPr>
            </w:pPr>
          </w:p>
        </w:tc>
        <w:tc>
          <w:tcPr>
            <w:tcW w:w="1596" w:type="dxa"/>
            <w:vAlign w:val="top"/>
          </w:tcPr>
          <w:p w14:paraId="36EA86B7">
            <w:pPr>
              <w:rPr>
                <w:rFonts w:ascii="Arial"/>
                <w:color w:val="auto"/>
                <w:sz w:val="21"/>
                <w:highlight w:val="none"/>
              </w:rPr>
            </w:pPr>
          </w:p>
        </w:tc>
        <w:tc>
          <w:tcPr>
            <w:tcW w:w="1051" w:type="dxa"/>
            <w:vAlign w:val="top"/>
          </w:tcPr>
          <w:p w14:paraId="4CB24B3F">
            <w:pPr>
              <w:rPr>
                <w:rFonts w:ascii="Arial"/>
                <w:color w:val="auto"/>
                <w:sz w:val="21"/>
                <w:highlight w:val="none"/>
              </w:rPr>
            </w:pPr>
          </w:p>
        </w:tc>
        <w:tc>
          <w:tcPr>
            <w:tcW w:w="1556" w:type="dxa"/>
            <w:vAlign w:val="top"/>
          </w:tcPr>
          <w:p w14:paraId="39E3DDD5">
            <w:pPr>
              <w:rPr>
                <w:rFonts w:ascii="Arial"/>
                <w:color w:val="auto"/>
                <w:sz w:val="21"/>
                <w:highlight w:val="none"/>
              </w:rPr>
            </w:pPr>
          </w:p>
        </w:tc>
        <w:tc>
          <w:tcPr>
            <w:tcW w:w="1696" w:type="dxa"/>
            <w:vAlign w:val="top"/>
          </w:tcPr>
          <w:p w14:paraId="252B5553">
            <w:pPr>
              <w:rPr>
                <w:rFonts w:ascii="Arial"/>
                <w:color w:val="auto"/>
                <w:sz w:val="21"/>
                <w:highlight w:val="none"/>
              </w:rPr>
            </w:pPr>
          </w:p>
        </w:tc>
        <w:tc>
          <w:tcPr>
            <w:tcW w:w="1358" w:type="dxa"/>
            <w:vAlign w:val="top"/>
          </w:tcPr>
          <w:p w14:paraId="610A7254">
            <w:pPr>
              <w:rPr>
                <w:rFonts w:ascii="Arial"/>
                <w:color w:val="auto"/>
                <w:sz w:val="21"/>
                <w:highlight w:val="none"/>
              </w:rPr>
            </w:pPr>
          </w:p>
        </w:tc>
      </w:tr>
      <w:tr w14:paraId="65A4E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jc w:val="center"/>
        </w:trPr>
        <w:tc>
          <w:tcPr>
            <w:tcW w:w="793" w:type="dxa"/>
            <w:vAlign w:val="top"/>
          </w:tcPr>
          <w:p w14:paraId="765440FB">
            <w:pPr>
              <w:rPr>
                <w:rFonts w:ascii="Arial"/>
                <w:color w:val="auto"/>
                <w:sz w:val="21"/>
                <w:highlight w:val="none"/>
              </w:rPr>
            </w:pPr>
          </w:p>
        </w:tc>
        <w:tc>
          <w:tcPr>
            <w:tcW w:w="1370" w:type="dxa"/>
            <w:vAlign w:val="top"/>
          </w:tcPr>
          <w:p w14:paraId="64475786">
            <w:pPr>
              <w:rPr>
                <w:rFonts w:ascii="Arial"/>
                <w:color w:val="auto"/>
                <w:sz w:val="21"/>
                <w:highlight w:val="none"/>
              </w:rPr>
            </w:pPr>
          </w:p>
        </w:tc>
        <w:tc>
          <w:tcPr>
            <w:tcW w:w="1596" w:type="dxa"/>
            <w:vAlign w:val="top"/>
          </w:tcPr>
          <w:p w14:paraId="53EEF173">
            <w:pPr>
              <w:rPr>
                <w:rFonts w:ascii="Arial"/>
                <w:color w:val="auto"/>
                <w:sz w:val="21"/>
                <w:highlight w:val="none"/>
              </w:rPr>
            </w:pPr>
          </w:p>
        </w:tc>
        <w:tc>
          <w:tcPr>
            <w:tcW w:w="1051" w:type="dxa"/>
            <w:vAlign w:val="top"/>
          </w:tcPr>
          <w:p w14:paraId="4817EE79">
            <w:pPr>
              <w:rPr>
                <w:rFonts w:ascii="Arial"/>
                <w:color w:val="auto"/>
                <w:sz w:val="21"/>
                <w:highlight w:val="none"/>
              </w:rPr>
            </w:pPr>
          </w:p>
        </w:tc>
        <w:tc>
          <w:tcPr>
            <w:tcW w:w="1556" w:type="dxa"/>
            <w:vAlign w:val="top"/>
          </w:tcPr>
          <w:p w14:paraId="7E7B159B">
            <w:pPr>
              <w:rPr>
                <w:rFonts w:ascii="Arial"/>
                <w:color w:val="auto"/>
                <w:sz w:val="21"/>
                <w:highlight w:val="none"/>
              </w:rPr>
            </w:pPr>
          </w:p>
        </w:tc>
        <w:tc>
          <w:tcPr>
            <w:tcW w:w="1696" w:type="dxa"/>
            <w:vAlign w:val="top"/>
          </w:tcPr>
          <w:p w14:paraId="314521E2">
            <w:pPr>
              <w:rPr>
                <w:rFonts w:ascii="Arial"/>
                <w:color w:val="auto"/>
                <w:sz w:val="21"/>
                <w:highlight w:val="none"/>
              </w:rPr>
            </w:pPr>
          </w:p>
        </w:tc>
        <w:tc>
          <w:tcPr>
            <w:tcW w:w="1358" w:type="dxa"/>
            <w:vAlign w:val="top"/>
          </w:tcPr>
          <w:p w14:paraId="4386A780">
            <w:pPr>
              <w:rPr>
                <w:rFonts w:ascii="Arial"/>
                <w:color w:val="auto"/>
                <w:sz w:val="21"/>
                <w:highlight w:val="none"/>
              </w:rPr>
            </w:pPr>
          </w:p>
        </w:tc>
      </w:tr>
      <w:tr w14:paraId="6D689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jc w:val="center"/>
        </w:trPr>
        <w:tc>
          <w:tcPr>
            <w:tcW w:w="793" w:type="dxa"/>
            <w:vAlign w:val="top"/>
          </w:tcPr>
          <w:p w14:paraId="7AE7E123">
            <w:pPr>
              <w:rPr>
                <w:rFonts w:ascii="Arial"/>
                <w:color w:val="auto"/>
                <w:sz w:val="21"/>
                <w:highlight w:val="none"/>
              </w:rPr>
            </w:pPr>
          </w:p>
        </w:tc>
        <w:tc>
          <w:tcPr>
            <w:tcW w:w="1370" w:type="dxa"/>
            <w:vAlign w:val="top"/>
          </w:tcPr>
          <w:p w14:paraId="4A08E95D">
            <w:pPr>
              <w:rPr>
                <w:rFonts w:ascii="Arial"/>
                <w:color w:val="auto"/>
                <w:sz w:val="21"/>
                <w:highlight w:val="none"/>
              </w:rPr>
            </w:pPr>
          </w:p>
        </w:tc>
        <w:tc>
          <w:tcPr>
            <w:tcW w:w="1596" w:type="dxa"/>
            <w:vAlign w:val="top"/>
          </w:tcPr>
          <w:p w14:paraId="49D9508E">
            <w:pPr>
              <w:rPr>
                <w:rFonts w:ascii="Arial"/>
                <w:color w:val="auto"/>
                <w:sz w:val="21"/>
                <w:highlight w:val="none"/>
              </w:rPr>
            </w:pPr>
          </w:p>
        </w:tc>
        <w:tc>
          <w:tcPr>
            <w:tcW w:w="1051" w:type="dxa"/>
            <w:vAlign w:val="top"/>
          </w:tcPr>
          <w:p w14:paraId="1E2CEB09">
            <w:pPr>
              <w:rPr>
                <w:rFonts w:ascii="Arial"/>
                <w:color w:val="auto"/>
                <w:sz w:val="21"/>
                <w:highlight w:val="none"/>
              </w:rPr>
            </w:pPr>
          </w:p>
        </w:tc>
        <w:tc>
          <w:tcPr>
            <w:tcW w:w="1556" w:type="dxa"/>
            <w:vAlign w:val="top"/>
          </w:tcPr>
          <w:p w14:paraId="5BD452EC">
            <w:pPr>
              <w:rPr>
                <w:rFonts w:ascii="Arial"/>
                <w:color w:val="auto"/>
                <w:sz w:val="21"/>
                <w:highlight w:val="none"/>
              </w:rPr>
            </w:pPr>
          </w:p>
        </w:tc>
        <w:tc>
          <w:tcPr>
            <w:tcW w:w="1696" w:type="dxa"/>
            <w:vAlign w:val="top"/>
          </w:tcPr>
          <w:p w14:paraId="0546AB95">
            <w:pPr>
              <w:rPr>
                <w:rFonts w:ascii="Arial"/>
                <w:color w:val="auto"/>
                <w:sz w:val="21"/>
                <w:highlight w:val="none"/>
              </w:rPr>
            </w:pPr>
          </w:p>
        </w:tc>
        <w:tc>
          <w:tcPr>
            <w:tcW w:w="1358" w:type="dxa"/>
            <w:vAlign w:val="top"/>
          </w:tcPr>
          <w:p w14:paraId="2ABF9965">
            <w:pPr>
              <w:rPr>
                <w:rFonts w:ascii="Arial"/>
                <w:color w:val="auto"/>
                <w:sz w:val="21"/>
                <w:highlight w:val="none"/>
              </w:rPr>
            </w:pPr>
          </w:p>
        </w:tc>
      </w:tr>
    </w:tbl>
    <w:p w14:paraId="42764251">
      <w:pPr>
        <w:spacing w:line="249" w:lineRule="auto"/>
        <w:rPr>
          <w:rFonts w:ascii="Arial"/>
          <w:color w:val="auto"/>
          <w:sz w:val="21"/>
          <w:highlight w:val="none"/>
        </w:rPr>
      </w:pPr>
    </w:p>
    <w:p w14:paraId="3703BB4A">
      <w:pPr>
        <w:widowControl w:val="0"/>
        <w:spacing w:line="400" w:lineRule="exact"/>
        <w:jc w:val="both"/>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注：</w:t>
      </w:r>
    </w:p>
    <w:p w14:paraId="2F7F5F00">
      <w:pPr>
        <w:widowControl w:val="0"/>
        <w:spacing w:line="400" w:lineRule="exact"/>
        <w:jc w:val="both"/>
        <w:rPr>
          <w:rFonts w:ascii="宋体" w:hAnsi="宋体"/>
          <w:color w:val="auto"/>
          <w:szCs w:val="21"/>
          <w:highlight w:val="none"/>
        </w:rPr>
      </w:pPr>
      <w:r>
        <w:rPr>
          <w:rFonts w:hint="eastAsia" w:ascii="宋体" w:hAnsi="宋体"/>
          <w:color w:val="auto"/>
          <w:szCs w:val="21"/>
          <w:highlight w:val="none"/>
        </w:rPr>
        <w:t>1.如评审有要求，供应商需提供设备技术性能条件说明和有关资料，包括产品技术性能说明书（中文）、检测报告及图片、系统软件操作简介、使用说明书、系统实施技术方案等相关证明文件。</w:t>
      </w:r>
    </w:p>
    <w:p w14:paraId="16798034">
      <w:pPr>
        <w:widowControl w:val="0"/>
        <w:spacing w:line="400" w:lineRule="exact"/>
        <w:jc w:val="both"/>
        <w:rPr>
          <w:rFonts w:ascii="宋体" w:hAnsi="宋体"/>
          <w:color w:val="auto"/>
          <w:szCs w:val="21"/>
          <w:highlight w:val="none"/>
        </w:rPr>
      </w:pPr>
      <w:r>
        <w:rPr>
          <w:rFonts w:hint="eastAsia" w:ascii="宋体" w:hAnsi="宋体"/>
          <w:color w:val="auto"/>
          <w:szCs w:val="21"/>
          <w:highlight w:val="none"/>
        </w:rPr>
        <w:t>2.货物清单，包括备品备件、专用工具和软件。</w:t>
      </w:r>
    </w:p>
    <w:p w14:paraId="34BE52B7">
      <w:pPr>
        <w:spacing w:line="249" w:lineRule="auto"/>
        <w:rPr>
          <w:rFonts w:hint="eastAsia" w:ascii="宋体" w:hAnsi="宋体"/>
          <w:color w:val="auto"/>
          <w:szCs w:val="21"/>
          <w:highlight w:val="none"/>
        </w:rPr>
      </w:pPr>
      <w:r>
        <w:rPr>
          <w:rFonts w:hint="eastAsia" w:ascii="宋体" w:hAnsi="宋体"/>
          <w:color w:val="auto"/>
          <w:szCs w:val="21"/>
          <w:highlight w:val="none"/>
        </w:rPr>
        <w:t>3.如本表格式内容不能满足需要，投标人可根据本表格格式自行划表填写，但必须体现以上内容。</w:t>
      </w:r>
    </w:p>
    <w:p w14:paraId="425F4AF9">
      <w:pPr>
        <w:widowControl w:val="0"/>
        <w:spacing w:line="400" w:lineRule="exact"/>
        <w:jc w:val="both"/>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本表表头内容不得擅自修改。</w:t>
      </w:r>
    </w:p>
    <w:p w14:paraId="5AC03DBB">
      <w:pPr>
        <w:pStyle w:val="12"/>
        <w:ind w:left="0" w:leftChars="0" w:firstLine="0" w:firstLineChars="0"/>
        <w:rPr>
          <w:rFonts w:hint="default" w:eastAsia="宋体"/>
          <w:color w:val="auto"/>
          <w:highlight w:val="none"/>
          <w:lang w:val="en-US" w:eastAsia="zh-CN"/>
        </w:rPr>
      </w:pPr>
    </w:p>
    <w:p w14:paraId="26110B6C">
      <w:pPr>
        <w:spacing w:line="249" w:lineRule="auto"/>
        <w:rPr>
          <w:rFonts w:ascii="Arial"/>
          <w:color w:val="auto"/>
          <w:sz w:val="21"/>
          <w:highlight w:val="none"/>
        </w:rPr>
      </w:pPr>
    </w:p>
    <w:p w14:paraId="1991262E">
      <w:pPr>
        <w:spacing w:line="249" w:lineRule="auto"/>
        <w:rPr>
          <w:rFonts w:ascii="Arial"/>
          <w:color w:val="auto"/>
          <w:sz w:val="21"/>
          <w:highlight w:val="none"/>
        </w:rPr>
      </w:pPr>
    </w:p>
    <w:p w14:paraId="7BCA7BDA">
      <w:pPr>
        <w:spacing w:line="249" w:lineRule="auto"/>
        <w:rPr>
          <w:rFonts w:ascii="Arial"/>
          <w:color w:val="auto"/>
          <w:sz w:val="21"/>
          <w:highlight w:val="none"/>
        </w:rPr>
      </w:pPr>
    </w:p>
    <w:p w14:paraId="737BC7C9">
      <w:pPr>
        <w:spacing w:line="249" w:lineRule="auto"/>
        <w:rPr>
          <w:rFonts w:ascii="Arial"/>
          <w:color w:val="auto"/>
          <w:sz w:val="21"/>
          <w:highlight w:val="none"/>
        </w:rPr>
      </w:pPr>
    </w:p>
    <w:p w14:paraId="0DC62A26">
      <w:pPr>
        <w:spacing w:line="249" w:lineRule="auto"/>
        <w:rPr>
          <w:rFonts w:ascii="Arial"/>
          <w:color w:val="auto"/>
          <w:sz w:val="21"/>
          <w:highlight w:val="none"/>
        </w:rPr>
      </w:pPr>
    </w:p>
    <w:p w14:paraId="30C0AF17">
      <w:pPr>
        <w:spacing w:line="249" w:lineRule="auto"/>
        <w:rPr>
          <w:rFonts w:ascii="Arial"/>
          <w:color w:val="auto"/>
          <w:sz w:val="21"/>
          <w:highlight w:val="none"/>
        </w:rPr>
      </w:pPr>
    </w:p>
    <w:p w14:paraId="2EF8BC6A">
      <w:pPr>
        <w:spacing w:line="249" w:lineRule="auto"/>
        <w:rPr>
          <w:rFonts w:ascii="Arial"/>
          <w:color w:val="auto"/>
          <w:sz w:val="21"/>
          <w:highlight w:val="none"/>
        </w:rPr>
      </w:pPr>
    </w:p>
    <w:p w14:paraId="154CF550">
      <w:pPr>
        <w:spacing w:line="250" w:lineRule="auto"/>
        <w:rPr>
          <w:rFonts w:ascii="Arial"/>
          <w:color w:val="auto"/>
          <w:sz w:val="21"/>
          <w:highlight w:val="none"/>
        </w:rPr>
      </w:pPr>
    </w:p>
    <w:p w14:paraId="59DBBFE9">
      <w:pPr>
        <w:spacing w:line="250" w:lineRule="auto"/>
        <w:rPr>
          <w:rFonts w:ascii="Arial"/>
          <w:color w:val="auto"/>
          <w:sz w:val="21"/>
          <w:highlight w:val="none"/>
        </w:rPr>
      </w:pPr>
    </w:p>
    <w:p w14:paraId="17D78C5C">
      <w:pPr>
        <w:spacing w:line="250" w:lineRule="auto"/>
        <w:rPr>
          <w:rFonts w:ascii="Arial"/>
          <w:color w:val="auto"/>
          <w:sz w:val="21"/>
          <w:highlight w:val="none"/>
        </w:rPr>
      </w:pPr>
    </w:p>
    <w:p w14:paraId="18207F61">
      <w:pPr>
        <w:spacing w:line="250" w:lineRule="auto"/>
        <w:rPr>
          <w:rFonts w:ascii="Arial"/>
          <w:color w:val="auto"/>
          <w:sz w:val="21"/>
          <w:highlight w:val="none"/>
        </w:rPr>
      </w:pPr>
    </w:p>
    <w:p w14:paraId="0981DA83">
      <w:pPr>
        <w:spacing w:line="250" w:lineRule="auto"/>
        <w:rPr>
          <w:rFonts w:ascii="Arial"/>
          <w:color w:val="auto"/>
          <w:sz w:val="21"/>
          <w:highlight w:val="none"/>
        </w:rPr>
      </w:pPr>
    </w:p>
    <w:p w14:paraId="16A05042">
      <w:pPr>
        <w:spacing w:line="250" w:lineRule="auto"/>
        <w:rPr>
          <w:rFonts w:ascii="Arial"/>
          <w:color w:val="auto"/>
          <w:sz w:val="21"/>
          <w:highlight w:val="none"/>
        </w:rPr>
      </w:pPr>
    </w:p>
    <w:p w14:paraId="5B0B3636">
      <w:pPr>
        <w:spacing w:line="250" w:lineRule="auto"/>
        <w:rPr>
          <w:rFonts w:ascii="Arial"/>
          <w:color w:val="auto"/>
          <w:sz w:val="21"/>
          <w:highlight w:val="none"/>
        </w:rPr>
      </w:pPr>
    </w:p>
    <w:p w14:paraId="10D3B018">
      <w:pPr>
        <w:spacing w:before="78" w:line="223" w:lineRule="auto"/>
        <w:ind w:left="24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590746F3">
      <w:pPr>
        <w:spacing w:before="177" w:line="345" w:lineRule="auto"/>
        <w:ind w:left="299" w:right="2292"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0093E571">
      <w:pPr>
        <w:spacing w:line="345" w:lineRule="auto"/>
        <w:rPr>
          <w:rFonts w:ascii="新宋体" w:hAnsi="新宋体" w:eastAsia="新宋体" w:cs="新宋体"/>
          <w:color w:val="auto"/>
          <w:sz w:val="24"/>
          <w:szCs w:val="24"/>
          <w:highlight w:val="none"/>
        </w:rPr>
        <w:sectPr>
          <w:footerReference r:id="rId27" w:type="default"/>
          <w:pgSz w:w="11905" w:h="16839"/>
          <w:pgMar w:top="1440" w:right="1800" w:bottom="1440" w:left="1800" w:header="0" w:footer="850" w:gutter="0"/>
          <w:pgNumType w:fmt="decimal"/>
          <w:cols w:space="720" w:num="1"/>
        </w:sectPr>
      </w:pPr>
    </w:p>
    <w:p w14:paraId="2D5E99DC">
      <w:pPr>
        <w:spacing w:line="319" w:lineRule="auto"/>
        <w:rPr>
          <w:rFonts w:ascii="Arial"/>
          <w:color w:val="auto"/>
          <w:sz w:val="21"/>
          <w:highlight w:val="none"/>
        </w:rPr>
      </w:pPr>
    </w:p>
    <w:p w14:paraId="0037F7B8">
      <w:pPr>
        <w:spacing w:line="319" w:lineRule="auto"/>
        <w:rPr>
          <w:rFonts w:ascii="Arial"/>
          <w:color w:val="auto"/>
          <w:sz w:val="21"/>
          <w:highlight w:val="none"/>
        </w:rPr>
      </w:pPr>
    </w:p>
    <w:p w14:paraId="553372D8">
      <w:pPr>
        <w:spacing w:line="320" w:lineRule="auto"/>
        <w:rPr>
          <w:rFonts w:ascii="Arial"/>
          <w:color w:val="auto"/>
          <w:sz w:val="21"/>
          <w:highlight w:val="none"/>
        </w:rPr>
      </w:pPr>
    </w:p>
    <w:p w14:paraId="71288D43">
      <w:pPr>
        <w:pStyle w:val="4"/>
        <w:spacing w:before="120" w:line="187" w:lineRule="auto"/>
        <w:ind w:left="3132"/>
        <w:rPr>
          <w:color w:val="auto"/>
          <w:sz w:val="28"/>
          <w:szCs w:val="28"/>
          <w:highlight w:val="none"/>
        </w:rPr>
      </w:pPr>
      <w:r>
        <w:rPr>
          <w:b/>
          <w:bCs/>
          <w:color w:val="auto"/>
          <w:spacing w:val="-6"/>
          <w:sz w:val="28"/>
          <w:szCs w:val="28"/>
          <w:highlight w:val="none"/>
        </w:rPr>
        <w:t>3、项目实施方案</w:t>
      </w:r>
    </w:p>
    <w:p w14:paraId="0E39BDC8">
      <w:pPr>
        <w:spacing w:line="274" w:lineRule="auto"/>
        <w:rPr>
          <w:rFonts w:ascii="Arial"/>
          <w:color w:val="auto"/>
          <w:sz w:val="21"/>
          <w:highlight w:val="none"/>
        </w:rPr>
      </w:pPr>
    </w:p>
    <w:p w14:paraId="7C4BC4EB">
      <w:pPr>
        <w:spacing w:line="274" w:lineRule="auto"/>
        <w:rPr>
          <w:rFonts w:ascii="Arial"/>
          <w:color w:val="auto"/>
          <w:sz w:val="21"/>
          <w:highlight w:val="none"/>
        </w:rPr>
      </w:pPr>
    </w:p>
    <w:p w14:paraId="23681FAF">
      <w:pPr>
        <w:spacing w:before="78" w:line="223" w:lineRule="auto"/>
        <w:ind w:left="3462"/>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（格式自拟）</w:t>
      </w:r>
    </w:p>
    <w:p w14:paraId="24558DF3">
      <w:pPr>
        <w:spacing w:line="223" w:lineRule="auto"/>
        <w:rPr>
          <w:rFonts w:ascii="新宋体" w:hAnsi="新宋体" w:eastAsia="新宋体" w:cs="新宋体"/>
          <w:color w:val="auto"/>
          <w:sz w:val="24"/>
          <w:szCs w:val="24"/>
          <w:highlight w:val="none"/>
        </w:rPr>
        <w:sectPr>
          <w:footerReference r:id="rId28" w:type="default"/>
          <w:pgSz w:w="11905" w:h="16839"/>
          <w:pgMar w:top="1440" w:right="1800" w:bottom="1440" w:left="1800" w:header="0" w:footer="850" w:gutter="0"/>
          <w:pgNumType w:fmt="decimal"/>
          <w:cols w:space="720" w:num="1"/>
        </w:sectPr>
      </w:pPr>
    </w:p>
    <w:p w14:paraId="6E088B43">
      <w:pPr>
        <w:spacing w:line="319" w:lineRule="auto"/>
        <w:rPr>
          <w:rFonts w:ascii="Arial"/>
          <w:color w:val="auto"/>
          <w:sz w:val="21"/>
          <w:highlight w:val="none"/>
        </w:rPr>
      </w:pPr>
    </w:p>
    <w:p w14:paraId="4D71ECB7">
      <w:pPr>
        <w:spacing w:line="319" w:lineRule="auto"/>
        <w:rPr>
          <w:rFonts w:ascii="Arial"/>
          <w:color w:val="auto"/>
          <w:sz w:val="21"/>
          <w:highlight w:val="none"/>
        </w:rPr>
      </w:pPr>
    </w:p>
    <w:p w14:paraId="3E5053F4">
      <w:pPr>
        <w:pStyle w:val="4"/>
        <w:spacing w:before="120" w:line="188" w:lineRule="auto"/>
        <w:jc w:val="center"/>
        <w:rPr>
          <w:color w:val="auto"/>
          <w:sz w:val="28"/>
          <w:szCs w:val="28"/>
          <w:highlight w:val="none"/>
        </w:rPr>
      </w:pPr>
      <w:r>
        <w:rPr>
          <w:b/>
          <w:bCs/>
          <w:color w:val="auto"/>
          <w:spacing w:val="-6"/>
          <w:sz w:val="28"/>
          <w:szCs w:val="28"/>
          <w:highlight w:val="none"/>
        </w:rPr>
        <w:t>4、服务承诺书</w:t>
      </w:r>
    </w:p>
    <w:p w14:paraId="77DF09FF">
      <w:pPr>
        <w:spacing w:line="267" w:lineRule="auto"/>
        <w:rPr>
          <w:rFonts w:ascii="Arial"/>
          <w:color w:val="auto"/>
          <w:sz w:val="21"/>
          <w:highlight w:val="none"/>
        </w:rPr>
      </w:pPr>
    </w:p>
    <w:p w14:paraId="2AFD9DD7">
      <w:pPr>
        <w:spacing w:line="267" w:lineRule="auto"/>
        <w:rPr>
          <w:rFonts w:ascii="Arial"/>
          <w:color w:val="auto"/>
          <w:sz w:val="21"/>
          <w:highlight w:val="none"/>
        </w:rPr>
      </w:pPr>
    </w:p>
    <w:p w14:paraId="504A9BC9">
      <w:pPr>
        <w:spacing w:line="267" w:lineRule="auto"/>
        <w:rPr>
          <w:rFonts w:ascii="Arial"/>
          <w:color w:val="auto"/>
          <w:sz w:val="21"/>
          <w:highlight w:val="none"/>
        </w:rPr>
      </w:pPr>
    </w:p>
    <w:p w14:paraId="5AB95716">
      <w:pPr>
        <w:spacing w:line="268" w:lineRule="auto"/>
        <w:rPr>
          <w:rFonts w:ascii="Arial"/>
          <w:color w:val="auto"/>
          <w:sz w:val="21"/>
          <w:highlight w:val="none"/>
        </w:rPr>
      </w:pPr>
    </w:p>
    <w:p w14:paraId="2763E72C">
      <w:pPr>
        <w:spacing w:before="78" w:line="224" w:lineRule="auto"/>
        <w:ind w:left="483"/>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致</w:t>
      </w:r>
      <w:r>
        <w:rPr>
          <w:rFonts w:ascii="新宋体" w:hAnsi="新宋体" w:eastAsia="新宋体" w:cs="新宋体"/>
          <w:color w:val="auto"/>
          <w:spacing w:val="-2"/>
          <w:sz w:val="24"/>
          <w:szCs w:val="24"/>
          <w:highlight w:val="none"/>
        </w:rPr>
        <w:t>：</w:t>
      </w:r>
      <w:r>
        <w:rPr>
          <w:rFonts w:ascii="新宋体" w:hAnsi="新宋体" w:eastAsia="新宋体" w:cs="新宋体"/>
          <w:color w:val="auto"/>
          <w:spacing w:val="13"/>
          <w:sz w:val="24"/>
          <w:szCs w:val="24"/>
          <w:highlight w:val="none"/>
          <w:u w:val="single" w:color="auto"/>
        </w:rPr>
        <w:t xml:space="preserve">         </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3"/>
          <w:sz w:val="24"/>
          <w:szCs w:val="24"/>
          <w:highlight w:val="none"/>
          <w:u w:val="single" w:color="auto"/>
        </w:rPr>
        <w:t>招标人</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7"/>
          <w:sz w:val="24"/>
          <w:szCs w:val="24"/>
          <w:highlight w:val="none"/>
          <w:u w:val="single" w:color="auto"/>
        </w:rPr>
        <w:t xml:space="preserve">     </w:t>
      </w:r>
      <w:r>
        <w:rPr>
          <w:rFonts w:ascii="新宋体" w:hAnsi="新宋体" w:eastAsia="新宋体" w:cs="新宋体"/>
          <w:color w:val="auto"/>
          <w:spacing w:val="-2"/>
          <w:sz w:val="24"/>
          <w:szCs w:val="24"/>
          <w:highlight w:val="none"/>
          <w:u w:val="single" w:color="auto"/>
        </w:rPr>
        <w:t>：</w:t>
      </w:r>
    </w:p>
    <w:p w14:paraId="0363EF93">
      <w:pPr>
        <w:spacing w:before="175" w:line="345" w:lineRule="auto"/>
        <w:ind w:left="6" w:firstLine="475"/>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本承诺声明</w:t>
      </w:r>
      <w:r>
        <w:rPr>
          <w:rFonts w:ascii="新宋体" w:hAnsi="新宋体" w:eastAsia="新宋体" w:cs="新宋体"/>
          <w:color w:val="auto"/>
          <w:spacing w:val="-17"/>
          <w:sz w:val="24"/>
          <w:szCs w:val="24"/>
          <w:highlight w:val="none"/>
        </w:rPr>
        <w:t>：</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17"/>
          <w:sz w:val="24"/>
          <w:szCs w:val="24"/>
          <w:highlight w:val="none"/>
          <w:u w:val="single" w:color="auto"/>
        </w:rPr>
        <w:t>（</w:t>
      </w:r>
      <w:r>
        <w:rPr>
          <w:rFonts w:ascii="新宋体" w:hAnsi="新宋体" w:eastAsia="新宋体" w:cs="新宋体"/>
          <w:color w:val="auto"/>
          <w:spacing w:val="1"/>
          <w:sz w:val="24"/>
          <w:szCs w:val="24"/>
          <w:highlight w:val="none"/>
          <w:u w:val="single" w:color="auto"/>
        </w:rPr>
        <w:t>投标人名称）</w:t>
      </w:r>
      <w:r>
        <w:rPr>
          <w:rFonts w:ascii="新宋体" w:hAnsi="新宋体" w:eastAsia="新宋体" w:cs="新宋体"/>
          <w:color w:val="auto"/>
          <w:spacing w:val="1"/>
          <w:sz w:val="24"/>
          <w:szCs w:val="24"/>
          <w:highlight w:val="none"/>
        </w:rPr>
        <w:t>对本招标文件的相关要求完全响应。若有幸中标将严</w:t>
      </w:r>
      <w:r>
        <w:rPr>
          <w:rFonts w:ascii="新宋体" w:hAnsi="新宋体" w:eastAsia="新宋体" w:cs="新宋体"/>
          <w:color w:val="auto"/>
          <w:sz w:val="24"/>
          <w:szCs w:val="24"/>
          <w:highlight w:val="none"/>
        </w:rPr>
        <w:t>格按</w:t>
      </w:r>
      <w:r>
        <w:rPr>
          <w:rFonts w:ascii="新宋体" w:hAnsi="新宋体" w:eastAsia="新宋体" w:cs="新宋体"/>
          <w:color w:val="auto"/>
          <w:spacing w:val="-5"/>
          <w:sz w:val="24"/>
          <w:szCs w:val="24"/>
          <w:highlight w:val="none"/>
        </w:rPr>
        <w:t>照以上承诺进行服务。</w:t>
      </w:r>
    </w:p>
    <w:p w14:paraId="395263B9">
      <w:pPr>
        <w:spacing w:line="422" w:lineRule="auto"/>
        <w:rPr>
          <w:rFonts w:ascii="Arial"/>
          <w:color w:val="auto"/>
          <w:sz w:val="21"/>
          <w:highlight w:val="none"/>
        </w:rPr>
      </w:pPr>
    </w:p>
    <w:p w14:paraId="1229B2AE">
      <w:pPr>
        <w:spacing w:before="78" w:line="224" w:lineRule="auto"/>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特此声明</w:t>
      </w:r>
    </w:p>
    <w:p w14:paraId="210ADCE7">
      <w:pPr>
        <w:spacing w:line="263" w:lineRule="auto"/>
        <w:rPr>
          <w:rFonts w:ascii="Arial"/>
          <w:color w:val="auto"/>
          <w:sz w:val="21"/>
          <w:highlight w:val="none"/>
        </w:rPr>
      </w:pPr>
    </w:p>
    <w:p w14:paraId="0B5D277E">
      <w:pPr>
        <w:spacing w:line="263" w:lineRule="auto"/>
        <w:rPr>
          <w:rFonts w:ascii="Arial"/>
          <w:color w:val="auto"/>
          <w:sz w:val="21"/>
          <w:highlight w:val="none"/>
        </w:rPr>
      </w:pPr>
    </w:p>
    <w:p w14:paraId="168CB8F7">
      <w:pPr>
        <w:spacing w:line="264" w:lineRule="auto"/>
        <w:rPr>
          <w:rFonts w:ascii="Arial"/>
          <w:color w:val="auto"/>
          <w:sz w:val="21"/>
          <w:highlight w:val="none"/>
        </w:rPr>
      </w:pPr>
    </w:p>
    <w:p w14:paraId="3E4836D8">
      <w:pPr>
        <w:spacing w:line="264" w:lineRule="auto"/>
        <w:rPr>
          <w:rFonts w:ascii="Arial"/>
          <w:color w:val="auto"/>
          <w:sz w:val="21"/>
          <w:highlight w:val="none"/>
        </w:rPr>
      </w:pPr>
    </w:p>
    <w:p w14:paraId="1035C09D">
      <w:pPr>
        <w:spacing w:line="264" w:lineRule="auto"/>
        <w:rPr>
          <w:rFonts w:ascii="Arial"/>
          <w:color w:val="auto"/>
          <w:sz w:val="21"/>
          <w:highlight w:val="none"/>
        </w:rPr>
      </w:pPr>
    </w:p>
    <w:p w14:paraId="0B83C977">
      <w:pPr>
        <w:spacing w:line="264" w:lineRule="auto"/>
        <w:rPr>
          <w:rFonts w:ascii="Arial"/>
          <w:color w:val="auto"/>
          <w:sz w:val="21"/>
          <w:highlight w:val="none"/>
        </w:rPr>
      </w:pPr>
    </w:p>
    <w:p w14:paraId="317F4E04">
      <w:pPr>
        <w:spacing w:line="264" w:lineRule="auto"/>
        <w:rPr>
          <w:rFonts w:ascii="Arial"/>
          <w:color w:val="auto"/>
          <w:sz w:val="21"/>
          <w:highlight w:val="none"/>
        </w:rPr>
      </w:pPr>
    </w:p>
    <w:p w14:paraId="68EB3826">
      <w:pPr>
        <w:spacing w:before="78"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076E3822">
      <w:pPr>
        <w:spacing w:before="177" w:line="345" w:lineRule="auto"/>
        <w:ind w:left="50" w:right="2058"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5D674E6D">
      <w:pPr>
        <w:spacing w:line="345" w:lineRule="auto"/>
        <w:rPr>
          <w:rFonts w:ascii="新宋体" w:hAnsi="新宋体" w:eastAsia="新宋体" w:cs="新宋体"/>
          <w:color w:val="auto"/>
          <w:sz w:val="24"/>
          <w:szCs w:val="24"/>
          <w:highlight w:val="none"/>
        </w:rPr>
        <w:sectPr>
          <w:footerReference r:id="rId29" w:type="default"/>
          <w:pgSz w:w="11905" w:h="16839"/>
          <w:pgMar w:top="1440" w:right="1800" w:bottom="1440" w:left="1800" w:header="0" w:footer="850" w:gutter="0"/>
          <w:pgNumType w:fmt="decimal"/>
          <w:cols w:space="720" w:num="1"/>
        </w:sectPr>
      </w:pPr>
    </w:p>
    <w:p w14:paraId="09CF71E7">
      <w:pPr>
        <w:spacing w:line="319" w:lineRule="auto"/>
        <w:rPr>
          <w:rFonts w:ascii="Arial"/>
          <w:color w:val="auto"/>
          <w:sz w:val="21"/>
          <w:highlight w:val="none"/>
        </w:rPr>
      </w:pPr>
    </w:p>
    <w:p w14:paraId="0D53CC75">
      <w:pPr>
        <w:spacing w:line="319" w:lineRule="auto"/>
        <w:rPr>
          <w:rFonts w:ascii="Arial"/>
          <w:color w:val="auto"/>
          <w:sz w:val="21"/>
          <w:highlight w:val="none"/>
        </w:rPr>
      </w:pPr>
    </w:p>
    <w:p w14:paraId="7C26AFEE">
      <w:pPr>
        <w:pStyle w:val="4"/>
        <w:spacing w:before="121" w:line="188" w:lineRule="auto"/>
        <w:jc w:val="center"/>
        <w:rPr>
          <w:color w:val="auto"/>
          <w:sz w:val="28"/>
          <w:szCs w:val="28"/>
          <w:highlight w:val="none"/>
        </w:rPr>
      </w:pPr>
      <w:r>
        <w:rPr>
          <w:b/>
          <w:bCs/>
          <w:color w:val="auto"/>
          <w:spacing w:val="-4"/>
          <w:sz w:val="28"/>
          <w:szCs w:val="28"/>
          <w:highlight w:val="none"/>
        </w:rPr>
        <w:t>5、招标文件规定的其它材料</w:t>
      </w:r>
    </w:p>
    <w:p w14:paraId="4A5774C0">
      <w:pPr>
        <w:spacing w:line="312" w:lineRule="auto"/>
        <w:rPr>
          <w:rFonts w:ascii="Arial"/>
          <w:color w:val="auto"/>
          <w:sz w:val="21"/>
          <w:highlight w:val="none"/>
        </w:rPr>
      </w:pPr>
    </w:p>
    <w:p w14:paraId="63E8271E">
      <w:pPr>
        <w:spacing w:line="312" w:lineRule="auto"/>
        <w:rPr>
          <w:rFonts w:ascii="Arial"/>
          <w:color w:val="auto"/>
          <w:sz w:val="21"/>
          <w:highlight w:val="none"/>
        </w:rPr>
      </w:pPr>
    </w:p>
    <w:p w14:paraId="022DA84F">
      <w:pPr>
        <w:spacing w:before="78" w:line="223" w:lineRule="auto"/>
        <w:ind w:left="14"/>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1、所投产品情况，货物符合招标文件规定的证</w:t>
      </w:r>
      <w:r>
        <w:rPr>
          <w:rFonts w:ascii="新宋体" w:hAnsi="新宋体" w:eastAsia="新宋体" w:cs="新宋体"/>
          <w:color w:val="auto"/>
          <w:spacing w:val="-2"/>
          <w:sz w:val="24"/>
          <w:szCs w:val="24"/>
          <w:highlight w:val="none"/>
        </w:rPr>
        <w:t>明材料</w:t>
      </w:r>
    </w:p>
    <w:p w14:paraId="03261AC9">
      <w:pPr>
        <w:spacing w:before="176"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2、技术部分评分细则里需要提供的相关材料及方案。</w:t>
      </w:r>
    </w:p>
    <w:p w14:paraId="3B1DFAC9">
      <w:pPr>
        <w:spacing w:line="223" w:lineRule="auto"/>
        <w:rPr>
          <w:rFonts w:ascii="新宋体" w:hAnsi="新宋体" w:eastAsia="新宋体" w:cs="新宋体"/>
          <w:color w:val="auto"/>
          <w:sz w:val="24"/>
          <w:szCs w:val="24"/>
          <w:highlight w:val="none"/>
        </w:rPr>
        <w:sectPr>
          <w:footerReference r:id="rId30" w:type="default"/>
          <w:pgSz w:w="11905" w:h="16839"/>
          <w:pgMar w:top="1440" w:right="1800" w:bottom="1440" w:left="1800" w:header="0" w:footer="850" w:gutter="0"/>
          <w:pgNumType w:fmt="decimal"/>
          <w:cols w:space="720" w:num="1"/>
        </w:sectPr>
      </w:pPr>
    </w:p>
    <w:p w14:paraId="47D8D432">
      <w:pPr>
        <w:spacing w:line="305" w:lineRule="auto"/>
        <w:rPr>
          <w:rFonts w:ascii="Arial"/>
          <w:color w:val="auto"/>
          <w:sz w:val="21"/>
          <w:highlight w:val="none"/>
        </w:rPr>
      </w:pPr>
    </w:p>
    <w:p w14:paraId="5E4990C6">
      <w:pPr>
        <w:pStyle w:val="4"/>
        <w:spacing w:before="189" w:line="188" w:lineRule="auto"/>
        <w:jc w:val="center"/>
        <w:rPr>
          <w:color w:val="auto"/>
          <w:sz w:val="44"/>
          <w:szCs w:val="44"/>
          <w:highlight w:val="none"/>
        </w:rPr>
      </w:pPr>
      <w:r>
        <w:rPr>
          <w:b/>
          <w:bCs/>
          <w:color w:val="auto"/>
          <w:spacing w:val="-5"/>
          <w:sz w:val="44"/>
          <w:szCs w:val="44"/>
          <w:highlight w:val="none"/>
        </w:rPr>
        <w:t>第三部分：经济部分</w:t>
      </w:r>
    </w:p>
    <w:p w14:paraId="2B972CA0">
      <w:pPr>
        <w:pStyle w:val="4"/>
        <w:spacing w:before="238" w:line="178" w:lineRule="auto"/>
        <w:jc w:val="center"/>
        <w:rPr>
          <w:color w:val="auto"/>
          <w:sz w:val="28"/>
          <w:szCs w:val="28"/>
          <w:highlight w:val="none"/>
        </w:rPr>
      </w:pPr>
      <w:r>
        <w:rPr>
          <w:b/>
          <w:bCs/>
          <w:color w:val="auto"/>
          <w:spacing w:val="-8"/>
          <w:sz w:val="28"/>
          <w:szCs w:val="28"/>
          <w:highlight w:val="none"/>
        </w:rPr>
        <w:t>1、投标承诺书</w:t>
      </w:r>
    </w:p>
    <w:p w14:paraId="61F4131A">
      <w:pPr>
        <w:spacing w:line="224" w:lineRule="auto"/>
        <w:ind w:left="3"/>
        <w:rPr>
          <w:rFonts w:ascii="新宋体" w:hAnsi="新宋体" w:eastAsia="新宋体" w:cs="新宋体"/>
          <w:color w:val="auto"/>
          <w:sz w:val="24"/>
          <w:szCs w:val="24"/>
          <w:highlight w:val="none"/>
        </w:rPr>
      </w:pPr>
      <w:r>
        <w:rPr>
          <w:rFonts w:ascii="新宋体" w:hAnsi="新宋体" w:eastAsia="新宋体" w:cs="新宋体"/>
          <w:color w:val="auto"/>
          <w:spacing w:val="-11"/>
          <w:sz w:val="24"/>
          <w:szCs w:val="24"/>
          <w:highlight w:val="none"/>
        </w:rPr>
        <w:t>致（招标人</w:t>
      </w:r>
      <w:r>
        <w:rPr>
          <w:rFonts w:ascii="新宋体" w:hAnsi="新宋体" w:eastAsia="新宋体" w:cs="新宋体"/>
          <w:color w:val="auto"/>
          <w:spacing w:val="-4"/>
          <w:sz w:val="24"/>
          <w:szCs w:val="24"/>
          <w:highlight w:val="none"/>
        </w:rPr>
        <w:t>）：</w:t>
      </w:r>
    </w:p>
    <w:p w14:paraId="755B248D">
      <w:pPr>
        <w:spacing w:before="175" w:line="345" w:lineRule="auto"/>
        <w:ind w:right="101" w:firstLine="480"/>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根据已收到的</w:t>
      </w:r>
      <w:r>
        <w:rPr>
          <w:rFonts w:ascii="新宋体" w:hAnsi="新宋体" w:eastAsia="新宋体" w:cs="新宋体"/>
          <w:color w:val="auto"/>
          <w:sz w:val="24"/>
          <w:szCs w:val="24"/>
          <w:highlight w:val="none"/>
          <w:u w:val="single" w:color="auto"/>
        </w:rPr>
        <w:t xml:space="preserve">                   （项目名称）</w:t>
      </w:r>
      <w:r>
        <w:rPr>
          <w:rFonts w:ascii="新宋体" w:hAnsi="新宋体" w:eastAsia="新宋体" w:cs="新宋体"/>
          <w:color w:val="auto"/>
          <w:sz w:val="24"/>
          <w:szCs w:val="24"/>
          <w:highlight w:val="none"/>
        </w:rPr>
        <w:t>招标文件，我单位经研究贵方的招标文</w:t>
      </w:r>
      <w:r>
        <w:rPr>
          <w:rFonts w:ascii="新宋体" w:hAnsi="新宋体" w:eastAsia="新宋体" w:cs="新宋体"/>
          <w:color w:val="auto"/>
          <w:spacing w:val="-16"/>
          <w:sz w:val="24"/>
          <w:szCs w:val="24"/>
          <w:highlight w:val="none"/>
        </w:rPr>
        <w:t>件后：</w:t>
      </w:r>
    </w:p>
    <w:p w14:paraId="4A5AC94B">
      <w:pPr>
        <w:spacing w:before="36" w:line="291" w:lineRule="auto"/>
        <w:ind w:firstLine="491"/>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1、我方愿以投标报价</w:t>
      </w:r>
      <w:r>
        <w:rPr>
          <w:rFonts w:ascii="新宋体" w:hAnsi="新宋体" w:eastAsia="新宋体" w:cs="新宋体"/>
          <w:color w:val="auto"/>
          <w:spacing w:val="-1"/>
          <w:sz w:val="24"/>
          <w:szCs w:val="24"/>
          <w:highlight w:val="none"/>
          <w:u w:val="single" w:color="auto"/>
        </w:rPr>
        <w:t xml:space="preserve">           元（大写</w:t>
      </w:r>
      <w:r>
        <w:rPr>
          <w:rFonts w:ascii="新宋体" w:hAnsi="新宋体" w:eastAsia="新宋体" w:cs="新宋体"/>
          <w:color w:val="auto"/>
          <w:spacing w:val="-19"/>
          <w:sz w:val="24"/>
          <w:szCs w:val="24"/>
          <w:highlight w:val="none"/>
          <w:u w:val="single" w:color="auto"/>
        </w:rPr>
        <w:t>：</w:t>
      </w:r>
      <w:r>
        <w:rPr>
          <w:rFonts w:ascii="新宋体" w:hAnsi="新宋体" w:eastAsia="新宋体" w:cs="新宋体"/>
          <w:color w:val="auto"/>
          <w:spacing w:val="3"/>
          <w:sz w:val="24"/>
          <w:szCs w:val="24"/>
          <w:highlight w:val="none"/>
          <w:u w:val="single" w:color="auto"/>
        </w:rPr>
        <w:t xml:space="preserve">          </w:t>
      </w:r>
      <w:r>
        <w:rPr>
          <w:rFonts w:ascii="新宋体" w:hAnsi="新宋体" w:eastAsia="新宋体" w:cs="新宋体"/>
          <w:color w:val="auto"/>
          <w:spacing w:val="-19"/>
          <w:sz w:val="24"/>
          <w:szCs w:val="24"/>
          <w:highlight w:val="none"/>
          <w:u w:val="single" w:color="auto"/>
        </w:rPr>
        <w:t>）</w:t>
      </w:r>
      <w:r>
        <w:rPr>
          <w:rFonts w:ascii="新宋体" w:hAnsi="新宋体" w:eastAsia="新宋体" w:cs="新宋体"/>
          <w:color w:val="auto"/>
          <w:spacing w:val="13"/>
          <w:sz w:val="24"/>
          <w:szCs w:val="24"/>
          <w:highlight w:val="none"/>
          <w:u w:val="single" w:color="auto"/>
        </w:rPr>
        <w:t xml:space="preserve">         </w:t>
      </w:r>
      <w:r>
        <w:rPr>
          <w:rFonts w:ascii="新宋体" w:hAnsi="新宋体" w:eastAsia="新宋体" w:cs="新宋体"/>
          <w:color w:val="auto"/>
          <w:spacing w:val="-96"/>
          <w:sz w:val="24"/>
          <w:szCs w:val="24"/>
          <w:highlight w:val="none"/>
        </w:rPr>
        <w:t xml:space="preserve"> </w:t>
      </w:r>
      <w:r>
        <w:rPr>
          <w:rFonts w:ascii="新宋体" w:hAnsi="新宋体" w:eastAsia="新宋体" w:cs="新宋体"/>
          <w:color w:val="auto"/>
          <w:spacing w:val="-2"/>
          <w:sz w:val="24"/>
          <w:szCs w:val="24"/>
          <w:highlight w:val="none"/>
        </w:rPr>
        <w:t>及投标承诺书的承诺承包本招标文件中所述招标范围内的全部内</w:t>
      </w:r>
      <w:r>
        <w:rPr>
          <w:rFonts w:ascii="新宋体" w:hAnsi="新宋体" w:eastAsia="新宋体" w:cs="新宋体"/>
          <w:color w:val="auto"/>
          <w:spacing w:val="-3"/>
          <w:sz w:val="24"/>
          <w:szCs w:val="24"/>
          <w:highlight w:val="none"/>
        </w:rPr>
        <w:t>容。</w:t>
      </w:r>
    </w:p>
    <w:p w14:paraId="09F28BAD">
      <w:pPr>
        <w:spacing w:before="178" w:line="224"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2、合同履行期限：</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z w:val="24"/>
          <w:szCs w:val="24"/>
          <w:highlight w:val="none"/>
          <w:u w:val="single" w:color="auto"/>
        </w:rPr>
        <w:t xml:space="preserve">                           。</w:t>
      </w:r>
    </w:p>
    <w:p w14:paraId="7838D9EE">
      <w:pPr>
        <w:spacing w:before="175" w:line="223" w:lineRule="auto"/>
        <w:ind w:left="478"/>
        <w:rPr>
          <w:rFonts w:ascii="新宋体" w:hAnsi="新宋体" w:eastAsia="新宋体" w:cs="新宋体"/>
          <w:color w:val="auto"/>
          <w:spacing w:val="-1"/>
          <w:sz w:val="24"/>
          <w:szCs w:val="24"/>
          <w:highlight w:val="none"/>
        </w:rPr>
      </w:pPr>
      <w:r>
        <w:rPr>
          <w:rFonts w:ascii="新宋体" w:hAnsi="新宋体" w:eastAsia="新宋体" w:cs="新宋体"/>
          <w:color w:val="auto"/>
          <w:sz w:val="24"/>
          <w:szCs w:val="24"/>
          <w:highlight w:val="none"/>
        </w:rPr>
        <w:t>3、如果我方中标，非招标人原因，我方保证将按招标</w:t>
      </w:r>
      <w:r>
        <w:rPr>
          <w:rFonts w:ascii="新宋体" w:hAnsi="新宋体" w:eastAsia="新宋体" w:cs="新宋体"/>
          <w:color w:val="auto"/>
          <w:spacing w:val="-1"/>
          <w:sz w:val="24"/>
          <w:szCs w:val="24"/>
          <w:highlight w:val="none"/>
        </w:rPr>
        <w:t>文件要求，完成本项</w:t>
      </w:r>
    </w:p>
    <w:p w14:paraId="6FFE265A">
      <w:pPr>
        <w:spacing w:before="175"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目供货。</w:t>
      </w:r>
    </w:p>
    <w:p w14:paraId="6E71E5BF">
      <w:pPr>
        <w:spacing w:before="178" w:line="291" w:lineRule="auto"/>
        <w:ind w:left="1" w:right="115" w:firstLine="470"/>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4、如果我方中标，我方将按招标文件规定的时间内签订合同。如果违约，我</w:t>
      </w:r>
      <w:r>
        <w:rPr>
          <w:rFonts w:ascii="新宋体" w:hAnsi="新宋体" w:eastAsia="新宋体" w:cs="新宋体"/>
          <w:color w:val="auto"/>
          <w:spacing w:val="-1"/>
          <w:sz w:val="24"/>
          <w:szCs w:val="24"/>
          <w:highlight w:val="none"/>
        </w:rPr>
        <w:t>方愿以投标</w:t>
      </w:r>
      <w:r>
        <w:rPr>
          <w:rFonts w:ascii="新宋体" w:hAnsi="新宋体" w:eastAsia="新宋体" w:cs="新宋体"/>
          <w:color w:val="auto"/>
          <w:spacing w:val="-2"/>
          <w:sz w:val="24"/>
          <w:szCs w:val="24"/>
          <w:highlight w:val="none"/>
        </w:rPr>
        <w:t>保证金作为赔偿金，同时贵方有权终止我方中标并选择其它投标人。</w:t>
      </w:r>
    </w:p>
    <w:p w14:paraId="459A35AF">
      <w:pPr>
        <w:spacing w:before="177" w:line="291" w:lineRule="auto"/>
        <w:ind w:left="2" w:right="101" w:firstLine="475"/>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5、如果我方中标，完成项目的货物与招标文件要求不一致的，服务达不到要求，我方将</w:t>
      </w:r>
      <w:r>
        <w:rPr>
          <w:rFonts w:ascii="新宋体" w:hAnsi="新宋体" w:eastAsia="新宋体" w:cs="新宋体"/>
          <w:color w:val="auto"/>
          <w:spacing w:val="-3"/>
          <w:sz w:val="24"/>
          <w:szCs w:val="24"/>
          <w:highlight w:val="none"/>
        </w:rPr>
        <w:t>进行整改直至贵方对服务满意为止。</w:t>
      </w:r>
    </w:p>
    <w:p w14:paraId="3ADF92D9">
      <w:pPr>
        <w:spacing w:before="177" w:line="291" w:lineRule="auto"/>
        <w:ind w:right="119" w:firstLine="474"/>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6、贵方的招标文件、答疑文件、招标文件补充、成交通知书</w:t>
      </w:r>
      <w:r>
        <w:rPr>
          <w:rFonts w:ascii="新宋体" w:hAnsi="新宋体" w:eastAsia="新宋体" w:cs="新宋体"/>
          <w:color w:val="auto"/>
          <w:spacing w:val="-1"/>
          <w:sz w:val="24"/>
          <w:szCs w:val="24"/>
          <w:highlight w:val="none"/>
        </w:rPr>
        <w:t>和本投标文件将做为合同附</w:t>
      </w:r>
      <w:r>
        <w:rPr>
          <w:rFonts w:ascii="新宋体" w:hAnsi="新宋体" w:eastAsia="新宋体" w:cs="新宋体"/>
          <w:color w:val="auto"/>
          <w:spacing w:val="-4"/>
          <w:sz w:val="24"/>
          <w:szCs w:val="24"/>
          <w:highlight w:val="none"/>
        </w:rPr>
        <w:t>件，具有同等法律效力。</w:t>
      </w:r>
    </w:p>
    <w:p w14:paraId="5F58D7EA">
      <w:pPr>
        <w:spacing w:before="177" w:line="291" w:lineRule="auto"/>
        <w:ind w:right="119" w:firstLine="478"/>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7、如果我方未中标，贵方没有必要对我方做出任何解</w:t>
      </w:r>
      <w:r>
        <w:rPr>
          <w:rFonts w:ascii="新宋体" w:hAnsi="新宋体" w:eastAsia="新宋体" w:cs="新宋体"/>
          <w:color w:val="auto"/>
          <w:spacing w:val="-1"/>
          <w:sz w:val="24"/>
          <w:szCs w:val="24"/>
          <w:highlight w:val="none"/>
        </w:rPr>
        <w:t>释和说明，我方将充分尊重和理解</w:t>
      </w:r>
      <w:r>
        <w:rPr>
          <w:rFonts w:ascii="新宋体" w:hAnsi="新宋体" w:eastAsia="新宋体" w:cs="新宋体"/>
          <w:color w:val="auto"/>
          <w:spacing w:val="-7"/>
          <w:sz w:val="24"/>
          <w:szCs w:val="24"/>
          <w:highlight w:val="none"/>
        </w:rPr>
        <w:t>贵方的选择。</w:t>
      </w:r>
    </w:p>
    <w:p w14:paraId="0C1A346A">
      <w:pPr>
        <w:spacing w:line="241" w:lineRule="auto"/>
        <w:rPr>
          <w:rFonts w:ascii="Arial"/>
          <w:color w:val="auto"/>
          <w:sz w:val="21"/>
          <w:highlight w:val="none"/>
        </w:rPr>
      </w:pPr>
    </w:p>
    <w:p w14:paraId="6814FBA2">
      <w:pPr>
        <w:spacing w:line="241" w:lineRule="auto"/>
        <w:rPr>
          <w:rFonts w:ascii="Arial"/>
          <w:color w:val="auto"/>
          <w:sz w:val="21"/>
          <w:highlight w:val="none"/>
        </w:rPr>
      </w:pPr>
    </w:p>
    <w:p w14:paraId="01F5409D">
      <w:pPr>
        <w:spacing w:line="241" w:lineRule="auto"/>
        <w:rPr>
          <w:rFonts w:ascii="Arial"/>
          <w:color w:val="auto"/>
          <w:sz w:val="21"/>
          <w:highlight w:val="none"/>
        </w:rPr>
      </w:pPr>
    </w:p>
    <w:p w14:paraId="6FEA2386">
      <w:pPr>
        <w:spacing w:line="242" w:lineRule="auto"/>
        <w:rPr>
          <w:rFonts w:ascii="Arial"/>
          <w:color w:val="auto"/>
          <w:sz w:val="21"/>
          <w:highlight w:val="none"/>
        </w:rPr>
      </w:pPr>
    </w:p>
    <w:p w14:paraId="4CFF225D">
      <w:pPr>
        <w:spacing w:line="242" w:lineRule="auto"/>
        <w:rPr>
          <w:rFonts w:ascii="Arial"/>
          <w:color w:val="auto"/>
          <w:sz w:val="21"/>
          <w:highlight w:val="none"/>
        </w:rPr>
      </w:pPr>
    </w:p>
    <w:p w14:paraId="0864D637">
      <w:pPr>
        <w:spacing w:line="242" w:lineRule="auto"/>
        <w:rPr>
          <w:rFonts w:ascii="Arial"/>
          <w:color w:val="auto"/>
          <w:sz w:val="21"/>
          <w:highlight w:val="none"/>
        </w:rPr>
      </w:pPr>
    </w:p>
    <w:p w14:paraId="2C0E5A11">
      <w:pPr>
        <w:spacing w:line="242" w:lineRule="auto"/>
        <w:rPr>
          <w:rFonts w:ascii="Arial"/>
          <w:color w:val="auto"/>
          <w:sz w:val="21"/>
          <w:highlight w:val="none"/>
        </w:rPr>
      </w:pPr>
    </w:p>
    <w:p w14:paraId="1934ED7C">
      <w:pPr>
        <w:spacing w:line="242" w:lineRule="auto"/>
        <w:rPr>
          <w:rFonts w:ascii="Arial"/>
          <w:color w:val="auto"/>
          <w:sz w:val="21"/>
          <w:highlight w:val="none"/>
        </w:rPr>
      </w:pPr>
    </w:p>
    <w:p w14:paraId="42DD3183">
      <w:pPr>
        <w:spacing w:line="242" w:lineRule="auto"/>
        <w:rPr>
          <w:rFonts w:ascii="Arial"/>
          <w:color w:val="auto"/>
          <w:sz w:val="21"/>
          <w:highlight w:val="none"/>
        </w:rPr>
      </w:pPr>
    </w:p>
    <w:p w14:paraId="38273733">
      <w:pPr>
        <w:spacing w:line="242" w:lineRule="auto"/>
        <w:rPr>
          <w:rFonts w:ascii="Arial"/>
          <w:color w:val="auto"/>
          <w:sz w:val="21"/>
          <w:highlight w:val="none"/>
        </w:rPr>
      </w:pPr>
    </w:p>
    <w:p w14:paraId="620E319E">
      <w:pPr>
        <w:spacing w:before="79"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10D22251">
      <w:pPr>
        <w:spacing w:before="177" w:line="345" w:lineRule="auto"/>
        <w:ind w:left="50" w:right="2160"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37B694D6">
      <w:pPr>
        <w:spacing w:line="345" w:lineRule="auto"/>
        <w:rPr>
          <w:rFonts w:ascii="新宋体" w:hAnsi="新宋体" w:eastAsia="新宋体" w:cs="新宋体"/>
          <w:color w:val="auto"/>
          <w:sz w:val="24"/>
          <w:szCs w:val="24"/>
          <w:highlight w:val="none"/>
        </w:rPr>
        <w:sectPr>
          <w:footerReference r:id="rId31" w:type="default"/>
          <w:pgSz w:w="11905" w:h="16839"/>
          <w:pgMar w:top="1440" w:right="1800" w:bottom="1440" w:left="1800" w:header="0" w:footer="850" w:gutter="0"/>
          <w:pgNumType w:fmt="decimal"/>
          <w:cols w:space="720" w:num="1"/>
        </w:sectPr>
      </w:pPr>
    </w:p>
    <w:p w14:paraId="61222D37">
      <w:pPr>
        <w:pStyle w:val="4"/>
        <w:spacing w:before="120" w:line="178" w:lineRule="auto"/>
        <w:jc w:val="center"/>
        <w:rPr>
          <w:color w:val="auto"/>
          <w:sz w:val="28"/>
          <w:szCs w:val="28"/>
          <w:highlight w:val="none"/>
        </w:rPr>
      </w:pPr>
      <w:r>
        <w:rPr>
          <w:b/>
          <w:bCs/>
          <w:color w:val="auto"/>
          <w:spacing w:val="-7"/>
          <w:sz w:val="28"/>
          <w:szCs w:val="28"/>
          <w:highlight w:val="none"/>
        </w:rPr>
        <w:t>2、开标一览表</w:t>
      </w:r>
    </w:p>
    <w:p w14:paraId="6924221E">
      <w:pPr>
        <w:spacing w:line="360" w:lineRule="auto"/>
        <w:jc w:val="both"/>
        <w:rPr>
          <w:rFonts w:hint="eastAsia" w:ascii="宋体" w:hAnsi="宋体" w:cs="等线"/>
          <w:b/>
          <w:color w:val="auto"/>
          <w:szCs w:val="21"/>
          <w:highlight w:val="none"/>
        </w:rPr>
      </w:pPr>
    </w:p>
    <w:p w14:paraId="55DE3EF8">
      <w:pPr>
        <w:spacing w:line="360" w:lineRule="auto"/>
        <w:jc w:val="both"/>
        <w:rPr>
          <w:rFonts w:hint="eastAsia" w:ascii="宋体" w:hAnsi="宋体" w:cs="等线"/>
          <w:b/>
          <w:color w:val="auto"/>
          <w:szCs w:val="21"/>
          <w:highlight w:val="none"/>
        </w:rPr>
      </w:pPr>
      <w:r>
        <w:rPr>
          <w:rFonts w:hint="eastAsia" w:ascii="宋体" w:hAnsi="宋体" w:cs="等线"/>
          <w:b/>
          <w:color w:val="auto"/>
          <w:szCs w:val="21"/>
          <w:highlight w:val="none"/>
        </w:rPr>
        <w:t>项目名称：</w:t>
      </w:r>
    </w:p>
    <w:p w14:paraId="20C596D3">
      <w:pPr>
        <w:spacing w:line="360" w:lineRule="auto"/>
        <w:jc w:val="both"/>
        <w:rPr>
          <w:rFonts w:hint="eastAsia" w:ascii="宋体" w:hAnsi="宋体" w:cs="等线"/>
          <w:b/>
          <w:color w:val="auto"/>
          <w:szCs w:val="21"/>
          <w:highlight w:val="none"/>
        </w:rPr>
      </w:pPr>
      <w:r>
        <w:rPr>
          <w:rFonts w:hint="eastAsia" w:ascii="宋体" w:hAnsi="宋体" w:cs="等线"/>
          <w:b/>
          <w:color w:val="auto"/>
          <w:szCs w:val="21"/>
          <w:highlight w:val="none"/>
        </w:rPr>
        <w:t>项目编号：</w:t>
      </w:r>
    </w:p>
    <w:tbl>
      <w:tblPr>
        <w:tblStyle w:val="13"/>
        <w:tblW w:w="10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8"/>
        <w:gridCol w:w="1210"/>
        <w:gridCol w:w="7139"/>
        <w:gridCol w:w="1134"/>
      </w:tblGrid>
      <w:tr w14:paraId="112D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2" w:hRule="atLeast"/>
          <w:jc w:val="center"/>
        </w:trPr>
        <w:tc>
          <w:tcPr>
            <w:tcW w:w="568" w:type="dxa"/>
            <w:noWrap w:val="0"/>
            <w:vAlign w:val="center"/>
          </w:tcPr>
          <w:p w14:paraId="6CEDBBF5">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序号</w:t>
            </w:r>
          </w:p>
        </w:tc>
        <w:tc>
          <w:tcPr>
            <w:tcW w:w="1210" w:type="dxa"/>
            <w:noWrap w:val="0"/>
            <w:vAlign w:val="center"/>
          </w:tcPr>
          <w:p w14:paraId="4B732B55">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内容</w:t>
            </w:r>
          </w:p>
        </w:tc>
        <w:tc>
          <w:tcPr>
            <w:tcW w:w="7139" w:type="dxa"/>
            <w:noWrap w:val="0"/>
            <w:vAlign w:val="center"/>
          </w:tcPr>
          <w:p w14:paraId="61A75C7B">
            <w:pPr>
              <w:tabs>
                <w:tab w:val="left" w:pos="8364"/>
              </w:tabs>
              <w:snapToGrid w:val="0"/>
              <w:spacing w:line="360" w:lineRule="auto"/>
              <w:ind w:right="-58"/>
              <w:jc w:val="center"/>
              <w:rPr>
                <w:rFonts w:hint="default" w:ascii="宋体" w:hAnsi="宋体" w:eastAsia="宋体" w:cs="等线"/>
                <w:b/>
                <w:color w:val="auto"/>
                <w:szCs w:val="21"/>
                <w:highlight w:val="none"/>
                <w:lang w:val="en-US" w:eastAsia="zh-CN"/>
              </w:rPr>
            </w:pPr>
            <w:r>
              <w:rPr>
                <w:rFonts w:hint="eastAsia" w:ascii="宋体" w:hAnsi="宋体" w:eastAsia="宋体" w:cs="等线"/>
                <w:b/>
                <w:color w:val="auto"/>
                <w:szCs w:val="21"/>
                <w:highlight w:val="none"/>
                <w:lang w:val="en-US" w:eastAsia="zh-CN"/>
              </w:rPr>
              <w:t>报价金额</w:t>
            </w:r>
          </w:p>
          <w:p w14:paraId="53E854D3">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（小写和小写）</w:t>
            </w:r>
          </w:p>
        </w:tc>
        <w:tc>
          <w:tcPr>
            <w:tcW w:w="1134" w:type="dxa"/>
            <w:noWrap w:val="0"/>
            <w:vAlign w:val="center"/>
          </w:tcPr>
          <w:p w14:paraId="330264A9">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币种/单位</w:t>
            </w:r>
          </w:p>
        </w:tc>
      </w:tr>
      <w:tr w14:paraId="0B80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43" w:hRule="atLeast"/>
          <w:jc w:val="center"/>
        </w:trPr>
        <w:tc>
          <w:tcPr>
            <w:tcW w:w="568" w:type="dxa"/>
            <w:noWrap w:val="0"/>
            <w:vAlign w:val="center"/>
          </w:tcPr>
          <w:p w14:paraId="53C5EBD0">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1</w:t>
            </w:r>
          </w:p>
        </w:tc>
        <w:tc>
          <w:tcPr>
            <w:tcW w:w="1210" w:type="dxa"/>
            <w:noWrap w:val="0"/>
            <w:vAlign w:val="center"/>
          </w:tcPr>
          <w:p w14:paraId="6B89EEDF">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投标价</w:t>
            </w:r>
          </w:p>
        </w:tc>
        <w:tc>
          <w:tcPr>
            <w:tcW w:w="7139" w:type="dxa"/>
            <w:noWrap w:val="0"/>
            <w:vAlign w:val="center"/>
          </w:tcPr>
          <w:p w14:paraId="3C391541">
            <w:pPr>
              <w:tabs>
                <w:tab w:val="left" w:pos="8364"/>
              </w:tabs>
              <w:snapToGrid w:val="0"/>
              <w:spacing w:line="360" w:lineRule="auto"/>
              <w:ind w:right="-58"/>
              <w:rPr>
                <w:rFonts w:hint="eastAsia" w:ascii="宋体" w:hAnsi="宋体" w:cs="等线"/>
                <w:b/>
                <w:color w:val="auto"/>
                <w:szCs w:val="21"/>
                <w:highlight w:val="none"/>
                <w:u w:val="single"/>
              </w:rPr>
            </w:pPr>
            <w:r>
              <w:rPr>
                <w:rFonts w:hint="eastAsia" w:ascii="宋体" w:hAnsi="宋体" w:cs="等线"/>
                <w:b/>
                <w:color w:val="auto"/>
                <w:szCs w:val="21"/>
                <w:highlight w:val="none"/>
                <w:u w:val="single"/>
              </w:rPr>
              <w:t xml:space="preserve">小写：￥               </w:t>
            </w:r>
          </w:p>
          <w:p w14:paraId="038D05A1">
            <w:pPr>
              <w:tabs>
                <w:tab w:val="left" w:pos="8364"/>
              </w:tabs>
              <w:snapToGrid w:val="0"/>
              <w:spacing w:line="360" w:lineRule="auto"/>
              <w:ind w:right="-58"/>
              <w:rPr>
                <w:rFonts w:hint="eastAsia" w:ascii="宋体" w:hAnsi="宋体" w:cs="等线"/>
                <w:b/>
                <w:color w:val="auto"/>
                <w:szCs w:val="21"/>
                <w:highlight w:val="none"/>
                <w:u w:val="single"/>
              </w:rPr>
            </w:pPr>
            <w:r>
              <w:rPr>
                <w:rFonts w:hint="eastAsia" w:ascii="宋体" w:hAnsi="宋体" w:cs="等线"/>
                <w:b/>
                <w:color w:val="auto"/>
                <w:szCs w:val="21"/>
                <w:highlight w:val="none"/>
                <w:u w:val="single"/>
              </w:rPr>
              <w:t>大写：                 元</w:t>
            </w:r>
          </w:p>
          <w:p w14:paraId="3A6B867D">
            <w:pPr>
              <w:rPr>
                <w:rFonts w:ascii="宋体" w:hAnsi="宋体"/>
                <w:color w:val="auto"/>
                <w:highlight w:val="none"/>
              </w:rPr>
            </w:pPr>
            <w:bookmarkStart w:id="49" w:name="_Toc14346"/>
            <w:bookmarkStart w:id="50" w:name="_Toc29835"/>
            <w:bookmarkStart w:id="51" w:name="_Toc28837"/>
            <w:bookmarkStart w:id="52" w:name="_Toc20049"/>
            <w:r>
              <w:rPr>
                <w:rFonts w:hint="eastAsia" w:ascii="宋体" w:hAnsi="宋体"/>
                <w:b/>
                <w:bCs/>
                <w:color w:val="auto"/>
                <w:highlight w:val="none"/>
              </w:rPr>
              <w:t>（请核对大小写是否一致）</w:t>
            </w:r>
            <w:bookmarkEnd w:id="49"/>
            <w:bookmarkEnd w:id="50"/>
            <w:bookmarkEnd w:id="51"/>
            <w:bookmarkEnd w:id="52"/>
          </w:p>
        </w:tc>
        <w:tc>
          <w:tcPr>
            <w:tcW w:w="1134" w:type="dxa"/>
            <w:noWrap w:val="0"/>
            <w:vAlign w:val="center"/>
          </w:tcPr>
          <w:p w14:paraId="63296122">
            <w:pPr>
              <w:tabs>
                <w:tab w:val="left" w:pos="8364"/>
              </w:tabs>
              <w:snapToGrid w:val="0"/>
              <w:spacing w:line="360" w:lineRule="auto"/>
              <w:ind w:right="-58"/>
              <w:jc w:val="center"/>
              <w:rPr>
                <w:rFonts w:ascii="宋体" w:hAnsi="宋体" w:cs="等线"/>
                <w:b/>
                <w:color w:val="auto"/>
                <w:szCs w:val="21"/>
                <w:highlight w:val="none"/>
                <w:u w:val="single"/>
              </w:rPr>
            </w:pPr>
            <w:r>
              <w:rPr>
                <w:rFonts w:hint="eastAsia" w:ascii="宋体" w:hAnsi="宋体" w:cs="等线"/>
                <w:b/>
                <w:color w:val="auto"/>
                <w:szCs w:val="21"/>
                <w:highlight w:val="none"/>
                <w:u w:val="single"/>
              </w:rPr>
              <w:t>人民币/元</w:t>
            </w:r>
          </w:p>
        </w:tc>
      </w:tr>
      <w:tr w14:paraId="0708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 w:hRule="atLeast"/>
          <w:jc w:val="center"/>
        </w:trPr>
        <w:tc>
          <w:tcPr>
            <w:tcW w:w="568" w:type="dxa"/>
            <w:noWrap w:val="0"/>
            <w:vAlign w:val="center"/>
          </w:tcPr>
          <w:p w14:paraId="6FD6518B">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2</w:t>
            </w:r>
          </w:p>
        </w:tc>
        <w:tc>
          <w:tcPr>
            <w:tcW w:w="1210" w:type="dxa"/>
            <w:noWrap w:val="0"/>
            <w:vAlign w:val="center"/>
          </w:tcPr>
          <w:p w14:paraId="4AD9CC86">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各种税费</w:t>
            </w:r>
          </w:p>
        </w:tc>
        <w:tc>
          <w:tcPr>
            <w:tcW w:w="8273" w:type="dxa"/>
            <w:gridSpan w:val="2"/>
            <w:noWrap w:val="0"/>
            <w:vAlign w:val="center"/>
          </w:tcPr>
          <w:p w14:paraId="2B959237">
            <w:pPr>
              <w:tabs>
                <w:tab w:val="left" w:pos="8364"/>
              </w:tabs>
              <w:snapToGrid w:val="0"/>
              <w:spacing w:line="360" w:lineRule="auto"/>
              <w:ind w:right="-58"/>
              <w:jc w:val="center"/>
              <w:rPr>
                <w:rFonts w:ascii="宋体" w:hAnsi="宋体" w:cs="等线"/>
                <w:b/>
                <w:color w:val="auto"/>
                <w:szCs w:val="21"/>
                <w:highlight w:val="none"/>
                <w:u w:val="single"/>
              </w:rPr>
            </w:pPr>
            <w:r>
              <w:rPr>
                <w:rFonts w:hint="eastAsia" w:ascii="宋体" w:hAnsi="宋体" w:cs="等线"/>
                <w:b/>
                <w:color w:val="auto"/>
                <w:szCs w:val="21"/>
                <w:highlight w:val="none"/>
                <w:u w:val="single"/>
              </w:rPr>
              <w:t>已含</w:t>
            </w:r>
          </w:p>
        </w:tc>
      </w:tr>
      <w:tr w14:paraId="4939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 w:hRule="atLeast"/>
          <w:jc w:val="center"/>
        </w:trPr>
        <w:tc>
          <w:tcPr>
            <w:tcW w:w="568" w:type="dxa"/>
            <w:noWrap w:val="0"/>
            <w:vAlign w:val="center"/>
          </w:tcPr>
          <w:p w14:paraId="78AEAB3D">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3</w:t>
            </w:r>
          </w:p>
        </w:tc>
        <w:tc>
          <w:tcPr>
            <w:tcW w:w="1210" w:type="dxa"/>
            <w:noWrap w:val="0"/>
            <w:vAlign w:val="center"/>
          </w:tcPr>
          <w:p w14:paraId="22C6A7B2">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运输费</w:t>
            </w:r>
          </w:p>
        </w:tc>
        <w:tc>
          <w:tcPr>
            <w:tcW w:w="8273" w:type="dxa"/>
            <w:gridSpan w:val="2"/>
            <w:noWrap w:val="0"/>
            <w:vAlign w:val="center"/>
          </w:tcPr>
          <w:p w14:paraId="61644FF2">
            <w:pPr>
              <w:tabs>
                <w:tab w:val="left" w:pos="8364"/>
              </w:tabs>
              <w:snapToGrid w:val="0"/>
              <w:spacing w:line="360" w:lineRule="auto"/>
              <w:ind w:right="-58"/>
              <w:jc w:val="center"/>
              <w:rPr>
                <w:rFonts w:ascii="宋体" w:hAnsi="宋体" w:cs="等线"/>
                <w:b/>
                <w:color w:val="auto"/>
                <w:szCs w:val="21"/>
                <w:highlight w:val="none"/>
                <w:u w:val="single"/>
              </w:rPr>
            </w:pPr>
            <w:r>
              <w:rPr>
                <w:rFonts w:hint="eastAsia" w:ascii="宋体" w:hAnsi="宋体" w:cs="等线"/>
                <w:b/>
                <w:color w:val="auto"/>
                <w:szCs w:val="21"/>
                <w:highlight w:val="none"/>
                <w:u w:val="single"/>
              </w:rPr>
              <w:t>已含</w:t>
            </w:r>
          </w:p>
        </w:tc>
      </w:tr>
      <w:tr w14:paraId="2C53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0E7AB0BA">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4</w:t>
            </w:r>
          </w:p>
        </w:tc>
        <w:tc>
          <w:tcPr>
            <w:tcW w:w="1210" w:type="dxa"/>
            <w:noWrap w:val="0"/>
            <w:vAlign w:val="center"/>
          </w:tcPr>
          <w:p w14:paraId="03347FA4">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其他费用</w:t>
            </w:r>
          </w:p>
        </w:tc>
        <w:tc>
          <w:tcPr>
            <w:tcW w:w="8273" w:type="dxa"/>
            <w:gridSpan w:val="2"/>
            <w:noWrap w:val="0"/>
            <w:vAlign w:val="center"/>
          </w:tcPr>
          <w:p w14:paraId="22D34765">
            <w:pPr>
              <w:tabs>
                <w:tab w:val="left" w:pos="8364"/>
              </w:tabs>
              <w:snapToGrid w:val="0"/>
              <w:spacing w:line="360" w:lineRule="auto"/>
              <w:ind w:right="-58"/>
              <w:jc w:val="center"/>
              <w:rPr>
                <w:rFonts w:ascii="宋体" w:hAnsi="宋体" w:cs="等线"/>
                <w:b/>
                <w:color w:val="auto"/>
                <w:szCs w:val="21"/>
                <w:highlight w:val="none"/>
                <w:u w:val="single"/>
              </w:rPr>
            </w:pPr>
            <w:r>
              <w:rPr>
                <w:rFonts w:hint="eastAsia" w:ascii="宋体" w:hAnsi="宋体" w:cs="等线"/>
                <w:b/>
                <w:color w:val="auto"/>
                <w:szCs w:val="21"/>
                <w:highlight w:val="none"/>
                <w:u w:val="single"/>
              </w:rPr>
              <w:t>已含</w:t>
            </w:r>
          </w:p>
        </w:tc>
      </w:tr>
      <w:tr w14:paraId="0A33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4EC350B8">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5</w:t>
            </w:r>
          </w:p>
        </w:tc>
        <w:tc>
          <w:tcPr>
            <w:tcW w:w="1210" w:type="dxa"/>
            <w:noWrap w:val="0"/>
            <w:vAlign w:val="center"/>
          </w:tcPr>
          <w:p w14:paraId="70ABC2F6">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供货期</w:t>
            </w:r>
          </w:p>
        </w:tc>
        <w:tc>
          <w:tcPr>
            <w:tcW w:w="8273" w:type="dxa"/>
            <w:gridSpan w:val="2"/>
            <w:noWrap w:val="0"/>
            <w:vAlign w:val="center"/>
          </w:tcPr>
          <w:p w14:paraId="06444DD7">
            <w:pPr>
              <w:tabs>
                <w:tab w:val="left" w:pos="8364"/>
              </w:tabs>
              <w:snapToGrid w:val="0"/>
              <w:spacing w:line="360" w:lineRule="auto"/>
              <w:ind w:right="-58"/>
              <w:jc w:val="center"/>
              <w:rPr>
                <w:rFonts w:hint="eastAsia" w:ascii="宋体" w:hAnsi="宋体" w:cs="等线"/>
                <w:b/>
                <w:color w:val="auto"/>
                <w:szCs w:val="21"/>
                <w:highlight w:val="none"/>
                <w:u w:val="single"/>
              </w:rPr>
            </w:pPr>
          </w:p>
        </w:tc>
      </w:tr>
      <w:tr w14:paraId="479E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1132DAF6">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6</w:t>
            </w:r>
          </w:p>
        </w:tc>
        <w:tc>
          <w:tcPr>
            <w:tcW w:w="1210" w:type="dxa"/>
            <w:noWrap w:val="0"/>
            <w:vAlign w:val="center"/>
          </w:tcPr>
          <w:p w14:paraId="26BE31B2">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交货期</w:t>
            </w:r>
          </w:p>
        </w:tc>
        <w:tc>
          <w:tcPr>
            <w:tcW w:w="8273" w:type="dxa"/>
            <w:gridSpan w:val="2"/>
            <w:noWrap w:val="0"/>
            <w:vAlign w:val="center"/>
          </w:tcPr>
          <w:p w14:paraId="64F0AEA7">
            <w:pPr>
              <w:tabs>
                <w:tab w:val="left" w:pos="8364"/>
              </w:tabs>
              <w:snapToGrid w:val="0"/>
              <w:spacing w:line="360" w:lineRule="auto"/>
              <w:ind w:right="-58"/>
              <w:jc w:val="center"/>
              <w:rPr>
                <w:rFonts w:hint="eastAsia" w:ascii="宋体" w:hAnsi="宋体" w:cs="等线"/>
                <w:b/>
                <w:color w:val="auto"/>
                <w:szCs w:val="21"/>
                <w:highlight w:val="none"/>
                <w:u w:val="single"/>
              </w:rPr>
            </w:pPr>
          </w:p>
        </w:tc>
      </w:tr>
      <w:tr w14:paraId="3B06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06E63E77">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7</w:t>
            </w:r>
          </w:p>
        </w:tc>
        <w:tc>
          <w:tcPr>
            <w:tcW w:w="1210" w:type="dxa"/>
            <w:noWrap w:val="0"/>
            <w:vAlign w:val="center"/>
          </w:tcPr>
          <w:p w14:paraId="237EC273">
            <w:pPr>
              <w:tabs>
                <w:tab w:val="left" w:pos="8364"/>
              </w:tabs>
              <w:snapToGrid w:val="0"/>
              <w:spacing w:line="360" w:lineRule="auto"/>
              <w:ind w:right="-58"/>
              <w:jc w:val="center"/>
              <w:rPr>
                <w:rFonts w:hint="eastAsia" w:ascii="宋体" w:hAnsi="宋体" w:eastAsia="宋体" w:cs="等线"/>
                <w:b/>
                <w:color w:val="auto"/>
                <w:szCs w:val="21"/>
                <w:highlight w:val="none"/>
                <w:lang w:eastAsia="zh-CN"/>
              </w:rPr>
            </w:pPr>
            <w:r>
              <w:rPr>
                <w:rFonts w:hint="eastAsia" w:ascii="宋体" w:hAnsi="宋体" w:eastAsia="宋体" w:cs="等线"/>
                <w:b/>
                <w:color w:val="auto"/>
                <w:szCs w:val="21"/>
                <w:highlight w:val="none"/>
                <w:lang w:val="en-US" w:eastAsia="zh-CN"/>
              </w:rPr>
              <w:t>保修期</w:t>
            </w:r>
          </w:p>
        </w:tc>
        <w:tc>
          <w:tcPr>
            <w:tcW w:w="8273" w:type="dxa"/>
            <w:gridSpan w:val="2"/>
            <w:noWrap w:val="0"/>
            <w:vAlign w:val="center"/>
          </w:tcPr>
          <w:p w14:paraId="0F0911FC">
            <w:pPr>
              <w:tabs>
                <w:tab w:val="left" w:pos="8364"/>
              </w:tabs>
              <w:snapToGrid w:val="0"/>
              <w:spacing w:line="360" w:lineRule="auto"/>
              <w:ind w:right="-58"/>
              <w:jc w:val="center"/>
              <w:rPr>
                <w:rFonts w:hint="eastAsia" w:ascii="宋体" w:hAnsi="宋体" w:cs="等线"/>
                <w:b/>
                <w:color w:val="auto"/>
                <w:szCs w:val="21"/>
                <w:highlight w:val="none"/>
                <w:u w:val="single"/>
              </w:rPr>
            </w:pPr>
          </w:p>
        </w:tc>
      </w:tr>
      <w:tr w14:paraId="29EF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2" w:hRule="atLeast"/>
          <w:jc w:val="center"/>
        </w:trPr>
        <w:tc>
          <w:tcPr>
            <w:tcW w:w="568" w:type="dxa"/>
            <w:noWrap w:val="0"/>
            <w:vAlign w:val="center"/>
          </w:tcPr>
          <w:p w14:paraId="4BFBF1B5">
            <w:pPr>
              <w:tabs>
                <w:tab w:val="left" w:pos="8364"/>
              </w:tabs>
              <w:snapToGrid w:val="0"/>
              <w:spacing w:line="360" w:lineRule="auto"/>
              <w:ind w:right="-58"/>
              <w:jc w:val="center"/>
              <w:rPr>
                <w:rFonts w:ascii="宋体" w:hAnsi="宋体" w:cs="等线"/>
                <w:b/>
                <w:color w:val="auto"/>
                <w:szCs w:val="21"/>
                <w:highlight w:val="none"/>
              </w:rPr>
            </w:pPr>
            <w:r>
              <w:rPr>
                <w:rFonts w:ascii="宋体" w:hAnsi="宋体" w:cs="等线"/>
                <w:b/>
                <w:color w:val="auto"/>
                <w:szCs w:val="21"/>
                <w:highlight w:val="none"/>
              </w:rPr>
              <w:t>8</w:t>
            </w:r>
          </w:p>
        </w:tc>
        <w:tc>
          <w:tcPr>
            <w:tcW w:w="1210" w:type="dxa"/>
            <w:noWrap w:val="0"/>
            <w:vAlign w:val="center"/>
          </w:tcPr>
          <w:p w14:paraId="41082CBA">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投标保证金</w:t>
            </w:r>
          </w:p>
        </w:tc>
        <w:tc>
          <w:tcPr>
            <w:tcW w:w="8273" w:type="dxa"/>
            <w:gridSpan w:val="2"/>
            <w:noWrap w:val="0"/>
            <w:vAlign w:val="center"/>
          </w:tcPr>
          <w:p w14:paraId="0D56B2C5">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color w:val="auto"/>
                <w:szCs w:val="21"/>
                <w:highlight w:val="none"/>
              </w:rPr>
              <w:t>详见《保证金缴纳凭证》</w:t>
            </w:r>
          </w:p>
        </w:tc>
      </w:tr>
      <w:tr w14:paraId="7DA6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4F4C72D7">
            <w:pPr>
              <w:tabs>
                <w:tab w:val="left" w:pos="8364"/>
              </w:tabs>
              <w:snapToGrid w:val="0"/>
              <w:spacing w:line="360" w:lineRule="auto"/>
              <w:ind w:right="-58"/>
              <w:jc w:val="center"/>
              <w:rPr>
                <w:rFonts w:ascii="宋体" w:hAnsi="宋体" w:cs="等线"/>
                <w:b/>
                <w:color w:val="auto"/>
                <w:szCs w:val="21"/>
                <w:highlight w:val="none"/>
              </w:rPr>
            </w:pPr>
            <w:r>
              <w:rPr>
                <w:rFonts w:ascii="宋体" w:hAnsi="宋体" w:cs="等线"/>
                <w:b/>
                <w:color w:val="auto"/>
                <w:szCs w:val="21"/>
                <w:highlight w:val="none"/>
              </w:rPr>
              <w:t>9</w:t>
            </w:r>
          </w:p>
        </w:tc>
        <w:tc>
          <w:tcPr>
            <w:tcW w:w="1210" w:type="dxa"/>
            <w:noWrap w:val="0"/>
            <w:vAlign w:val="center"/>
          </w:tcPr>
          <w:p w14:paraId="7E8FB36B">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投标有效期</w:t>
            </w:r>
          </w:p>
        </w:tc>
        <w:tc>
          <w:tcPr>
            <w:tcW w:w="8273" w:type="dxa"/>
            <w:gridSpan w:val="2"/>
            <w:noWrap w:val="0"/>
            <w:vAlign w:val="center"/>
          </w:tcPr>
          <w:p w14:paraId="3CEE7B6A">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color w:val="auto"/>
                <w:szCs w:val="21"/>
                <w:highlight w:val="none"/>
              </w:rPr>
              <w:t>自提交投标文件截止之日起90日</w:t>
            </w:r>
          </w:p>
        </w:tc>
      </w:tr>
      <w:tr w14:paraId="16E2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0BB1ADD5">
            <w:pPr>
              <w:tabs>
                <w:tab w:val="left" w:pos="8364"/>
              </w:tabs>
              <w:snapToGrid w:val="0"/>
              <w:spacing w:line="360" w:lineRule="auto"/>
              <w:ind w:right="-58"/>
              <w:jc w:val="center"/>
              <w:rPr>
                <w:rFonts w:ascii="宋体" w:hAnsi="宋体" w:cs="等线"/>
                <w:b/>
                <w:color w:val="auto"/>
                <w:szCs w:val="21"/>
                <w:highlight w:val="none"/>
              </w:rPr>
            </w:pPr>
            <w:r>
              <w:rPr>
                <w:rFonts w:ascii="宋体" w:hAnsi="宋体" w:cs="等线"/>
                <w:b/>
                <w:color w:val="auto"/>
                <w:szCs w:val="21"/>
                <w:highlight w:val="none"/>
              </w:rPr>
              <w:t>10</w:t>
            </w:r>
          </w:p>
        </w:tc>
        <w:tc>
          <w:tcPr>
            <w:tcW w:w="1210" w:type="dxa"/>
            <w:noWrap w:val="0"/>
            <w:vAlign w:val="center"/>
          </w:tcPr>
          <w:p w14:paraId="255B76C7">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备注</w:t>
            </w:r>
          </w:p>
        </w:tc>
        <w:tc>
          <w:tcPr>
            <w:tcW w:w="8273" w:type="dxa"/>
            <w:gridSpan w:val="2"/>
            <w:noWrap w:val="0"/>
            <w:vAlign w:val="center"/>
          </w:tcPr>
          <w:p w14:paraId="4E2C1CC2">
            <w:pPr>
              <w:tabs>
                <w:tab w:val="left" w:pos="8364"/>
              </w:tabs>
              <w:snapToGrid w:val="0"/>
              <w:spacing w:line="360" w:lineRule="auto"/>
              <w:ind w:right="-58"/>
              <w:jc w:val="center"/>
              <w:rPr>
                <w:rFonts w:ascii="宋体" w:hAnsi="宋体" w:cs="等线"/>
                <w:color w:val="auto"/>
                <w:szCs w:val="21"/>
                <w:highlight w:val="none"/>
              </w:rPr>
            </w:pPr>
          </w:p>
        </w:tc>
      </w:tr>
    </w:tbl>
    <w:p w14:paraId="443C648E">
      <w:pPr>
        <w:widowControl w:val="0"/>
        <w:spacing w:line="360" w:lineRule="auto"/>
        <w:jc w:val="both"/>
        <w:rPr>
          <w:rFonts w:ascii="宋体" w:hAnsi="宋体" w:cs="等线"/>
          <w:color w:val="auto"/>
          <w:szCs w:val="21"/>
          <w:highlight w:val="none"/>
        </w:rPr>
      </w:pPr>
    </w:p>
    <w:p w14:paraId="32256C91">
      <w:pPr>
        <w:widowControl w:val="0"/>
        <w:jc w:val="both"/>
        <w:rPr>
          <w:rFonts w:ascii="宋体" w:hAnsi="宋体" w:cs="等线"/>
          <w:color w:val="auto"/>
          <w:szCs w:val="21"/>
          <w:highlight w:val="none"/>
        </w:rPr>
      </w:pPr>
      <w:r>
        <w:rPr>
          <w:rFonts w:hint="eastAsia" w:ascii="宋体" w:hAnsi="宋体" w:cs="等线"/>
          <w:color w:val="auto"/>
          <w:szCs w:val="21"/>
          <w:highlight w:val="none"/>
        </w:rPr>
        <w:t>注：1.投标人须按要求填写所有信息，不得随意更改本表格式。</w:t>
      </w:r>
    </w:p>
    <w:p w14:paraId="1F733B67">
      <w:pPr>
        <w:widowControl w:val="0"/>
        <w:ind w:firstLine="420" w:firstLineChars="200"/>
        <w:jc w:val="both"/>
        <w:rPr>
          <w:rFonts w:ascii="宋体" w:hAnsi="宋体" w:cs="等线"/>
          <w:color w:val="auto"/>
          <w:szCs w:val="21"/>
          <w:highlight w:val="none"/>
        </w:rPr>
      </w:pPr>
      <w:r>
        <w:rPr>
          <w:rFonts w:hint="eastAsia" w:ascii="宋体" w:hAnsi="宋体" w:cs="等线"/>
          <w:color w:val="auto"/>
          <w:szCs w:val="21"/>
          <w:highlight w:val="none"/>
        </w:rPr>
        <w:t>2、</w:t>
      </w:r>
      <w:r>
        <w:rPr>
          <w:rFonts w:hint="eastAsia" w:ascii="宋体" w:hAnsi="宋体"/>
          <w:color w:val="auto"/>
          <w:highlight w:val="none"/>
        </w:rPr>
        <w:t>投标人报价应为货到采购人用户指定地点含税全包价，金额包含但不限于</w:t>
      </w:r>
      <w:r>
        <w:rPr>
          <w:rFonts w:hint="eastAsia" w:ascii="宋体" w:hAnsi="宋体"/>
          <w:color w:val="auto"/>
          <w:highlight w:val="none"/>
          <w:lang w:val="zh-TW"/>
        </w:rPr>
        <w:t>税费、运输费、各种线材辅材配件、保险费及所配套的土建、吊装就位，培训、安装、调试等所有相关费用，最终达到甲方使用要求</w:t>
      </w:r>
      <w:r>
        <w:rPr>
          <w:rFonts w:hint="eastAsia" w:ascii="宋体" w:hAnsi="宋体"/>
          <w:color w:val="auto"/>
          <w:highlight w:val="none"/>
        </w:rPr>
        <w:t>。</w:t>
      </w:r>
    </w:p>
    <w:p w14:paraId="550366A5">
      <w:pPr>
        <w:widowControl w:val="0"/>
        <w:ind w:firstLine="420" w:firstLineChars="200"/>
        <w:jc w:val="both"/>
        <w:rPr>
          <w:rFonts w:ascii="宋体" w:hAnsi="宋体" w:cs="等线"/>
          <w:color w:val="auto"/>
          <w:szCs w:val="21"/>
          <w:highlight w:val="none"/>
        </w:rPr>
      </w:pPr>
      <w:r>
        <w:rPr>
          <w:rFonts w:ascii="宋体" w:hAnsi="宋体" w:cs="等线"/>
          <w:color w:val="auto"/>
          <w:szCs w:val="21"/>
          <w:highlight w:val="none"/>
        </w:rPr>
        <w:t>3</w:t>
      </w:r>
      <w:r>
        <w:rPr>
          <w:rFonts w:hint="eastAsia" w:ascii="宋体" w:hAnsi="宋体" w:cs="等线"/>
          <w:color w:val="auto"/>
          <w:szCs w:val="21"/>
          <w:highlight w:val="none"/>
        </w:rPr>
        <w:t>.报价四舍五入，精确到小数点后两位。</w:t>
      </w:r>
    </w:p>
    <w:p w14:paraId="1F60E4D1">
      <w:pPr>
        <w:widowControl w:val="0"/>
        <w:ind w:firstLine="420" w:firstLineChars="200"/>
        <w:jc w:val="both"/>
        <w:rPr>
          <w:rFonts w:ascii="宋体" w:hAnsi="宋体" w:cs="等线"/>
          <w:color w:val="auto"/>
          <w:szCs w:val="21"/>
          <w:highlight w:val="none"/>
        </w:rPr>
      </w:pPr>
    </w:p>
    <w:p w14:paraId="4671A565">
      <w:pPr>
        <w:widowControl w:val="0"/>
        <w:adjustRightInd w:val="0"/>
        <w:snapToGrid w:val="0"/>
        <w:jc w:val="both"/>
        <w:rPr>
          <w:rFonts w:ascii="宋体" w:hAnsi="宋体" w:cs="等线"/>
          <w:color w:val="auto"/>
          <w:szCs w:val="21"/>
          <w:highlight w:val="none"/>
        </w:rPr>
      </w:pPr>
      <w:r>
        <w:rPr>
          <w:rFonts w:hint="eastAsia" w:ascii="宋体" w:hAnsi="宋体" w:cs="等线"/>
          <w:color w:val="auto"/>
          <w:szCs w:val="21"/>
          <w:highlight w:val="none"/>
        </w:rPr>
        <w:t>投标人法定代表人（或法定代表人授权代表）签字（或签章）：</w:t>
      </w:r>
    </w:p>
    <w:p w14:paraId="2CA437AE">
      <w:pPr>
        <w:widowControl w:val="0"/>
        <w:adjustRightInd w:val="0"/>
        <w:snapToGrid w:val="0"/>
        <w:jc w:val="both"/>
        <w:rPr>
          <w:rFonts w:ascii="宋体" w:hAnsi="宋体" w:cs="等线"/>
          <w:color w:val="auto"/>
          <w:szCs w:val="21"/>
          <w:highlight w:val="none"/>
          <w:u w:val="single"/>
        </w:rPr>
      </w:pPr>
      <w:r>
        <w:rPr>
          <w:rFonts w:hint="eastAsia" w:ascii="宋体" w:hAnsi="宋体" w:cs="等线"/>
          <w:color w:val="auto"/>
          <w:szCs w:val="21"/>
          <w:highlight w:val="none"/>
        </w:rPr>
        <w:t>投标人名称（加盖公章）：</w:t>
      </w:r>
    </w:p>
    <w:p w14:paraId="347F03FB">
      <w:pPr>
        <w:widowControl w:val="0"/>
        <w:adjustRightInd w:val="0"/>
        <w:snapToGrid w:val="0"/>
        <w:jc w:val="both"/>
        <w:rPr>
          <w:rFonts w:ascii="宋体" w:hAnsi="宋体" w:cs="等线"/>
          <w:color w:val="auto"/>
          <w:szCs w:val="21"/>
          <w:highlight w:val="none"/>
        </w:rPr>
      </w:pPr>
      <w:r>
        <w:rPr>
          <w:rFonts w:hint="eastAsia" w:ascii="宋体" w:hAnsi="宋体" w:cs="等线"/>
          <w:color w:val="auto"/>
          <w:szCs w:val="21"/>
          <w:highlight w:val="none"/>
        </w:rPr>
        <w:t xml:space="preserve">日期： </w:t>
      </w:r>
      <w:r>
        <w:rPr>
          <w:rFonts w:ascii="宋体" w:hAnsi="宋体" w:cs="等线"/>
          <w:color w:val="auto"/>
          <w:szCs w:val="21"/>
          <w:highlight w:val="none"/>
        </w:rPr>
        <w:t xml:space="preserve">  </w:t>
      </w:r>
      <w:r>
        <w:rPr>
          <w:rFonts w:hint="eastAsia" w:ascii="宋体" w:hAnsi="宋体" w:cs="等线"/>
          <w:color w:val="auto"/>
          <w:szCs w:val="21"/>
          <w:highlight w:val="none"/>
        </w:rPr>
        <w:t xml:space="preserve">年 </w:t>
      </w:r>
      <w:r>
        <w:rPr>
          <w:rFonts w:ascii="宋体" w:hAnsi="宋体" w:cs="等线"/>
          <w:color w:val="auto"/>
          <w:szCs w:val="21"/>
          <w:highlight w:val="none"/>
        </w:rPr>
        <w:t xml:space="preserve">  </w:t>
      </w:r>
      <w:r>
        <w:rPr>
          <w:rFonts w:hint="eastAsia" w:ascii="宋体" w:hAnsi="宋体" w:cs="等线"/>
          <w:color w:val="auto"/>
          <w:szCs w:val="21"/>
          <w:highlight w:val="none"/>
        </w:rPr>
        <w:t xml:space="preserve">月 </w:t>
      </w:r>
      <w:r>
        <w:rPr>
          <w:rFonts w:ascii="宋体" w:hAnsi="宋体" w:cs="等线"/>
          <w:color w:val="auto"/>
          <w:szCs w:val="21"/>
          <w:highlight w:val="none"/>
        </w:rPr>
        <w:t xml:space="preserve">  </w:t>
      </w:r>
      <w:r>
        <w:rPr>
          <w:rFonts w:hint="eastAsia" w:ascii="宋体" w:hAnsi="宋体" w:cs="等线"/>
          <w:color w:val="auto"/>
          <w:szCs w:val="21"/>
          <w:highlight w:val="none"/>
        </w:rPr>
        <w:t>日</w:t>
      </w:r>
    </w:p>
    <w:p w14:paraId="6E138989">
      <w:pPr>
        <w:jc w:val="center"/>
        <w:rPr>
          <w:rFonts w:ascii="宋体" w:hAnsi="宋体" w:cs="等线"/>
          <w:color w:val="auto"/>
          <w:highlight w:val="none"/>
        </w:rPr>
        <w:sectPr>
          <w:footerReference r:id="rId32" w:type="default"/>
          <w:pgSz w:w="11906" w:h="16838"/>
          <w:pgMar w:top="1440" w:right="1800" w:bottom="1440" w:left="1800" w:header="426" w:footer="992" w:gutter="0"/>
          <w:pgNumType w:fmt="decimal"/>
          <w:cols w:space="720" w:num="1"/>
          <w:docGrid w:type="linesAndChars" w:linePitch="312" w:charSpace="0"/>
        </w:sectPr>
      </w:pPr>
    </w:p>
    <w:p w14:paraId="4EC7AA6A">
      <w:pPr>
        <w:pStyle w:val="4"/>
        <w:spacing w:before="120" w:line="187" w:lineRule="auto"/>
        <w:jc w:val="center"/>
        <w:rPr>
          <w:b/>
          <w:bCs/>
          <w:color w:val="auto"/>
          <w:spacing w:val="-6"/>
          <w:sz w:val="28"/>
          <w:szCs w:val="28"/>
          <w:highlight w:val="none"/>
        </w:rPr>
      </w:pPr>
    </w:p>
    <w:p w14:paraId="587496A2">
      <w:pPr>
        <w:pStyle w:val="4"/>
        <w:spacing w:before="120" w:line="187" w:lineRule="auto"/>
        <w:jc w:val="center"/>
        <w:rPr>
          <w:color w:val="auto"/>
          <w:sz w:val="28"/>
          <w:szCs w:val="28"/>
          <w:highlight w:val="none"/>
        </w:rPr>
      </w:pPr>
      <w:r>
        <w:rPr>
          <w:b/>
          <w:bCs/>
          <w:color w:val="auto"/>
          <w:spacing w:val="-6"/>
          <w:sz w:val="28"/>
          <w:szCs w:val="28"/>
          <w:highlight w:val="none"/>
        </w:rPr>
        <w:t>3、</w:t>
      </w:r>
      <w:r>
        <w:rPr>
          <w:rFonts w:ascii="Times New Roman" w:hAnsi="Times New Roman" w:eastAsia="宋体" w:cs="Times New Roman"/>
          <w:b/>
          <w:color w:val="auto"/>
          <w:kern w:val="2"/>
          <w:sz w:val="28"/>
          <w:szCs w:val="20"/>
          <w:highlight w:val="none"/>
          <w:lang w:val="en-US" w:eastAsia="zh-CN" w:bidi="ar-SA"/>
        </w:rPr>
        <w:t>投标明细报价表</w:t>
      </w:r>
    </w:p>
    <w:p w14:paraId="45E915F2">
      <w:pPr>
        <w:kinsoku/>
        <w:autoSpaceDE/>
        <w:autoSpaceDN/>
        <w:adjustRightInd/>
        <w:snapToGrid/>
        <w:spacing w:line="240" w:lineRule="auto"/>
        <w:jc w:val="both"/>
        <w:textAlignment w:val="auto"/>
        <w:rPr>
          <w:rFonts w:hint="eastAsia" w:ascii="宋体" w:hAnsi="宋体" w:eastAsia="宋体" w:cs="等线"/>
          <w:b/>
          <w:snapToGrid/>
          <w:color w:val="auto"/>
          <w:kern w:val="2"/>
          <w:szCs w:val="21"/>
          <w:highlight w:val="none"/>
          <w:lang w:eastAsia="zh-CN"/>
        </w:rPr>
      </w:pPr>
      <w:r>
        <w:rPr>
          <w:rFonts w:hint="eastAsia" w:ascii="宋体" w:hAnsi="宋体" w:eastAsia="宋体" w:cs="等线"/>
          <w:b/>
          <w:snapToGrid/>
          <w:color w:val="auto"/>
          <w:kern w:val="2"/>
          <w:szCs w:val="21"/>
          <w:highlight w:val="none"/>
          <w:lang w:eastAsia="zh-CN"/>
        </w:rPr>
        <w:t>项目名称：</w:t>
      </w:r>
    </w:p>
    <w:p w14:paraId="775EB546">
      <w:pPr>
        <w:kinsoku/>
        <w:autoSpaceDE/>
        <w:autoSpaceDN/>
        <w:adjustRightInd/>
        <w:snapToGrid/>
        <w:spacing w:line="240" w:lineRule="auto"/>
        <w:jc w:val="both"/>
        <w:textAlignment w:val="auto"/>
        <w:rPr>
          <w:rFonts w:ascii="宋体" w:hAnsi="宋体" w:eastAsia="宋体" w:cs="等线"/>
          <w:b/>
          <w:snapToGrid/>
          <w:color w:val="auto"/>
          <w:kern w:val="2"/>
          <w:szCs w:val="21"/>
          <w:highlight w:val="none"/>
          <w:lang w:eastAsia="zh-CN"/>
        </w:rPr>
      </w:pPr>
      <w:r>
        <w:rPr>
          <w:rFonts w:hint="eastAsia" w:ascii="宋体" w:hAnsi="宋体" w:eastAsia="宋体" w:cs="等线"/>
          <w:b/>
          <w:snapToGrid/>
          <w:color w:val="auto"/>
          <w:kern w:val="2"/>
          <w:szCs w:val="21"/>
          <w:highlight w:val="none"/>
          <w:lang w:eastAsia="zh-CN"/>
        </w:rPr>
        <w:t>项目编号：</w:t>
      </w:r>
    </w:p>
    <w:tbl>
      <w:tblPr>
        <w:tblStyle w:val="13"/>
        <w:tblW w:w="15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440"/>
        <w:gridCol w:w="1460"/>
        <w:gridCol w:w="1587"/>
        <w:gridCol w:w="2112"/>
        <w:gridCol w:w="1238"/>
        <w:gridCol w:w="1303"/>
        <w:gridCol w:w="3120"/>
        <w:gridCol w:w="1503"/>
        <w:gridCol w:w="777"/>
      </w:tblGrid>
      <w:tr w14:paraId="5EC8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14:paraId="00D64BA5">
            <w:pPr>
              <w:kinsoku/>
              <w:autoSpaceDE/>
              <w:autoSpaceDN/>
              <w:adjustRightInd/>
              <w:snapToGrid/>
              <w:spacing w:line="360" w:lineRule="auto"/>
              <w:jc w:val="center"/>
              <w:textAlignment w:val="auto"/>
              <w:rPr>
                <w:rFonts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序号</w:t>
            </w:r>
          </w:p>
        </w:tc>
        <w:tc>
          <w:tcPr>
            <w:tcW w:w="1440" w:type="dxa"/>
            <w:noWrap w:val="0"/>
            <w:vAlign w:val="center"/>
          </w:tcPr>
          <w:p w14:paraId="01042C9A">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产品名称</w:t>
            </w:r>
          </w:p>
        </w:tc>
        <w:tc>
          <w:tcPr>
            <w:tcW w:w="1460" w:type="dxa"/>
            <w:noWrap w:val="0"/>
            <w:vAlign w:val="center"/>
          </w:tcPr>
          <w:p w14:paraId="072E291F">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品牌</w:t>
            </w:r>
          </w:p>
        </w:tc>
        <w:tc>
          <w:tcPr>
            <w:tcW w:w="1587" w:type="dxa"/>
            <w:noWrap w:val="0"/>
            <w:vAlign w:val="center"/>
          </w:tcPr>
          <w:p w14:paraId="46996A37">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规格型号</w:t>
            </w:r>
          </w:p>
        </w:tc>
        <w:tc>
          <w:tcPr>
            <w:tcW w:w="2112" w:type="dxa"/>
            <w:noWrap w:val="0"/>
            <w:vAlign w:val="center"/>
          </w:tcPr>
          <w:p w14:paraId="6A5EF38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生产厂家或产地</w:t>
            </w:r>
          </w:p>
        </w:tc>
        <w:tc>
          <w:tcPr>
            <w:tcW w:w="1238" w:type="dxa"/>
            <w:noWrap w:val="0"/>
            <w:vAlign w:val="center"/>
          </w:tcPr>
          <w:p w14:paraId="3B1A0EDF">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数量</w:t>
            </w:r>
          </w:p>
        </w:tc>
        <w:tc>
          <w:tcPr>
            <w:tcW w:w="1303" w:type="dxa"/>
            <w:noWrap w:val="0"/>
            <w:vAlign w:val="center"/>
          </w:tcPr>
          <w:p w14:paraId="5F751F60">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单位</w:t>
            </w:r>
          </w:p>
        </w:tc>
        <w:tc>
          <w:tcPr>
            <w:tcW w:w="3120" w:type="dxa"/>
            <w:noWrap w:val="0"/>
            <w:vAlign w:val="center"/>
          </w:tcPr>
          <w:p w14:paraId="5CE559FC">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含税单价（元）</w:t>
            </w:r>
          </w:p>
        </w:tc>
        <w:tc>
          <w:tcPr>
            <w:tcW w:w="1503" w:type="dxa"/>
            <w:noWrap w:val="0"/>
            <w:vAlign w:val="center"/>
          </w:tcPr>
          <w:p w14:paraId="5799D16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eastAsia="宋体" w:cs="Arial"/>
                <w:snapToGrid/>
                <w:color w:val="auto"/>
                <w:kern w:val="2"/>
                <w:sz w:val="24"/>
                <w:szCs w:val="24"/>
                <w:highlight w:val="none"/>
                <w:lang w:eastAsia="zh-CN"/>
              </w:rPr>
              <w:t>总价</w:t>
            </w:r>
            <w:r>
              <w:rPr>
                <w:rFonts w:hint="eastAsia" w:ascii="Arial" w:hAnsi="Arial" w:eastAsia="宋体" w:cs="Arial"/>
                <w:snapToGrid/>
                <w:color w:val="auto"/>
                <w:kern w:val="2"/>
                <w:sz w:val="24"/>
                <w:szCs w:val="24"/>
                <w:highlight w:val="none"/>
                <w:lang w:eastAsia="zh-CN"/>
              </w:rPr>
              <w:t>（元）</w:t>
            </w:r>
          </w:p>
        </w:tc>
        <w:tc>
          <w:tcPr>
            <w:tcW w:w="777" w:type="dxa"/>
            <w:noWrap w:val="0"/>
            <w:vAlign w:val="center"/>
          </w:tcPr>
          <w:p w14:paraId="7C5B51AA">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备注</w:t>
            </w:r>
          </w:p>
        </w:tc>
      </w:tr>
      <w:tr w14:paraId="0E49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noWrap w:val="0"/>
            <w:vAlign w:val="center"/>
          </w:tcPr>
          <w:p w14:paraId="6010BEBE">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w:t>
            </w:r>
          </w:p>
        </w:tc>
        <w:tc>
          <w:tcPr>
            <w:tcW w:w="1440" w:type="dxa"/>
            <w:noWrap w:val="0"/>
            <w:vAlign w:val="center"/>
          </w:tcPr>
          <w:p w14:paraId="1245964D">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60" w:type="dxa"/>
            <w:noWrap w:val="0"/>
            <w:vAlign w:val="top"/>
          </w:tcPr>
          <w:p w14:paraId="26DC28D0">
            <w:pPr>
              <w:tabs>
                <w:tab w:val="left" w:pos="737"/>
                <w:tab w:val="center" w:pos="4153"/>
              </w:tabs>
              <w:kinsoku/>
              <w:autoSpaceDE/>
              <w:autoSpaceDN/>
              <w:adjustRightInd/>
              <w:snapToGrid/>
              <w:spacing w:line="360" w:lineRule="auto"/>
              <w:ind w:right="-105" w:rightChars="-50"/>
              <w:jc w:val="center"/>
              <w:textAlignment w:val="auto"/>
              <w:rPr>
                <w:rFonts w:hint="eastAsia" w:ascii="宋体" w:hAnsi="宋体" w:eastAsia="宋体" w:cs="Times New Roman"/>
                <w:snapToGrid/>
                <w:color w:val="auto"/>
                <w:kern w:val="2"/>
                <w:sz w:val="24"/>
                <w:szCs w:val="24"/>
                <w:highlight w:val="none"/>
                <w:lang w:eastAsia="zh-CN"/>
              </w:rPr>
            </w:pPr>
          </w:p>
        </w:tc>
        <w:tc>
          <w:tcPr>
            <w:tcW w:w="1587" w:type="dxa"/>
            <w:noWrap w:val="0"/>
            <w:vAlign w:val="center"/>
          </w:tcPr>
          <w:p w14:paraId="31885F43">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112" w:type="dxa"/>
            <w:noWrap w:val="0"/>
            <w:vAlign w:val="center"/>
          </w:tcPr>
          <w:p w14:paraId="4B0F92F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238" w:type="dxa"/>
            <w:noWrap w:val="0"/>
            <w:vAlign w:val="center"/>
          </w:tcPr>
          <w:p w14:paraId="667C6B04">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303" w:type="dxa"/>
            <w:noWrap w:val="0"/>
            <w:vAlign w:val="center"/>
          </w:tcPr>
          <w:p w14:paraId="047766FB">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3120" w:type="dxa"/>
            <w:noWrap w:val="0"/>
            <w:vAlign w:val="center"/>
          </w:tcPr>
          <w:p w14:paraId="3D2FBC48">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03" w:type="dxa"/>
            <w:noWrap w:val="0"/>
            <w:vAlign w:val="center"/>
          </w:tcPr>
          <w:p w14:paraId="7B4C50FF">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777" w:type="dxa"/>
            <w:noWrap w:val="0"/>
            <w:vAlign w:val="center"/>
          </w:tcPr>
          <w:p w14:paraId="1C9E65A6">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r>
      <w:tr w14:paraId="6F7F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noWrap w:val="0"/>
            <w:vAlign w:val="center"/>
          </w:tcPr>
          <w:p w14:paraId="637FA2A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w:t>
            </w:r>
          </w:p>
        </w:tc>
        <w:tc>
          <w:tcPr>
            <w:tcW w:w="1440" w:type="dxa"/>
            <w:noWrap w:val="0"/>
            <w:vAlign w:val="center"/>
          </w:tcPr>
          <w:p w14:paraId="0B9F09CA">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60" w:type="dxa"/>
            <w:noWrap w:val="0"/>
            <w:vAlign w:val="top"/>
          </w:tcPr>
          <w:p w14:paraId="204FEDF6">
            <w:pPr>
              <w:tabs>
                <w:tab w:val="left" w:pos="737"/>
                <w:tab w:val="center" w:pos="4153"/>
              </w:tabs>
              <w:kinsoku/>
              <w:autoSpaceDE/>
              <w:autoSpaceDN/>
              <w:adjustRightInd/>
              <w:snapToGrid/>
              <w:spacing w:line="360" w:lineRule="auto"/>
              <w:ind w:right="-105" w:rightChars="-50"/>
              <w:jc w:val="center"/>
              <w:textAlignment w:val="auto"/>
              <w:rPr>
                <w:rFonts w:hint="eastAsia" w:ascii="宋体" w:hAnsi="宋体" w:eastAsia="宋体" w:cs="Times New Roman"/>
                <w:snapToGrid/>
                <w:color w:val="auto"/>
                <w:kern w:val="2"/>
                <w:sz w:val="24"/>
                <w:szCs w:val="24"/>
                <w:highlight w:val="none"/>
                <w:lang w:eastAsia="zh-CN"/>
              </w:rPr>
            </w:pPr>
          </w:p>
        </w:tc>
        <w:tc>
          <w:tcPr>
            <w:tcW w:w="1587" w:type="dxa"/>
            <w:noWrap w:val="0"/>
            <w:vAlign w:val="center"/>
          </w:tcPr>
          <w:p w14:paraId="588BF027">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112" w:type="dxa"/>
            <w:noWrap w:val="0"/>
            <w:vAlign w:val="center"/>
          </w:tcPr>
          <w:p w14:paraId="6622AB87">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238" w:type="dxa"/>
            <w:noWrap w:val="0"/>
            <w:vAlign w:val="center"/>
          </w:tcPr>
          <w:p w14:paraId="6A20D1D3">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303" w:type="dxa"/>
            <w:noWrap w:val="0"/>
            <w:vAlign w:val="center"/>
          </w:tcPr>
          <w:p w14:paraId="459444DF">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3120" w:type="dxa"/>
            <w:noWrap w:val="0"/>
            <w:vAlign w:val="center"/>
          </w:tcPr>
          <w:p w14:paraId="5A861C30">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03" w:type="dxa"/>
            <w:noWrap w:val="0"/>
            <w:vAlign w:val="center"/>
          </w:tcPr>
          <w:p w14:paraId="4750549B">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777" w:type="dxa"/>
            <w:noWrap w:val="0"/>
            <w:vAlign w:val="center"/>
          </w:tcPr>
          <w:p w14:paraId="5620FD92">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r>
      <w:tr w14:paraId="2E66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noWrap w:val="0"/>
            <w:vAlign w:val="center"/>
          </w:tcPr>
          <w:p w14:paraId="44E97995">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w:t>
            </w:r>
          </w:p>
        </w:tc>
        <w:tc>
          <w:tcPr>
            <w:tcW w:w="1440" w:type="dxa"/>
            <w:noWrap w:val="0"/>
            <w:vAlign w:val="center"/>
          </w:tcPr>
          <w:p w14:paraId="29EF4BDC">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60" w:type="dxa"/>
            <w:noWrap w:val="0"/>
            <w:vAlign w:val="top"/>
          </w:tcPr>
          <w:p w14:paraId="689A8952">
            <w:pPr>
              <w:tabs>
                <w:tab w:val="left" w:pos="737"/>
                <w:tab w:val="center" w:pos="4153"/>
              </w:tabs>
              <w:kinsoku/>
              <w:autoSpaceDE/>
              <w:autoSpaceDN/>
              <w:adjustRightInd/>
              <w:snapToGrid/>
              <w:spacing w:line="360" w:lineRule="auto"/>
              <w:ind w:right="-105" w:rightChars="-50"/>
              <w:jc w:val="center"/>
              <w:textAlignment w:val="auto"/>
              <w:rPr>
                <w:rFonts w:hint="eastAsia" w:ascii="宋体" w:hAnsi="宋体" w:eastAsia="宋体" w:cs="Times New Roman"/>
                <w:snapToGrid/>
                <w:color w:val="auto"/>
                <w:kern w:val="2"/>
                <w:sz w:val="24"/>
                <w:szCs w:val="24"/>
                <w:highlight w:val="none"/>
                <w:lang w:eastAsia="zh-CN"/>
              </w:rPr>
            </w:pPr>
          </w:p>
        </w:tc>
        <w:tc>
          <w:tcPr>
            <w:tcW w:w="1587" w:type="dxa"/>
            <w:noWrap w:val="0"/>
            <w:vAlign w:val="center"/>
          </w:tcPr>
          <w:p w14:paraId="25DFCA0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112" w:type="dxa"/>
            <w:noWrap w:val="0"/>
            <w:vAlign w:val="center"/>
          </w:tcPr>
          <w:p w14:paraId="0DFEBD25">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238" w:type="dxa"/>
            <w:noWrap w:val="0"/>
            <w:vAlign w:val="center"/>
          </w:tcPr>
          <w:p w14:paraId="28B85124">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303" w:type="dxa"/>
            <w:noWrap w:val="0"/>
            <w:vAlign w:val="center"/>
          </w:tcPr>
          <w:p w14:paraId="447A72D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3120" w:type="dxa"/>
            <w:noWrap w:val="0"/>
            <w:vAlign w:val="center"/>
          </w:tcPr>
          <w:p w14:paraId="4DD2FC97">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03" w:type="dxa"/>
            <w:noWrap w:val="0"/>
            <w:vAlign w:val="center"/>
          </w:tcPr>
          <w:p w14:paraId="38E61CC3">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777" w:type="dxa"/>
            <w:noWrap w:val="0"/>
            <w:vAlign w:val="center"/>
          </w:tcPr>
          <w:p w14:paraId="18193D16">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r>
      <w:tr w14:paraId="63CA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noWrap w:val="0"/>
            <w:vAlign w:val="center"/>
          </w:tcPr>
          <w:p w14:paraId="53B853B8">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p>
        </w:tc>
        <w:tc>
          <w:tcPr>
            <w:tcW w:w="1440" w:type="dxa"/>
            <w:noWrap w:val="0"/>
            <w:vAlign w:val="center"/>
          </w:tcPr>
          <w:p w14:paraId="0CCF06B7">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60" w:type="dxa"/>
            <w:noWrap w:val="0"/>
            <w:vAlign w:val="top"/>
          </w:tcPr>
          <w:p w14:paraId="187F8E07">
            <w:pPr>
              <w:tabs>
                <w:tab w:val="left" w:pos="737"/>
                <w:tab w:val="center" w:pos="4153"/>
              </w:tabs>
              <w:kinsoku/>
              <w:autoSpaceDE/>
              <w:autoSpaceDN/>
              <w:adjustRightInd/>
              <w:snapToGrid/>
              <w:spacing w:line="360" w:lineRule="auto"/>
              <w:ind w:right="-105" w:rightChars="-50"/>
              <w:jc w:val="center"/>
              <w:textAlignment w:val="auto"/>
              <w:rPr>
                <w:rFonts w:hint="eastAsia" w:ascii="宋体" w:hAnsi="宋体" w:eastAsia="宋体" w:cs="Times New Roman"/>
                <w:snapToGrid/>
                <w:color w:val="auto"/>
                <w:kern w:val="2"/>
                <w:sz w:val="24"/>
                <w:szCs w:val="24"/>
                <w:highlight w:val="none"/>
                <w:lang w:eastAsia="zh-CN"/>
              </w:rPr>
            </w:pPr>
          </w:p>
        </w:tc>
        <w:tc>
          <w:tcPr>
            <w:tcW w:w="1587" w:type="dxa"/>
            <w:noWrap w:val="0"/>
            <w:vAlign w:val="center"/>
          </w:tcPr>
          <w:p w14:paraId="02E421BA">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112" w:type="dxa"/>
            <w:noWrap w:val="0"/>
            <w:vAlign w:val="center"/>
          </w:tcPr>
          <w:p w14:paraId="2DC03BA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238" w:type="dxa"/>
            <w:noWrap w:val="0"/>
            <w:vAlign w:val="center"/>
          </w:tcPr>
          <w:p w14:paraId="028780D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303" w:type="dxa"/>
            <w:noWrap w:val="0"/>
            <w:vAlign w:val="center"/>
          </w:tcPr>
          <w:p w14:paraId="3324C2BE">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3120" w:type="dxa"/>
            <w:noWrap w:val="0"/>
            <w:vAlign w:val="center"/>
          </w:tcPr>
          <w:p w14:paraId="178B9F18">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03" w:type="dxa"/>
            <w:noWrap w:val="0"/>
            <w:vAlign w:val="center"/>
          </w:tcPr>
          <w:p w14:paraId="3F48A22F">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777" w:type="dxa"/>
            <w:noWrap w:val="0"/>
            <w:vAlign w:val="center"/>
          </w:tcPr>
          <w:p w14:paraId="0DBB6F47">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r>
      <w:tr w14:paraId="6DCE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noWrap w:val="0"/>
            <w:vAlign w:val="center"/>
          </w:tcPr>
          <w:p w14:paraId="70FF9EC8">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p>
        </w:tc>
        <w:tc>
          <w:tcPr>
            <w:tcW w:w="1440" w:type="dxa"/>
            <w:noWrap w:val="0"/>
            <w:vAlign w:val="center"/>
          </w:tcPr>
          <w:p w14:paraId="7C6AE2D6">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60" w:type="dxa"/>
            <w:noWrap w:val="0"/>
            <w:vAlign w:val="top"/>
          </w:tcPr>
          <w:p w14:paraId="25536FB4">
            <w:pPr>
              <w:tabs>
                <w:tab w:val="left" w:pos="737"/>
                <w:tab w:val="center" w:pos="4153"/>
              </w:tabs>
              <w:kinsoku/>
              <w:autoSpaceDE/>
              <w:autoSpaceDN/>
              <w:adjustRightInd/>
              <w:snapToGrid/>
              <w:spacing w:line="360" w:lineRule="auto"/>
              <w:ind w:right="-105" w:rightChars="-50"/>
              <w:jc w:val="center"/>
              <w:textAlignment w:val="auto"/>
              <w:rPr>
                <w:rFonts w:hint="eastAsia" w:ascii="宋体" w:hAnsi="宋体" w:eastAsia="宋体" w:cs="Times New Roman"/>
                <w:snapToGrid/>
                <w:color w:val="auto"/>
                <w:kern w:val="2"/>
                <w:sz w:val="24"/>
                <w:szCs w:val="24"/>
                <w:highlight w:val="none"/>
                <w:lang w:eastAsia="zh-CN"/>
              </w:rPr>
            </w:pPr>
          </w:p>
        </w:tc>
        <w:tc>
          <w:tcPr>
            <w:tcW w:w="1587" w:type="dxa"/>
            <w:noWrap w:val="0"/>
            <w:vAlign w:val="center"/>
          </w:tcPr>
          <w:p w14:paraId="0E65373A">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112" w:type="dxa"/>
            <w:noWrap w:val="0"/>
            <w:vAlign w:val="center"/>
          </w:tcPr>
          <w:p w14:paraId="055B003E">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238" w:type="dxa"/>
            <w:noWrap w:val="0"/>
            <w:vAlign w:val="center"/>
          </w:tcPr>
          <w:p w14:paraId="78D5D714">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303" w:type="dxa"/>
            <w:noWrap w:val="0"/>
            <w:vAlign w:val="center"/>
          </w:tcPr>
          <w:p w14:paraId="237A6635">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3120" w:type="dxa"/>
            <w:noWrap w:val="0"/>
            <w:vAlign w:val="center"/>
          </w:tcPr>
          <w:p w14:paraId="07D11B45">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03" w:type="dxa"/>
            <w:noWrap w:val="0"/>
            <w:vAlign w:val="center"/>
          </w:tcPr>
          <w:p w14:paraId="05A98686">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777" w:type="dxa"/>
            <w:noWrap w:val="0"/>
            <w:vAlign w:val="center"/>
          </w:tcPr>
          <w:p w14:paraId="387450F3">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r>
      <w:tr w14:paraId="2FA3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520" w:type="dxa"/>
            <w:gridSpan w:val="2"/>
            <w:noWrap w:val="0"/>
            <w:vAlign w:val="center"/>
          </w:tcPr>
          <w:p w14:paraId="421058D9">
            <w:pPr>
              <w:kinsoku/>
              <w:autoSpaceDE/>
              <w:autoSpaceDN/>
              <w:adjustRightInd/>
              <w:snapToGrid/>
              <w:spacing w:line="360" w:lineRule="auto"/>
              <w:jc w:val="both"/>
              <w:textAlignment w:val="auto"/>
              <w:rPr>
                <w:rFonts w:hint="eastAsia" w:ascii="宋体" w:hAnsi="宋体" w:eastAsia="宋体" w:cs="宋体"/>
                <w:b/>
                <w:snapToGrid/>
                <w:color w:val="auto"/>
                <w:kern w:val="0"/>
                <w:sz w:val="21"/>
                <w:szCs w:val="21"/>
                <w:highlight w:val="none"/>
                <w:lang w:eastAsia="zh-CN"/>
              </w:rPr>
            </w:pPr>
            <w:r>
              <w:rPr>
                <w:rFonts w:hint="eastAsia" w:ascii="宋体" w:hAnsi="宋体" w:eastAsia="宋体" w:cs="宋体"/>
                <w:b/>
                <w:snapToGrid/>
                <w:color w:val="auto"/>
                <w:kern w:val="0"/>
                <w:sz w:val="21"/>
                <w:szCs w:val="21"/>
                <w:highlight w:val="none"/>
                <w:lang w:eastAsia="zh-CN"/>
              </w:rPr>
              <w:t>合计：人民币（大写）</w:t>
            </w:r>
          </w:p>
        </w:tc>
        <w:tc>
          <w:tcPr>
            <w:tcW w:w="13100" w:type="dxa"/>
            <w:gridSpan w:val="8"/>
            <w:noWrap w:val="0"/>
            <w:vAlign w:val="center"/>
          </w:tcPr>
          <w:p w14:paraId="52159CCD">
            <w:pPr>
              <w:kinsoku/>
              <w:autoSpaceDE/>
              <w:autoSpaceDN/>
              <w:adjustRightInd/>
              <w:snapToGrid/>
              <w:spacing w:line="360" w:lineRule="auto"/>
              <w:jc w:val="both"/>
              <w:textAlignment w:val="auto"/>
              <w:rPr>
                <w:rFonts w:hint="eastAsia" w:ascii="宋体" w:hAnsi="宋体" w:eastAsia="宋体" w:cs="宋体"/>
                <w:b/>
                <w:snapToGrid/>
                <w:color w:val="auto"/>
                <w:kern w:val="0"/>
                <w:sz w:val="21"/>
                <w:szCs w:val="21"/>
                <w:highlight w:val="none"/>
                <w:lang w:eastAsia="zh-CN"/>
              </w:rPr>
            </w:pPr>
            <w:r>
              <w:rPr>
                <w:rFonts w:hint="eastAsia" w:ascii="宋体" w:hAnsi="宋体" w:eastAsia="宋体" w:cs="宋体"/>
                <w:b/>
                <w:snapToGrid/>
                <w:color w:val="auto"/>
                <w:kern w:val="0"/>
                <w:sz w:val="21"/>
                <w:szCs w:val="21"/>
                <w:highlight w:val="none"/>
                <w:lang w:eastAsia="zh-CN"/>
              </w:rPr>
              <w:t>小写：</w:t>
            </w:r>
            <w:r>
              <w:rPr>
                <w:rFonts w:hint="eastAsia" w:ascii="宋体" w:hAnsi="宋体" w:eastAsia="宋体" w:cs="宋体"/>
                <w:b/>
                <w:snapToGrid/>
                <w:color w:val="auto"/>
                <w:kern w:val="0"/>
                <w:sz w:val="21"/>
                <w:szCs w:val="21"/>
                <w:highlight w:val="none"/>
                <w:lang w:val="en-US" w:eastAsia="zh-CN"/>
              </w:rPr>
              <w:t xml:space="preserve">  </w:t>
            </w:r>
            <w:r>
              <w:rPr>
                <w:rFonts w:hint="eastAsia" w:ascii="宋体" w:hAnsi="宋体" w:eastAsia="宋体" w:cs="宋体"/>
                <w:b/>
                <w:snapToGrid/>
                <w:color w:val="auto"/>
                <w:kern w:val="0"/>
                <w:sz w:val="21"/>
                <w:szCs w:val="21"/>
                <w:highlight w:val="none"/>
                <w:lang w:eastAsia="zh-CN"/>
              </w:rPr>
              <w:t>元</w:t>
            </w:r>
          </w:p>
          <w:p w14:paraId="0432906C">
            <w:pPr>
              <w:kinsoku/>
              <w:autoSpaceDE/>
              <w:autoSpaceDN/>
              <w:adjustRightInd/>
              <w:snapToGrid/>
              <w:spacing w:line="360" w:lineRule="auto"/>
              <w:jc w:val="both"/>
              <w:textAlignment w:val="auto"/>
              <w:rPr>
                <w:rFonts w:hint="eastAsia" w:ascii="宋体" w:hAnsi="宋体" w:eastAsia="宋体" w:cs="宋体"/>
                <w:b/>
                <w:snapToGrid/>
                <w:color w:val="auto"/>
                <w:kern w:val="0"/>
                <w:sz w:val="21"/>
                <w:szCs w:val="21"/>
                <w:highlight w:val="none"/>
                <w:lang w:eastAsia="zh-CN"/>
              </w:rPr>
            </w:pPr>
            <w:r>
              <w:rPr>
                <w:rFonts w:hint="eastAsia" w:ascii="宋体" w:hAnsi="宋体" w:eastAsia="宋体" w:cs="宋体"/>
                <w:b/>
                <w:snapToGrid/>
                <w:color w:val="auto"/>
                <w:kern w:val="0"/>
                <w:sz w:val="21"/>
                <w:szCs w:val="21"/>
                <w:highlight w:val="none"/>
                <w:lang w:val="en-US" w:eastAsia="zh-CN"/>
              </w:rPr>
              <w:t>大</w:t>
            </w:r>
            <w:r>
              <w:rPr>
                <w:rFonts w:hint="eastAsia" w:ascii="宋体" w:hAnsi="宋体" w:eastAsia="宋体" w:cs="宋体"/>
                <w:b/>
                <w:snapToGrid/>
                <w:color w:val="auto"/>
                <w:kern w:val="0"/>
                <w:sz w:val="21"/>
                <w:szCs w:val="21"/>
                <w:highlight w:val="none"/>
                <w:lang w:eastAsia="zh-CN"/>
              </w:rPr>
              <w:t>写：</w:t>
            </w:r>
            <w:r>
              <w:rPr>
                <w:rFonts w:hint="eastAsia" w:ascii="宋体" w:hAnsi="宋体" w:eastAsia="宋体" w:cs="宋体"/>
                <w:b/>
                <w:snapToGrid/>
                <w:color w:val="auto"/>
                <w:kern w:val="0"/>
                <w:sz w:val="21"/>
                <w:szCs w:val="21"/>
                <w:highlight w:val="none"/>
                <w:lang w:val="en-US" w:eastAsia="zh-CN"/>
              </w:rPr>
              <w:t xml:space="preserve">  </w:t>
            </w:r>
            <w:r>
              <w:rPr>
                <w:rFonts w:hint="eastAsia" w:ascii="宋体" w:hAnsi="宋体" w:eastAsia="宋体" w:cs="宋体"/>
                <w:b/>
                <w:snapToGrid/>
                <w:color w:val="auto"/>
                <w:kern w:val="0"/>
                <w:sz w:val="21"/>
                <w:szCs w:val="21"/>
                <w:highlight w:val="none"/>
                <w:lang w:eastAsia="zh-CN"/>
              </w:rPr>
              <w:t>元</w:t>
            </w:r>
          </w:p>
        </w:tc>
      </w:tr>
      <w:tr w14:paraId="799D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20" w:type="dxa"/>
            <w:gridSpan w:val="10"/>
            <w:noWrap w:val="0"/>
            <w:vAlign w:val="center"/>
          </w:tcPr>
          <w:p w14:paraId="19686A65">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说明：包括全部设备价、税费、包装费、运输、调试（简单安装）必不可少的部件等费用，以及已支付或将支付的营业税和其它税费等所有费用</w:t>
            </w:r>
          </w:p>
        </w:tc>
      </w:tr>
    </w:tbl>
    <w:p w14:paraId="6C51A002">
      <w:pPr>
        <w:widowControl w:val="0"/>
        <w:kinsoku/>
        <w:autoSpaceDE/>
        <w:autoSpaceDN/>
        <w:adjustRightInd/>
        <w:snapToGrid/>
        <w:spacing w:line="240" w:lineRule="auto"/>
        <w:jc w:val="both"/>
        <w:textAlignment w:val="auto"/>
        <w:rPr>
          <w:rFonts w:hint="default" w:ascii="宋体" w:hAnsi="宋体" w:eastAsia="宋体" w:cs="Times New Roman"/>
          <w:snapToGrid/>
          <w:color w:val="auto"/>
          <w:kern w:val="2"/>
          <w:szCs w:val="24"/>
          <w:highlight w:val="none"/>
          <w:lang w:val="en-US" w:eastAsia="zh-CN"/>
        </w:rPr>
      </w:pPr>
      <w:r>
        <w:rPr>
          <w:rFonts w:hint="eastAsia" w:ascii="宋体" w:hAnsi="宋体" w:eastAsia="宋体" w:cs="等线"/>
          <w:snapToGrid/>
          <w:color w:val="auto"/>
          <w:kern w:val="2"/>
          <w:szCs w:val="24"/>
          <w:highlight w:val="none"/>
          <w:lang w:eastAsia="zh-CN"/>
        </w:rPr>
        <w:t>注：</w:t>
      </w:r>
      <w:r>
        <w:rPr>
          <w:rFonts w:hint="eastAsia" w:ascii="宋体" w:hAnsi="宋体" w:eastAsia="宋体" w:cs="等线"/>
          <w:snapToGrid/>
          <w:color w:val="auto"/>
          <w:kern w:val="2"/>
          <w:szCs w:val="24"/>
          <w:highlight w:val="none"/>
          <w:lang w:val="en-US" w:eastAsia="zh-CN"/>
        </w:rPr>
        <w:t>1、</w:t>
      </w:r>
      <w:r>
        <w:rPr>
          <w:rFonts w:hint="eastAsia" w:ascii="宋体" w:hAnsi="宋体" w:eastAsia="宋体" w:cs="Times New Roman"/>
          <w:snapToGrid/>
          <w:color w:val="auto"/>
          <w:kern w:val="2"/>
          <w:szCs w:val="24"/>
          <w:highlight w:val="none"/>
          <w:lang w:eastAsia="zh-CN"/>
        </w:rPr>
        <w:t>投标人报价应为货到采购人用户指定地点含税全包价，金额包含但不限于</w:t>
      </w:r>
      <w:r>
        <w:rPr>
          <w:rFonts w:hint="eastAsia" w:ascii="宋体" w:hAnsi="宋体" w:eastAsia="宋体" w:cs="Times New Roman"/>
          <w:snapToGrid/>
          <w:color w:val="auto"/>
          <w:kern w:val="2"/>
          <w:szCs w:val="24"/>
          <w:highlight w:val="none"/>
          <w:lang w:val="zh-TW" w:eastAsia="zh-CN"/>
        </w:rPr>
        <w:t>税费、运输费、各种线材辅材配件、保险费及培训、安装、调试等所有相关费用，最终达到甲方使用要求</w:t>
      </w:r>
      <w:r>
        <w:rPr>
          <w:rFonts w:hint="eastAsia" w:ascii="宋体" w:hAnsi="宋体" w:eastAsia="宋体" w:cs="Times New Roman"/>
          <w:snapToGrid/>
          <w:color w:val="auto"/>
          <w:kern w:val="2"/>
          <w:szCs w:val="24"/>
          <w:highlight w:val="none"/>
          <w:lang w:val="en-US" w:eastAsia="zh-CN"/>
        </w:rPr>
        <w:t>。</w:t>
      </w:r>
    </w:p>
    <w:p w14:paraId="0E89A1DF">
      <w:pPr>
        <w:widowControl w:val="0"/>
        <w:kinsoku/>
        <w:autoSpaceDE/>
        <w:autoSpaceDN/>
        <w:adjustRightInd/>
        <w:snapToGrid/>
        <w:spacing w:line="240" w:lineRule="auto"/>
        <w:jc w:val="both"/>
        <w:textAlignment w:val="auto"/>
        <w:rPr>
          <w:rFonts w:hint="eastAsia" w:ascii="Calibri" w:hAnsi="Calibri" w:eastAsia="宋体" w:cs="Times New Roman"/>
          <w:snapToGrid/>
          <w:color w:val="auto"/>
          <w:kern w:val="2"/>
          <w:szCs w:val="22"/>
          <w:highlight w:val="none"/>
          <w:lang w:eastAsia="zh-CN"/>
        </w:rPr>
      </w:pPr>
    </w:p>
    <w:p w14:paraId="4808D20B">
      <w:pPr>
        <w:widowControl w:val="0"/>
        <w:kinsoku/>
        <w:autoSpaceDE/>
        <w:autoSpaceDN/>
        <w:adjustRightInd w:val="0"/>
        <w:snapToGrid w:val="0"/>
        <w:spacing w:line="240" w:lineRule="auto"/>
        <w:jc w:val="both"/>
        <w:textAlignment w:val="auto"/>
        <w:rPr>
          <w:rFonts w:ascii="宋体" w:hAnsi="宋体" w:eastAsia="宋体" w:cs="等线"/>
          <w:snapToGrid/>
          <w:color w:val="auto"/>
          <w:kern w:val="2"/>
          <w:szCs w:val="21"/>
          <w:highlight w:val="none"/>
          <w:lang w:eastAsia="zh-CN"/>
        </w:rPr>
      </w:pPr>
      <w:r>
        <w:rPr>
          <w:rFonts w:hint="eastAsia" w:ascii="宋体" w:hAnsi="宋体" w:eastAsia="宋体" w:cs="等线"/>
          <w:snapToGrid/>
          <w:color w:val="auto"/>
          <w:kern w:val="2"/>
          <w:szCs w:val="21"/>
          <w:highlight w:val="none"/>
          <w:lang w:eastAsia="zh-CN"/>
        </w:rPr>
        <w:t>投标人法定代表人（或法定代表人授权代表）签字（或签章）：</w:t>
      </w:r>
    </w:p>
    <w:p w14:paraId="0B2C3588">
      <w:pPr>
        <w:widowControl w:val="0"/>
        <w:tabs>
          <w:tab w:val="left" w:pos="4410"/>
        </w:tabs>
        <w:kinsoku/>
        <w:autoSpaceDE/>
        <w:autoSpaceDN/>
        <w:adjustRightInd w:val="0"/>
        <w:snapToGrid w:val="0"/>
        <w:spacing w:line="240" w:lineRule="auto"/>
        <w:jc w:val="both"/>
        <w:textAlignment w:val="auto"/>
        <w:rPr>
          <w:rFonts w:ascii="宋体" w:hAnsi="宋体" w:eastAsia="宋体" w:cs="等线"/>
          <w:snapToGrid/>
          <w:color w:val="auto"/>
          <w:kern w:val="2"/>
          <w:szCs w:val="21"/>
          <w:highlight w:val="none"/>
          <w:u w:val="single"/>
          <w:lang w:eastAsia="zh-CN"/>
        </w:rPr>
      </w:pPr>
      <w:r>
        <w:rPr>
          <w:rFonts w:hint="eastAsia" w:ascii="宋体" w:hAnsi="宋体" w:eastAsia="宋体" w:cs="等线"/>
          <w:snapToGrid/>
          <w:color w:val="auto"/>
          <w:kern w:val="2"/>
          <w:szCs w:val="21"/>
          <w:highlight w:val="none"/>
          <w:lang w:eastAsia="zh-CN"/>
        </w:rPr>
        <w:t>投标人名称（加盖公章）：</w:t>
      </w:r>
      <w:r>
        <w:rPr>
          <w:rFonts w:ascii="宋体" w:hAnsi="宋体" w:eastAsia="宋体" w:cs="等线"/>
          <w:snapToGrid/>
          <w:color w:val="auto"/>
          <w:kern w:val="2"/>
          <w:szCs w:val="21"/>
          <w:highlight w:val="none"/>
          <w:lang w:eastAsia="zh-CN"/>
        </w:rPr>
        <w:tab/>
      </w:r>
    </w:p>
    <w:p w14:paraId="1B168F0F">
      <w:pPr>
        <w:widowControl w:val="0"/>
        <w:adjustRightInd w:val="0"/>
        <w:snapToGrid w:val="0"/>
        <w:jc w:val="both"/>
        <w:rPr>
          <w:rFonts w:hint="eastAsia" w:ascii="宋体" w:hAnsi="宋体" w:cs="等线"/>
          <w:color w:val="auto"/>
          <w:szCs w:val="21"/>
          <w:highlight w:val="none"/>
        </w:rPr>
        <w:sectPr>
          <w:footerReference r:id="rId33" w:type="default"/>
          <w:pgSz w:w="16838" w:h="11906" w:orient="landscape"/>
          <w:pgMar w:top="1440" w:right="1800" w:bottom="1440" w:left="1800" w:header="426" w:footer="992" w:gutter="0"/>
          <w:pgNumType w:fmt="decimal"/>
          <w:cols w:space="720" w:num="1"/>
          <w:docGrid w:type="lines" w:linePitch="312" w:charSpace="0"/>
        </w:sectPr>
      </w:pPr>
      <w:r>
        <w:rPr>
          <w:rFonts w:hint="eastAsia" w:ascii="宋体" w:hAnsi="宋体" w:eastAsia="宋体" w:cs="等线"/>
          <w:snapToGrid/>
          <w:color w:val="auto"/>
          <w:kern w:val="2"/>
          <w:szCs w:val="21"/>
          <w:highlight w:val="none"/>
          <w:lang w:eastAsia="zh-CN"/>
        </w:rPr>
        <w:t>日期：   年   月  日</w:t>
      </w:r>
    </w:p>
    <w:p w14:paraId="0F16B02C">
      <w:pPr>
        <w:spacing w:before="164" w:line="345" w:lineRule="auto"/>
        <w:ind w:left="6" w:right="22"/>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注：1、投标人不可更改采购清单中的数量，否侧投标将被否决。招标人清标时发现报价数量</w:t>
      </w:r>
      <w:r>
        <w:rPr>
          <w:rFonts w:ascii="新宋体" w:hAnsi="新宋体" w:eastAsia="新宋体" w:cs="新宋体"/>
          <w:color w:val="auto"/>
          <w:spacing w:val="-4"/>
          <w:sz w:val="24"/>
          <w:szCs w:val="24"/>
          <w:highlight w:val="none"/>
        </w:rPr>
        <w:t>不一致，可取消投标人中标资格。</w:t>
      </w:r>
    </w:p>
    <w:p w14:paraId="51B43743">
      <w:pPr>
        <w:spacing w:before="36" w:line="314" w:lineRule="auto"/>
        <w:ind w:firstLine="475"/>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2、投标总报价为投标人完成招标范围所述的全部工程内容的体现和完成该项目的成本、</w:t>
      </w:r>
      <w:r>
        <w:rPr>
          <w:rFonts w:ascii="新宋体" w:hAnsi="新宋体" w:eastAsia="新宋体" w:cs="新宋体"/>
          <w:color w:val="auto"/>
          <w:spacing w:val="-3"/>
          <w:sz w:val="24"/>
          <w:szCs w:val="24"/>
          <w:highlight w:val="none"/>
        </w:rPr>
        <w:t>管理费、技术措施费、利润、风险费及政策性文件规定的不可竞争费用、规费和税金等所有费</w:t>
      </w:r>
      <w:r>
        <w:rPr>
          <w:rFonts w:ascii="新宋体" w:hAnsi="新宋体" w:eastAsia="新宋体" w:cs="新宋体"/>
          <w:color w:val="auto"/>
          <w:spacing w:val="-1"/>
          <w:sz w:val="24"/>
          <w:szCs w:val="24"/>
          <w:highlight w:val="none"/>
        </w:rPr>
        <w:t>用，以及所有根据合同或其它原因由投标人支</w:t>
      </w:r>
      <w:r>
        <w:rPr>
          <w:rFonts w:ascii="新宋体" w:hAnsi="新宋体" w:eastAsia="新宋体" w:cs="新宋体"/>
          <w:color w:val="auto"/>
          <w:spacing w:val="-2"/>
          <w:sz w:val="24"/>
          <w:szCs w:val="24"/>
          <w:highlight w:val="none"/>
        </w:rPr>
        <w:t>付的税金和其它应缴纳的费用。</w:t>
      </w:r>
    </w:p>
    <w:p w14:paraId="491EF1FB">
      <w:pPr>
        <w:spacing w:before="177" w:line="291" w:lineRule="auto"/>
        <w:ind w:right="38" w:firstLine="478"/>
        <w:rPr>
          <w:rFonts w:ascii="Arial"/>
          <w:color w:val="auto"/>
          <w:sz w:val="21"/>
          <w:highlight w:val="none"/>
        </w:rPr>
        <w:sectPr>
          <w:footerReference r:id="rId34" w:type="default"/>
          <w:pgSz w:w="11905" w:h="16839"/>
          <w:pgMar w:top="1440" w:right="1800" w:bottom="1440" w:left="1800" w:header="0" w:footer="850" w:gutter="0"/>
          <w:pgNumType w:fmt="decimal"/>
          <w:cols w:space="720" w:num="1"/>
        </w:sectPr>
      </w:pPr>
      <w:r>
        <w:rPr>
          <w:rFonts w:ascii="新宋体" w:hAnsi="新宋体" w:eastAsia="新宋体" w:cs="新宋体"/>
          <w:color w:val="auto"/>
          <w:spacing w:val="-1"/>
          <w:sz w:val="24"/>
          <w:szCs w:val="24"/>
          <w:highlight w:val="none"/>
        </w:rPr>
        <w:t>3、采购清单中的设备及货物报价均需包含人工、供货、运输费、装卸费、售后服务费、验收费用、安装调试费、运费及税金等相关伴随服务以及售后服务</w:t>
      </w:r>
      <w:r>
        <w:rPr>
          <w:rFonts w:ascii="新宋体" w:hAnsi="新宋体" w:eastAsia="新宋体" w:cs="新宋体"/>
          <w:color w:val="auto"/>
          <w:spacing w:val="-2"/>
          <w:sz w:val="24"/>
          <w:szCs w:val="24"/>
          <w:highlight w:val="none"/>
        </w:rPr>
        <w:t>等一切费用。</w:t>
      </w:r>
    </w:p>
    <w:p w14:paraId="625EC089">
      <w:pPr>
        <w:pStyle w:val="4"/>
        <w:spacing w:before="120" w:line="188" w:lineRule="auto"/>
        <w:jc w:val="center"/>
        <w:rPr>
          <w:color w:val="auto"/>
          <w:sz w:val="28"/>
          <w:szCs w:val="28"/>
          <w:highlight w:val="none"/>
        </w:rPr>
      </w:pPr>
      <w:r>
        <w:rPr>
          <w:b/>
          <w:bCs/>
          <w:color w:val="auto"/>
          <w:spacing w:val="-5"/>
          <w:sz w:val="28"/>
          <w:szCs w:val="28"/>
          <w:highlight w:val="none"/>
        </w:rPr>
        <w:t>4、诚信投标承诺书</w:t>
      </w:r>
    </w:p>
    <w:p w14:paraId="311FCECA">
      <w:pPr>
        <w:spacing w:line="262" w:lineRule="auto"/>
        <w:rPr>
          <w:rFonts w:ascii="Arial"/>
          <w:color w:val="auto"/>
          <w:sz w:val="21"/>
          <w:highlight w:val="none"/>
        </w:rPr>
      </w:pPr>
    </w:p>
    <w:p w14:paraId="45971029">
      <w:pPr>
        <w:spacing w:line="262" w:lineRule="auto"/>
        <w:rPr>
          <w:rFonts w:ascii="Arial"/>
          <w:color w:val="auto"/>
          <w:sz w:val="21"/>
          <w:highlight w:val="none"/>
        </w:rPr>
      </w:pPr>
    </w:p>
    <w:p w14:paraId="19018E86">
      <w:pPr>
        <w:spacing w:line="262" w:lineRule="auto"/>
        <w:rPr>
          <w:rFonts w:ascii="Arial"/>
          <w:color w:val="auto"/>
          <w:sz w:val="21"/>
          <w:highlight w:val="none"/>
        </w:rPr>
      </w:pPr>
    </w:p>
    <w:p w14:paraId="48B56F95">
      <w:pPr>
        <w:spacing w:before="78" w:line="223" w:lineRule="auto"/>
        <w:ind w:left="3"/>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本人以企业法定代表人的身份郑重承诺：</w:t>
      </w:r>
    </w:p>
    <w:p w14:paraId="42F55D87">
      <w:pPr>
        <w:numPr>
          <w:ilvl w:val="0"/>
          <w:numId w:val="21"/>
        </w:numPr>
        <w:spacing w:before="176" w:line="345" w:lineRule="auto"/>
        <w:ind w:left="489" w:right="374" w:hanging="3"/>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将遵循公开、公正和诚实信用的原则自愿参加</w:t>
      </w:r>
      <w:r>
        <w:rPr>
          <w:rFonts w:ascii="新宋体" w:hAnsi="新宋体" w:eastAsia="新宋体" w:cs="新宋体"/>
          <w:color w:val="auto"/>
          <w:spacing w:val="-96"/>
          <w:sz w:val="24"/>
          <w:szCs w:val="24"/>
          <w:highlight w:val="none"/>
        </w:rPr>
        <w:t xml:space="preserve"> </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3"/>
          <w:sz w:val="24"/>
          <w:szCs w:val="24"/>
          <w:highlight w:val="none"/>
        </w:rPr>
        <w:t xml:space="preserve"> </w:t>
      </w:r>
      <w:r>
        <w:rPr>
          <w:rFonts w:ascii="新宋体" w:hAnsi="新宋体" w:eastAsia="新宋体" w:cs="新宋体"/>
          <w:color w:val="auto"/>
          <w:spacing w:val="-4"/>
          <w:sz w:val="24"/>
          <w:szCs w:val="24"/>
          <w:highlight w:val="none"/>
        </w:rPr>
        <w:t>项目的</w:t>
      </w:r>
      <w:r>
        <w:rPr>
          <w:rFonts w:ascii="新宋体" w:hAnsi="新宋体" w:eastAsia="新宋体" w:cs="新宋体"/>
          <w:color w:val="auto"/>
          <w:spacing w:val="-5"/>
          <w:sz w:val="24"/>
          <w:szCs w:val="24"/>
          <w:highlight w:val="none"/>
        </w:rPr>
        <w:t>投标；</w:t>
      </w:r>
      <w:r>
        <w:rPr>
          <w:rFonts w:ascii="新宋体" w:hAnsi="新宋体" w:eastAsia="新宋体" w:cs="新宋体"/>
          <w:color w:val="auto"/>
          <w:sz w:val="24"/>
          <w:szCs w:val="24"/>
          <w:highlight w:val="none"/>
        </w:rPr>
        <w:t xml:space="preserve"> </w:t>
      </w:r>
    </w:p>
    <w:p w14:paraId="2A3DF0DB">
      <w:pPr>
        <w:numPr>
          <w:ilvl w:val="0"/>
          <w:numId w:val="0"/>
        </w:numPr>
        <w:spacing w:before="176" w:line="345" w:lineRule="auto"/>
        <w:ind w:left="486" w:leftChars="0" w:right="374" w:rightChars="0"/>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二、所提供的一切材料都是真实、有效、合法的；</w:t>
      </w:r>
    </w:p>
    <w:p w14:paraId="1F8857A4">
      <w:pPr>
        <w:spacing w:before="37" w:line="291" w:lineRule="auto"/>
        <w:ind w:left="6" w:right="62" w:firstLine="482"/>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三、不出借、转让资质证书，不让他人挂靠投标，不以他人名义投标或者以其</w:t>
      </w:r>
      <w:r>
        <w:rPr>
          <w:rFonts w:ascii="新宋体" w:hAnsi="新宋体" w:eastAsia="新宋体" w:cs="新宋体"/>
          <w:color w:val="auto"/>
          <w:spacing w:val="-7"/>
          <w:sz w:val="24"/>
          <w:szCs w:val="24"/>
          <w:highlight w:val="none"/>
        </w:rPr>
        <w:t>他方式弄虚</w:t>
      </w:r>
      <w:r>
        <w:rPr>
          <w:rFonts w:ascii="新宋体" w:hAnsi="新宋体" w:eastAsia="新宋体" w:cs="新宋体"/>
          <w:color w:val="auto"/>
          <w:spacing w:val="-8"/>
          <w:sz w:val="24"/>
          <w:szCs w:val="24"/>
          <w:highlight w:val="none"/>
        </w:rPr>
        <w:t>作假，骗取中标；</w:t>
      </w:r>
    </w:p>
    <w:p w14:paraId="147B0CDD">
      <w:pPr>
        <w:spacing w:before="178" w:line="291" w:lineRule="auto"/>
        <w:ind w:left="10" w:right="62" w:firstLine="500"/>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四、不与其他投标人相互串通投标报价， 不排挤其他投标人的公平竞争、损害招标人的合</w:t>
      </w:r>
      <w:r>
        <w:rPr>
          <w:rFonts w:ascii="新宋体" w:hAnsi="新宋体" w:eastAsia="新宋体" w:cs="新宋体"/>
          <w:color w:val="auto"/>
          <w:spacing w:val="-15"/>
          <w:sz w:val="24"/>
          <w:szCs w:val="24"/>
          <w:highlight w:val="none"/>
        </w:rPr>
        <w:t>法权益；</w:t>
      </w:r>
    </w:p>
    <w:p w14:paraId="32EE6EF6">
      <w:pPr>
        <w:spacing w:before="177" w:line="291" w:lineRule="auto"/>
        <w:ind w:left="6" w:right="62" w:firstLine="480"/>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五、不与招标人、招标代理机构或其他投标人串通投标， 损害国家利益、社会公共利</w:t>
      </w:r>
      <w:r>
        <w:rPr>
          <w:rFonts w:ascii="新宋体" w:hAnsi="新宋体" w:eastAsia="新宋体" w:cs="新宋体"/>
          <w:color w:val="auto"/>
          <w:spacing w:val="-7"/>
          <w:sz w:val="24"/>
          <w:szCs w:val="24"/>
          <w:highlight w:val="none"/>
        </w:rPr>
        <w:t>益或</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8"/>
          <w:sz w:val="24"/>
          <w:szCs w:val="24"/>
          <w:highlight w:val="none"/>
        </w:rPr>
        <w:t>者他人的合法权益；</w:t>
      </w:r>
    </w:p>
    <w:p w14:paraId="1823E38C">
      <w:pPr>
        <w:spacing w:before="175" w:line="224" w:lineRule="auto"/>
        <w:ind w:left="484"/>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六、严格遵守开标现场纪律，服从监管人员</w:t>
      </w:r>
      <w:r>
        <w:rPr>
          <w:rFonts w:ascii="新宋体" w:hAnsi="新宋体" w:eastAsia="新宋体" w:cs="新宋体"/>
          <w:color w:val="auto"/>
          <w:spacing w:val="-4"/>
          <w:sz w:val="24"/>
          <w:szCs w:val="24"/>
          <w:highlight w:val="none"/>
        </w:rPr>
        <w:t>管理；</w:t>
      </w:r>
    </w:p>
    <w:p w14:paraId="4B2A7B48">
      <w:pPr>
        <w:spacing w:before="176" w:line="224" w:lineRule="auto"/>
        <w:ind w:left="487"/>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七、保证中标后不转包，若有分包征得招标人</w:t>
      </w:r>
      <w:r>
        <w:rPr>
          <w:rFonts w:ascii="新宋体" w:hAnsi="新宋体" w:eastAsia="新宋体" w:cs="新宋体"/>
          <w:color w:val="auto"/>
          <w:spacing w:val="-4"/>
          <w:sz w:val="24"/>
          <w:szCs w:val="24"/>
          <w:highlight w:val="none"/>
        </w:rPr>
        <w:t>同意；</w:t>
      </w:r>
    </w:p>
    <w:p w14:paraId="25A01ECB">
      <w:pPr>
        <w:spacing w:before="176" w:line="223" w:lineRule="auto"/>
        <w:ind w:left="481"/>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八、保证中标之后，按照投标文件要求提供相关后续服务；</w:t>
      </w:r>
    </w:p>
    <w:p w14:paraId="30ABBE61">
      <w:pPr>
        <w:spacing w:before="177" w:line="223" w:lineRule="auto"/>
        <w:ind w:left="491"/>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九、保证企业及所属相关人员在本次投标中无行贿等犯罪行为；</w:t>
      </w:r>
    </w:p>
    <w:p w14:paraId="2CE034D7">
      <w:pPr>
        <w:spacing w:before="178" w:line="325" w:lineRule="auto"/>
        <w:ind w:left="3" w:right="62" w:firstLine="485"/>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十、如在投标过程和公示期间发生投诉行为，保证按照《伊犁州招标采购活动投诉处理暂</w:t>
      </w:r>
      <w:r>
        <w:rPr>
          <w:rFonts w:ascii="新宋体" w:hAnsi="新宋体" w:eastAsia="新宋体" w:cs="新宋体"/>
          <w:color w:val="auto"/>
          <w:spacing w:val="-6"/>
          <w:sz w:val="24"/>
          <w:szCs w:val="24"/>
          <w:highlight w:val="none"/>
        </w:rPr>
        <w:t>行办法》要求进行。投诉内容符合要求，投诉材料加盖企业公章或由法定代表人授权委托人签</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6"/>
          <w:sz w:val="24"/>
          <w:szCs w:val="24"/>
          <w:highlight w:val="none"/>
        </w:rPr>
        <w:t>字，并附有关身份证明复印件。不恶意投诉，对本公司提供的投诉线索的真实性负责，否则愿</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5"/>
          <w:sz w:val="24"/>
          <w:szCs w:val="24"/>
          <w:highlight w:val="none"/>
        </w:rPr>
        <w:t>接受有关部门的处罚。</w:t>
      </w:r>
    </w:p>
    <w:p w14:paraId="02A18262">
      <w:pPr>
        <w:spacing w:before="174" w:line="350" w:lineRule="auto"/>
        <w:ind w:firstLine="507"/>
        <w:jc w:val="both"/>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以上内容我已仔细阅读，本公司若有违反承诺内容的行为，自愿依法接受取消投标资</w:t>
      </w:r>
      <w:r>
        <w:rPr>
          <w:rFonts w:ascii="新宋体" w:hAnsi="新宋体" w:eastAsia="新宋体" w:cs="新宋体"/>
          <w:color w:val="auto"/>
          <w:spacing w:val="-3"/>
          <w:sz w:val="24"/>
          <w:szCs w:val="24"/>
          <w:highlight w:val="none"/>
        </w:rPr>
        <w:t>格、</w:t>
      </w:r>
      <w:r>
        <w:rPr>
          <w:rFonts w:ascii="新宋体" w:hAnsi="新宋体" w:eastAsia="新宋体" w:cs="新宋体"/>
          <w:color w:val="auto"/>
          <w:spacing w:val="-6"/>
          <w:sz w:val="24"/>
          <w:szCs w:val="24"/>
          <w:highlight w:val="none"/>
        </w:rPr>
        <w:t>记入不良信用档案、取消中标资格、没收投标保证金等有关处理，愿意承担法律责任，给招标</w:t>
      </w:r>
      <w:r>
        <w:rPr>
          <w:rFonts w:ascii="新宋体" w:hAnsi="新宋体" w:eastAsia="新宋体" w:cs="新宋体"/>
          <w:color w:val="auto"/>
          <w:spacing w:val="-3"/>
          <w:sz w:val="24"/>
          <w:szCs w:val="24"/>
          <w:highlight w:val="none"/>
        </w:rPr>
        <w:t>人造成损失的，依法承担赔偿责任。</w:t>
      </w:r>
    </w:p>
    <w:p w14:paraId="04BE53B0">
      <w:pPr>
        <w:spacing w:line="295" w:lineRule="auto"/>
        <w:rPr>
          <w:rFonts w:ascii="Arial"/>
          <w:color w:val="auto"/>
          <w:sz w:val="21"/>
          <w:highlight w:val="none"/>
        </w:rPr>
      </w:pPr>
    </w:p>
    <w:p w14:paraId="4C4177C9">
      <w:pPr>
        <w:spacing w:line="296" w:lineRule="auto"/>
        <w:rPr>
          <w:rFonts w:ascii="Arial"/>
          <w:color w:val="auto"/>
          <w:sz w:val="21"/>
          <w:highlight w:val="none"/>
        </w:rPr>
      </w:pPr>
    </w:p>
    <w:p w14:paraId="5B540EBF">
      <w:pPr>
        <w:spacing w:line="296" w:lineRule="auto"/>
        <w:rPr>
          <w:rFonts w:ascii="Arial"/>
          <w:color w:val="auto"/>
          <w:sz w:val="21"/>
          <w:highlight w:val="none"/>
        </w:rPr>
      </w:pPr>
    </w:p>
    <w:p w14:paraId="3FF83D5E">
      <w:pPr>
        <w:spacing w:before="79" w:line="223" w:lineRule="auto"/>
        <w:ind w:left="1"/>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01264EFF">
      <w:pPr>
        <w:spacing w:before="177" w:line="345" w:lineRule="auto"/>
        <w:ind w:left="52" w:right="2121"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38FDEEEF">
      <w:pPr>
        <w:spacing w:line="345" w:lineRule="auto"/>
        <w:rPr>
          <w:rFonts w:ascii="新宋体" w:hAnsi="新宋体" w:eastAsia="新宋体" w:cs="新宋体"/>
          <w:color w:val="auto"/>
          <w:sz w:val="24"/>
          <w:szCs w:val="24"/>
          <w:highlight w:val="none"/>
        </w:rPr>
        <w:sectPr>
          <w:pgSz w:w="11905" w:h="16839"/>
          <w:pgMar w:top="1440" w:right="1800" w:bottom="1440" w:left="1800" w:header="0" w:footer="850" w:gutter="0"/>
          <w:pgNumType w:fmt="decimal"/>
          <w:cols w:space="720" w:num="1"/>
        </w:sectPr>
      </w:pPr>
    </w:p>
    <w:p w14:paraId="4941E021">
      <w:pPr>
        <w:spacing w:line="319" w:lineRule="auto"/>
        <w:rPr>
          <w:rFonts w:ascii="Arial"/>
          <w:color w:val="auto"/>
          <w:sz w:val="21"/>
          <w:highlight w:val="none"/>
        </w:rPr>
      </w:pPr>
    </w:p>
    <w:p w14:paraId="26623C1A">
      <w:pPr>
        <w:pStyle w:val="4"/>
        <w:spacing w:before="120" w:line="188" w:lineRule="auto"/>
        <w:jc w:val="center"/>
        <w:rPr>
          <w:color w:val="auto"/>
          <w:sz w:val="28"/>
          <w:szCs w:val="28"/>
          <w:highlight w:val="none"/>
        </w:rPr>
      </w:pPr>
      <w:r>
        <w:rPr>
          <w:b/>
          <w:bCs/>
          <w:color w:val="auto"/>
          <w:spacing w:val="-3"/>
          <w:sz w:val="28"/>
          <w:szCs w:val="28"/>
          <w:highlight w:val="none"/>
        </w:rPr>
        <w:t>5、投标人认为需要提供的其他材料</w:t>
      </w:r>
    </w:p>
    <w:p w14:paraId="305A4470">
      <w:pPr>
        <w:pStyle w:val="4"/>
        <w:spacing w:before="103" w:line="189" w:lineRule="auto"/>
        <w:ind w:left="11"/>
        <w:rPr>
          <w:color w:val="auto"/>
          <w:sz w:val="24"/>
          <w:szCs w:val="24"/>
          <w:highlight w:val="none"/>
        </w:rPr>
      </w:pPr>
      <w:r>
        <w:rPr>
          <w:b/>
          <w:bCs/>
          <w:color w:val="auto"/>
          <w:spacing w:val="-9"/>
          <w:sz w:val="24"/>
          <w:szCs w:val="24"/>
          <w:highlight w:val="none"/>
        </w:rPr>
        <w:t>附件</w:t>
      </w:r>
      <w:r>
        <w:rPr>
          <w:b/>
          <w:bCs/>
          <w:color w:val="auto"/>
          <w:spacing w:val="14"/>
          <w:sz w:val="24"/>
          <w:szCs w:val="24"/>
          <w:highlight w:val="none"/>
        </w:rPr>
        <w:t xml:space="preserve"> </w:t>
      </w:r>
      <w:r>
        <w:rPr>
          <w:b/>
          <w:bCs/>
          <w:color w:val="auto"/>
          <w:spacing w:val="-9"/>
          <w:sz w:val="24"/>
          <w:szCs w:val="24"/>
          <w:highlight w:val="none"/>
        </w:rPr>
        <w:t>1</w:t>
      </w:r>
    </w:p>
    <w:p w14:paraId="37A4CF46">
      <w:pPr>
        <w:pStyle w:val="4"/>
        <w:spacing w:before="148" w:line="184" w:lineRule="auto"/>
        <w:jc w:val="center"/>
        <w:rPr>
          <w:color w:val="auto"/>
          <w:sz w:val="28"/>
          <w:szCs w:val="28"/>
          <w:highlight w:val="none"/>
        </w:rPr>
      </w:pPr>
      <w:r>
        <w:rPr>
          <w:b/>
          <w:bCs/>
          <w:color w:val="auto"/>
          <w:spacing w:val="-7"/>
          <w:sz w:val="28"/>
          <w:szCs w:val="28"/>
          <w:highlight w:val="none"/>
        </w:rPr>
        <w:t>中小企业声明函（货物）</w:t>
      </w:r>
    </w:p>
    <w:p w14:paraId="32622CB1">
      <w:pPr>
        <w:spacing w:line="370" w:lineRule="auto"/>
        <w:rPr>
          <w:rFonts w:ascii="Arial"/>
          <w:color w:val="auto"/>
          <w:sz w:val="21"/>
          <w:highlight w:val="none"/>
        </w:rPr>
      </w:pPr>
    </w:p>
    <w:p w14:paraId="0537ECB2">
      <w:pPr>
        <w:keepNext w:val="0"/>
        <w:keepLines w:val="0"/>
        <w:pageBreakBefore w:val="0"/>
        <w:widowControl/>
        <w:kinsoku w:val="0"/>
        <w:wordWrap/>
        <w:overflowPunct/>
        <w:topLinePunct w:val="0"/>
        <w:autoSpaceDE w:val="0"/>
        <w:autoSpaceDN w:val="0"/>
        <w:bidi w:val="0"/>
        <w:adjustRightInd w:val="0"/>
        <w:snapToGrid w:val="0"/>
        <w:spacing w:line="360" w:lineRule="auto"/>
        <w:ind w:left="481"/>
        <w:textAlignment w:val="baseline"/>
        <w:rPr>
          <w:rFonts w:ascii="新宋体" w:hAnsi="新宋体" w:eastAsia="新宋体" w:cs="新宋体"/>
          <w:color w:val="auto"/>
          <w:spacing w:val="-1"/>
          <w:sz w:val="24"/>
          <w:szCs w:val="24"/>
          <w:highlight w:val="none"/>
        </w:rPr>
      </w:pPr>
      <w:r>
        <w:rPr>
          <w:rFonts w:ascii="新宋体" w:hAnsi="新宋体" w:eastAsia="新宋体" w:cs="新宋体"/>
          <w:color w:val="auto"/>
          <w:spacing w:val="-1"/>
          <w:sz w:val="24"/>
          <w:szCs w:val="24"/>
          <w:highlight w:val="none"/>
        </w:rPr>
        <w:t>本公司（联合体）郑重声明，根据《政府采购促进中小企业发展管理办法</w:t>
      </w:r>
    </w:p>
    <w:p w14:paraId="40A2CD9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》（财库〔2020〕[2020]46</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号）的规定</w:t>
      </w:r>
      <w:r>
        <w:rPr>
          <w:rFonts w:ascii="新宋体" w:hAnsi="新宋体" w:eastAsia="新宋体" w:cs="新宋体"/>
          <w:color w:val="auto"/>
          <w:spacing w:val="-2"/>
          <w:sz w:val="24"/>
          <w:szCs w:val="24"/>
          <w:highlight w:val="none"/>
        </w:rPr>
        <w:t>，本公司（联合体）参加（单位名称）的（项目名称）采购活</w:t>
      </w:r>
      <w:r>
        <w:rPr>
          <w:rFonts w:ascii="新宋体" w:hAnsi="新宋体" w:eastAsia="新宋体" w:cs="新宋体"/>
          <w:color w:val="auto"/>
          <w:spacing w:val="-3"/>
          <w:sz w:val="24"/>
          <w:szCs w:val="24"/>
          <w:highlight w:val="none"/>
        </w:rPr>
        <w:t>动，提供的货物全部由符合政策要求的中小企业制造。相关企业（含联合体中的中小企业、签</w:t>
      </w:r>
      <w:r>
        <w:rPr>
          <w:rFonts w:ascii="新宋体" w:hAnsi="新宋体" w:eastAsia="新宋体" w:cs="新宋体"/>
          <w:color w:val="auto"/>
          <w:spacing w:val="-4"/>
          <w:sz w:val="24"/>
          <w:szCs w:val="24"/>
          <w:highlight w:val="none"/>
        </w:rPr>
        <w:t>订分包意向协议的中小企业）的具体情况如下：</w:t>
      </w:r>
    </w:p>
    <w:p w14:paraId="06DA0EC6">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1.（标的名称），属于</w:t>
      </w:r>
      <w:r>
        <w:rPr>
          <w:rFonts w:ascii="新宋体" w:hAnsi="新宋体" w:eastAsia="新宋体" w:cs="新宋体"/>
          <w:color w:val="auto"/>
          <w:spacing w:val="-2"/>
          <w:sz w:val="24"/>
          <w:szCs w:val="24"/>
          <w:highlight w:val="none"/>
          <w:u w:val="single"/>
        </w:rPr>
        <w:t>（采购文件中明确的所属行业）</w:t>
      </w:r>
      <w:r>
        <w:rPr>
          <w:rFonts w:ascii="新宋体" w:hAnsi="新宋体" w:eastAsia="新宋体" w:cs="新宋体"/>
          <w:color w:val="auto"/>
          <w:spacing w:val="-2"/>
          <w:sz w:val="24"/>
          <w:szCs w:val="24"/>
          <w:highlight w:val="none"/>
        </w:rPr>
        <w:t>；制造商为</w:t>
      </w:r>
      <w:r>
        <w:rPr>
          <w:rFonts w:ascii="新宋体" w:hAnsi="新宋体" w:eastAsia="新宋体" w:cs="新宋体"/>
          <w:color w:val="auto"/>
          <w:spacing w:val="-2"/>
          <w:sz w:val="24"/>
          <w:szCs w:val="24"/>
          <w:highlight w:val="none"/>
          <w:u w:val="single"/>
        </w:rPr>
        <w:t>（企业名称）</w:t>
      </w:r>
      <w:r>
        <w:rPr>
          <w:rFonts w:ascii="新宋体" w:hAnsi="新宋体" w:eastAsia="新宋体" w:cs="新宋体"/>
          <w:color w:val="auto"/>
          <w:spacing w:val="-2"/>
          <w:sz w:val="24"/>
          <w:szCs w:val="24"/>
          <w:highlight w:val="none"/>
        </w:rPr>
        <w:t>，从业人员</w:t>
      </w:r>
      <w:r>
        <w:rPr>
          <w:rFonts w:ascii="新宋体" w:hAnsi="新宋体" w:eastAsia="新宋体" w:cs="新宋体"/>
          <w:color w:val="auto"/>
          <w:spacing w:val="-2"/>
          <w:sz w:val="24"/>
          <w:szCs w:val="24"/>
          <w:highlight w:val="none"/>
          <w:u w:val="single"/>
        </w:rPr>
        <w:t xml:space="preserve">     </w:t>
      </w:r>
      <w:r>
        <w:rPr>
          <w:rFonts w:ascii="新宋体" w:hAnsi="新宋体" w:eastAsia="新宋体" w:cs="新宋体"/>
          <w:color w:val="auto"/>
          <w:spacing w:val="-2"/>
          <w:sz w:val="24"/>
          <w:szCs w:val="24"/>
          <w:highlight w:val="none"/>
        </w:rPr>
        <w:t>人，营业收入为</w:t>
      </w:r>
      <w:r>
        <w:rPr>
          <w:rFonts w:ascii="新宋体" w:hAnsi="新宋体" w:eastAsia="新宋体" w:cs="新宋体"/>
          <w:color w:val="auto"/>
          <w:spacing w:val="-2"/>
          <w:sz w:val="24"/>
          <w:szCs w:val="24"/>
          <w:highlight w:val="none"/>
          <w:u w:val="single"/>
        </w:rPr>
        <w:t xml:space="preserve">     </w:t>
      </w:r>
      <w:r>
        <w:rPr>
          <w:rFonts w:ascii="新宋体" w:hAnsi="新宋体" w:eastAsia="新宋体" w:cs="新宋体"/>
          <w:color w:val="auto"/>
          <w:spacing w:val="-2"/>
          <w:sz w:val="24"/>
          <w:szCs w:val="24"/>
          <w:highlight w:val="none"/>
        </w:rPr>
        <w:t>万元，资产总额为</w:t>
      </w:r>
      <w:r>
        <w:rPr>
          <w:rFonts w:ascii="新宋体" w:hAnsi="新宋体" w:eastAsia="新宋体" w:cs="新宋体"/>
          <w:color w:val="auto"/>
          <w:spacing w:val="-2"/>
          <w:sz w:val="24"/>
          <w:szCs w:val="24"/>
          <w:highlight w:val="none"/>
          <w:u w:val="single"/>
        </w:rPr>
        <w:t xml:space="preserve">      </w:t>
      </w:r>
      <w:r>
        <w:rPr>
          <w:rFonts w:ascii="新宋体" w:hAnsi="新宋体" w:eastAsia="新宋体" w:cs="新宋体"/>
          <w:color w:val="auto"/>
          <w:spacing w:val="-2"/>
          <w:sz w:val="24"/>
          <w:szCs w:val="24"/>
          <w:highlight w:val="none"/>
        </w:rPr>
        <w:t>万元，属于</w:t>
      </w:r>
      <w:r>
        <w:rPr>
          <w:rFonts w:ascii="新宋体" w:hAnsi="新宋体" w:eastAsia="新宋体" w:cs="新宋体"/>
          <w:color w:val="auto"/>
          <w:spacing w:val="-2"/>
          <w:sz w:val="24"/>
          <w:szCs w:val="24"/>
          <w:highlight w:val="none"/>
          <w:u w:val="single"/>
        </w:rPr>
        <w:t>（中型企业、小型企业、微型企业）</w:t>
      </w:r>
      <w:r>
        <w:rPr>
          <w:rFonts w:ascii="新宋体" w:hAnsi="新宋体" w:eastAsia="新宋体" w:cs="新宋体"/>
          <w:color w:val="auto"/>
          <w:spacing w:val="-2"/>
          <w:sz w:val="24"/>
          <w:szCs w:val="24"/>
          <w:highlight w:val="none"/>
        </w:rPr>
        <w:t>；</w:t>
      </w:r>
    </w:p>
    <w:p w14:paraId="33D6F3AF">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2.（标的名称），属于</w:t>
      </w:r>
      <w:r>
        <w:rPr>
          <w:rFonts w:ascii="新宋体" w:hAnsi="新宋体" w:eastAsia="新宋体" w:cs="新宋体"/>
          <w:color w:val="auto"/>
          <w:spacing w:val="-2"/>
          <w:sz w:val="24"/>
          <w:szCs w:val="24"/>
          <w:highlight w:val="none"/>
          <w:u w:val="single"/>
        </w:rPr>
        <w:t>（采购文件中明确的所属行业）</w:t>
      </w:r>
      <w:r>
        <w:rPr>
          <w:rFonts w:ascii="新宋体" w:hAnsi="新宋体" w:eastAsia="新宋体" w:cs="新宋体"/>
          <w:color w:val="auto"/>
          <w:spacing w:val="-2"/>
          <w:sz w:val="24"/>
          <w:szCs w:val="24"/>
          <w:highlight w:val="none"/>
        </w:rPr>
        <w:t>；制造商为</w:t>
      </w:r>
      <w:r>
        <w:rPr>
          <w:rFonts w:ascii="新宋体" w:hAnsi="新宋体" w:eastAsia="新宋体" w:cs="新宋体"/>
          <w:color w:val="auto"/>
          <w:spacing w:val="-2"/>
          <w:sz w:val="24"/>
          <w:szCs w:val="24"/>
          <w:highlight w:val="none"/>
          <w:u w:val="single"/>
        </w:rPr>
        <w:t>（企业名称）</w:t>
      </w:r>
      <w:r>
        <w:rPr>
          <w:rFonts w:ascii="新宋体" w:hAnsi="新宋体" w:eastAsia="新宋体" w:cs="新宋体"/>
          <w:color w:val="auto"/>
          <w:spacing w:val="-2"/>
          <w:sz w:val="24"/>
          <w:szCs w:val="24"/>
          <w:highlight w:val="none"/>
        </w:rPr>
        <w:t>，从业人员</w:t>
      </w:r>
      <w:r>
        <w:rPr>
          <w:rFonts w:ascii="新宋体" w:hAnsi="新宋体" w:eastAsia="新宋体" w:cs="新宋体"/>
          <w:color w:val="auto"/>
          <w:spacing w:val="-2"/>
          <w:sz w:val="24"/>
          <w:szCs w:val="24"/>
          <w:highlight w:val="none"/>
          <w:u w:val="single"/>
        </w:rPr>
        <w:t xml:space="preserve">       </w:t>
      </w:r>
      <w:r>
        <w:rPr>
          <w:rFonts w:ascii="新宋体" w:hAnsi="新宋体" w:eastAsia="新宋体" w:cs="新宋体"/>
          <w:color w:val="auto"/>
          <w:spacing w:val="-2"/>
          <w:sz w:val="24"/>
          <w:szCs w:val="24"/>
          <w:highlight w:val="none"/>
        </w:rPr>
        <w:t>人，营业收入为</w:t>
      </w:r>
      <w:r>
        <w:rPr>
          <w:rFonts w:ascii="新宋体" w:hAnsi="新宋体" w:eastAsia="新宋体" w:cs="新宋体"/>
          <w:color w:val="auto"/>
          <w:spacing w:val="-2"/>
          <w:sz w:val="24"/>
          <w:szCs w:val="24"/>
          <w:highlight w:val="none"/>
          <w:u w:val="single"/>
        </w:rPr>
        <w:t xml:space="preserve">       </w:t>
      </w:r>
      <w:r>
        <w:rPr>
          <w:rFonts w:ascii="新宋体" w:hAnsi="新宋体" w:eastAsia="新宋体" w:cs="新宋体"/>
          <w:color w:val="auto"/>
          <w:spacing w:val="-2"/>
          <w:sz w:val="24"/>
          <w:szCs w:val="24"/>
          <w:highlight w:val="none"/>
        </w:rPr>
        <w:t>万元，资产总额为</w:t>
      </w:r>
      <w:r>
        <w:rPr>
          <w:rFonts w:ascii="新宋体" w:hAnsi="新宋体" w:eastAsia="新宋体" w:cs="新宋体"/>
          <w:color w:val="auto"/>
          <w:spacing w:val="-2"/>
          <w:sz w:val="24"/>
          <w:szCs w:val="24"/>
          <w:highlight w:val="none"/>
          <w:u w:val="single"/>
        </w:rPr>
        <w:t xml:space="preserve">       </w:t>
      </w:r>
      <w:r>
        <w:rPr>
          <w:rFonts w:ascii="新宋体" w:hAnsi="新宋体" w:eastAsia="新宋体" w:cs="新宋体"/>
          <w:color w:val="auto"/>
          <w:spacing w:val="-2"/>
          <w:sz w:val="24"/>
          <w:szCs w:val="24"/>
          <w:highlight w:val="none"/>
        </w:rPr>
        <w:t>万元，属于</w:t>
      </w:r>
      <w:r>
        <w:rPr>
          <w:rFonts w:ascii="新宋体" w:hAnsi="新宋体" w:eastAsia="新宋体" w:cs="新宋体"/>
          <w:color w:val="auto"/>
          <w:spacing w:val="-2"/>
          <w:sz w:val="24"/>
          <w:szCs w:val="24"/>
          <w:highlight w:val="none"/>
          <w:u w:val="single"/>
        </w:rPr>
        <w:t>（中型企业、小型企业、微型企业）</w:t>
      </w:r>
      <w:r>
        <w:rPr>
          <w:rFonts w:ascii="新宋体" w:hAnsi="新宋体" w:eastAsia="新宋体" w:cs="新宋体"/>
          <w:color w:val="auto"/>
          <w:spacing w:val="-2"/>
          <w:sz w:val="24"/>
          <w:szCs w:val="24"/>
          <w:highlight w:val="none"/>
        </w:rPr>
        <w:t>；</w:t>
      </w:r>
    </w:p>
    <w:p w14:paraId="5E2B367A">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ascii="新宋体" w:hAnsi="新宋体" w:eastAsia="新宋体" w:cs="新宋体"/>
          <w:color w:val="auto"/>
          <w:spacing w:val="-2"/>
          <w:sz w:val="24"/>
          <w:szCs w:val="24"/>
          <w:highlight w:val="none"/>
        </w:rPr>
      </w:pPr>
    </w:p>
    <w:p w14:paraId="59FD5645">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w:t>
      </w:r>
    </w:p>
    <w:p w14:paraId="5D1389D9">
      <w:pPr>
        <w:spacing w:line="283" w:lineRule="auto"/>
        <w:rPr>
          <w:rFonts w:ascii="Arial"/>
          <w:color w:val="auto"/>
          <w:sz w:val="21"/>
          <w:highlight w:val="none"/>
        </w:rPr>
      </w:pPr>
    </w:p>
    <w:p w14:paraId="5C82B348">
      <w:pPr>
        <w:spacing w:before="79" w:line="345" w:lineRule="auto"/>
        <w:ind w:right="101" w:firstLine="504"/>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以上企业，不属于大企业的分支机构，不存在控股股东为大企业的情形，也不存在与大企</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4"/>
          <w:sz w:val="24"/>
          <w:szCs w:val="24"/>
          <w:highlight w:val="none"/>
        </w:rPr>
        <w:t>业的负责人为同一人的情形。</w:t>
      </w:r>
    </w:p>
    <w:p w14:paraId="7A36AF69">
      <w:pPr>
        <w:spacing w:before="316" w:line="223" w:lineRule="auto"/>
        <w:ind w:left="481"/>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本企业对上述声明内容的真实性负责。如有虚假，将依法承担相应责任。</w:t>
      </w:r>
    </w:p>
    <w:p w14:paraId="7C79D04B">
      <w:pPr>
        <w:spacing w:line="279" w:lineRule="auto"/>
        <w:rPr>
          <w:rFonts w:ascii="Arial"/>
          <w:color w:val="auto"/>
          <w:sz w:val="21"/>
          <w:highlight w:val="none"/>
        </w:rPr>
      </w:pPr>
    </w:p>
    <w:p w14:paraId="47167450">
      <w:pPr>
        <w:spacing w:line="279" w:lineRule="auto"/>
        <w:rPr>
          <w:rFonts w:ascii="Arial"/>
          <w:color w:val="auto"/>
          <w:sz w:val="21"/>
          <w:highlight w:val="none"/>
        </w:rPr>
      </w:pPr>
    </w:p>
    <w:p w14:paraId="336353BE">
      <w:pPr>
        <w:spacing w:line="280" w:lineRule="auto"/>
        <w:rPr>
          <w:rFonts w:ascii="Arial"/>
          <w:color w:val="auto"/>
          <w:sz w:val="21"/>
          <w:highlight w:val="none"/>
        </w:rPr>
      </w:pPr>
    </w:p>
    <w:p w14:paraId="41439794">
      <w:pPr>
        <w:spacing w:line="280" w:lineRule="auto"/>
        <w:rPr>
          <w:rFonts w:ascii="Arial"/>
          <w:color w:val="auto"/>
          <w:sz w:val="21"/>
          <w:highlight w:val="none"/>
        </w:rPr>
      </w:pPr>
    </w:p>
    <w:p w14:paraId="650BEF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ascii="新宋体" w:hAnsi="新宋体" w:eastAsia="新宋体" w:cs="新宋体"/>
          <w:color w:val="auto"/>
          <w:spacing w:val="1"/>
          <w:sz w:val="24"/>
          <w:szCs w:val="24"/>
          <w:highlight w:val="none"/>
        </w:rPr>
      </w:pPr>
      <w:r>
        <w:rPr>
          <w:rFonts w:ascii="新宋体" w:hAnsi="新宋体" w:eastAsia="新宋体" w:cs="新宋体"/>
          <w:color w:val="auto"/>
          <w:spacing w:val="-9"/>
          <w:sz w:val="24"/>
          <w:szCs w:val="24"/>
          <w:highlight w:val="none"/>
        </w:rPr>
        <w:t>单位名称（盖章</w:t>
      </w:r>
      <w:r>
        <w:rPr>
          <w:rFonts w:ascii="新宋体" w:hAnsi="新宋体" w:eastAsia="新宋体" w:cs="新宋体"/>
          <w:color w:val="auto"/>
          <w:spacing w:val="-7"/>
          <w:sz w:val="24"/>
          <w:szCs w:val="24"/>
          <w:highlight w:val="none"/>
        </w:rPr>
        <w:t>）：</w:t>
      </w:r>
    </w:p>
    <w:p w14:paraId="1627A8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4"/>
          <w:sz w:val="24"/>
          <w:szCs w:val="24"/>
          <w:highlight w:val="none"/>
        </w:rPr>
        <w:t>日</w:t>
      </w:r>
      <w:r>
        <w:rPr>
          <w:rFonts w:ascii="新宋体" w:hAnsi="新宋体" w:eastAsia="新宋体" w:cs="新宋体"/>
          <w:color w:val="auto"/>
          <w:spacing w:val="7"/>
          <w:sz w:val="24"/>
          <w:szCs w:val="24"/>
          <w:highlight w:val="none"/>
        </w:rPr>
        <w:t xml:space="preserve">  </w:t>
      </w:r>
      <w:r>
        <w:rPr>
          <w:rFonts w:ascii="新宋体" w:hAnsi="新宋体" w:eastAsia="新宋体" w:cs="新宋体"/>
          <w:color w:val="auto"/>
          <w:spacing w:val="-34"/>
          <w:sz w:val="24"/>
          <w:szCs w:val="24"/>
          <w:highlight w:val="none"/>
        </w:rPr>
        <w:t>期：</w:t>
      </w:r>
    </w:p>
    <w:p w14:paraId="387F7302">
      <w:pPr>
        <w:spacing w:before="36" w:line="345" w:lineRule="auto"/>
        <w:ind w:left="4" w:right="101" w:firstLine="48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注</w:t>
      </w:r>
      <w:r>
        <w:rPr>
          <w:rFonts w:ascii="新宋体" w:hAnsi="新宋体" w:eastAsia="新宋体" w:cs="新宋体"/>
          <w:color w:val="auto"/>
          <w:spacing w:val="-34"/>
          <w:sz w:val="24"/>
          <w:szCs w:val="24"/>
          <w:highlight w:val="none"/>
        </w:rPr>
        <w:t xml:space="preserve"> </w:t>
      </w:r>
      <w:r>
        <w:rPr>
          <w:rFonts w:ascii="新宋体" w:hAnsi="新宋体" w:eastAsia="新宋体" w:cs="新宋体"/>
          <w:color w:val="auto"/>
          <w:spacing w:val="-2"/>
          <w:sz w:val="24"/>
          <w:szCs w:val="24"/>
          <w:highlight w:val="none"/>
        </w:rPr>
        <w:t>1：从业人员、营业收入、资产总额填报上一年度数据，</w:t>
      </w:r>
      <w:r>
        <w:rPr>
          <w:rFonts w:ascii="新宋体" w:hAnsi="新宋体" w:eastAsia="新宋体" w:cs="新宋体"/>
          <w:color w:val="auto"/>
          <w:spacing w:val="-3"/>
          <w:sz w:val="24"/>
          <w:szCs w:val="24"/>
          <w:highlight w:val="none"/>
        </w:rPr>
        <w:t>无上一年度数据的新成立企业</w:t>
      </w:r>
      <w:r>
        <w:rPr>
          <w:rFonts w:ascii="新宋体" w:hAnsi="新宋体" w:eastAsia="新宋体" w:cs="新宋体"/>
          <w:color w:val="auto"/>
          <w:spacing w:val="-9"/>
          <w:sz w:val="24"/>
          <w:szCs w:val="24"/>
          <w:highlight w:val="none"/>
        </w:rPr>
        <w:t>可不填报。</w:t>
      </w:r>
    </w:p>
    <w:p w14:paraId="2C8D7E52">
      <w:pPr>
        <w:spacing w:before="316" w:line="223" w:lineRule="auto"/>
        <w:ind w:left="487"/>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注</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3"/>
          <w:sz w:val="24"/>
          <w:szCs w:val="24"/>
          <w:highlight w:val="none"/>
        </w:rPr>
        <w:t>2：请在本表中填写前附表中写明的中小企业行业类别。</w:t>
      </w:r>
    </w:p>
    <w:p w14:paraId="56C9E058">
      <w:pPr>
        <w:spacing w:line="223" w:lineRule="auto"/>
        <w:rPr>
          <w:rFonts w:ascii="新宋体" w:hAnsi="新宋体" w:eastAsia="新宋体" w:cs="新宋体"/>
          <w:color w:val="auto"/>
          <w:sz w:val="24"/>
          <w:szCs w:val="24"/>
          <w:highlight w:val="none"/>
        </w:rPr>
        <w:sectPr>
          <w:footerReference r:id="rId35" w:type="default"/>
          <w:pgSz w:w="11905" w:h="16839"/>
          <w:pgMar w:top="1440" w:right="1800" w:bottom="1440" w:left="1800" w:header="0" w:footer="850" w:gutter="0"/>
          <w:pgNumType w:fmt="decimal"/>
          <w:cols w:space="720" w:num="1"/>
        </w:sectPr>
      </w:pPr>
    </w:p>
    <w:p w14:paraId="2287DB1B">
      <w:pPr>
        <w:spacing w:line="242" w:lineRule="auto"/>
        <w:rPr>
          <w:rFonts w:ascii="Arial"/>
          <w:color w:val="auto"/>
          <w:sz w:val="21"/>
          <w:highlight w:val="none"/>
        </w:rPr>
      </w:pPr>
    </w:p>
    <w:p w14:paraId="13B9871E">
      <w:pPr>
        <w:spacing w:line="242" w:lineRule="auto"/>
        <w:rPr>
          <w:rFonts w:ascii="Arial"/>
          <w:color w:val="auto"/>
          <w:sz w:val="21"/>
          <w:highlight w:val="none"/>
        </w:rPr>
      </w:pPr>
    </w:p>
    <w:p w14:paraId="47C1C066">
      <w:pPr>
        <w:pStyle w:val="4"/>
        <w:spacing w:before="103" w:line="189" w:lineRule="auto"/>
        <w:ind w:left="11"/>
        <w:rPr>
          <w:color w:val="auto"/>
          <w:sz w:val="24"/>
          <w:szCs w:val="24"/>
          <w:highlight w:val="none"/>
        </w:rPr>
      </w:pPr>
      <w:r>
        <w:rPr>
          <w:b/>
          <w:bCs/>
          <w:color w:val="auto"/>
          <w:spacing w:val="-7"/>
          <w:sz w:val="24"/>
          <w:szCs w:val="24"/>
          <w:highlight w:val="none"/>
        </w:rPr>
        <w:t>附件 2</w:t>
      </w:r>
    </w:p>
    <w:p w14:paraId="5725BC89">
      <w:pPr>
        <w:pStyle w:val="4"/>
        <w:spacing w:before="148" w:line="184" w:lineRule="auto"/>
        <w:ind w:left="3340"/>
        <w:rPr>
          <w:color w:val="auto"/>
          <w:sz w:val="28"/>
          <w:szCs w:val="28"/>
          <w:highlight w:val="none"/>
        </w:rPr>
      </w:pPr>
      <w:r>
        <w:rPr>
          <w:b/>
          <w:bCs/>
          <w:color w:val="auto"/>
          <w:spacing w:val="-4"/>
          <w:sz w:val="28"/>
          <w:szCs w:val="28"/>
          <w:highlight w:val="none"/>
        </w:rPr>
        <w:t>监狱企业声明函（如有）</w:t>
      </w:r>
    </w:p>
    <w:p w14:paraId="750E79CB">
      <w:pPr>
        <w:spacing w:line="369" w:lineRule="auto"/>
        <w:rPr>
          <w:rFonts w:ascii="Arial"/>
          <w:color w:val="auto"/>
          <w:sz w:val="21"/>
          <w:highlight w:val="none"/>
        </w:rPr>
      </w:pPr>
    </w:p>
    <w:p w14:paraId="747DA7AF">
      <w:pPr>
        <w:spacing w:before="78" w:line="350" w:lineRule="auto"/>
        <w:ind w:firstLine="480"/>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本单位郑重声明，本单位在参加</w:t>
      </w:r>
      <w:r>
        <w:rPr>
          <w:rFonts w:ascii="新宋体" w:hAnsi="新宋体" w:eastAsia="新宋体" w:cs="新宋体"/>
          <w:color w:val="auto"/>
          <w:spacing w:val="-3"/>
          <w:sz w:val="24"/>
          <w:szCs w:val="24"/>
          <w:highlight w:val="none"/>
          <w:u w:val="single" w:color="auto"/>
        </w:rPr>
        <w:t>（采购人名称）</w:t>
      </w:r>
      <w:r>
        <w:rPr>
          <w:rFonts w:ascii="新宋体" w:hAnsi="新宋体" w:eastAsia="新宋体" w:cs="新宋体"/>
          <w:color w:val="auto"/>
          <w:spacing w:val="-3"/>
          <w:sz w:val="24"/>
          <w:szCs w:val="24"/>
          <w:highlight w:val="none"/>
        </w:rPr>
        <w:t>的</w:t>
      </w:r>
      <w:r>
        <w:rPr>
          <w:rFonts w:ascii="新宋体" w:hAnsi="新宋体" w:eastAsia="新宋体" w:cs="新宋体"/>
          <w:color w:val="auto"/>
          <w:spacing w:val="-3"/>
          <w:sz w:val="24"/>
          <w:szCs w:val="24"/>
          <w:highlight w:val="none"/>
          <w:u w:val="single" w:color="auto"/>
        </w:rPr>
        <w:t>（招标项目名称）</w:t>
      </w:r>
      <w:r>
        <w:rPr>
          <w:rFonts w:ascii="新宋体" w:hAnsi="新宋体" w:eastAsia="新宋体" w:cs="新宋体"/>
          <w:color w:val="auto"/>
          <w:spacing w:val="-3"/>
          <w:sz w:val="24"/>
          <w:szCs w:val="24"/>
          <w:highlight w:val="none"/>
        </w:rPr>
        <w:t>项目采购活动提</w:t>
      </w:r>
      <w:r>
        <w:rPr>
          <w:rFonts w:ascii="新宋体" w:hAnsi="新宋体" w:eastAsia="新宋体" w:cs="新宋体"/>
          <w:color w:val="auto"/>
          <w:spacing w:val="-4"/>
          <w:sz w:val="24"/>
          <w:szCs w:val="24"/>
          <w:highlight w:val="none"/>
        </w:rPr>
        <w:t>供以</w:t>
      </w:r>
      <w:r>
        <w:rPr>
          <w:rFonts w:ascii="新宋体" w:hAnsi="新宋体" w:eastAsia="新宋体" w:cs="新宋体"/>
          <w:color w:val="auto"/>
          <w:spacing w:val="-3"/>
          <w:sz w:val="24"/>
          <w:szCs w:val="24"/>
          <w:highlight w:val="none"/>
        </w:rPr>
        <w:t>下监狱企业制造的货物（或监狱企业承担的工程、或监狱企业承接的服务</w:t>
      </w:r>
      <w:r>
        <w:rPr>
          <w:rFonts w:ascii="新宋体" w:hAnsi="新宋体" w:eastAsia="新宋体" w:cs="新宋体"/>
          <w:color w:val="auto"/>
          <w:spacing w:val="-1"/>
          <w:sz w:val="24"/>
          <w:szCs w:val="24"/>
          <w:highlight w:val="none"/>
        </w:rPr>
        <w:t>），</w:t>
      </w:r>
      <w:r>
        <w:rPr>
          <w:rFonts w:ascii="新宋体" w:hAnsi="新宋体" w:eastAsia="新宋体" w:cs="新宋体"/>
          <w:color w:val="auto"/>
          <w:spacing w:val="-3"/>
          <w:sz w:val="24"/>
          <w:szCs w:val="24"/>
          <w:highlight w:val="none"/>
        </w:rPr>
        <w:t>具体情况如下：（按照实际情况勾选或填空）</w:t>
      </w:r>
    </w:p>
    <w:p w14:paraId="5369CE7A">
      <w:pPr>
        <w:spacing w:before="317" w:line="291" w:lineRule="auto"/>
        <w:ind w:left="2" w:firstLine="35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w:t>
      </w:r>
      <w:r>
        <w:rPr>
          <w:rFonts w:ascii="新宋体" w:hAnsi="新宋体" w:eastAsia="新宋体" w:cs="新宋体"/>
          <w:color w:val="auto"/>
          <w:spacing w:val="-3"/>
          <w:sz w:val="24"/>
          <w:szCs w:val="24"/>
          <w:highlight w:val="none"/>
          <w:u w:val="single" w:color="auto"/>
        </w:rPr>
        <w:t>（制造商名称）</w:t>
      </w:r>
      <w:r>
        <w:rPr>
          <w:rFonts w:ascii="新宋体" w:hAnsi="新宋体" w:eastAsia="新宋体" w:cs="新宋体"/>
          <w:color w:val="auto"/>
          <w:spacing w:val="-3"/>
          <w:sz w:val="24"/>
          <w:szCs w:val="24"/>
          <w:highlight w:val="none"/>
        </w:rPr>
        <w:t>属于监狱企业，后附省级以上监狱管理局、戒毒管理局（含新疆生产建设兵团）出具的属于监狱企业的证明文件。</w:t>
      </w:r>
    </w:p>
    <w:p w14:paraId="698D8E46">
      <w:pPr>
        <w:spacing w:line="374" w:lineRule="auto"/>
        <w:rPr>
          <w:rFonts w:ascii="Arial"/>
          <w:color w:val="auto"/>
          <w:sz w:val="21"/>
          <w:highlight w:val="none"/>
        </w:rPr>
      </w:pPr>
    </w:p>
    <w:p w14:paraId="78C9B873">
      <w:pPr>
        <w:spacing w:before="78" w:line="350" w:lineRule="auto"/>
        <w:ind w:right="44" w:firstLine="420"/>
        <w:jc w:val="both"/>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w:t>
      </w:r>
      <w:r>
        <w:rPr>
          <w:rFonts w:ascii="新宋体" w:hAnsi="新宋体" w:eastAsia="新宋体" w:cs="新宋体"/>
          <w:color w:val="auto"/>
          <w:spacing w:val="-85"/>
          <w:sz w:val="24"/>
          <w:szCs w:val="24"/>
          <w:highlight w:val="none"/>
          <w:u w:val="single" w:color="auto"/>
        </w:rPr>
        <w:t xml:space="preserve"> </w:t>
      </w:r>
      <w:r>
        <w:rPr>
          <w:rFonts w:ascii="新宋体" w:hAnsi="新宋体" w:eastAsia="新宋体" w:cs="新宋体"/>
          <w:color w:val="auto"/>
          <w:spacing w:val="-1"/>
          <w:sz w:val="24"/>
          <w:szCs w:val="24"/>
          <w:highlight w:val="none"/>
          <w:u w:val="single" w:color="auto"/>
        </w:rPr>
        <w:t>（制造商名称）</w:t>
      </w:r>
      <w:r>
        <w:rPr>
          <w:rFonts w:ascii="新宋体" w:hAnsi="新宋体" w:eastAsia="新宋体" w:cs="新宋体"/>
          <w:color w:val="auto"/>
          <w:spacing w:val="-1"/>
          <w:sz w:val="24"/>
          <w:szCs w:val="24"/>
          <w:highlight w:val="none"/>
        </w:rPr>
        <w:t>属于监狱企业并作为联合体一方，</w:t>
      </w:r>
      <w:r>
        <w:rPr>
          <w:rFonts w:ascii="新宋体" w:hAnsi="新宋体" w:eastAsia="新宋体" w:cs="新宋体"/>
          <w:color w:val="auto"/>
          <w:spacing w:val="-2"/>
          <w:sz w:val="24"/>
          <w:szCs w:val="24"/>
          <w:highlight w:val="none"/>
        </w:rPr>
        <w:t>其提供协议合同金额占到共同</w:t>
      </w:r>
      <w:r>
        <w:rPr>
          <w:rFonts w:ascii="新宋体" w:hAnsi="新宋体" w:eastAsia="新宋体" w:cs="新宋体"/>
          <w:color w:val="auto"/>
          <w:spacing w:val="-1"/>
          <w:sz w:val="24"/>
          <w:szCs w:val="24"/>
          <w:highlight w:val="none"/>
        </w:rPr>
        <w:t>投标协议合同总金额的比例为</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1"/>
          <w:sz w:val="24"/>
          <w:szCs w:val="24"/>
          <w:highlight w:val="none"/>
        </w:rPr>
        <w:t>。后附省级以上监狱管理局、戒毒管理局（含新疆生产</w:t>
      </w:r>
      <w:r>
        <w:rPr>
          <w:rFonts w:ascii="新宋体" w:hAnsi="新宋体" w:eastAsia="新宋体" w:cs="新宋体"/>
          <w:color w:val="auto"/>
          <w:spacing w:val="-3"/>
          <w:sz w:val="24"/>
          <w:szCs w:val="24"/>
          <w:highlight w:val="none"/>
        </w:rPr>
        <w:t>建设兵团）出具的属于监狱企业的证明文件。</w:t>
      </w:r>
    </w:p>
    <w:p w14:paraId="65D0AE76">
      <w:pPr>
        <w:spacing w:before="316" w:line="350" w:lineRule="auto"/>
        <w:ind w:left="1" w:right="35" w:firstLine="419"/>
        <w:jc w:val="both"/>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w:t>
      </w:r>
      <w:r>
        <w:rPr>
          <w:rFonts w:ascii="新宋体" w:hAnsi="新宋体" w:eastAsia="新宋体" w:cs="新宋体"/>
          <w:color w:val="auto"/>
          <w:spacing w:val="-85"/>
          <w:sz w:val="24"/>
          <w:szCs w:val="24"/>
          <w:highlight w:val="none"/>
          <w:u w:val="single" w:color="auto"/>
        </w:rPr>
        <w:t xml:space="preserve"> </w:t>
      </w:r>
      <w:r>
        <w:rPr>
          <w:rFonts w:ascii="新宋体" w:hAnsi="新宋体" w:eastAsia="新宋体" w:cs="新宋体"/>
          <w:color w:val="auto"/>
          <w:spacing w:val="-1"/>
          <w:sz w:val="24"/>
          <w:szCs w:val="24"/>
          <w:highlight w:val="none"/>
          <w:u w:val="single" w:color="auto"/>
        </w:rPr>
        <w:t>（制造商名称）</w:t>
      </w:r>
      <w:r>
        <w:rPr>
          <w:rFonts w:ascii="新宋体" w:hAnsi="新宋体" w:eastAsia="新宋体" w:cs="新宋体"/>
          <w:color w:val="auto"/>
          <w:spacing w:val="-1"/>
          <w:sz w:val="24"/>
          <w:szCs w:val="24"/>
          <w:highlight w:val="none"/>
        </w:rPr>
        <w:t>属于监狱企业并作为分包方，其提</w:t>
      </w:r>
      <w:r>
        <w:rPr>
          <w:rFonts w:ascii="新宋体" w:hAnsi="新宋体" w:eastAsia="新宋体" w:cs="新宋体"/>
          <w:color w:val="auto"/>
          <w:spacing w:val="-2"/>
          <w:sz w:val="24"/>
          <w:szCs w:val="24"/>
          <w:highlight w:val="none"/>
        </w:rPr>
        <w:t>供协议合同金额占到分包意向</w:t>
      </w:r>
      <w:r>
        <w:rPr>
          <w:rFonts w:ascii="新宋体" w:hAnsi="新宋体" w:eastAsia="新宋体" w:cs="新宋体"/>
          <w:color w:val="auto"/>
          <w:spacing w:val="-1"/>
          <w:sz w:val="24"/>
          <w:szCs w:val="24"/>
          <w:highlight w:val="none"/>
        </w:rPr>
        <w:t>协议合同总金额的比例为</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1"/>
          <w:sz w:val="24"/>
          <w:szCs w:val="24"/>
          <w:highlight w:val="none"/>
        </w:rPr>
        <w:t>。后附省级以上监狱管理局、戒毒管理局（含新疆生产建设</w:t>
      </w:r>
      <w:r>
        <w:rPr>
          <w:rFonts w:ascii="新宋体" w:hAnsi="新宋体" w:eastAsia="新宋体" w:cs="新宋体"/>
          <w:color w:val="auto"/>
          <w:spacing w:val="-3"/>
          <w:sz w:val="24"/>
          <w:szCs w:val="24"/>
          <w:highlight w:val="none"/>
        </w:rPr>
        <w:t>兵团）出具的属于监狱企业的证明文件。</w:t>
      </w:r>
    </w:p>
    <w:p w14:paraId="5D67EA28">
      <w:pPr>
        <w:spacing w:before="316" w:line="223" w:lineRule="auto"/>
        <w:ind w:left="481"/>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本单位对上述声明的真实性负责。如有虚假，将依法承担相应责任。</w:t>
      </w:r>
    </w:p>
    <w:p w14:paraId="53692363">
      <w:pPr>
        <w:spacing w:line="263" w:lineRule="auto"/>
        <w:rPr>
          <w:rFonts w:ascii="Arial"/>
          <w:color w:val="auto"/>
          <w:sz w:val="21"/>
          <w:highlight w:val="none"/>
        </w:rPr>
      </w:pPr>
    </w:p>
    <w:p w14:paraId="07B3BF5A">
      <w:pPr>
        <w:spacing w:line="263" w:lineRule="auto"/>
        <w:rPr>
          <w:rFonts w:ascii="Arial"/>
          <w:color w:val="auto"/>
          <w:sz w:val="21"/>
          <w:highlight w:val="none"/>
        </w:rPr>
      </w:pPr>
    </w:p>
    <w:p w14:paraId="64D77EF6">
      <w:pPr>
        <w:spacing w:line="264" w:lineRule="auto"/>
        <w:rPr>
          <w:rFonts w:ascii="Arial"/>
          <w:color w:val="auto"/>
          <w:sz w:val="21"/>
          <w:highlight w:val="none"/>
        </w:rPr>
      </w:pPr>
    </w:p>
    <w:p w14:paraId="771D99AF">
      <w:pPr>
        <w:spacing w:line="264" w:lineRule="auto"/>
        <w:rPr>
          <w:rFonts w:ascii="Arial"/>
          <w:color w:val="auto"/>
          <w:sz w:val="21"/>
          <w:highlight w:val="none"/>
        </w:rPr>
      </w:pPr>
    </w:p>
    <w:p w14:paraId="7574266F">
      <w:pPr>
        <w:spacing w:line="264" w:lineRule="auto"/>
        <w:rPr>
          <w:rFonts w:ascii="Arial"/>
          <w:color w:val="auto"/>
          <w:sz w:val="21"/>
          <w:highlight w:val="none"/>
        </w:rPr>
      </w:pPr>
    </w:p>
    <w:p w14:paraId="7F6406C5">
      <w:pPr>
        <w:spacing w:line="264" w:lineRule="auto"/>
        <w:rPr>
          <w:rFonts w:ascii="Arial"/>
          <w:color w:val="auto"/>
          <w:sz w:val="21"/>
          <w:highlight w:val="none"/>
        </w:rPr>
      </w:pPr>
    </w:p>
    <w:p w14:paraId="3DE43A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ascii="新宋体" w:hAnsi="新宋体" w:eastAsia="新宋体" w:cs="新宋体"/>
          <w:color w:val="auto"/>
          <w:spacing w:val="1"/>
          <w:sz w:val="24"/>
          <w:szCs w:val="24"/>
          <w:highlight w:val="none"/>
        </w:rPr>
      </w:pPr>
      <w:r>
        <w:rPr>
          <w:rFonts w:ascii="新宋体" w:hAnsi="新宋体" w:eastAsia="新宋体" w:cs="新宋体"/>
          <w:color w:val="auto"/>
          <w:spacing w:val="-9"/>
          <w:sz w:val="24"/>
          <w:szCs w:val="24"/>
          <w:highlight w:val="none"/>
        </w:rPr>
        <w:t>单位名称（盖章</w:t>
      </w:r>
      <w:r>
        <w:rPr>
          <w:rFonts w:ascii="新宋体" w:hAnsi="新宋体" w:eastAsia="新宋体" w:cs="新宋体"/>
          <w:color w:val="auto"/>
          <w:spacing w:val="-7"/>
          <w:sz w:val="24"/>
          <w:szCs w:val="24"/>
          <w:highlight w:val="none"/>
        </w:rPr>
        <w:t>）：</w:t>
      </w:r>
      <w:r>
        <w:rPr>
          <w:rFonts w:ascii="新宋体" w:hAnsi="新宋体" w:eastAsia="新宋体" w:cs="新宋体"/>
          <w:color w:val="auto"/>
          <w:spacing w:val="1"/>
          <w:sz w:val="24"/>
          <w:szCs w:val="24"/>
          <w:highlight w:val="none"/>
        </w:rPr>
        <w:t xml:space="preserve"> </w:t>
      </w:r>
    </w:p>
    <w:p w14:paraId="27153A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4"/>
          <w:sz w:val="24"/>
          <w:szCs w:val="24"/>
          <w:highlight w:val="none"/>
        </w:rPr>
        <w:t>日</w:t>
      </w:r>
      <w:r>
        <w:rPr>
          <w:rFonts w:ascii="新宋体" w:hAnsi="新宋体" w:eastAsia="新宋体" w:cs="新宋体"/>
          <w:color w:val="auto"/>
          <w:spacing w:val="7"/>
          <w:sz w:val="24"/>
          <w:szCs w:val="24"/>
          <w:highlight w:val="none"/>
        </w:rPr>
        <w:t xml:space="preserve">  </w:t>
      </w:r>
      <w:r>
        <w:rPr>
          <w:rFonts w:ascii="新宋体" w:hAnsi="新宋体" w:eastAsia="新宋体" w:cs="新宋体"/>
          <w:color w:val="auto"/>
          <w:spacing w:val="-34"/>
          <w:sz w:val="24"/>
          <w:szCs w:val="24"/>
          <w:highlight w:val="none"/>
        </w:rPr>
        <w:t>期：</w:t>
      </w:r>
    </w:p>
    <w:p w14:paraId="76243F4A">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ascii="新宋体" w:hAnsi="新宋体" w:eastAsia="新宋体" w:cs="新宋体"/>
          <w:color w:val="auto"/>
          <w:sz w:val="24"/>
          <w:szCs w:val="24"/>
          <w:highlight w:val="none"/>
        </w:rPr>
        <w:sectPr>
          <w:footerReference r:id="rId36" w:type="default"/>
          <w:pgSz w:w="11905" w:h="16839"/>
          <w:pgMar w:top="1440" w:right="1800" w:bottom="1440" w:left="1800" w:header="0" w:footer="850" w:gutter="0"/>
          <w:pgNumType w:fmt="decimal"/>
          <w:cols w:space="720" w:num="1"/>
        </w:sectPr>
      </w:pPr>
    </w:p>
    <w:p w14:paraId="10CEC94A">
      <w:pPr>
        <w:spacing w:line="242" w:lineRule="auto"/>
        <w:rPr>
          <w:rFonts w:ascii="Arial"/>
          <w:color w:val="auto"/>
          <w:sz w:val="21"/>
          <w:highlight w:val="none"/>
        </w:rPr>
      </w:pPr>
    </w:p>
    <w:p w14:paraId="25ADF9AF">
      <w:pPr>
        <w:spacing w:line="242" w:lineRule="auto"/>
        <w:rPr>
          <w:rFonts w:ascii="Arial"/>
          <w:color w:val="auto"/>
          <w:sz w:val="21"/>
          <w:highlight w:val="none"/>
        </w:rPr>
      </w:pPr>
    </w:p>
    <w:p w14:paraId="4FD2980F">
      <w:pPr>
        <w:pStyle w:val="4"/>
        <w:spacing w:before="103" w:line="189" w:lineRule="auto"/>
        <w:ind w:left="11"/>
        <w:rPr>
          <w:color w:val="auto"/>
          <w:sz w:val="24"/>
          <w:szCs w:val="24"/>
          <w:highlight w:val="none"/>
        </w:rPr>
      </w:pPr>
      <w:r>
        <w:rPr>
          <w:b/>
          <w:bCs/>
          <w:color w:val="auto"/>
          <w:spacing w:val="-7"/>
          <w:sz w:val="24"/>
          <w:szCs w:val="24"/>
          <w:highlight w:val="none"/>
        </w:rPr>
        <w:t>附件 3</w:t>
      </w:r>
    </w:p>
    <w:p w14:paraId="05977441">
      <w:pPr>
        <w:pStyle w:val="4"/>
        <w:spacing w:before="148" w:line="184" w:lineRule="auto"/>
        <w:ind w:left="2916"/>
        <w:rPr>
          <w:color w:val="auto"/>
          <w:sz w:val="28"/>
          <w:szCs w:val="28"/>
          <w:highlight w:val="none"/>
        </w:rPr>
      </w:pPr>
      <w:r>
        <w:rPr>
          <w:b/>
          <w:bCs/>
          <w:color w:val="auto"/>
          <w:spacing w:val="-3"/>
          <w:sz w:val="28"/>
          <w:szCs w:val="28"/>
          <w:highlight w:val="none"/>
        </w:rPr>
        <w:t>疾人福利性单位声明函（如有）</w:t>
      </w:r>
    </w:p>
    <w:p w14:paraId="3128ACFF">
      <w:pPr>
        <w:spacing w:line="256" w:lineRule="auto"/>
        <w:rPr>
          <w:rFonts w:ascii="Arial"/>
          <w:color w:val="auto"/>
          <w:sz w:val="21"/>
          <w:highlight w:val="none"/>
        </w:rPr>
      </w:pPr>
    </w:p>
    <w:p w14:paraId="7005DAF7">
      <w:pPr>
        <w:spacing w:line="256" w:lineRule="auto"/>
        <w:rPr>
          <w:rFonts w:ascii="Arial"/>
          <w:color w:val="auto"/>
          <w:sz w:val="21"/>
          <w:highlight w:val="none"/>
        </w:rPr>
      </w:pPr>
    </w:p>
    <w:p w14:paraId="483A9864">
      <w:pPr>
        <w:spacing w:line="256" w:lineRule="auto"/>
        <w:rPr>
          <w:rFonts w:ascii="Arial"/>
          <w:color w:val="auto"/>
          <w:sz w:val="21"/>
          <w:highlight w:val="none"/>
        </w:rPr>
      </w:pPr>
    </w:p>
    <w:p w14:paraId="55BE8A6B">
      <w:pPr>
        <w:spacing w:line="256" w:lineRule="auto"/>
        <w:rPr>
          <w:rFonts w:ascii="Arial"/>
          <w:color w:val="auto"/>
          <w:sz w:val="21"/>
          <w:highlight w:val="none"/>
        </w:rPr>
      </w:pPr>
    </w:p>
    <w:p w14:paraId="6E06F914">
      <w:pPr>
        <w:spacing w:before="78" w:line="353" w:lineRule="auto"/>
        <w:ind w:firstLine="481"/>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本单位郑重声明，根据《财政部</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3"/>
          <w:sz w:val="24"/>
          <w:szCs w:val="24"/>
          <w:highlight w:val="none"/>
        </w:rPr>
        <w:t>民政部</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3"/>
          <w:sz w:val="24"/>
          <w:szCs w:val="24"/>
          <w:highlight w:val="none"/>
        </w:rPr>
        <w:t>中国残疾人联合会关于促进残疾人就业政府采购</w:t>
      </w:r>
      <w:r>
        <w:rPr>
          <w:rFonts w:ascii="新宋体" w:hAnsi="新宋体" w:eastAsia="新宋体" w:cs="新宋体"/>
          <w:color w:val="auto"/>
          <w:spacing w:val="-4"/>
          <w:sz w:val="24"/>
          <w:szCs w:val="24"/>
          <w:highlight w:val="none"/>
        </w:rPr>
        <w:t>政策的通知》（财库〔2017〕 141</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4"/>
          <w:sz w:val="24"/>
          <w:szCs w:val="24"/>
          <w:highlight w:val="none"/>
        </w:rPr>
        <w:t>号）的规定，本</w:t>
      </w:r>
      <w:r>
        <w:rPr>
          <w:rFonts w:ascii="新宋体" w:hAnsi="新宋体" w:eastAsia="新宋体" w:cs="新宋体"/>
          <w:color w:val="auto"/>
          <w:spacing w:val="-5"/>
          <w:sz w:val="24"/>
          <w:szCs w:val="24"/>
          <w:highlight w:val="none"/>
        </w:rPr>
        <w:t>单位为符合条件的残疾人福利性单位，且本</w:t>
      </w:r>
      <w:r>
        <w:rPr>
          <w:rFonts w:ascii="新宋体" w:hAnsi="新宋体" w:eastAsia="新宋体" w:cs="新宋体"/>
          <w:color w:val="auto"/>
          <w:spacing w:val="-1"/>
          <w:sz w:val="24"/>
          <w:szCs w:val="24"/>
          <w:highlight w:val="none"/>
        </w:rPr>
        <w:t>单位参加</w:t>
      </w:r>
      <w:r>
        <w:rPr>
          <w:rFonts w:ascii="新宋体" w:hAnsi="新宋体" w:eastAsia="新宋体" w:cs="新宋体"/>
          <w:color w:val="auto"/>
          <w:spacing w:val="-120"/>
          <w:sz w:val="24"/>
          <w:szCs w:val="24"/>
          <w:highlight w:val="none"/>
        </w:rPr>
        <w:t xml:space="preserve"> </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1"/>
          <w:sz w:val="24"/>
          <w:szCs w:val="24"/>
          <w:highlight w:val="none"/>
        </w:rPr>
        <w:t>单位的</w:t>
      </w:r>
      <w:r>
        <w:rPr>
          <w:rFonts w:ascii="新宋体" w:hAnsi="新宋体" w:eastAsia="新宋体" w:cs="新宋体"/>
          <w:color w:val="auto"/>
          <w:spacing w:val="-119"/>
          <w:sz w:val="24"/>
          <w:szCs w:val="24"/>
          <w:highlight w:val="none"/>
        </w:rPr>
        <w:t xml:space="preserve"> </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3"/>
          <w:sz w:val="24"/>
          <w:szCs w:val="24"/>
          <w:highlight w:val="none"/>
        </w:rPr>
        <w:t xml:space="preserve"> </w:t>
      </w:r>
      <w:r>
        <w:rPr>
          <w:rFonts w:ascii="新宋体" w:hAnsi="新宋体" w:eastAsia="新宋体" w:cs="新宋体"/>
          <w:color w:val="auto"/>
          <w:spacing w:val="-1"/>
          <w:sz w:val="24"/>
          <w:szCs w:val="24"/>
          <w:highlight w:val="none"/>
        </w:rPr>
        <w:t>项目采购活动提供本单位制造的货物（由本单位承担工程/</w:t>
      </w:r>
      <w:r>
        <w:rPr>
          <w:rFonts w:ascii="新宋体" w:hAnsi="新宋体" w:eastAsia="新宋体" w:cs="新宋体"/>
          <w:color w:val="auto"/>
          <w:spacing w:val="-2"/>
          <w:sz w:val="24"/>
          <w:szCs w:val="24"/>
          <w:highlight w:val="none"/>
        </w:rPr>
        <w:t>提供服务</w:t>
      </w:r>
      <w:r>
        <w:rPr>
          <w:rFonts w:ascii="新宋体" w:hAnsi="新宋体" w:eastAsia="新宋体" w:cs="新宋体"/>
          <w:color w:val="auto"/>
          <w:spacing w:val="-24"/>
          <w:sz w:val="24"/>
          <w:szCs w:val="24"/>
          <w:highlight w:val="none"/>
        </w:rPr>
        <w:t>），</w:t>
      </w:r>
      <w:r>
        <w:rPr>
          <w:rFonts w:ascii="新宋体" w:hAnsi="新宋体" w:eastAsia="新宋体" w:cs="新宋体"/>
          <w:color w:val="auto"/>
          <w:spacing w:val="-2"/>
          <w:sz w:val="24"/>
          <w:szCs w:val="24"/>
          <w:highlight w:val="none"/>
        </w:rPr>
        <w:t>或者提供其他残疾人福利性单位制造的货物（不包括使用非</w:t>
      </w:r>
      <w:r>
        <w:rPr>
          <w:rFonts w:ascii="新宋体" w:hAnsi="新宋体" w:eastAsia="新宋体" w:cs="新宋体"/>
          <w:color w:val="auto"/>
          <w:spacing w:val="-3"/>
          <w:sz w:val="24"/>
          <w:szCs w:val="24"/>
          <w:highlight w:val="none"/>
        </w:rPr>
        <w:t>残疾人福利性单位注册商</w:t>
      </w:r>
      <w:r>
        <w:rPr>
          <w:rFonts w:ascii="新宋体" w:hAnsi="新宋体" w:eastAsia="新宋体" w:cs="新宋体"/>
          <w:color w:val="auto"/>
          <w:spacing w:val="-7"/>
          <w:sz w:val="24"/>
          <w:szCs w:val="24"/>
          <w:highlight w:val="none"/>
        </w:rPr>
        <w:t>标的货物）。</w:t>
      </w:r>
    </w:p>
    <w:p w14:paraId="3E0137EC">
      <w:pPr>
        <w:spacing w:before="37" w:line="223" w:lineRule="auto"/>
        <w:ind w:left="481"/>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本单位对上述声明的真实性负责。如有虚假，将依法承担相应责任。</w:t>
      </w:r>
    </w:p>
    <w:p w14:paraId="538A8DFC">
      <w:pPr>
        <w:spacing w:line="285" w:lineRule="auto"/>
        <w:rPr>
          <w:rFonts w:ascii="Arial"/>
          <w:color w:val="auto"/>
          <w:sz w:val="21"/>
          <w:highlight w:val="none"/>
        </w:rPr>
      </w:pPr>
    </w:p>
    <w:p w14:paraId="6595546B">
      <w:pPr>
        <w:spacing w:line="286" w:lineRule="auto"/>
        <w:rPr>
          <w:rFonts w:ascii="Arial"/>
          <w:color w:val="auto"/>
          <w:sz w:val="21"/>
          <w:highlight w:val="none"/>
        </w:rPr>
      </w:pPr>
    </w:p>
    <w:p w14:paraId="608E2D2A">
      <w:pPr>
        <w:spacing w:line="286" w:lineRule="auto"/>
        <w:rPr>
          <w:rFonts w:ascii="Arial"/>
          <w:color w:val="auto"/>
          <w:sz w:val="21"/>
          <w:highlight w:val="none"/>
        </w:rPr>
      </w:pPr>
    </w:p>
    <w:p w14:paraId="4807FE10">
      <w:pPr>
        <w:keepNext w:val="0"/>
        <w:keepLines w:val="0"/>
        <w:pageBreakBefore w:val="0"/>
        <w:widowControl/>
        <w:wordWrap/>
        <w:overflowPunct/>
        <w:topLinePunct w:val="0"/>
        <w:bidi w:val="0"/>
        <w:spacing w:line="360" w:lineRule="auto"/>
        <w:rPr>
          <w:rFonts w:ascii="Arial"/>
          <w:color w:val="auto"/>
          <w:sz w:val="21"/>
          <w:highlight w:val="none"/>
        </w:rPr>
      </w:pPr>
    </w:p>
    <w:p w14:paraId="04636ADD">
      <w:pPr>
        <w:keepNext w:val="0"/>
        <w:keepLines w:val="0"/>
        <w:pageBreakBefore w:val="0"/>
        <w:widowControl/>
        <w:wordWrap/>
        <w:overflowPunct/>
        <w:topLinePunct w:val="0"/>
        <w:bidi w:val="0"/>
        <w:spacing w:line="360" w:lineRule="auto"/>
        <w:ind w:left="4970" w:leftChars="0" w:right="0" w:firstLine="0" w:firstLineChars="0"/>
        <w:rPr>
          <w:rFonts w:ascii="新宋体" w:hAnsi="新宋体" w:eastAsia="新宋体" w:cs="新宋体"/>
          <w:color w:val="auto"/>
          <w:spacing w:val="1"/>
          <w:sz w:val="24"/>
          <w:szCs w:val="24"/>
          <w:highlight w:val="none"/>
        </w:rPr>
      </w:pPr>
      <w:r>
        <w:rPr>
          <w:rFonts w:ascii="新宋体" w:hAnsi="新宋体" w:eastAsia="新宋体" w:cs="新宋体"/>
          <w:color w:val="auto"/>
          <w:spacing w:val="-9"/>
          <w:sz w:val="24"/>
          <w:szCs w:val="24"/>
          <w:highlight w:val="none"/>
        </w:rPr>
        <w:t>单位名称（盖章</w:t>
      </w:r>
      <w:r>
        <w:rPr>
          <w:rFonts w:ascii="新宋体" w:hAnsi="新宋体" w:eastAsia="新宋体" w:cs="新宋体"/>
          <w:color w:val="auto"/>
          <w:spacing w:val="-7"/>
          <w:sz w:val="24"/>
          <w:szCs w:val="24"/>
          <w:highlight w:val="none"/>
        </w:rPr>
        <w:t>）：</w:t>
      </w:r>
      <w:r>
        <w:rPr>
          <w:rFonts w:ascii="新宋体" w:hAnsi="新宋体" w:eastAsia="新宋体" w:cs="新宋体"/>
          <w:color w:val="auto"/>
          <w:spacing w:val="1"/>
          <w:sz w:val="24"/>
          <w:szCs w:val="24"/>
          <w:highlight w:val="none"/>
        </w:rPr>
        <w:t xml:space="preserve"> </w:t>
      </w:r>
    </w:p>
    <w:p w14:paraId="0C93B0F8">
      <w:pPr>
        <w:keepNext w:val="0"/>
        <w:keepLines w:val="0"/>
        <w:pageBreakBefore w:val="0"/>
        <w:widowControl/>
        <w:wordWrap/>
        <w:overflowPunct/>
        <w:topLinePunct w:val="0"/>
        <w:bidi w:val="0"/>
        <w:spacing w:line="360" w:lineRule="auto"/>
        <w:ind w:left="4970" w:leftChars="0" w:right="0" w:firstLine="0" w:firstLineChars="0"/>
        <w:rPr>
          <w:rFonts w:ascii="新宋体" w:hAnsi="新宋体" w:eastAsia="新宋体" w:cs="新宋体"/>
          <w:color w:val="auto"/>
          <w:spacing w:val="-34"/>
          <w:sz w:val="24"/>
          <w:szCs w:val="24"/>
          <w:highlight w:val="none"/>
        </w:rPr>
      </w:pPr>
      <w:r>
        <w:rPr>
          <w:rFonts w:ascii="新宋体" w:hAnsi="新宋体" w:eastAsia="新宋体" w:cs="新宋体"/>
          <w:color w:val="auto"/>
          <w:spacing w:val="-34"/>
          <w:sz w:val="24"/>
          <w:szCs w:val="24"/>
          <w:highlight w:val="none"/>
        </w:rPr>
        <w:t>日</w:t>
      </w:r>
      <w:r>
        <w:rPr>
          <w:rFonts w:ascii="新宋体" w:hAnsi="新宋体" w:eastAsia="新宋体" w:cs="新宋体"/>
          <w:color w:val="auto"/>
          <w:spacing w:val="7"/>
          <w:sz w:val="24"/>
          <w:szCs w:val="24"/>
          <w:highlight w:val="none"/>
        </w:rPr>
        <w:t xml:space="preserve">  </w:t>
      </w:r>
      <w:r>
        <w:rPr>
          <w:rFonts w:ascii="新宋体" w:hAnsi="新宋体" w:eastAsia="新宋体" w:cs="新宋体"/>
          <w:color w:val="auto"/>
          <w:spacing w:val="-34"/>
          <w:sz w:val="24"/>
          <w:szCs w:val="24"/>
          <w:highlight w:val="none"/>
        </w:rPr>
        <w:t>期：</w:t>
      </w:r>
    </w:p>
    <w:p w14:paraId="5B5BCE6E">
      <w:pPr>
        <w:pStyle w:val="11"/>
        <w:keepNext w:val="0"/>
        <w:keepLines w:val="0"/>
        <w:pageBreakBefore w:val="0"/>
        <w:widowControl/>
        <w:wordWrap/>
        <w:overflowPunct/>
        <w:topLinePunct w:val="0"/>
        <w:bidi w:val="0"/>
        <w:spacing w:after="0" w:line="360" w:lineRule="auto"/>
        <w:ind w:leftChars="0" w:right="0" w:firstLine="0" w:firstLineChars="0"/>
        <w:rPr>
          <w:rFonts w:ascii="新宋体" w:hAnsi="新宋体" w:eastAsia="新宋体" w:cs="新宋体"/>
          <w:color w:val="auto"/>
          <w:spacing w:val="-34"/>
          <w:sz w:val="24"/>
          <w:szCs w:val="24"/>
          <w:highlight w:val="none"/>
        </w:rPr>
      </w:pPr>
    </w:p>
    <w:p w14:paraId="7DF186C2">
      <w:pPr>
        <w:pStyle w:val="12"/>
        <w:keepNext w:val="0"/>
        <w:keepLines w:val="0"/>
        <w:pageBreakBefore w:val="0"/>
        <w:widowControl/>
        <w:wordWrap/>
        <w:overflowPunct/>
        <w:topLinePunct w:val="0"/>
        <w:bidi w:val="0"/>
        <w:spacing w:after="0" w:line="360" w:lineRule="auto"/>
        <w:ind w:leftChars="0" w:right="0" w:firstLine="0" w:firstLineChars="0"/>
        <w:rPr>
          <w:rFonts w:ascii="新宋体" w:hAnsi="新宋体" w:eastAsia="新宋体" w:cs="新宋体"/>
          <w:color w:val="auto"/>
          <w:spacing w:val="-34"/>
          <w:sz w:val="24"/>
          <w:szCs w:val="24"/>
          <w:highlight w:val="none"/>
        </w:rPr>
      </w:pPr>
    </w:p>
    <w:p w14:paraId="2BEC9D13">
      <w:pPr>
        <w:keepNext w:val="0"/>
        <w:keepLines w:val="0"/>
        <w:pageBreakBefore w:val="0"/>
        <w:widowControl/>
        <w:wordWrap/>
        <w:overflowPunct/>
        <w:topLinePunct w:val="0"/>
        <w:bidi w:val="0"/>
        <w:spacing w:line="360" w:lineRule="auto"/>
        <w:rPr>
          <w:rFonts w:ascii="新宋体" w:hAnsi="新宋体" w:eastAsia="新宋体" w:cs="新宋体"/>
          <w:color w:val="auto"/>
          <w:spacing w:val="-34"/>
          <w:sz w:val="24"/>
          <w:szCs w:val="24"/>
          <w:highlight w:val="none"/>
        </w:rPr>
      </w:pPr>
    </w:p>
    <w:p w14:paraId="1DA536CD">
      <w:pPr>
        <w:pStyle w:val="11"/>
        <w:rPr>
          <w:rFonts w:ascii="新宋体" w:hAnsi="新宋体" w:eastAsia="新宋体" w:cs="新宋体"/>
          <w:color w:val="auto"/>
          <w:spacing w:val="-34"/>
          <w:sz w:val="24"/>
          <w:szCs w:val="24"/>
          <w:highlight w:val="none"/>
        </w:rPr>
      </w:pPr>
    </w:p>
    <w:p w14:paraId="0B0F7AF5">
      <w:pPr>
        <w:pStyle w:val="12"/>
        <w:rPr>
          <w:rFonts w:ascii="新宋体" w:hAnsi="新宋体" w:eastAsia="新宋体" w:cs="新宋体"/>
          <w:color w:val="auto"/>
          <w:spacing w:val="-34"/>
          <w:sz w:val="24"/>
          <w:szCs w:val="24"/>
          <w:highlight w:val="none"/>
        </w:rPr>
      </w:pPr>
    </w:p>
    <w:p w14:paraId="1ACC3BF1">
      <w:pPr>
        <w:rPr>
          <w:rFonts w:ascii="新宋体" w:hAnsi="新宋体" w:eastAsia="新宋体" w:cs="新宋体"/>
          <w:color w:val="auto"/>
          <w:spacing w:val="-34"/>
          <w:sz w:val="24"/>
          <w:szCs w:val="24"/>
          <w:highlight w:val="none"/>
        </w:rPr>
      </w:pPr>
    </w:p>
    <w:p w14:paraId="2A94DDB1">
      <w:pPr>
        <w:pStyle w:val="11"/>
        <w:rPr>
          <w:rFonts w:ascii="新宋体" w:hAnsi="新宋体" w:eastAsia="新宋体" w:cs="新宋体"/>
          <w:color w:val="auto"/>
          <w:spacing w:val="-34"/>
          <w:sz w:val="24"/>
          <w:szCs w:val="24"/>
          <w:highlight w:val="none"/>
        </w:rPr>
      </w:pPr>
    </w:p>
    <w:p w14:paraId="655831BF">
      <w:pPr>
        <w:pStyle w:val="12"/>
        <w:rPr>
          <w:rFonts w:ascii="新宋体" w:hAnsi="新宋体" w:eastAsia="新宋体" w:cs="新宋体"/>
          <w:color w:val="auto"/>
          <w:spacing w:val="-34"/>
          <w:sz w:val="24"/>
          <w:szCs w:val="24"/>
          <w:highlight w:val="none"/>
        </w:rPr>
      </w:pPr>
    </w:p>
    <w:p w14:paraId="515FC775">
      <w:pPr>
        <w:rPr>
          <w:rFonts w:ascii="新宋体" w:hAnsi="新宋体" w:eastAsia="新宋体" w:cs="新宋体"/>
          <w:color w:val="auto"/>
          <w:spacing w:val="-34"/>
          <w:sz w:val="24"/>
          <w:szCs w:val="24"/>
          <w:highlight w:val="none"/>
        </w:rPr>
      </w:pPr>
    </w:p>
    <w:p w14:paraId="4138B508">
      <w:pPr>
        <w:pStyle w:val="11"/>
        <w:rPr>
          <w:rFonts w:ascii="新宋体" w:hAnsi="新宋体" w:eastAsia="新宋体" w:cs="新宋体"/>
          <w:color w:val="auto"/>
          <w:spacing w:val="-34"/>
          <w:sz w:val="24"/>
          <w:szCs w:val="24"/>
          <w:highlight w:val="none"/>
        </w:rPr>
      </w:pPr>
    </w:p>
    <w:p w14:paraId="582C34E6">
      <w:pPr>
        <w:pStyle w:val="12"/>
        <w:rPr>
          <w:rFonts w:ascii="新宋体" w:hAnsi="新宋体" w:eastAsia="新宋体" w:cs="新宋体"/>
          <w:color w:val="auto"/>
          <w:spacing w:val="-34"/>
          <w:sz w:val="24"/>
          <w:szCs w:val="24"/>
          <w:highlight w:val="none"/>
        </w:rPr>
      </w:pPr>
    </w:p>
    <w:p w14:paraId="441A8C83">
      <w:pPr>
        <w:rPr>
          <w:rFonts w:ascii="新宋体" w:hAnsi="新宋体" w:eastAsia="新宋体" w:cs="新宋体"/>
          <w:color w:val="auto"/>
          <w:spacing w:val="-34"/>
          <w:sz w:val="24"/>
          <w:szCs w:val="24"/>
          <w:highlight w:val="none"/>
        </w:rPr>
      </w:pPr>
    </w:p>
    <w:p w14:paraId="2FEACA20">
      <w:pPr>
        <w:pStyle w:val="11"/>
        <w:rPr>
          <w:rFonts w:ascii="新宋体" w:hAnsi="新宋体" w:eastAsia="新宋体" w:cs="新宋体"/>
          <w:color w:val="auto"/>
          <w:spacing w:val="-34"/>
          <w:sz w:val="24"/>
          <w:szCs w:val="24"/>
          <w:highlight w:val="none"/>
        </w:rPr>
      </w:pPr>
    </w:p>
    <w:p w14:paraId="0F2AE3AD">
      <w:pPr>
        <w:pStyle w:val="12"/>
        <w:rPr>
          <w:rFonts w:ascii="新宋体" w:hAnsi="新宋体" w:eastAsia="新宋体" w:cs="新宋体"/>
          <w:color w:val="auto"/>
          <w:spacing w:val="-34"/>
          <w:sz w:val="24"/>
          <w:szCs w:val="24"/>
          <w:highlight w:val="none"/>
        </w:rPr>
      </w:pPr>
    </w:p>
    <w:p w14:paraId="15009E22">
      <w:pPr>
        <w:rPr>
          <w:rFonts w:ascii="新宋体" w:hAnsi="新宋体" w:eastAsia="新宋体" w:cs="新宋体"/>
          <w:color w:val="auto"/>
          <w:spacing w:val="-34"/>
          <w:sz w:val="24"/>
          <w:szCs w:val="24"/>
          <w:highlight w:val="none"/>
        </w:rPr>
      </w:pPr>
    </w:p>
    <w:p w14:paraId="701657E1">
      <w:pPr>
        <w:pStyle w:val="11"/>
        <w:rPr>
          <w:rFonts w:ascii="新宋体" w:hAnsi="新宋体" w:eastAsia="新宋体" w:cs="新宋体"/>
          <w:color w:val="auto"/>
          <w:spacing w:val="-34"/>
          <w:sz w:val="24"/>
          <w:szCs w:val="24"/>
          <w:highlight w:val="none"/>
        </w:rPr>
      </w:pPr>
    </w:p>
    <w:p w14:paraId="4058CFA9">
      <w:pPr>
        <w:pStyle w:val="12"/>
        <w:rPr>
          <w:rFonts w:ascii="新宋体" w:hAnsi="新宋体" w:eastAsia="新宋体" w:cs="新宋体"/>
          <w:color w:val="auto"/>
          <w:spacing w:val="-34"/>
          <w:sz w:val="24"/>
          <w:szCs w:val="24"/>
          <w:highlight w:val="none"/>
        </w:rPr>
      </w:pPr>
    </w:p>
    <w:p w14:paraId="7084AF14">
      <w:pPr>
        <w:rPr>
          <w:rFonts w:ascii="新宋体" w:hAnsi="新宋体" w:eastAsia="新宋体" w:cs="新宋体"/>
          <w:color w:val="auto"/>
          <w:spacing w:val="-34"/>
          <w:sz w:val="24"/>
          <w:szCs w:val="24"/>
          <w:highlight w:val="none"/>
        </w:rPr>
      </w:pPr>
    </w:p>
    <w:p w14:paraId="7D882D08">
      <w:pPr>
        <w:pStyle w:val="11"/>
        <w:rPr>
          <w:rFonts w:ascii="新宋体" w:hAnsi="新宋体" w:eastAsia="新宋体" w:cs="新宋体"/>
          <w:color w:val="auto"/>
          <w:spacing w:val="-34"/>
          <w:sz w:val="24"/>
          <w:szCs w:val="24"/>
          <w:highlight w:val="none"/>
        </w:rPr>
      </w:pPr>
    </w:p>
    <w:p w14:paraId="3D65B428">
      <w:pPr>
        <w:widowControl w:val="0"/>
        <w:autoSpaceDE w:val="0"/>
        <w:autoSpaceDN w:val="0"/>
        <w:spacing w:line="400" w:lineRule="exact"/>
        <w:jc w:val="center"/>
        <w:rPr>
          <w:rFonts w:hint="eastAsia" w:ascii="宋体" w:hAnsi="宋体"/>
          <w:b/>
          <w:color w:val="auto"/>
          <w:szCs w:val="21"/>
          <w:highlight w:val="none"/>
        </w:rPr>
      </w:pPr>
    </w:p>
    <w:p w14:paraId="52825B13">
      <w:pPr>
        <w:widowControl w:val="0"/>
        <w:autoSpaceDE w:val="0"/>
        <w:autoSpaceDN w:val="0"/>
        <w:spacing w:line="400" w:lineRule="exact"/>
        <w:jc w:val="center"/>
        <w:rPr>
          <w:rFonts w:ascii="宋体" w:hAnsi="宋体"/>
          <w:b/>
          <w:color w:val="auto"/>
          <w:szCs w:val="21"/>
          <w:highlight w:val="none"/>
        </w:rPr>
      </w:pPr>
      <w:r>
        <w:rPr>
          <w:rFonts w:hint="eastAsia" w:ascii="宋体" w:hAnsi="宋体"/>
          <w:b/>
          <w:color w:val="auto"/>
          <w:szCs w:val="21"/>
          <w:highlight w:val="none"/>
        </w:rPr>
        <w:t>质疑函格式</w:t>
      </w:r>
    </w:p>
    <w:p w14:paraId="2D50C283">
      <w:pPr>
        <w:widowControl w:val="0"/>
        <w:tabs>
          <w:tab w:val="left" w:pos="567"/>
          <w:tab w:val="left" w:pos="993"/>
        </w:tabs>
        <w:spacing w:line="400" w:lineRule="exact"/>
        <w:jc w:val="both"/>
        <w:rPr>
          <w:rFonts w:ascii="宋体" w:hAnsi="宋体"/>
          <w:b/>
          <w:color w:val="auto"/>
          <w:szCs w:val="21"/>
          <w:highlight w:val="none"/>
        </w:rPr>
      </w:pPr>
      <w:r>
        <w:rPr>
          <w:rFonts w:hint="eastAsia" w:ascii="宋体" w:hAnsi="宋体"/>
          <w:b/>
          <w:color w:val="auto"/>
          <w:szCs w:val="21"/>
          <w:highlight w:val="none"/>
        </w:rPr>
        <w:t>说明：本部分格式文件为投标人提交质疑函时使用，不属于投标文件格式的组成部分。</w:t>
      </w:r>
    </w:p>
    <w:p w14:paraId="459C11EA">
      <w:pPr>
        <w:widowControl w:val="0"/>
        <w:spacing w:line="400" w:lineRule="exact"/>
        <w:ind w:right="840"/>
        <w:rPr>
          <w:rFonts w:ascii="宋体" w:hAnsi="宋体"/>
          <w:color w:val="auto"/>
          <w:szCs w:val="21"/>
          <w:highlight w:val="none"/>
        </w:rPr>
      </w:pPr>
    </w:p>
    <w:p w14:paraId="3E868440">
      <w:pPr>
        <w:widowControl w:val="0"/>
        <w:spacing w:line="400" w:lineRule="exact"/>
        <w:jc w:val="center"/>
        <w:rPr>
          <w:rFonts w:ascii="宋体" w:hAnsi="宋体" w:cs="仿宋"/>
          <w:b/>
          <w:bCs/>
          <w:color w:val="auto"/>
          <w:szCs w:val="21"/>
          <w:highlight w:val="none"/>
        </w:rPr>
      </w:pPr>
      <w:r>
        <w:rPr>
          <w:rFonts w:hint="eastAsia" w:ascii="宋体" w:hAnsi="宋体" w:cs="仿宋"/>
          <w:b/>
          <w:bCs/>
          <w:color w:val="auto"/>
          <w:szCs w:val="21"/>
          <w:highlight w:val="none"/>
        </w:rPr>
        <w:t>质疑函</w:t>
      </w:r>
    </w:p>
    <w:p w14:paraId="456E9604">
      <w:pPr>
        <w:widowControl w:val="0"/>
        <w:adjustRightInd w:val="0"/>
        <w:snapToGrid w:val="0"/>
        <w:spacing w:line="400" w:lineRule="exact"/>
        <w:jc w:val="both"/>
        <w:rPr>
          <w:rFonts w:ascii="宋体" w:hAnsi="宋体" w:cs="仿宋"/>
          <w:bCs/>
          <w:color w:val="auto"/>
          <w:szCs w:val="21"/>
          <w:highlight w:val="none"/>
        </w:rPr>
      </w:pPr>
      <w:r>
        <w:rPr>
          <w:rFonts w:hint="eastAsia" w:ascii="宋体" w:hAnsi="宋体" w:cs="仿宋"/>
          <w:bCs/>
          <w:color w:val="auto"/>
          <w:szCs w:val="21"/>
          <w:highlight w:val="none"/>
        </w:rPr>
        <w:t>一、质疑投标人基本信息</w:t>
      </w:r>
    </w:p>
    <w:p w14:paraId="77707D84">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质疑投标人：</w:t>
      </w:r>
    </w:p>
    <w:p w14:paraId="533BBCF4">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是否参与所质疑项目的采购活动： □是    □否</w:t>
      </w:r>
    </w:p>
    <w:p w14:paraId="321FAC5D">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地址：邮编：</w:t>
      </w:r>
    </w:p>
    <w:p w14:paraId="4F2930BE">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联系人：联系电话：</w:t>
      </w:r>
    </w:p>
    <w:p w14:paraId="63BBCBF1">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授权代表：</w:t>
      </w:r>
    </w:p>
    <w:p w14:paraId="5FE2DAEC">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联系电话：</w:t>
      </w:r>
    </w:p>
    <w:p w14:paraId="27F5C9A2">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地址：邮编：</w:t>
      </w:r>
    </w:p>
    <w:p w14:paraId="63F2938B">
      <w:pPr>
        <w:widowControl w:val="0"/>
        <w:adjustRightInd w:val="0"/>
        <w:snapToGrid w:val="0"/>
        <w:spacing w:line="400" w:lineRule="exact"/>
        <w:jc w:val="both"/>
        <w:rPr>
          <w:rFonts w:ascii="宋体" w:hAnsi="宋体" w:cs="仿宋"/>
          <w:bCs/>
          <w:color w:val="auto"/>
          <w:szCs w:val="21"/>
          <w:highlight w:val="none"/>
        </w:rPr>
      </w:pPr>
      <w:r>
        <w:rPr>
          <w:rFonts w:hint="eastAsia" w:ascii="宋体" w:hAnsi="宋体" w:cs="仿宋"/>
          <w:bCs/>
          <w:color w:val="auto"/>
          <w:szCs w:val="21"/>
          <w:highlight w:val="none"/>
        </w:rPr>
        <w:t>二、质疑项目基本情况</w:t>
      </w:r>
    </w:p>
    <w:p w14:paraId="366ADC1E">
      <w:pPr>
        <w:widowControl w:val="0"/>
        <w:adjustRightInd w:val="0"/>
        <w:snapToGrid w:val="0"/>
        <w:spacing w:line="400" w:lineRule="exact"/>
        <w:jc w:val="both"/>
        <w:rPr>
          <w:rFonts w:hint="eastAsia" w:ascii="宋体" w:hAnsi="宋体" w:cs="仿宋"/>
          <w:color w:val="auto"/>
          <w:szCs w:val="21"/>
          <w:highlight w:val="none"/>
        </w:rPr>
      </w:pPr>
      <w:r>
        <w:rPr>
          <w:rFonts w:hint="eastAsia" w:ascii="宋体" w:hAnsi="宋体" w:cs="仿宋"/>
          <w:color w:val="auto"/>
          <w:szCs w:val="21"/>
          <w:highlight w:val="none"/>
        </w:rPr>
        <w:t xml:space="preserve">质疑项目的名称： </w:t>
      </w:r>
      <w:r>
        <w:rPr>
          <w:rFonts w:ascii="宋体" w:hAnsi="宋体" w:cs="仿宋"/>
          <w:color w:val="auto"/>
          <w:szCs w:val="21"/>
          <w:highlight w:val="none"/>
        </w:rPr>
        <w:t xml:space="preserve">   </w:t>
      </w:r>
      <w:r>
        <w:rPr>
          <w:rFonts w:hint="eastAsia" w:ascii="宋体" w:hAnsi="宋体" w:cs="仿宋"/>
          <w:color w:val="auto"/>
          <w:szCs w:val="21"/>
          <w:highlight w:val="none"/>
        </w:rPr>
        <w:t>包号：</w:t>
      </w:r>
    </w:p>
    <w:p w14:paraId="227BF8ED">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质疑项目的编号：</w:t>
      </w:r>
    </w:p>
    <w:p w14:paraId="1DC45230">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采购人名称：</w:t>
      </w:r>
    </w:p>
    <w:p w14:paraId="535A0E8D">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采购文件获取日期：</w:t>
      </w:r>
    </w:p>
    <w:p w14:paraId="39721040">
      <w:pPr>
        <w:widowControl w:val="0"/>
        <w:adjustRightInd w:val="0"/>
        <w:snapToGrid w:val="0"/>
        <w:spacing w:line="400" w:lineRule="exact"/>
        <w:jc w:val="both"/>
        <w:rPr>
          <w:rFonts w:ascii="宋体" w:hAnsi="宋体" w:cs="仿宋"/>
          <w:bCs/>
          <w:color w:val="auto"/>
          <w:szCs w:val="21"/>
          <w:highlight w:val="none"/>
        </w:rPr>
      </w:pPr>
      <w:r>
        <w:rPr>
          <w:rFonts w:hint="eastAsia" w:ascii="宋体" w:hAnsi="宋体" w:cs="仿宋"/>
          <w:bCs/>
          <w:color w:val="auto"/>
          <w:szCs w:val="21"/>
          <w:highlight w:val="none"/>
        </w:rPr>
        <w:t>三、质疑事项具体内容</w:t>
      </w:r>
    </w:p>
    <w:p w14:paraId="0DD8AD21">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质疑事项1：</w:t>
      </w:r>
    </w:p>
    <w:p w14:paraId="732631DE">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事实依据：</w:t>
      </w:r>
    </w:p>
    <w:p w14:paraId="14AFB781">
      <w:pPr>
        <w:widowControl w:val="0"/>
        <w:adjustRightInd w:val="0"/>
        <w:snapToGrid w:val="0"/>
        <w:spacing w:line="400" w:lineRule="exact"/>
        <w:jc w:val="both"/>
        <w:rPr>
          <w:rFonts w:ascii="宋体" w:hAnsi="宋体" w:cs="仿宋"/>
          <w:color w:val="auto"/>
          <w:szCs w:val="21"/>
          <w:highlight w:val="none"/>
        </w:rPr>
      </w:pPr>
    </w:p>
    <w:p w14:paraId="3E7DF458">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法律依据：</w:t>
      </w:r>
    </w:p>
    <w:p w14:paraId="5E93C488">
      <w:pPr>
        <w:widowControl w:val="0"/>
        <w:adjustRightInd w:val="0"/>
        <w:snapToGrid w:val="0"/>
        <w:spacing w:line="400" w:lineRule="exact"/>
        <w:jc w:val="both"/>
        <w:rPr>
          <w:rFonts w:ascii="宋体" w:hAnsi="宋体" w:cs="仿宋"/>
          <w:color w:val="auto"/>
          <w:szCs w:val="21"/>
          <w:highlight w:val="none"/>
          <w:u w:val="dotted"/>
        </w:rPr>
      </w:pPr>
    </w:p>
    <w:p w14:paraId="74E3EB81">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质疑事项2</w:t>
      </w:r>
    </w:p>
    <w:p w14:paraId="33753EBE">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w:t>
      </w:r>
    </w:p>
    <w:p w14:paraId="29DACD39">
      <w:pPr>
        <w:widowControl w:val="0"/>
        <w:adjustRightInd w:val="0"/>
        <w:snapToGrid w:val="0"/>
        <w:spacing w:line="400" w:lineRule="exact"/>
        <w:jc w:val="both"/>
        <w:rPr>
          <w:rFonts w:ascii="宋体" w:hAnsi="宋体" w:cs="仿宋"/>
          <w:bCs/>
          <w:color w:val="auto"/>
          <w:szCs w:val="21"/>
          <w:highlight w:val="none"/>
        </w:rPr>
      </w:pPr>
      <w:r>
        <w:rPr>
          <w:rFonts w:hint="eastAsia" w:ascii="宋体" w:hAnsi="宋体" w:cs="仿宋"/>
          <w:bCs/>
          <w:color w:val="auto"/>
          <w:szCs w:val="21"/>
          <w:highlight w:val="none"/>
        </w:rPr>
        <w:t>四、与质疑事项相关的质疑请求</w:t>
      </w:r>
    </w:p>
    <w:p w14:paraId="5A137BDA">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请求：</w:t>
      </w:r>
    </w:p>
    <w:p w14:paraId="0D925AD0">
      <w:pPr>
        <w:widowControl w:val="0"/>
        <w:spacing w:line="400" w:lineRule="exact"/>
        <w:jc w:val="both"/>
        <w:rPr>
          <w:rFonts w:ascii="宋体" w:hAnsi="宋体"/>
          <w:color w:val="auto"/>
          <w:szCs w:val="21"/>
          <w:highlight w:val="none"/>
        </w:rPr>
      </w:pPr>
      <w:r>
        <w:rPr>
          <w:rFonts w:hint="eastAsia" w:ascii="宋体" w:hAnsi="宋体"/>
          <w:color w:val="auto"/>
          <w:szCs w:val="21"/>
          <w:highlight w:val="none"/>
        </w:rPr>
        <w:t xml:space="preserve">签字(签章)：                   公章：                      </w:t>
      </w:r>
    </w:p>
    <w:p w14:paraId="103B64D4">
      <w:pPr>
        <w:widowControl w:val="0"/>
        <w:spacing w:line="400" w:lineRule="exact"/>
        <w:jc w:val="both"/>
        <w:rPr>
          <w:rFonts w:ascii="宋体" w:hAnsi="宋体"/>
          <w:color w:val="auto"/>
          <w:szCs w:val="21"/>
          <w:highlight w:val="none"/>
        </w:rPr>
      </w:pPr>
      <w:r>
        <w:rPr>
          <w:rFonts w:hint="eastAsia" w:ascii="宋体" w:hAnsi="宋体"/>
          <w:color w:val="auto"/>
          <w:szCs w:val="21"/>
          <w:highlight w:val="none"/>
        </w:rPr>
        <w:t xml:space="preserve">日期：    </w:t>
      </w:r>
    </w:p>
    <w:p w14:paraId="2A733002">
      <w:pPr>
        <w:widowControl w:val="0"/>
        <w:spacing w:line="400" w:lineRule="exact"/>
        <w:jc w:val="both"/>
        <w:rPr>
          <w:rFonts w:hint="eastAsia" w:ascii="宋体" w:hAnsi="宋体"/>
          <w:b/>
          <w:color w:val="auto"/>
          <w:szCs w:val="21"/>
          <w:highlight w:val="none"/>
        </w:rPr>
      </w:pPr>
    </w:p>
    <w:p w14:paraId="2C9EA82F">
      <w:pPr>
        <w:widowControl w:val="0"/>
        <w:spacing w:line="400" w:lineRule="exact"/>
        <w:jc w:val="both"/>
        <w:rPr>
          <w:rFonts w:ascii="宋体" w:hAnsi="宋体"/>
          <w:b/>
          <w:color w:val="auto"/>
          <w:szCs w:val="21"/>
          <w:highlight w:val="none"/>
        </w:rPr>
      </w:pPr>
      <w:r>
        <w:rPr>
          <w:rFonts w:hint="eastAsia" w:ascii="宋体" w:hAnsi="宋体"/>
          <w:b/>
          <w:color w:val="auto"/>
          <w:szCs w:val="21"/>
          <w:highlight w:val="none"/>
        </w:rPr>
        <w:t>说明：</w:t>
      </w:r>
    </w:p>
    <w:p w14:paraId="2555C14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1.投标人提出质疑时，应提交质疑函和必要的证明材料，投标人在法定质疑期内应一次性提出针对同一采购程序环节的质疑。</w:t>
      </w:r>
    </w:p>
    <w:p w14:paraId="02C5682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2.质疑投标人若委托代理人进行质疑的，质疑函应按要求列明“授权代表”的有关内容，并在附件中提交由质疑</w:t>
      </w:r>
      <w:r>
        <w:rPr>
          <w:rFonts w:hint="eastAsia" w:ascii="宋体" w:hAnsi="宋体" w:cs="宋体"/>
          <w:color w:val="auto"/>
          <w:kern w:val="0"/>
          <w:szCs w:val="21"/>
          <w:highlight w:val="none"/>
        </w:rPr>
        <w:t>投标人签署的授权委托书。授权委托书应载明代理人的姓名或者名称、代理事项、具体权限、期限和相关事项。</w:t>
      </w:r>
    </w:p>
    <w:p w14:paraId="6E2BAEB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3.质疑投标人若对项目的某一分包进行质疑，质疑函中应列明具体分包号。</w:t>
      </w:r>
    </w:p>
    <w:p w14:paraId="6F69650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4.质疑函的质疑事项应具体、明确，并有必要的事实依据和法律依据。</w:t>
      </w:r>
    </w:p>
    <w:p w14:paraId="5FE9339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5.质疑函的质疑请求应与质疑事项相关。</w:t>
      </w:r>
    </w:p>
    <w:p w14:paraId="116DC0A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6.质疑投标人为自然人的，质疑函应由本人签字；质疑投标人为法人或者其他组织的，需提供加盖公章的营业执照、质疑函应由法定代表人、主要负责人，或者其授权代表签字或者盖章，并加盖公章。</w:t>
      </w:r>
    </w:p>
    <w:p w14:paraId="7F19D718">
      <w:pPr>
        <w:pStyle w:val="12"/>
        <w:rPr>
          <w:color w:val="auto"/>
          <w:highlight w:val="none"/>
        </w:rPr>
      </w:pPr>
    </w:p>
    <w:sectPr>
      <w:footerReference r:id="rId37" w:type="default"/>
      <w:pgSz w:w="11905" w:h="16839"/>
      <w:pgMar w:top="1440" w:right="1800" w:bottom="1440" w:left="1800" w:header="0" w:footer="85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F915B">
    <w:pPr>
      <w:spacing w:line="174" w:lineRule="auto"/>
      <w:ind w:left="47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C7739">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D8C7739">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1BEF">
    <w:pPr>
      <w:spacing w:line="174" w:lineRule="auto"/>
      <w:ind w:left="47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8E9C0D">
                          <w:pPr>
                            <w:pStyle w:val="8"/>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38E9C0D">
                    <w:pPr>
                      <w:pStyle w:val="8"/>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FA702">
    <w:pPr>
      <w:spacing w:line="174" w:lineRule="auto"/>
      <w:ind w:left="42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7B781">
                          <w:pPr>
                            <w:pStyle w:val="8"/>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EC7B781">
                    <w:pPr>
                      <w:pStyle w:val="8"/>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E99A5">
    <w:pPr>
      <w:spacing w:line="174" w:lineRule="auto"/>
      <w:ind w:left="47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B4F8D">
                          <w:pPr>
                            <w:pStyle w:val="8"/>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72B4F8D">
                    <w:pPr>
                      <w:pStyle w:val="8"/>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2D270">
    <w:pPr>
      <w:spacing w:line="174" w:lineRule="auto"/>
      <w:ind w:left="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9AC136">
                          <w:pPr>
                            <w:pStyle w:val="8"/>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E9AC136">
                    <w:pPr>
                      <w:pStyle w:val="8"/>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646D2">
    <w:pPr>
      <w:spacing w:line="174" w:lineRule="auto"/>
      <w:ind w:left="47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6A501">
                          <w:pPr>
                            <w:pStyle w:val="8"/>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F46A501">
                    <w:pPr>
                      <w:pStyle w:val="8"/>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46644">
    <w:pPr>
      <w:spacing w:line="174" w:lineRule="auto"/>
      <w:ind w:left="40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CD85D">
                          <w:pPr>
                            <w:pStyle w:val="8"/>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DBCD85D">
                    <w:pPr>
                      <w:pStyle w:val="8"/>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38397">
    <w:pPr>
      <w:spacing w:line="174"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03F17">
                          <w:pPr>
                            <w:pStyle w:val="8"/>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7F03F17">
                    <w:pPr>
                      <w:pStyle w:val="8"/>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9A723">
    <w:pPr>
      <w:spacing w:line="174"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D30CA">
                          <w:pPr>
                            <w:pStyle w:val="8"/>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72D30CA">
                    <w:pPr>
                      <w:pStyle w:val="8"/>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2D558">
    <w:pPr>
      <w:spacing w:line="174"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C6E18">
                          <w:pPr>
                            <w:pStyle w:val="8"/>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16C6E18">
                    <w:pPr>
                      <w:pStyle w:val="8"/>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F1D26">
    <w:pPr>
      <w:spacing w:line="174"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D377B">
                          <w:pPr>
                            <w:pStyle w:val="8"/>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40D377B">
                    <w:pPr>
                      <w:pStyle w:val="8"/>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FA90A">
    <w:pPr>
      <w:spacing w:line="174" w:lineRule="auto"/>
      <w:ind w:left="47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94C2C">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DE94C2C">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28C1B">
    <w:pPr>
      <w:pStyle w:val="8"/>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3A20B">
                          <w:pPr>
                            <w:pStyle w:val="8"/>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EB3A20B">
                    <w:pPr>
                      <w:pStyle w:val="8"/>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0DE55">
    <w:pPr>
      <w:spacing w:line="174" w:lineRule="auto"/>
      <w:ind w:left="50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21DBE">
                          <w:pPr>
                            <w:pStyle w:val="8"/>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8821DBE">
                    <w:pPr>
                      <w:pStyle w:val="8"/>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9023">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727F5">
                          <w:pPr>
                            <w:pStyle w:val="8"/>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01727F5">
                    <w:pPr>
                      <w:pStyle w:val="8"/>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A3D8F">
    <w:pPr>
      <w:spacing w:line="174"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B574A">
                          <w:pPr>
                            <w:pStyle w:val="8"/>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EFB574A">
                    <w:pPr>
                      <w:pStyle w:val="8"/>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DA371">
    <w:pPr>
      <w:spacing w:line="174" w:lineRule="auto"/>
      <w:ind w:left="4775"/>
      <w:rPr>
        <w:rFonts w:hint="default" w:ascii="Times New Roman" w:hAnsi="Times New Roman" w:eastAsia="Times New Roman" w:cs="Times New Roman"/>
        <w:sz w:val="18"/>
        <w:szCs w:val="18"/>
        <w:lang w:val="en-US"/>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3B446">
                          <w:pPr>
                            <w:pStyle w:val="8"/>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A93B446">
                    <w:pPr>
                      <w:pStyle w:val="8"/>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5C85B">
    <w:pPr>
      <w:pStyle w:val="8"/>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54160">
                          <w:pPr>
                            <w:pStyle w:val="8"/>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BB54160">
                    <w:pPr>
                      <w:pStyle w:val="8"/>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D1B72">
    <w:pPr>
      <w:pStyle w:val="8"/>
      <w:ind w:right="360"/>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40BBC">
                          <w:pPr>
                            <w:pStyle w:val="8"/>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31B40BBC">
                    <w:pPr>
                      <w:pStyle w:val="8"/>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AFA9A">
    <w:pPr>
      <w:spacing w:line="174"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EE1F0">
                          <w:pPr>
                            <w:pStyle w:val="8"/>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9EEE1F0">
                    <w:pPr>
                      <w:pStyle w:val="8"/>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5BB9E">
    <w:pPr>
      <w:spacing w:line="174" w:lineRule="auto"/>
      <w:ind w:left="477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C8361">
                          <w:pPr>
                            <w:pStyle w:val="8"/>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A7C8361">
                    <w:pPr>
                      <w:pStyle w:val="8"/>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989C">
    <w:pPr>
      <w:spacing w:line="174"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E5898">
                          <w:pPr>
                            <w:pStyle w:val="8"/>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52E5898">
                    <w:pPr>
                      <w:pStyle w:val="8"/>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B1254">
    <w:pPr>
      <w:spacing w:line="174" w:lineRule="auto"/>
      <w:ind w:left="47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87F25">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8287F25">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F4392">
    <w:pPr>
      <w:spacing w:line="174"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089FA">
                          <w:pPr>
                            <w:pStyle w:val="8"/>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CF089FA">
                    <w:pPr>
                      <w:pStyle w:val="8"/>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D8F5A">
    <w:pPr>
      <w:spacing w:line="174" w:lineRule="auto"/>
      <w:ind w:left="47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CE3D1">
                          <w:pPr>
                            <w:pStyle w:val="8"/>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DCCE3D1">
                    <w:pPr>
                      <w:pStyle w:val="8"/>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468C">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3EEBB">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903EEBB">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05854">
    <w:pPr>
      <w:spacing w:line="174" w:lineRule="auto"/>
      <w:ind w:left="4084"/>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F9D4A">
                          <w:pPr>
                            <w:pStyle w:val="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CBF9D4A">
                    <w:pPr>
                      <w:pStyle w:val="8"/>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C04F0">
    <w:pPr>
      <w:spacing w:line="174" w:lineRule="auto"/>
      <w:ind w:left="47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AC2B3">
                          <w:pPr>
                            <w:pStyle w:val="8"/>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C0AC2B3">
                    <w:pPr>
                      <w:pStyle w:val="8"/>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C2992">
    <w:pPr>
      <w:spacing w:line="174" w:lineRule="auto"/>
      <w:ind w:left="47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3C9C1">
                          <w:pPr>
                            <w:pStyle w:val="8"/>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4B3C9C1">
                    <w:pPr>
                      <w:pStyle w:val="8"/>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D3926">
    <w:pPr>
      <w:spacing w:line="174" w:lineRule="auto"/>
      <w:ind w:left="47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D9653">
                          <w:pPr>
                            <w:pStyle w:val="8"/>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DED9653">
                    <w:pPr>
                      <w:pStyle w:val="8"/>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A1593">
    <w:pPr>
      <w:spacing w:line="174" w:lineRule="auto"/>
      <w:ind w:left="47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463C4">
                          <w:pPr>
                            <w:pStyle w:val="8"/>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A9463C4">
                    <w:pPr>
                      <w:pStyle w:val="8"/>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FF0FE">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4FCFE">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450E6"/>
    <w:multiLevelType w:val="singleLevel"/>
    <w:tmpl w:val="C48450E6"/>
    <w:lvl w:ilvl="0" w:tentative="0">
      <w:start w:val="1"/>
      <w:numFmt w:val="decimal"/>
      <w:suff w:val="nothing"/>
      <w:lvlText w:val="%1、"/>
      <w:lvlJc w:val="left"/>
    </w:lvl>
  </w:abstractNum>
  <w:abstractNum w:abstractNumId="1">
    <w:nsid w:val="C8BBA133"/>
    <w:multiLevelType w:val="singleLevel"/>
    <w:tmpl w:val="C8BBA133"/>
    <w:lvl w:ilvl="0" w:tentative="0">
      <w:start w:val="1"/>
      <w:numFmt w:val="chineseCounting"/>
      <w:suff w:val="nothing"/>
      <w:lvlText w:val="%1、"/>
      <w:lvlJc w:val="left"/>
      <w:rPr>
        <w:rFonts w:hint="eastAsia"/>
      </w:rPr>
    </w:lvl>
  </w:abstractNum>
  <w:abstractNum w:abstractNumId="2">
    <w:nsid w:val="D6B72B05"/>
    <w:multiLevelType w:val="singleLevel"/>
    <w:tmpl w:val="D6B72B05"/>
    <w:lvl w:ilvl="0" w:tentative="0">
      <w:start w:val="4"/>
      <w:numFmt w:val="chineseCounting"/>
      <w:suff w:val="nothing"/>
      <w:lvlText w:val="%1、"/>
      <w:lvlJc w:val="left"/>
      <w:rPr>
        <w:rFonts w:hint="eastAsia"/>
      </w:rPr>
    </w:lvl>
  </w:abstractNum>
  <w:abstractNum w:abstractNumId="3">
    <w:nsid w:val="DC436637"/>
    <w:multiLevelType w:val="singleLevel"/>
    <w:tmpl w:val="DC436637"/>
    <w:lvl w:ilvl="0" w:tentative="0">
      <w:start w:val="1"/>
      <w:numFmt w:val="chineseCounting"/>
      <w:suff w:val="nothing"/>
      <w:lvlText w:val="%1、"/>
      <w:lvlJc w:val="left"/>
      <w:rPr>
        <w:rFonts w:hint="eastAsia"/>
      </w:rPr>
    </w:lvl>
  </w:abstractNum>
  <w:abstractNum w:abstractNumId="4">
    <w:nsid w:val="E6A15A3A"/>
    <w:multiLevelType w:val="singleLevel"/>
    <w:tmpl w:val="E6A15A3A"/>
    <w:lvl w:ilvl="0" w:tentative="0">
      <w:start w:val="1"/>
      <w:numFmt w:val="chineseCounting"/>
      <w:suff w:val="nothing"/>
      <w:lvlText w:val="%1、"/>
      <w:lvlJc w:val="left"/>
      <w:rPr>
        <w:rFonts w:hint="eastAsia"/>
      </w:rPr>
    </w:lvl>
  </w:abstractNum>
  <w:abstractNum w:abstractNumId="5">
    <w:nsid w:val="F59E4369"/>
    <w:multiLevelType w:val="singleLevel"/>
    <w:tmpl w:val="F59E4369"/>
    <w:lvl w:ilvl="0" w:tentative="0">
      <w:start w:val="1"/>
      <w:numFmt w:val="decimal"/>
      <w:suff w:val="nothing"/>
      <w:lvlText w:val="%1、"/>
      <w:lvlJc w:val="left"/>
    </w:lvl>
  </w:abstractNum>
  <w:abstractNum w:abstractNumId="6">
    <w:nsid w:val="FAD5924E"/>
    <w:multiLevelType w:val="singleLevel"/>
    <w:tmpl w:val="FAD5924E"/>
    <w:lvl w:ilvl="0" w:tentative="0">
      <w:start w:val="1"/>
      <w:numFmt w:val="chineseCounting"/>
      <w:suff w:val="nothing"/>
      <w:lvlText w:val="%1、"/>
      <w:lvlJc w:val="left"/>
      <w:rPr>
        <w:rFonts w:hint="eastAsia"/>
      </w:rPr>
    </w:lvl>
  </w:abstractNum>
  <w:abstractNum w:abstractNumId="7">
    <w:nsid w:val="04449432"/>
    <w:multiLevelType w:val="singleLevel"/>
    <w:tmpl w:val="04449432"/>
    <w:lvl w:ilvl="0" w:tentative="0">
      <w:start w:val="1"/>
      <w:numFmt w:val="chineseCounting"/>
      <w:suff w:val="nothing"/>
      <w:lvlText w:val="%1、"/>
      <w:lvlJc w:val="left"/>
      <w:rPr>
        <w:rFonts w:hint="eastAsia"/>
      </w:rPr>
    </w:lvl>
  </w:abstractNum>
  <w:abstractNum w:abstractNumId="8">
    <w:nsid w:val="0B216C71"/>
    <w:multiLevelType w:val="singleLevel"/>
    <w:tmpl w:val="0B216C71"/>
    <w:lvl w:ilvl="0" w:tentative="0">
      <w:start w:val="1"/>
      <w:numFmt w:val="decimal"/>
      <w:suff w:val="nothing"/>
      <w:lvlText w:val="%1、"/>
      <w:lvlJc w:val="left"/>
    </w:lvl>
  </w:abstractNum>
  <w:abstractNum w:abstractNumId="9">
    <w:nsid w:val="132E6FA9"/>
    <w:multiLevelType w:val="singleLevel"/>
    <w:tmpl w:val="132E6FA9"/>
    <w:lvl w:ilvl="0" w:tentative="0">
      <w:start w:val="1"/>
      <w:numFmt w:val="chineseCounting"/>
      <w:suff w:val="nothing"/>
      <w:lvlText w:val="%1、"/>
      <w:lvlJc w:val="left"/>
      <w:rPr>
        <w:rFonts w:hint="eastAsia"/>
      </w:rPr>
    </w:lvl>
  </w:abstractNum>
  <w:abstractNum w:abstractNumId="10">
    <w:nsid w:val="316A26D6"/>
    <w:multiLevelType w:val="singleLevel"/>
    <w:tmpl w:val="316A26D6"/>
    <w:lvl w:ilvl="0" w:tentative="0">
      <w:start w:val="1"/>
      <w:numFmt w:val="chineseCounting"/>
      <w:suff w:val="nothing"/>
      <w:lvlText w:val="%1、"/>
      <w:lvlJc w:val="left"/>
      <w:rPr>
        <w:rFonts w:hint="eastAsia"/>
      </w:rPr>
    </w:lvl>
  </w:abstractNum>
  <w:abstractNum w:abstractNumId="11">
    <w:nsid w:val="3356640C"/>
    <w:multiLevelType w:val="singleLevel"/>
    <w:tmpl w:val="3356640C"/>
    <w:lvl w:ilvl="0" w:tentative="0">
      <w:start w:val="1"/>
      <w:numFmt w:val="chineseCounting"/>
      <w:suff w:val="nothing"/>
      <w:lvlText w:val="%1、"/>
      <w:lvlJc w:val="left"/>
      <w:rPr>
        <w:rFonts w:hint="eastAsia"/>
      </w:rPr>
    </w:lvl>
  </w:abstractNum>
  <w:abstractNum w:abstractNumId="12">
    <w:nsid w:val="3CF32E0E"/>
    <w:multiLevelType w:val="singleLevel"/>
    <w:tmpl w:val="3CF32E0E"/>
    <w:lvl w:ilvl="0" w:tentative="0">
      <w:start w:val="1"/>
      <w:numFmt w:val="chineseCounting"/>
      <w:suff w:val="nothing"/>
      <w:lvlText w:val="%1、"/>
      <w:lvlJc w:val="left"/>
      <w:rPr>
        <w:rFonts w:hint="eastAsia"/>
      </w:rPr>
    </w:lvl>
  </w:abstractNum>
  <w:abstractNum w:abstractNumId="13">
    <w:nsid w:val="40550D67"/>
    <w:multiLevelType w:val="singleLevel"/>
    <w:tmpl w:val="40550D67"/>
    <w:lvl w:ilvl="0" w:tentative="0">
      <w:start w:val="1"/>
      <w:numFmt w:val="chineseCounting"/>
      <w:suff w:val="nothing"/>
      <w:lvlText w:val="%1、"/>
      <w:lvlJc w:val="left"/>
      <w:rPr>
        <w:rFonts w:hint="eastAsia"/>
      </w:rPr>
    </w:lvl>
  </w:abstractNum>
  <w:abstractNum w:abstractNumId="14">
    <w:nsid w:val="440B1069"/>
    <w:multiLevelType w:val="multilevel"/>
    <w:tmpl w:val="440B1069"/>
    <w:lvl w:ilvl="0" w:tentative="0">
      <w:start w:val="1"/>
      <w:numFmt w:val="japaneseCounting"/>
      <w:lvlText w:val="%1、"/>
      <w:lvlJc w:val="left"/>
      <w:pPr>
        <w:ind w:left="420" w:hanging="420"/>
      </w:pPr>
      <w:rPr>
        <w:rFonts w:asciiTheme="minorEastAsia" w:hAnsiTheme="minorEastAsia" w:eastAsiaTheme="minorEastAsia" w:cs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0FF4413"/>
    <w:multiLevelType w:val="singleLevel"/>
    <w:tmpl w:val="50FF4413"/>
    <w:lvl w:ilvl="0" w:tentative="0">
      <w:start w:val="1"/>
      <w:numFmt w:val="chineseCounting"/>
      <w:suff w:val="nothing"/>
      <w:lvlText w:val="%1、"/>
      <w:lvlJc w:val="left"/>
      <w:rPr>
        <w:rFonts w:hint="eastAsia"/>
      </w:rPr>
    </w:lvl>
  </w:abstractNum>
  <w:abstractNum w:abstractNumId="16">
    <w:nsid w:val="5B31B0A9"/>
    <w:multiLevelType w:val="singleLevel"/>
    <w:tmpl w:val="5B31B0A9"/>
    <w:lvl w:ilvl="0" w:tentative="0">
      <w:start w:val="1"/>
      <w:numFmt w:val="chineseCounting"/>
      <w:suff w:val="nothing"/>
      <w:lvlText w:val="%1、"/>
      <w:lvlJc w:val="left"/>
      <w:rPr>
        <w:rFonts w:hint="eastAsia"/>
      </w:rPr>
    </w:lvl>
  </w:abstractNum>
  <w:abstractNum w:abstractNumId="17">
    <w:nsid w:val="5EA50E6A"/>
    <w:multiLevelType w:val="singleLevel"/>
    <w:tmpl w:val="5EA50E6A"/>
    <w:lvl w:ilvl="0" w:tentative="0">
      <w:start w:val="1"/>
      <w:numFmt w:val="chineseCounting"/>
      <w:suff w:val="nothing"/>
      <w:lvlText w:val="%1、"/>
      <w:lvlJc w:val="left"/>
      <w:rPr>
        <w:rFonts w:hint="eastAsia"/>
      </w:rPr>
    </w:lvl>
  </w:abstractNum>
  <w:abstractNum w:abstractNumId="18">
    <w:nsid w:val="66526058"/>
    <w:multiLevelType w:val="singleLevel"/>
    <w:tmpl w:val="66526058"/>
    <w:lvl w:ilvl="0" w:tentative="0">
      <w:start w:val="1"/>
      <w:numFmt w:val="chineseCounting"/>
      <w:suff w:val="nothing"/>
      <w:lvlText w:val="%1、"/>
      <w:lvlJc w:val="left"/>
      <w:rPr>
        <w:rFonts w:hint="eastAsia"/>
      </w:rPr>
    </w:lvl>
  </w:abstractNum>
  <w:abstractNum w:abstractNumId="19">
    <w:nsid w:val="6ED957DF"/>
    <w:multiLevelType w:val="singleLevel"/>
    <w:tmpl w:val="6ED957DF"/>
    <w:lvl w:ilvl="0" w:tentative="0">
      <w:start w:val="1"/>
      <w:numFmt w:val="chineseCounting"/>
      <w:suff w:val="nothing"/>
      <w:lvlText w:val="%1、"/>
      <w:lvlJc w:val="left"/>
      <w:rPr>
        <w:rFonts w:hint="eastAsia"/>
      </w:rPr>
    </w:lvl>
  </w:abstractNum>
  <w:abstractNum w:abstractNumId="20">
    <w:nsid w:val="7B361F67"/>
    <w:multiLevelType w:val="singleLevel"/>
    <w:tmpl w:val="7B361F67"/>
    <w:lvl w:ilvl="0" w:tentative="0">
      <w:start w:val="1"/>
      <w:numFmt w:val="chineseCounting"/>
      <w:suff w:val="nothing"/>
      <w:lvlText w:val="%1、"/>
      <w:lvlJc w:val="left"/>
      <w:rPr>
        <w:rFonts w:hint="eastAsia"/>
      </w:rPr>
    </w:lvl>
  </w:abstractNum>
  <w:num w:numId="1">
    <w:abstractNumId w:val="2"/>
  </w:num>
  <w:num w:numId="2">
    <w:abstractNumId w:val="8"/>
  </w:num>
  <w:num w:numId="3">
    <w:abstractNumId w:val="12"/>
  </w:num>
  <w:num w:numId="4">
    <w:abstractNumId w:val="6"/>
  </w:num>
  <w:num w:numId="5">
    <w:abstractNumId w:val="0"/>
  </w:num>
  <w:num w:numId="6">
    <w:abstractNumId w:val="11"/>
  </w:num>
  <w:num w:numId="7">
    <w:abstractNumId w:val="16"/>
  </w:num>
  <w:num w:numId="8">
    <w:abstractNumId w:val="1"/>
  </w:num>
  <w:num w:numId="9">
    <w:abstractNumId w:val="5"/>
  </w:num>
  <w:num w:numId="10">
    <w:abstractNumId w:val="13"/>
  </w:num>
  <w:num w:numId="11">
    <w:abstractNumId w:val="9"/>
  </w:num>
  <w:num w:numId="12">
    <w:abstractNumId w:val="17"/>
  </w:num>
  <w:num w:numId="13">
    <w:abstractNumId w:val="10"/>
  </w:num>
  <w:num w:numId="14">
    <w:abstractNumId w:val="19"/>
  </w:num>
  <w:num w:numId="15">
    <w:abstractNumId w:val="4"/>
  </w:num>
  <w:num w:numId="16">
    <w:abstractNumId w:val="20"/>
  </w:num>
  <w:num w:numId="17">
    <w:abstractNumId w:val="3"/>
  </w:num>
  <w:num w:numId="18">
    <w:abstractNumId w:val="18"/>
  </w:num>
  <w:num w:numId="19">
    <w:abstractNumId w:val="14"/>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5E6966"/>
    <w:rsid w:val="00A04941"/>
    <w:rsid w:val="00CC2DC8"/>
    <w:rsid w:val="011E6AC0"/>
    <w:rsid w:val="01CE1437"/>
    <w:rsid w:val="01CF204E"/>
    <w:rsid w:val="01E925F2"/>
    <w:rsid w:val="0270061D"/>
    <w:rsid w:val="027C4D49"/>
    <w:rsid w:val="03DA1D0A"/>
    <w:rsid w:val="04636676"/>
    <w:rsid w:val="05D3625B"/>
    <w:rsid w:val="06465802"/>
    <w:rsid w:val="068E0A6B"/>
    <w:rsid w:val="06DF06A3"/>
    <w:rsid w:val="077027BF"/>
    <w:rsid w:val="079923C4"/>
    <w:rsid w:val="09652EA6"/>
    <w:rsid w:val="09A80A7A"/>
    <w:rsid w:val="09E11722"/>
    <w:rsid w:val="0A103ACD"/>
    <w:rsid w:val="0A885410"/>
    <w:rsid w:val="0AB96452"/>
    <w:rsid w:val="0BEB6F66"/>
    <w:rsid w:val="0D385F1B"/>
    <w:rsid w:val="0D687FEB"/>
    <w:rsid w:val="0D985DE3"/>
    <w:rsid w:val="0DC433D5"/>
    <w:rsid w:val="0E2B3022"/>
    <w:rsid w:val="0E8A2A67"/>
    <w:rsid w:val="0EE93278"/>
    <w:rsid w:val="0F801AB6"/>
    <w:rsid w:val="0F9705AA"/>
    <w:rsid w:val="10CF355A"/>
    <w:rsid w:val="10E24DDC"/>
    <w:rsid w:val="1356593D"/>
    <w:rsid w:val="14535FF1"/>
    <w:rsid w:val="14D0319D"/>
    <w:rsid w:val="14D92E0F"/>
    <w:rsid w:val="17994E39"/>
    <w:rsid w:val="17E458DD"/>
    <w:rsid w:val="18117D55"/>
    <w:rsid w:val="18536AB6"/>
    <w:rsid w:val="19044120"/>
    <w:rsid w:val="1977087A"/>
    <w:rsid w:val="19C86B39"/>
    <w:rsid w:val="1B2F50C2"/>
    <w:rsid w:val="1B8D3E49"/>
    <w:rsid w:val="1D8E3BF5"/>
    <w:rsid w:val="1E42510C"/>
    <w:rsid w:val="1EE00C7E"/>
    <w:rsid w:val="1F536EA5"/>
    <w:rsid w:val="204E5394"/>
    <w:rsid w:val="20B3627D"/>
    <w:rsid w:val="226715E5"/>
    <w:rsid w:val="229B0D12"/>
    <w:rsid w:val="23627247"/>
    <w:rsid w:val="239F090A"/>
    <w:rsid w:val="241537D4"/>
    <w:rsid w:val="249935AC"/>
    <w:rsid w:val="24A26904"/>
    <w:rsid w:val="268A58A2"/>
    <w:rsid w:val="27A209C9"/>
    <w:rsid w:val="284C26C7"/>
    <w:rsid w:val="28C037FD"/>
    <w:rsid w:val="293D4E4D"/>
    <w:rsid w:val="29C55A1A"/>
    <w:rsid w:val="29DD440B"/>
    <w:rsid w:val="29DE519F"/>
    <w:rsid w:val="2AB777F4"/>
    <w:rsid w:val="2ADD7247"/>
    <w:rsid w:val="2BF72714"/>
    <w:rsid w:val="2C60571E"/>
    <w:rsid w:val="2C78495C"/>
    <w:rsid w:val="2CD81CED"/>
    <w:rsid w:val="2EA81C8E"/>
    <w:rsid w:val="2EB27787"/>
    <w:rsid w:val="2FAF1ED5"/>
    <w:rsid w:val="306F4BA6"/>
    <w:rsid w:val="3150593A"/>
    <w:rsid w:val="317D4A68"/>
    <w:rsid w:val="31E115FB"/>
    <w:rsid w:val="32C6070D"/>
    <w:rsid w:val="32FD11AA"/>
    <w:rsid w:val="33932666"/>
    <w:rsid w:val="33D6116F"/>
    <w:rsid w:val="345F4AE7"/>
    <w:rsid w:val="34A9783B"/>
    <w:rsid w:val="35125BC6"/>
    <w:rsid w:val="3568190D"/>
    <w:rsid w:val="366E2D82"/>
    <w:rsid w:val="36CE2705"/>
    <w:rsid w:val="375B08D5"/>
    <w:rsid w:val="37B94FF5"/>
    <w:rsid w:val="39E67BB8"/>
    <w:rsid w:val="3A0472C2"/>
    <w:rsid w:val="3A405930"/>
    <w:rsid w:val="3A5904F2"/>
    <w:rsid w:val="3B2B74FF"/>
    <w:rsid w:val="3C057493"/>
    <w:rsid w:val="3E9C5D1B"/>
    <w:rsid w:val="3F0A537A"/>
    <w:rsid w:val="3F193A6C"/>
    <w:rsid w:val="3F704414"/>
    <w:rsid w:val="3FDE03B7"/>
    <w:rsid w:val="40CB36A1"/>
    <w:rsid w:val="40D82C46"/>
    <w:rsid w:val="416F0EAD"/>
    <w:rsid w:val="41C04648"/>
    <w:rsid w:val="42157E73"/>
    <w:rsid w:val="42456215"/>
    <w:rsid w:val="42641CF1"/>
    <w:rsid w:val="42F8373B"/>
    <w:rsid w:val="43677618"/>
    <w:rsid w:val="44957494"/>
    <w:rsid w:val="44A77282"/>
    <w:rsid w:val="45C61A92"/>
    <w:rsid w:val="46CD1095"/>
    <w:rsid w:val="48AD4B08"/>
    <w:rsid w:val="48DF33D4"/>
    <w:rsid w:val="497C7137"/>
    <w:rsid w:val="4A1672C9"/>
    <w:rsid w:val="4AB42243"/>
    <w:rsid w:val="4AFB2C2E"/>
    <w:rsid w:val="4B1233AB"/>
    <w:rsid w:val="4B251DC4"/>
    <w:rsid w:val="4B92297F"/>
    <w:rsid w:val="4BD55311"/>
    <w:rsid w:val="4C5573A0"/>
    <w:rsid w:val="4D6B792C"/>
    <w:rsid w:val="4EB13363"/>
    <w:rsid w:val="4EE63268"/>
    <w:rsid w:val="4F123DE0"/>
    <w:rsid w:val="4FAA2183"/>
    <w:rsid w:val="51E37A7B"/>
    <w:rsid w:val="52D03D8D"/>
    <w:rsid w:val="53530C46"/>
    <w:rsid w:val="53B17155"/>
    <w:rsid w:val="53BE3697"/>
    <w:rsid w:val="54F22D84"/>
    <w:rsid w:val="56937008"/>
    <w:rsid w:val="5850008B"/>
    <w:rsid w:val="589866DF"/>
    <w:rsid w:val="58C16F8A"/>
    <w:rsid w:val="590E1043"/>
    <w:rsid w:val="5A905912"/>
    <w:rsid w:val="5C7E7896"/>
    <w:rsid w:val="5D531025"/>
    <w:rsid w:val="5D537A94"/>
    <w:rsid w:val="5FE60FEE"/>
    <w:rsid w:val="60412140"/>
    <w:rsid w:val="61A22D98"/>
    <w:rsid w:val="64BC418C"/>
    <w:rsid w:val="663A283E"/>
    <w:rsid w:val="664D59C9"/>
    <w:rsid w:val="66831704"/>
    <w:rsid w:val="671A14C9"/>
    <w:rsid w:val="673C6C4C"/>
    <w:rsid w:val="676431BB"/>
    <w:rsid w:val="684E6973"/>
    <w:rsid w:val="68AD0406"/>
    <w:rsid w:val="6B2D2B4B"/>
    <w:rsid w:val="6B3E3B32"/>
    <w:rsid w:val="6C473645"/>
    <w:rsid w:val="6CDF23A1"/>
    <w:rsid w:val="6CF11C19"/>
    <w:rsid w:val="6D556540"/>
    <w:rsid w:val="6DF37070"/>
    <w:rsid w:val="6E093AB6"/>
    <w:rsid w:val="6E7F065C"/>
    <w:rsid w:val="6F36229B"/>
    <w:rsid w:val="6F74157E"/>
    <w:rsid w:val="6FB50862"/>
    <w:rsid w:val="706D003E"/>
    <w:rsid w:val="708807CB"/>
    <w:rsid w:val="70F23D6E"/>
    <w:rsid w:val="715C7AC9"/>
    <w:rsid w:val="719E7E95"/>
    <w:rsid w:val="72473C14"/>
    <w:rsid w:val="73CF693E"/>
    <w:rsid w:val="749E48AB"/>
    <w:rsid w:val="759725CE"/>
    <w:rsid w:val="76137F8C"/>
    <w:rsid w:val="76A038F3"/>
    <w:rsid w:val="78252301"/>
    <w:rsid w:val="78DC47C4"/>
    <w:rsid w:val="790979A8"/>
    <w:rsid w:val="7B576E5D"/>
    <w:rsid w:val="7BF50268"/>
    <w:rsid w:val="7C5E0B04"/>
    <w:rsid w:val="7D6531A0"/>
    <w:rsid w:val="7DAA2A29"/>
    <w:rsid w:val="7E5F22E5"/>
    <w:rsid w:val="7FC92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rFonts w:hAnsi="宋体"/>
      <w:b/>
      <w:bCs/>
      <w:sz w:val="32"/>
      <w:szCs w:val="32"/>
    </w:rPr>
  </w:style>
  <w:style w:type="character" w:default="1" w:styleId="15">
    <w:name w:val="Default Paragraph Font"/>
    <w:semiHidden/>
    <w:qFormat/>
    <w:uiPriority w:val="0"/>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微软雅黑" w:hAnsi="微软雅黑" w:eastAsia="微软雅黑" w:cs="微软雅黑"/>
      <w:sz w:val="32"/>
      <w:szCs w:val="32"/>
      <w:lang w:val="en-US" w:eastAsia="en-US" w:bidi="ar-SA"/>
    </w:rPr>
  </w:style>
  <w:style w:type="paragraph" w:styleId="5">
    <w:name w:val="Body Text Indent"/>
    <w:basedOn w:val="1"/>
    <w:next w:val="6"/>
    <w:qFormat/>
    <w:uiPriority w:val="0"/>
    <w:pPr>
      <w:ind w:firstLine="630"/>
    </w:pPr>
    <w:rPr>
      <w:rFonts w:ascii="Calibri" w:hAnsi="Calibri" w:eastAsia="楷体_GB2312" w:cs="Times New Roman"/>
      <w:kern w:val="0"/>
      <w:sz w:val="30"/>
    </w:rPr>
  </w:style>
  <w:style w:type="paragraph" w:styleId="6">
    <w:name w:val="Normal (Web)"/>
    <w:basedOn w:val="1"/>
    <w:next w:val="1"/>
    <w:qFormat/>
    <w:uiPriority w:val="99"/>
    <w:pPr>
      <w:widowControl/>
      <w:spacing w:before="100" w:beforeAutospacing="1" w:after="100" w:afterAutospacing="1"/>
      <w:jc w:val="left"/>
    </w:pPr>
    <w:rPr>
      <w:rFonts w:ascii="宋体" w:hAnsi="宋体"/>
      <w:kern w:val="0"/>
      <w:sz w:val="24"/>
    </w:rPr>
  </w:style>
  <w:style w:type="paragraph" w:styleId="7">
    <w:name w:val="toc 3"/>
    <w:basedOn w:val="1"/>
    <w:next w:val="1"/>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envelope return"/>
    <w:basedOn w:val="1"/>
    <w:qFormat/>
    <w:uiPriority w:val="0"/>
    <w:pPr>
      <w:spacing w:line="360" w:lineRule="auto"/>
    </w:pPr>
    <w:rPr>
      <w:rFonts w:ascii="Arial" w:hAnsi="Arial" w:cs="Arial"/>
    </w:rPr>
  </w:style>
  <w:style w:type="paragraph" w:styleId="10">
    <w:name w:val="toc 1"/>
    <w:basedOn w:val="1"/>
    <w:next w:val="1"/>
    <w:uiPriority w:val="0"/>
  </w:style>
  <w:style w:type="paragraph" w:styleId="11">
    <w:name w:val="Body Text First Indent 2"/>
    <w:basedOn w:val="5"/>
    <w:next w:val="12"/>
    <w:qFormat/>
    <w:uiPriority w:val="0"/>
    <w:pPr>
      <w:spacing w:after="120"/>
      <w:ind w:left="420" w:leftChars="200" w:firstLine="420" w:firstLineChars="200"/>
    </w:pPr>
    <w:rPr>
      <w:rFonts w:ascii="Times New Roman" w:hAnsi="Times New Roman" w:eastAsia="宋体" w:cs="Times New Roman"/>
      <w:sz w:val="21"/>
      <w:lang w:val="en-US" w:eastAsia="zh-CN"/>
    </w:rPr>
  </w:style>
  <w:style w:type="paragraph" w:customStyle="1" w:styleId="12">
    <w:name w:val="样式 正文首行缩进 2 + Arial"/>
    <w:next w:val="1"/>
    <w:qFormat/>
    <w:uiPriority w:val="0"/>
    <w:pPr>
      <w:spacing w:after="120" w:line="320" w:lineRule="atLeast"/>
      <w:ind w:firstLine="200" w:firstLineChars="200"/>
    </w:pPr>
    <w:rPr>
      <w:rFonts w:ascii="Arial" w:hAnsi="Arial" w:eastAsia="宋体" w:cs="Times New Roman"/>
      <w:lang w:val="en-US" w:eastAsia="zh-CN" w:bidi="ar-SA"/>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新宋体" w:hAnsi="新宋体" w:eastAsia="新宋体" w:cs="新宋体"/>
      <w:sz w:val="24"/>
      <w:szCs w:val="24"/>
      <w:lang w:val="en-US" w:eastAsia="en-US" w:bidi="ar-SA"/>
    </w:rPr>
  </w:style>
  <w:style w:type="paragraph" w:customStyle="1" w:styleId="18">
    <w:name w:val="引言二级条标题"/>
    <w:basedOn w:val="19"/>
    <w:next w:val="20"/>
    <w:qFormat/>
    <w:uiPriority w:val="99"/>
    <w:pPr>
      <w:tabs>
        <w:tab w:val="left" w:pos="1140"/>
      </w:tabs>
    </w:pPr>
  </w:style>
  <w:style w:type="paragraph" w:customStyle="1" w:styleId="19">
    <w:name w:val="引言一级条标题"/>
    <w:basedOn w:val="1"/>
    <w:next w:val="20"/>
    <w:qFormat/>
    <w:uiPriority w:val="99"/>
    <w:pPr>
      <w:widowControl/>
      <w:tabs>
        <w:tab w:val="left" w:pos="1140"/>
      </w:tabs>
    </w:pPr>
    <w:rPr>
      <w:rFonts w:eastAsia="黑体"/>
      <w:b/>
      <w:bCs/>
      <w:szCs w:val="21"/>
    </w:rPr>
  </w:style>
  <w:style w:type="paragraph" w:customStyle="1" w:styleId="20">
    <w:name w:val="段"/>
    <w:qFormat/>
    <w:uiPriority w:val="99"/>
    <w:pPr>
      <w:ind w:firstLine="200" w:firstLineChars="200"/>
      <w:jc w:val="both"/>
    </w:pPr>
    <w:rPr>
      <w:rFonts w:ascii="宋体" w:hAnsi="Times New Roman" w:eastAsia="宋体" w:cs="Times New Roman"/>
      <w:kern w:val="2"/>
      <w:sz w:val="21"/>
      <w:szCs w:val="21"/>
      <w:lang w:val="en-US" w:eastAsia="zh-CN" w:bidi="ar-SA"/>
    </w:rPr>
  </w:style>
  <w:style w:type="paragraph" w:customStyle="1" w:styleId="21">
    <w:name w:val="正文缩进1"/>
    <w:basedOn w:val="1"/>
    <w:qFormat/>
    <w:uiPriority w:val="0"/>
    <w:pPr>
      <w:ind w:firstLine="420"/>
    </w:pPr>
    <w:rPr>
      <w:rFonts w:ascii="Times New Roman" w:hAnsi="Times New Roman"/>
      <w:szCs w:val="20"/>
    </w:rPr>
  </w:style>
  <w:style w:type="paragraph" w:customStyle="1" w:styleId="22">
    <w:name w:val="标题 3 New"/>
    <w:basedOn w:val="1"/>
    <w:next w:val="1"/>
    <w:qFormat/>
    <w:uiPriority w:val="0"/>
    <w:pPr>
      <w:keepNext/>
      <w:keepLines/>
      <w:spacing w:before="260" w:after="260" w:line="413" w:lineRule="auto"/>
      <w:outlineLvl w:val="2"/>
    </w:pPr>
    <w:rPr>
      <w:rFonts w:ascii="Times New Roman" w:hAnsi="Times New Roman" w:eastAsia="宋体" w:cs="Times New Roman"/>
      <w:b/>
      <w:bCs/>
      <w:sz w:val="32"/>
      <w:szCs w:val="32"/>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2.png"/><Relationship Id="rId4" Type="http://schemas.openxmlformats.org/officeDocument/2006/relationships/endnotes" Target="endnotes.xml"/><Relationship Id="rId39" Type="http://schemas.openxmlformats.org/officeDocument/2006/relationships/image" Target="media/image1.png"/><Relationship Id="rId38" Type="http://schemas.openxmlformats.org/officeDocument/2006/relationships/theme" Target="theme/theme1.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111</Pages>
  <Words>6071</Words>
  <Characters>6626</Characters>
  <TotalTime>2</TotalTime>
  <ScaleCrop>false</ScaleCrop>
  <LinksUpToDate>false</LinksUpToDate>
  <CharactersWithSpaces>6899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2024-11-19T09:08:00Z</dcterms:created>
  <dc:creator>Administrator</dc:creator>
  <cp:lastModifiedBy>猫猫晒太阳哦</cp:lastModifiedBy>
  <cp:lastPrinted>2025-06-25T03:50:00Z</cp:lastPrinted>
  <dcterms:modified xsi:type="dcterms:W3CDTF">2025-06-25T11:43:59Z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2025-04-16T17:13:02Z</vt:filetime>
  </property>
  <property fmtid="{D5CDD505-2E9C-101B-9397-08002B2CF9AE}" pid="4" name="KSOTemplateDocerSaveRecord">
    <vt:lpwstr>eyJoZGlkIjoiYjdmNDQwOWM2ZWE4NzgxOWVhNjRiYmY0MTQ4Yzk3NTEiLCJ1c2VySWQiOiI1Nzk5ODg4NzYifQ==</vt:lpwstr>
  </property>
  <property fmtid="{D5CDD505-2E9C-101B-9397-08002B2CF9AE}" pid="5" name="KSOProductBuildVer">
    <vt:lpwstr>2052-12.1.0.21541</vt:lpwstr>
  </property>
  <property fmtid="{D5CDD505-2E9C-101B-9397-08002B2CF9AE}" pid="6" name="ICV">
    <vt:lpwstr>157A434CD7314806A5C574CAC2E9549D_12</vt:lpwstr>
  </property>
</Properties>
</file>