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F434B">
      <w:pPr>
        <w:bidi w:val="0"/>
        <w:rPr>
          <w:rFonts w:hint="eastAsia" w:ascii="宋体" w:hAnsi="宋体" w:eastAsia="宋体" w:cs="宋体"/>
          <w:color w:val="auto"/>
          <w:highlight w:val="none"/>
          <w:lang w:eastAsia="zh-CN"/>
        </w:rPr>
      </w:pPr>
    </w:p>
    <w:p w14:paraId="0A0926F9">
      <w:pPr>
        <w:pageBreakBefore w:val="0"/>
        <w:tabs>
          <w:tab w:val="left" w:pos="1134"/>
          <w:tab w:val="left" w:pos="5481"/>
          <w:tab w:val="left" w:pos="5859"/>
        </w:tabs>
        <w:kinsoku/>
        <w:wordWrap/>
        <w:overflowPunct/>
        <w:topLinePunct w:val="0"/>
        <w:bidi w:val="0"/>
        <w:jc w:val="center"/>
        <w:rPr>
          <w:rFonts w:hint="eastAsia" w:ascii="宋体" w:hAnsi="宋体" w:eastAsia="宋体" w:cs="宋体"/>
          <w:b/>
          <w:bCs/>
          <w:color w:val="auto"/>
          <w:spacing w:val="0"/>
          <w:position w:val="0"/>
          <w:sz w:val="96"/>
          <w:szCs w:val="96"/>
          <w:highlight w:val="none"/>
          <w:lang w:eastAsia="zh-CN"/>
        </w:rPr>
      </w:pPr>
      <w:r>
        <w:rPr>
          <w:rFonts w:hint="eastAsia" w:ascii="宋体" w:hAnsi="宋体" w:eastAsia="宋体" w:cs="宋体"/>
          <w:b/>
          <w:bCs/>
          <w:color w:val="auto"/>
          <w:spacing w:val="0"/>
          <w:position w:val="0"/>
          <w:sz w:val="96"/>
          <w:szCs w:val="96"/>
          <w:highlight w:val="none"/>
          <w:lang w:eastAsia="zh-CN"/>
        </w:rPr>
        <w:t>政府采购</w:t>
      </w:r>
    </w:p>
    <w:p w14:paraId="6FBCE113">
      <w:pPr>
        <w:pageBreakBefore w:val="0"/>
        <w:tabs>
          <w:tab w:val="left" w:pos="1134"/>
          <w:tab w:val="left" w:pos="5481"/>
          <w:tab w:val="left" w:pos="5859"/>
        </w:tabs>
        <w:kinsoku/>
        <w:wordWrap/>
        <w:overflowPunct/>
        <w:topLinePunct w:val="0"/>
        <w:bidi w:val="0"/>
        <w:jc w:val="center"/>
        <w:rPr>
          <w:rFonts w:hint="eastAsia" w:ascii="宋体" w:hAnsi="宋体" w:eastAsia="宋体" w:cs="宋体"/>
          <w:b/>
          <w:bCs/>
          <w:color w:val="auto"/>
          <w:spacing w:val="0"/>
          <w:position w:val="0"/>
          <w:sz w:val="96"/>
          <w:szCs w:val="96"/>
          <w:highlight w:val="none"/>
        </w:rPr>
      </w:pPr>
      <w:r>
        <w:rPr>
          <w:rFonts w:hint="eastAsia" w:ascii="宋体" w:hAnsi="宋体" w:eastAsia="宋体" w:cs="宋体"/>
          <w:b/>
          <w:bCs/>
          <w:color w:val="auto"/>
          <w:spacing w:val="0"/>
          <w:position w:val="0"/>
          <w:sz w:val="96"/>
          <w:szCs w:val="96"/>
          <w:highlight w:val="none"/>
          <w:lang w:eastAsia="zh-CN"/>
        </w:rPr>
        <w:t>公开招标</w:t>
      </w:r>
      <w:r>
        <w:rPr>
          <w:rFonts w:hint="eastAsia" w:ascii="宋体" w:hAnsi="宋体" w:eastAsia="宋体" w:cs="宋体"/>
          <w:b/>
          <w:bCs/>
          <w:color w:val="auto"/>
          <w:spacing w:val="0"/>
          <w:position w:val="0"/>
          <w:sz w:val="96"/>
          <w:szCs w:val="96"/>
          <w:highlight w:val="none"/>
        </w:rPr>
        <w:t>文件</w:t>
      </w:r>
    </w:p>
    <w:p w14:paraId="567026A7">
      <w:pPr>
        <w:pStyle w:val="29"/>
        <w:pageBreakBefore w:val="0"/>
        <w:kinsoku/>
        <w:wordWrap/>
        <w:overflowPunct/>
        <w:topLinePunct w:val="0"/>
        <w:bidi w:val="0"/>
        <w:spacing w:line="480" w:lineRule="auto"/>
        <w:rPr>
          <w:rFonts w:hint="eastAsia" w:ascii="宋体" w:hAnsi="宋体" w:eastAsia="宋体" w:cs="宋体"/>
          <w:b/>
          <w:bCs/>
          <w:color w:val="auto"/>
          <w:spacing w:val="0"/>
          <w:position w:val="0"/>
          <w:sz w:val="28"/>
          <w:szCs w:val="28"/>
          <w:highlight w:val="none"/>
          <w:lang w:eastAsia="zh-CN"/>
        </w:rPr>
      </w:pPr>
    </w:p>
    <w:p w14:paraId="3DF8357B">
      <w:pPr>
        <w:pStyle w:val="29"/>
        <w:pageBreakBefore w:val="0"/>
        <w:kinsoku/>
        <w:wordWrap/>
        <w:overflowPunct/>
        <w:topLinePunct w:val="0"/>
        <w:bidi w:val="0"/>
        <w:spacing w:line="480" w:lineRule="auto"/>
        <w:rPr>
          <w:rFonts w:hint="eastAsia" w:ascii="宋体" w:hAnsi="宋体" w:eastAsia="宋体" w:cs="宋体"/>
          <w:b/>
          <w:bCs/>
          <w:color w:val="auto"/>
          <w:spacing w:val="0"/>
          <w:position w:val="0"/>
          <w:sz w:val="28"/>
          <w:szCs w:val="28"/>
          <w:highlight w:val="none"/>
          <w:lang w:eastAsia="zh-CN"/>
        </w:rPr>
      </w:pPr>
      <w:r>
        <w:rPr>
          <w:rFonts w:hint="eastAsia" w:ascii="宋体" w:hAnsi="宋体" w:eastAsia="宋体" w:cs="宋体"/>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1746250</wp:posOffset>
            </wp:positionH>
            <wp:positionV relativeFrom="paragraph">
              <wp:posOffset>76835</wp:posOffset>
            </wp:positionV>
            <wp:extent cx="2305050" cy="1809750"/>
            <wp:effectExtent l="0" t="0" r="0" b="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1"/>
                    <a:stretch>
                      <a:fillRect/>
                    </a:stretch>
                  </pic:blipFill>
                  <pic:spPr>
                    <a:xfrm>
                      <a:off x="0" y="0"/>
                      <a:ext cx="2305050" cy="1809750"/>
                    </a:xfrm>
                    <a:prstGeom prst="rect">
                      <a:avLst/>
                    </a:prstGeom>
                    <a:noFill/>
                    <a:ln>
                      <a:noFill/>
                    </a:ln>
                  </pic:spPr>
                </pic:pic>
              </a:graphicData>
            </a:graphic>
          </wp:anchor>
        </w:drawing>
      </w:r>
    </w:p>
    <w:p w14:paraId="2FBBF90A">
      <w:pPr>
        <w:pStyle w:val="22"/>
        <w:pageBreakBefore w:val="0"/>
        <w:kinsoku/>
        <w:wordWrap/>
        <w:overflowPunct/>
        <w:topLinePunct w:val="0"/>
        <w:bidi w:val="0"/>
        <w:spacing w:line="360" w:lineRule="auto"/>
        <w:ind w:firstLine="723" w:firstLineChars="300"/>
        <w:rPr>
          <w:rFonts w:hint="eastAsia" w:ascii="宋体" w:hAnsi="宋体" w:eastAsia="宋体" w:cs="宋体"/>
          <w:b/>
          <w:bCs/>
          <w:color w:val="auto"/>
          <w:spacing w:val="0"/>
          <w:position w:val="0"/>
          <w:highlight w:val="none"/>
        </w:rPr>
      </w:pPr>
    </w:p>
    <w:p w14:paraId="2FFFD638">
      <w:pPr>
        <w:pStyle w:val="22"/>
        <w:pageBreakBefore w:val="0"/>
        <w:kinsoku/>
        <w:wordWrap/>
        <w:overflowPunct/>
        <w:topLinePunct w:val="0"/>
        <w:bidi w:val="0"/>
        <w:spacing w:line="360" w:lineRule="auto"/>
        <w:ind w:firstLine="723" w:firstLineChars="300"/>
        <w:rPr>
          <w:rFonts w:hint="eastAsia" w:ascii="宋体" w:hAnsi="宋体" w:eastAsia="宋体" w:cs="宋体"/>
          <w:b/>
          <w:bCs/>
          <w:color w:val="auto"/>
          <w:spacing w:val="0"/>
          <w:position w:val="0"/>
          <w:highlight w:val="none"/>
        </w:rPr>
      </w:pPr>
    </w:p>
    <w:p w14:paraId="03A6B29F">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highlight w:val="none"/>
          <w:lang w:eastAsia="zh-CN"/>
        </w:rPr>
      </w:pPr>
    </w:p>
    <w:p w14:paraId="1F3E9834">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28"/>
          <w:szCs w:val="28"/>
          <w:highlight w:val="none"/>
          <w:lang w:eastAsia="zh-CN"/>
        </w:rPr>
      </w:pPr>
    </w:p>
    <w:p w14:paraId="59E95948">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28"/>
          <w:szCs w:val="28"/>
          <w:highlight w:val="none"/>
          <w:lang w:eastAsia="zh-CN"/>
        </w:rPr>
      </w:pPr>
    </w:p>
    <w:p w14:paraId="5A168EE0">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32"/>
          <w:szCs w:val="32"/>
          <w:highlight w:val="none"/>
          <w:lang w:eastAsia="zh-CN"/>
        </w:rPr>
      </w:pPr>
    </w:p>
    <w:p w14:paraId="66405CA7">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b/>
          <w:bCs/>
          <w:color w:val="auto"/>
          <w:spacing w:val="0"/>
          <w:position w:val="0"/>
          <w:sz w:val="32"/>
          <w:szCs w:val="32"/>
          <w:highlight w:val="none"/>
          <w:lang w:eastAsia="zh-CN"/>
        </w:rPr>
        <w:t>项目名称：新疆维吾尔自治区总工会协同办公平台采购项目</w:t>
      </w:r>
    </w:p>
    <w:p w14:paraId="066BE691">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32"/>
          <w:szCs w:val="32"/>
          <w:highlight w:val="none"/>
          <w:lang w:eastAsia="zh-CN"/>
        </w:rPr>
      </w:pPr>
    </w:p>
    <w:p w14:paraId="23DC9AD9">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b/>
          <w:bCs/>
          <w:color w:val="auto"/>
          <w:spacing w:val="0"/>
          <w:position w:val="0"/>
          <w:sz w:val="32"/>
          <w:szCs w:val="32"/>
          <w:highlight w:val="none"/>
          <w:lang w:eastAsia="zh-CN"/>
        </w:rPr>
        <w:t>招标编号：XJCC-ZB-2025-124-01</w:t>
      </w:r>
    </w:p>
    <w:p w14:paraId="022C66C8">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32"/>
          <w:szCs w:val="32"/>
          <w:highlight w:val="none"/>
        </w:rPr>
      </w:pPr>
    </w:p>
    <w:p w14:paraId="5E7B1BC5">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b/>
          <w:bCs/>
          <w:color w:val="auto"/>
          <w:spacing w:val="0"/>
          <w:position w:val="0"/>
          <w:sz w:val="32"/>
          <w:szCs w:val="32"/>
          <w:highlight w:val="none"/>
        </w:rPr>
        <w:t>采购人</w:t>
      </w:r>
      <w:r>
        <w:rPr>
          <w:rFonts w:hint="eastAsia" w:ascii="宋体" w:hAnsi="宋体" w:eastAsia="宋体" w:cs="宋体"/>
          <w:b/>
          <w:bCs/>
          <w:color w:val="auto"/>
          <w:spacing w:val="0"/>
          <w:position w:val="0"/>
          <w:sz w:val="32"/>
          <w:szCs w:val="32"/>
          <w:highlight w:val="none"/>
          <w:lang w:eastAsia="zh-CN"/>
        </w:rPr>
        <w:t>（盖章）</w:t>
      </w:r>
      <w:r>
        <w:rPr>
          <w:rFonts w:hint="eastAsia" w:ascii="宋体" w:hAnsi="宋体" w:eastAsia="宋体" w:cs="宋体"/>
          <w:b/>
          <w:bCs/>
          <w:color w:val="auto"/>
          <w:spacing w:val="0"/>
          <w:position w:val="0"/>
          <w:sz w:val="32"/>
          <w:szCs w:val="32"/>
          <w:highlight w:val="none"/>
        </w:rPr>
        <w:t>：</w:t>
      </w:r>
      <w:r>
        <w:rPr>
          <w:rFonts w:hint="eastAsia" w:ascii="宋体" w:hAnsi="宋体" w:eastAsia="宋体" w:cs="宋体"/>
          <w:b/>
          <w:bCs/>
          <w:color w:val="auto"/>
          <w:spacing w:val="0"/>
          <w:position w:val="0"/>
          <w:sz w:val="32"/>
          <w:szCs w:val="32"/>
          <w:highlight w:val="none"/>
          <w:lang w:val="en-US" w:eastAsia="zh-CN"/>
        </w:rPr>
        <w:t xml:space="preserve"> 新疆维吾尔自治区总工会</w:t>
      </w:r>
    </w:p>
    <w:p w14:paraId="53E7BB48">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32"/>
          <w:szCs w:val="32"/>
          <w:highlight w:val="none"/>
        </w:rPr>
      </w:pPr>
    </w:p>
    <w:p w14:paraId="6C74BF7F">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32"/>
          <w:szCs w:val="32"/>
          <w:highlight w:val="none"/>
          <w:u w:val="single"/>
          <w:lang w:eastAsia="zh-CN"/>
        </w:rPr>
      </w:pPr>
      <w:r>
        <w:rPr>
          <w:rFonts w:hint="eastAsia" w:ascii="宋体" w:hAnsi="宋体" w:eastAsia="宋体" w:cs="宋体"/>
          <w:b/>
          <w:bCs/>
          <w:color w:val="auto"/>
          <w:spacing w:val="0"/>
          <w:position w:val="0"/>
          <w:sz w:val="32"/>
          <w:szCs w:val="32"/>
          <w:highlight w:val="none"/>
        </w:rPr>
        <w:t>采购代理机构</w:t>
      </w:r>
      <w:r>
        <w:rPr>
          <w:rFonts w:hint="eastAsia" w:ascii="宋体" w:hAnsi="宋体" w:eastAsia="宋体" w:cs="宋体"/>
          <w:b/>
          <w:bCs/>
          <w:color w:val="auto"/>
          <w:spacing w:val="0"/>
          <w:position w:val="0"/>
          <w:sz w:val="32"/>
          <w:szCs w:val="32"/>
          <w:highlight w:val="none"/>
          <w:lang w:eastAsia="zh-CN"/>
        </w:rPr>
        <w:t>（盖章）</w:t>
      </w:r>
      <w:r>
        <w:rPr>
          <w:rFonts w:hint="eastAsia" w:ascii="宋体" w:hAnsi="宋体" w:eastAsia="宋体" w:cs="宋体"/>
          <w:b/>
          <w:bCs/>
          <w:color w:val="auto"/>
          <w:spacing w:val="0"/>
          <w:position w:val="0"/>
          <w:sz w:val="32"/>
          <w:szCs w:val="32"/>
          <w:highlight w:val="none"/>
        </w:rPr>
        <w:t>：</w:t>
      </w:r>
      <w:r>
        <w:rPr>
          <w:rFonts w:hint="eastAsia" w:ascii="宋体" w:hAnsi="宋体" w:eastAsia="宋体" w:cs="宋体"/>
          <w:b/>
          <w:bCs/>
          <w:color w:val="auto"/>
          <w:spacing w:val="0"/>
          <w:position w:val="0"/>
          <w:sz w:val="32"/>
          <w:szCs w:val="32"/>
          <w:highlight w:val="none"/>
          <w:lang w:eastAsia="zh-CN"/>
        </w:rPr>
        <w:t>新疆诚成工程项目管理有限公司</w:t>
      </w:r>
    </w:p>
    <w:p w14:paraId="4222F241">
      <w:pPr>
        <w:pStyle w:val="22"/>
        <w:spacing w:line="240" w:lineRule="auto"/>
        <w:ind w:left="0" w:leftChars="0" w:firstLine="0" w:firstLineChars="0"/>
        <w:jc w:val="left"/>
        <w:rPr>
          <w:rFonts w:hint="eastAsia" w:ascii="宋体" w:hAnsi="宋体" w:eastAsia="宋体" w:cs="宋体"/>
          <w:b/>
          <w:bCs/>
          <w:color w:val="auto"/>
          <w:spacing w:val="0"/>
          <w:position w:val="0"/>
          <w:sz w:val="32"/>
          <w:szCs w:val="32"/>
          <w:highlight w:val="none"/>
        </w:rPr>
      </w:pPr>
    </w:p>
    <w:p w14:paraId="37555912">
      <w:pPr>
        <w:pStyle w:val="22"/>
        <w:spacing w:line="240" w:lineRule="auto"/>
        <w:ind w:left="0" w:leftChars="0" w:firstLine="0" w:firstLineChars="0"/>
        <w:jc w:val="left"/>
        <w:rPr>
          <w:rFonts w:hint="eastAsia" w:ascii="宋体" w:hAnsi="宋体" w:eastAsia="宋体" w:cs="宋体"/>
          <w:b/>
          <w:bCs/>
          <w:color w:val="auto"/>
          <w:spacing w:val="0"/>
          <w:position w:val="0"/>
          <w:sz w:val="32"/>
          <w:szCs w:val="32"/>
          <w:highlight w:val="none"/>
        </w:rPr>
      </w:pPr>
    </w:p>
    <w:p w14:paraId="1DAB1280">
      <w:pPr>
        <w:pStyle w:val="22"/>
        <w:spacing w:line="240" w:lineRule="auto"/>
        <w:ind w:left="0" w:leftChars="0" w:firstLine="0" w:firstLineChars="0"/>
        <w:jc w:val="center"/>
        <w:rPr>
          <w:rFonts w:hint="eastAsia"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32"/>
          <w:szCs w:val="32"/>
          <w:highlight w:val="none"/>
        </w:rPr>
        <w:t>日期：</w:t>
      </w:r>
      <w:bookmarkStart w:id="0" w:name="EBad5fb9b79797401bae5ba8a0a3b3cb20"/>
      <w:r>
        <w:rPr>
          <w:rFonts w:hint="eastAsia" w:ascii="宋体" w:hAnsi="宋体" w:eastAsia="宋体" w:cs="宋体"/>
          <w:b/>
          <w:bCs/>
          <w:color w:val="auto"/>
          <w:spacing w:val="0"/>
          <w:position w:val="0"/>
          <w:sz w:val="32"/>
          <w:szCs w:val="32"/>
          <w:highlight w:val="none"/>
        </w:rPr>
        <w:t>202</w:t>
      </w:r>
      <w:r>
        <w:rPr>
          <w:rFonts w:hint="eastAsia" w:ascii="宋体" w:hAnsi="宋体" w:eastAsia="宋体" w:cs="宋体"/>
          <w:b/>
          <w:bCs/>
          <w:color w:val="auto"/>
          <w:spacing w:val="0"/>
          <w:position w:val="0"/>
          <w:sz w:val="32"/>
          <w:szCs w:val="32"/>
          <w:highlight w:val="none"/>
          <w:lang w:val="en-US" w:eastAsia="zh-CN"/>
        </w:rPr>
        <w:t>5</w:t>
      </w:r>
      <w:r>
        <w:rPr>
          <w:rFonts w:hint="eastAsia" w:ascii="宋体" w:hAnsi="宋体" w:eastAsia="宋体" w:cs="宋体"/>
          <w:b/>
          <w:bCs/>
          <w:color w:val="auto"/>
          <w:spacing w:val="0"/>
          <w:position w:val="0"/>
          <w:sz w:val="32"/>
          <w:szCs w:val="32"/>
          <w:highlight w:val="none"/>
        </w:rPr>
        <w:t>年</w:t>
      </w:r>
      <w:r>
        <w:rPr>
          <w:rFonts w:hint="eastAsia" w:ascii="宋体" w:hAnsi="宋体" w:eastAsia="宋体" w:cs="宋体"/>
          <w:b/>
          <w:bCs/>
          <w:color w:val="auto"/>
          <w:spacing w:val="0"/>
          <w:position w:val="0"/>
          <w:sz w:val="32"/>
          <w:szCs w:val="32"/>
          <w:highlight w:val="none"/>
          <w:lang w:val="en-US" w:eastAsia="zh-CN"/>
        </w:rPr>
        <w:t>07</w:t>
      </w:r>
      <w:r>
        <w:rPr>
          <w:rFonts w:hint="eastAsia" w:ascii="宋体" w:hAnsi="宋体" w:eastAsia="宋体" w:cs="宋体"/>
          <w:b/>
          <w:bCs/>
          <w:color w:val="auto"/>
          <w:spacing w:val="0"/>
          <w:position w:val="0"/>
          <w:sz w:val="32"/>
          <w:szCs w:val="32"/>
          <w:highlight w:val="none"/>
        </w:rPr>
        <w:t>月</w:t>
      </w:r>
      <w:bookmarkEnd w:id="0"/>
    </w:p>
    <w:p w14:paraId="15B61125">
      <w:pPr>
        <w:pStyle w:val="22"/>
        <w:spacing w:line="240" w:lineRule="auto"/>
        <w:ind w:left="0" w:leftChars="0" w:firstLine="0" w:firstLineChars="0"/>
        <w:jc w:val="left"/>
        <w:rPr>
          <w:rFonts w:hint="eastAsia" w:ascii="宋体" w:hAnsi="宋体" w:eastAsia="宋体" w:cs="宋体"/>
          <w:b/>
          <w:bCs/>
          <w:color w:val="auto"/>
          <w:spacing w:val="0"/>
          <w:position w:val="0"/>
          <w:sz w:val="28"/>
          <w:szCs w:val="28"/>
          <w:highlight w:val="none"/>
        </w:rPr>
      </w:pPr>
    </w:p>
    <w:p w14:paraId="6F95E252">
      <w:pPr>
        <w:pStyle w:val="22"/>
        <w:spacing w:line="240" w:lineRule="auto"/>
        <w:ind w:left="0" w:leftChars="0" w:firstLine="0" w:firstLineChars="0"/>
        <w:jc w:val="left"/>
        <w:rPr>
          <w:rFonts w:hint="eastAsia" w:ascii="宋体" w:hAnsi="宋体" w:eastAsia="宋体" w:cs="宋体"/>
          <w:b/>
          <w:bCs/>
          <w:color w:val="auto"/>
          <w:spacing w:val="0"/>
          <w:position w:val="0"/>
          <w:sz w:val="28"/>
          <w:szCs w:val="28"/>
          <w:highlight w:val="none"/>
        </w:rPr>
      </w:pPr>
    </w:p>
    <w:p w14:paraId="17BBF2DB">
      <w:pPr>
        <w:pStyle w:val="22"/>
        <w:spacing w:line="240" w:lineRule="auto"/>
        <w:ind w:left="0" w:leftChars="0" w:firstLine="0" w:firstLineChars="0"/>
        <w:jc w:val="both"/>
        <w:rPr>
          <w:rFonts w:hint="eastAsia" w:ascii="宋体" w:hAnsi="宋体" w:eastAsia="宋体" w:cs="宋体"/>
          <w:b/>
          <w:bCs/>
          <w:color w:val="auto"/>
          <w:spacing w:val="0"/>
          <w:position w:val="0"/>
          <w:sz w:val="28"/>
          <w:szCs w:val="28"/>
          <w:highlight w:val="none"/>
        </w:rPr>
        <w:sectPr>
          <w:footerReference r:id="rId3" w:type="first"/>
          <w:pgSz w:w="11920" w:h="16840"/>
          <w:pgMar w:top="1440" w:right="1800" w:bottom="1440" w:left="1800" w:header="0" w:footer="773" w:gutter="0"/>
          <w:pgNumType w:start="0"/>
          <w:cols w:space="720" w:num="1"/>
        </w:sectPr>
      </w:pPr>
    </w:p>
    <w:p w14:paraId="32346C14">
      <w:pPr>
        <w:pStyle w:val="22"/>
        <w:spacing w:line="240" w:lineRule="auto"/>
        <w:ind w:left="0" w:leftChars="0" w:firstLine="0" w:firstLineChars="0"/>
        <w:jc w:val="center"/>
        <w:rPr>
          <w:rFonts w:hint="eastAsia" w:ascii="宋体" w:hAnsi="宋体" w:eastAsia="宋体" w:cs="宋体"/>
          <w:b/>
          <w:bCs/>
          <w:color w:val="auto"/>
          <w:spacing w:val="0"/>
          <w:position w:val="0"/>
          <w:sz w:val="28"/>
          <w:szCs w:val="28"/>
          <w:highlight w:val="none"/>
        </w:rPr>
      </w:pPr>
    </w:p>
    <w:p w14:paraId="36C1413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zh-CN"/>
        </w:rPr>
        <w:t>目 录</w:t>
      </w:r>
    </w:p>
    <w:p w14:paraId="1E950C4A">
      <w:pPr>
        <w:pStyle w:val="31"/>
        <w:tabs>
          <w:tab w:val="right" w:leader="dot" w:pos="95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_Toc27548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_Toc27548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C3ABC3B">
      <w:pPr>
        <w:pStyle w:val="31"/>
        <w:tabs>
          <w:tab w:val="right" w:leader="dot" w:pos="9520"/>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_Toc6755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 xml:space="preserve">第二部分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_Toc6755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14:paraId="783C31B0">
      <w:pPr>
        <w:pStyle w:val="31"/>
        <w:tabs>
          <w:tab w:val="right" w:leader="dot" w:pos="9520"/>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_Toc3569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 xml:space="preserve">第三部分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_Toc3569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14:paraId="3823496F">
      <w:pPr>
        <w:pStyle w:val="31"/>
        <w:tabs>
          <w:tab w:val="right" w:leader="dot" w:pos="9520"/>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_Toc20014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第四部分   评审方法（综合评分法）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_Toc20014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14:paraId="3929D454">
      <w:pPr>
        <w:pStyle w:val="31"/>
        <w:tabs>
          <w:tab w:val="right" w:leader="dot" w:pos="9520"/>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_Toc8152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第五部分   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_Toc8152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14:paraId="44C82EED">
      <w:pPr>
        <w:pStyle w:val="31"/>
        <w:tabs>
          <w:tab w:val="right" w:leader="dot" w:pos="9520"/>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_Toc4203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第六部分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_Toc4203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14:paraId="1BA8CC43">
      <w:pPr>
        <w:pStyle w:val="34"/>
        <w:tabs>
          <w:tab w:val="right" w:leader="dot" w:pos="9520"/>
        </w:tabs>
        <w:spacing w:line="360" w:lineRule="auto"/>
        <w:rPr>
          <w:rFonts w:hint="eastAsia" w:ascii="宋体" w:hAnsi="宋体" w:eastAsia="宋体" w:cs="宋体"/>
          <w:color w:val="auto"/>
          <w:sz w:val="24"/>
          <w:szCs w:val="24"/>
          <w:highlight w:val="none"/>
        </w:rPr>
      </w:pPr>
    </w:p>
    <w:p w14:paraId="6B4DBFC6">
      <w:pPr>
        <w:spacing w:line="360" w:lineRule="auto"/>
        <w:rPr>
          <w:rFonts w:hint="eastAsia" w:ascii="宋体" w:hAnsi="宋体" w:eastAsia="宋体" w:cs="宋体"/>
          <w:bCs/>
          <w:color w:val="auto"/>
          <w:highlight w:val="none"/>
          <w:lang w:val="zh-CN"/>
        </w:rPr>
      </w:pPr>
      <w:r>
        <w:rPr>
          <w:rFonts w:hint="eastAsia" w:ascii="宋体" w:hAnsi="宋体" w:eastAsia="宋体" w:cs="宋体"/>
          <w:bCs/>
          <w:color w:val="auto"/>
          <w:sz w:val="24"/>
          <w:szCs w:val="24"/>
          <w:highlight w:val="none"/>
          <w:lang w:val="zh-CN"/>
        </w:rPr>
        <w:fldChar w:fldCharType="end"/>
      </w:r>
      <w:bookmarkStart w:id="1" w:name="_Toc480368397"/>
    </w:p>
    <w:p w14:paraId="164DB3E3">
      <w:pPr>
        <w:pStyle w:val="17"/>
        <w:rPr>
          <w:rFonts w:hint="eastAsia" w:ascii="宋体" w:hAnsi="宋体" w:eastAsia="宋体" w:cs="宋体"/>
          <w:bCs/>
          <w:color w:val="auto"/>
          <w:highlight w:val="none"/>
          <w:lang w:val="zh-CN"/>
        </w:rPr>
      </w:pPr>
    </w:p>
    <w:p w14:paraId="2DFE2D2F">
      <w:pPr>
        <w:rPr>
          <w:rFonts w:hint="eastAsia" w:ascii="宋体" w:hAnsi="宋体" w:eastAsia="宋体" w:cs="宋体"/>
          <w:bCs/>
          <w:color w:val="auto"/>
          <w:highlight w:val="none"/>
          <w:lang w:val="zh-CN"/>
        </w:rPr>
      </w:pPr>
    </w:p>
    <w:p w14:paraId="4DE5DC6E">
      <w:pPr>
        <w:pStyle w:val="17"/>
        <w:rPr>
          <w:rFonts w:hint="eastAsia" w:ascii="宋体" w:hAnsi="宋体" w:eastAsia="宋体" w:cs="宋体"/>
          <w:bCs/>
          <w:color w:val="auto"/>
          <w:highlight w:val="none"/>
          <w:lang w:val="zh-CN"/>
        </w:rPr>
      </w:pPr>
    </w:p>
    <w:p w14:paraId="66C0F4D8">
      <w:pPr>
        <w:rPr>
          <w:rFonts w:hint="eastAsia" w:ascii="宋体" w:hAnsi="宋体" w:eastAsia="宋体" w:cs="宋体"/>
          <w:bCs/>
          <w:color w:val="auto"/>
          <w:highlight w:val="none"/>
          <w:lang w:val="zh-CN"/>
        </w:rPr>
      </w:pPr>
    </w:p>
    <w:p w14:paraId="5B5F2866">
      <w:pPr>
        <w:pStyle w:val="17"/>
        <w:rPr>
          <w:rFonts w:hint="eastAsia" w:ascii="宋体" w:hAnsi="宋体" w:eastAsia="宋体" w:cs="宋体"/>
          <w:bCs/>
          <w:color w:val="auto"/>
          <w:highlight w:val="none"/>
          <w:lang w:val="zh-CN"/>
        </w:rPr>
      </w:pPr>
    </w:p>
    <w:p w14:paraId="778E7D60">
      <w:pPr>
        <w:rPr>
          <w:rFonts w:hint="eastAsia" w:ascii="宋体" w:hAnsi="宋体" w:eastAsia="宋体" w:cs="宋体"/>
          <w:bCs/>
          <w:color w:val="auto"/>
          <w:highlight w:val="none"/>
          <w:lang w:val="zh-CN"/>
        </w:rPr>
      </w:pPr>
    </w:p>
    <w:p w14:paraId="6E03AE44">
      <w:pPr>
        <w:pStyle w:val="17"/>
        <w:rPr>
          <w:rFonts w:hint="eastAsia" w:ascii="宋体" w:hAnsi="宋体" w:eastAsia="宋体" w:cs="宋体"/>
          <w:bCs/>
          <w:color w:val="auto"/>
          <w:highlight w:val="none"/>
          <w:lang w:val="zh-CN"/>
        </w:rPr>
      </w:pPr>
    </w:p>
    <w:p w14:paraId="2CDDF261">
      <w:pPr>
        <w:rPr>
          <w:rFonts w:hint="eastAsia" w:ascii="宋体" w:hAnsi="宋体" w:eastAsia="宋体" w:cs="宋体"/>
          <w:bCs/>
          <w:color w:val="auto"/>
          <w:highlight w:val="none"/>
          <w:lang w:val="zh-CN"/>
        </w:rPr>
      </w:pPr>
    </w:p>
    <w:p w14:paraId="199E13F2">
      <w:pPr>
        <w:pStyle w:val="17"/>
        <w:rPr>
          <w:rFonts w:hint="eastAsia" w:ascii="宋体" w:hAnsi="宋体" w:eastAsia="宋体" w:cs="宋体"/>
          <w:bCs/>
          <w:color w:val="auto"/>
          <w:highlight w:val="none"/>
          <w:lang w:val="zh-CN"/>
        </w:rPr>
      </w:pPr>
    </w:p>
    <w:p w14:paraId="00C9C09F">
      <w:pPr>
        <w:rPr>
          <w:rFonts w:hint="eastAsia" w:ascii="宋体" w:hAnsi="宋体" w:eastAsia="宋体" w:cs="宋体"/>
          <w:bCs/>
          <w:color w:val="auto"/>
          <w:highlight w:val="none"/>
          <w:lang w:val="zh-CN"/>
        </w:rPr>
      </w:pPr>
    </w:p>
    <w:p w14:paraId="5BC66384">
      <w:pPr>
        <w:pStyle w:val="17"/>
        <w:rPr>
          <w:rFonts w:hint="eastAsia" w:ascii="宋体" w:hAnsi="宋体" w:eastAsia="宋体" w:cs="宋体"/>
          <w:bCs/>
          <w:color w:val="auto"/>
          <w:highlight w:val="none"/>
          <w:lang w:val="zh-CN"/>
        </w:rPr>
      </w:pPr>
    </w:p>
    <w:p w14:paraId="19D3082E">
      <w:pPr>
        <w:rPr>
          <w:rFonts w:hint="eastAsia" w:ascii="宋体" w:hAnsi="宋体" w:eastAsia="宋体" w:cs="宋体"/>
          <w:bCs/>
          <w:color w:val="auto"/>
          <w:highlight w:val="none"/>
          <w:lang w:val="zh-CN"/>
        </w:rPr>
      </w:pPr>
    </w:p>
    <w:p w14:paraId="0C201707">
      <w:pPr>
        <w:pStyle w:val="17"/>
        <w:rPr>
          <w:rFonts w:hint="eastAsia" w:ascii="宋体" w:hAnsi="宋体" w:eastAsia="宋体" w:cs="宋体"/>
          <w:bCs/>
          <w:color w:val="auto"/>
          <w:highlight w:val="none"/>
          <w:lang w:val="zh-CN"/>
        </w:rPr>
      </w:pPr>
    </w:p>
    <w:p w14:paraId="028414B7">
      <w:pPr>
        <w:rPr>
          <w:rFonts w:hint="eastAsia" w:ascii="宋体" w:hAnsi="宋体" w:eastAsia="宋体" w:cs="宋体"/>
          <w:bCs/>
          <w:color w:val="auto"/>
          <w:highlight w:val="none"/>
          <w:lang w:val="zh-CN"/>
        </w:rPr>
      </w:pPr>
    </w:p>
    <w:p w14:paraId="3FAC2CC6">
      <w:pPr>
        <w:pStyle w:val="17"/>
        <w:rPr>
          <w:rFonts w:hint="eastAsia" w:ascii="宋体" w:hAnsi="宋体" w:eastAsia="宋体" w:cs="宋体"/>
          <w:bCs/>
          <w:color w:val="auto"/>
          <w:highlight w:val="none"/>
          <w:lang w:val="zh-CN"/>
        </w:rPr>
      </w:pPr>
    </w:p>
    <w:p w14:paraId="46340CAE">
      <w:pPr>
        <w:rPr>
          <w:rFonts w:hint="eastAsia" w:ascii="宋体" w:hAnsi="宋体" w:eastAsia="宋体" w:cs="宋体"/>
          <w:bCs/>
          <w:color w:val="auto"/>
          <w:highlight w:val="none"/>
          <w:lang w:val="zh-CN"/>
        </w:rPr>
      </w:pPr>
    </w:p>
    <w:p w14:paraId="2494D9B9">
      <w:pPr>
        <w:pStyle w:val="17"/>
        <w:rPr>
          <w:rFonts w:hint="eastAsia" w:ascii="宋体" w:hAnsi="宋体" w:eastAsia="宋体" w:cs="宋体"/>
          <w:bCs/>
          <w:color w:val="auto"/>
          <w:highlight w:val="none"/>
          <w:lang w:val="zh-CN"/>
        </w:rPr>
      </w:pPr>
    </w:p>
    <w:p w14:paraId="17630346">
      <w:pPr>
        <w:rPr>
          <w:rFonts w:hint="eastAsia" w:ascii="宋体" w:hAnsi="宋体" w:eastAsia="宋体" w:cs="宋体"/>
          <w:bCs/>
          <w:color w:val="auto"/>
          <w:highlight w:val="none"/>
          <w:lang w:val="zh-CN"/>
        </w:rPr>
      </w:pPr>
    </w:p>
    <w:p w14:paraId="0BC0B49A">
      <w:pPr>
        <w:pStyle w:val="17"/>
        <w:rPr>
          <w:rFonts w:hint="eastAsia" w:ascii="宋体" w:hAnsi="宋体" w:eastAsia="宋体" w:cs="宋体"/>
          <w:bCs/>
          <w:color w:val="auto"/>
          <w:highlight w:val="none"/>
          <w:lang w:val="zh-CN"/>
        </w:rPr>
      </w:pPr>
    </w:p>
    <w:p w14:paraId="52DB6BB7">
      <w:pPr>
        <w:rPr>
          <w:rFonts w:hint="eastAsia" w:ascii="宋体" w:hAnsi="宋体" w:eastAsia="宋体" w:cs="宋体"/>
          <w:bCs/>
          <w:color w:val="auto"/>
          <w:highlight w:val="none"/>
          <w:lang w:val="zh-CN"/>
        </w:rPr>
      </w:pPr>
    </w:p>
    <w:p w14:paraId="6EF77113">
      <w:pPr>
        <w:pStyle w:val="17"/>
        <w:rPr>
          <w:rFonts w:hint="eastAsia" w:ascii="宋体" w:hAnsi="宋体" w:eastAsia="宋体" w:cs="宋体"/>
          <w:bCs/>
          <w:color w:val="auto"/>
          <w:highlight w:val="none"/>
          <w:lang w:val="zh-CN"/>
        </w:rPr>
      </w:pPr>
    </w:p>
    <w:p w14:paraId="0CF9C0C8">
      <w:pPr>
        <w:rPr>
          <w:rFonts w:hint="eastAsia" w:ascii="宋体" w:hAnsi="宋体" w:eastAsia="宋体" w:cs="宋体"/>
          <w:bCs/>
          <w:color w:val="auto"/>
          <w:highlight w:val="none"/>
          <w:lang w:val="zh-CN"/>
        </w:rPr>
      </w:pPr>
    </w:p>
    <w:p w14:paraId="1695EEA5">
      <w:pPr>
        <w:pStyle w:val="17"/>
        <w:rPr>
          <w:rFonts w:hint="eastAsia" w:ascii="宋体" w:hAnsi="宋体" w:eastAsia="宋体" w:cs="宋体"/>
          <w:bCs/>
          <w:color w:val="auto"/>
          <w:highlight w:val="none"/>
          <w:lang w:val="zh-CN"/>
        </w:rPr>
      </w:pPr>
    </w:p>
    <w:p w14:paraId="1E686AB9">
      <w:pPr>
        <w:rPr>
          <w:rFonts w:hint="eastAsia" w:ascii="宋体" w:hAnsi="宋体" w:eastAsia="宋体" w:cs="宋体"/>
          <w:bCs/>
          <w:color w:val="auto"/>
          <w:highlight w:val="none"/>
          <w:lang w:val="zh-CN"/>
        </w:rPr>
      </w:pPr>
    </w:p>
    <w:p w14:paraId="1256F7E1">
      <w:pPr>
        <w:pStyle w:val="17"/>
        <w:rPr>
          <w:rFonts w:hint="eastAsia" w:ascii="宋体" w:hAnsi="宋体" w:eastAsia="宋体" w:cs="宋体"/>
          <w:bCs/>
          <w:color w:val="auto"/>
          <w:highlight w:val="none"/>
          <w:lang w:val="zh-CN"/>
        </w:rPr>
      </w:pPr>
    </w:p>
    <w:p w14:paraId="7CBCC03C">
      <w:pPr>
        <w:rPr>
          <w:rFonts w:hint="eastAsia" w:ascii="宋体" w:hAnsi="宋体" w:eastAsia="宋体" w:cs="宋体"/>
          <w:color w:val="auto"/>
          <w:highlight w:val="none"/>
          <w:lang w:val="zh-CN"/>
        </w:rPr>
      </w:pPr>
    </w:p>
    <w:p w14:paraId="6B98EBC2">
      <w:pPr>
        <w:pStyle w:val="2"/>
        <w:jc w:val="center"/>
        <w:rPr>
          <w:rFonts w:hint="eastAsia" w:ascii="宋体" w:hAnsi="宋体" w:eastAsia="宋体" w:cs="宋体"/>
          <w:color w:val="auto"/>
          <w:sz w:val="32"/>
          <w:szCs w:val="32"/>
          <w:highlight w:val="none"/>
        </w:rPr>
      </w:pPr>
      <w:bookmarkStart w:id="2" w:name="_Toc27548"/>
      <w:r>
        <w:rPr>
          <w:rFonts w:hint="eastAsia" w:ascii="宋体" w:hAnsi="宋体" w:eastAsia="宋体" w:cs="宋体"/>
          <w:color w:val="auto"/>
          <w:sz w:val="32"/>
          <w:szCs w:val="32"/>
          <w:highlight w:val="none"/>
        </w:rPr>
        <w:t>第一部分 招标公告</w:t>
      </w:r>
      <w:bookmarkEnd w:id="1"/>
      <w:bookmarkEnd w:id="2"/>
    </w:p>
    <w:tbl>
      <w:tblPr>
        <w:tblStyle w:val="38"/>
        <w:tblW w:w="9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59"/>
      </w:tblGrid>
      <w:tr w14:paraId="5268D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59" w:type="dxa"/>
            <w:tcBorders>
              <w:top w:val="single" w:color="000000" w:sz="4" w:space="0"/>
              <w:left w:val="single" w:color="000000" w:sz="4" w:space="0"/>
              <w:bottom w:val="single" w:color="000000" w:sz="4" w:space="0"/>
              <w:right w:val="single" w:color="000000" w:sz="4" w:space="0"/>
            </w:tcBorders>
            <w:noWrap w:val="0"/>
            <w:vAlign w:val="top"/>
          </w:tcPr>
          <w:p w14:paraId="7D426231">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项目概况</w:t>
            </w:r>
          </w:p>
          <w:p w14:paraId="7B5E0C75">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Fonts w:hint="eastAsia" w:ascii="宋体" w:hAnsi="宋体" w:eastAsia="宋体" w:cs="宋体"/>
                <w:b w:val="0"/>
                <w:bCs w:val="0"/>
                <w:color w:val="auto"/>
                <w:spacing w:val="0"/>
                <w:position w:val="0"/>
                <w:sz w:val="24"/>
                <w:szCs w:val="24"/>
                <w:highlight w:val="none"/>
                <w:u w:val="single"/>
                <w:lang w:eastAsia="zh-CN"/>
              </w:rPr>
              <w:t>新疆维吾尔自治区总工会协同办公平台采购项目</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的潜在供应商应在</w:t>
            </w:r>
            <w:r>
              <w:rPr>
                <w:rStyle w:val="53"/>
                <w:rFonts w:hint="eastAsia" w:ascii="宋体" w:hAnsi="宋体" w:eastAsia="宋体" w:cs="宋体"/>
                <w:b w:val="0"/>
                <w:i w:val="0"/>
                <w:caps w:val="0"/>
                <w:color w:val="auto"/>
                <w:spacing w:val="0"/>
                <w:w w:val="100"/>
                <w:kern w:val="2"/>
                <w:position w:val="0"/>
                <w:sz w:val="24"/>
                <w:szCs w:val="24"/>
                <w:highlight w:val="none"/>
                <w:u w:val="single"/>
                <w:lang w:val="en-US" w:eastAsia="zh-CN" w:bidi="ar-SA"/>
              </w:rPr>
              <w:t>政采云线上平台</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获取（下载）招标文件，并于</w:t>
            </w:r>
            <w:r>
              <w:rPr>
                <w:rStyle w:val="5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2025年07月22日11：00（北京时间）</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前递交（上传）投标文件。</w:t>
            </w:r>
          </w:p>
        </w:tc>
      </w:tr>
    </w:tbl>
    <w:p w14:paraId="4BFB77A6">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一、项目基本情况</w:t>
      </w:r>
    </w:p>
    <w:p w14:paraId="047EABE3">
      <w:pPr>
        <w:pStyle w:val="3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项目编号：</w:t>
      </w:r>
      <w:r>
        <w:rPr>
          <w:rFonts w:hint="eastAsia" w:ascii="宋体" w:hAnsi="宋体" w:eastAsia="宋体" w:cs="宋体"/>
          <w:color w:val="auto"/>
          <w:spacing w:val="0"/>
          <w:position w:val="0"/>
          <w:highlight w:val="none"/>
          <w:lang w:eastAsia="zh-CN"/>
        </w:rPr>
        <w:t>XJCC-ZB-2025-124-01</w:t>
      </w:r>
      <w:r>
        <w:rPr>
          <w:rFonts w:hint="eastAsia" w:ascii="宋体" w:hAnsi="宋体" w:eastAsia="宋体" w:cs="宋体"/>
          <w:color w:val="auto"/>
          <w:spacing w:val="0"/>
          <w:position w:val="0"/>
          <w:highlight w:val="none"/>
        </w:rPr>
        <w:t> </w:t>
      </w:r>
    </w:p>
    <w:p w14:paraId="2577C476">
      <w:pPr>
        <w:pStyle w:val="3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项目名称：</w:t>
      </w:r>
      <w:r>
        <w:rPr>
          <w:rFonts w:hint="eastAsia" w:ascii="宋体" w:hAnsi="宋体" w:eastAsia="宋体" w:cs="宋体"/>
          <w:color w:val="auto"/>
          <w:spacing w:val="0"/>
          <w:position w:val="0"/>
          <w:highlight w:val="none"/>
          <w:lang w:eastAsia="zh-CN"/>
        </w:rPr>
        <w:t>新疆维吾尔自治区总工会协同办公平台采购项目</w:t>
      </w:r>
      <w:r>
        <w:rPr>
          <w:rFonts w:hint="eastAsia" w:ascii="宋体" w:hAnsi="宋体" w:eastAsia="宋体" w:cs="宋体"/>
          <w:color w:val="auto"/>
          <w:spacing w:val="0"/>
          <w:position w:val="0"/>
          <w:highlight w:val="none"/>
        </w:rPr>
        <w:t> </w:t>
      </w:r>
    </w:p>
    <w:p w14:paraId="16FC693A">
      <w:pPr>
        <w:pStyle w:val="3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预算金额：</w:t>
      </w:r>
      <w:r>
        <w:rPr>
          <w:rFonts w:hint="eastAsia" w:ascii="宋体" w:hAnsi="宋体" w:eastAsia="宋体" w:cs="宋体"/>
          <w:color w:val="auto"/>
          <w:spacing w:val="0"/>
          <w:position w:val="0"/>
          <w:highlight w:val="none"/>
          <w:lang w:eastAsia="zh-CN"/>
        </w:rPr>
        <w:t>1355000.00元</w:t>
      </w:r>
      <w:r>
        <w:rPr>
          <w:rFonts w:hint="eastAsia" w:ascii="宋体" w:hAnsi="宋体" w:eastAsia="宋体" w:cs="宋体"/>
          <w:color w:val="auto"/>
          <w:spacing w:val="0"/>
          <w:position w:val="0"/>
          <w:highlight w:val="none"/>
        </w:rPr>
        <w:t xml:space="preserve"> </w:t>
      </w:r>
    </w:p>
    <w:p w14:paraId="7EB11900">
      <w:pPr>
        <w:pStyle w:val="3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xml:space="preserve">采购需求：  </w:t>
      </w:r>
    </w:p>
    <w:p w14:paraId="6E9F59CB">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宋体" w:hAnsi="宋体" w:eastAsia="宋体" w:cs="宋体"/>
          <w:color w:val="auto"/>
          <w:spacing w:val="0"/>
          <w:position w:val="0"/>
          <w:highlight w:val="none"/>
        </w:rPr>
      </w:pPr>
    </w:p>
    <w:p w14:paraId="3BFE557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标项</w:t>
      </w:r>
      <w:r>
        <w:rPr>
          <w:rFonts w:hint="eastAsia" w:ascii="宋体" w:hAnsi="宋体" w:eastAsia="宋体" w:cs="宋体"/>
          <w:color w:val="auto"/>
          <w:spacing w:val="0"/>
          <w:position w:val="0"/>
          <w:highlight w:val="none"/>
          <w:lang w:val="en-US" w:eastAsia="zh-CN"/>
        </w:rPr>
        <w:t>一</w:t>
      </w:r>
    </w:p>
    <w:p w14:paraId="1850E0D3">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标项名称</w:t>
      </w:r>
      <w:r>
        <w:rPr>
          <w:rFonts w:hint="eastAsia" w:ascii="宋体" w:hAnsi="宋体" w:eastAsia="宋体" w:cs="宋体"/>
          <w:color w:val="auto"/>
          <w:spacing w:val="0"/>
          <w:position w:val="0"/>
          <w:highlight w:val="none"/>
          <w:lang w:eastAsia="zh-CN"/>
        </w:rPr>
        <w:t>：新疆维吾尔自治区总工会协同办公平台采购项目</w:t>
      </w:r>
    </w:p>
    <w:p w14:paraId="71EA1F08">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数量</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1项</w:t>
      </w:r>
    </w:p>
    <w:p w14:paraId="62B953A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预算金额（元）</w:t>
      </w:r>
      <w:r>
        <w:rPr>
          <w:rFonts w:hint="eastAsia" w:ascii="宋体" w:hAnsi="宋体" w:eastAsia="宋体" w:cs="宋体"/>
          <w:color w:val="auto"/>
          <w:spacing w:val="0"/>
          <w:position w:val="0"/>
          <w:highlight w:val="none"/>
          <w:lang w:eastAsia="zh-CN"/>
        </w:rPr>
        <w:t>：1355000.00元</w:t>
      </w:r>
    </w:p>
    <w:p w14:paraId="0B3809C7">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简要规格描述或项目基本概况介绍、用途：具体参数要求详见招标文件</w:t>
      </w:r>
      <w:r>
        <w:rPr>
          <w:rFonts w:hint="eastAsia" w:ascii="宋体" w:hAnsi="宋体" w:eastAsia="宋体" w:cs="宋体"/>
          <w:color w:val="auto"/>
          <w:spacing w:val="0"/>
          <w:position w:val="0"/>
          <w:highlight w:val="none"/>
          <w:lang w:eastAsia="zh-CN"/>
        </w:rPr>
        <w:t>。</w:t>
      </w:r>
    </w:p>
    <w:p w14:paraId="5F88F06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备注：</w:t>
      </w:r>
    </w:p>
    <w:p w14:paraId="2544D699">
      <w:pPr>
        <w:pStyle w:val="104"/>
        <w:ind w:left="0" w:leftChars="0" w:firstLine="0" w:firstLineChars="0"/>
        <w:rPr>
          <w:rFonts w:hint="eastAsia" w:ascii="宋体" w:hAnsi="宋体" w:eastAsia="宋体" w:cs="宋体"/>
          <w:color w:val="auto"/>
          <w:highlight w:val="none"/>
        </w:rPr>
      </w:pPr>
    </w:p>
    <w:p w14:paraId="6C83F6D0">
      <w:pPr>
        <w:pStyle w:val="3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合同履行期限：</w:t>
      </w:r>
      <w:r>
        <w:rPr>
          <w:rFonts w:hint="eastAsia" w:ascii="宋体" w:hAnsi="宋体" w:eastAsia="宋体" w:cs="宋体"/>
          <w:color w:val="auto"/>
          <w:sz w:val="24"/>
          <w:szCs w:val="24"/>
          <w:highlight w:val="none"/>
          <w:lang w:val="en-US" w:eastAsia="zh-CN"/>
        </w:rPr>
        <w:t>按合同约定执行</w:t>
      </w:r>
    </w:p>
    <w:p w14:paraId="627BA3A7">
      <w:pPr>
        <w:pStyle w:val="3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本项目（否）接受联合体投标。</w:t>
      </w:r>
    </w:p>
    <w:p w14:paraId="463119A8">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二、申请人的资格要求：</w:t>
      </w:r>
    </w:p>
    <w:p w14:paraId="7BD2D75B">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1.满足《中华人民共和国政府采购法》第二十二条规定；</w:t>
      </w:r>
    </w:p>
    <w:p w14:paraId="696BFB2C">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落实政府采购政策需满足的资格要求：本项目为非专门面向中小企业采购项目，根据《政府采购促进中小企业发展管理办法》（财库【2020】46号）及（财库[2022]19号）的规定，评标时将给予此类企业进行价格扣除10%的优惠，用优惠后的价格参与评审。</w:t>
      </w:r>
      <w:r>
        <w:rPr>
          <w:rFonts w:hint="eastAsia" w:ascii="宋体" w:hAnsi="宋体" w:eastAsia="宋体" w:cs="宋体"/>
          <w:color w:val="auto"/>
          <w:spacing w:val="0"/>
          <w:position w:val="0"/>
          <w:highlight w:val="none"/>
        </w:rPr>
        <w:t> </w:t>
      </w:r>
      <w:r>
        <w:rPr>
          <w:rFonts w:hint="eastAsia" w:ascii="宋体" w:hAnsi="宋体" w:eastAsia="宋体" w:cs="宋体"/>
          <w:color w:val="auto"/>
          <w:spacing w:val="0"/>
          <w:position w:val="0"/>
          <w:sz w:val="24"/>
          <w:szCs w:val="24"/>
          <w:highlight w:val="none"/>
        </w:rPr>
        <w:t xml:space="preserve"> </w:t>
      </w:r>
    </w:p>
    <w:p w14:paraId="18884A96">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3.本项目的特定资格要求：</w:t>
      </w:r>
      <w:r>
        <w:rPr>
          <w:rFonts w:hint="eastAsia" w:ascii="宋体" w:hAnsi="宋体" w:eastAsia="宋体" w:cs="宋体"/>
          <w:color w:val="auto"/>
          <w:spacing w:val="0"/>
          <w:position w:val="0"/>
          <w:sz w:val="24"/>
          <w:szCs w:val="24"/>
          <w:highlight w:val="none"/>
          <w:lang w:val="en-US" w:eastAsia="zh-CN"/>
        </w:rPr>
        <w:t>无</w:t>
      </w:r>
    </w:p>
    <w:p w14:paraId="6756399D">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三、获取采购文件</w:t>
      </w:r>
    </w:p>
    <w:p w14:paraId="5C62C80A">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时间：2025年07月02日至2025年07月09日，每天上午00:00至12:00，下午12:00至23:59（北京时间，法定节假日除外）</w:t>
      </w:r>
    </w:p>
    <w:p w14:paraId="3231915C">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地点：政采云线上平台</w:t>
      </w:r>
    </w:p>
    <w:p w14:paraId="315CC798">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7E663204">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四、提交投标文件截止时间、开标时间和地点</w:t>
      </w:r>
    </w:p>
    <w:p w14:paraId="68BD4D14">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t>提交投标文件截止时间：2025年07月22日11：00（北京时间）</w:t>
      </w:r>
    </w:p>
    <w:p w14:paraId="354E6B1E">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t>投标地点：请登录政采云投标客户端投标 </w:t>
      </w:r>
    </w:p>
    <w:p w14:paraId="4E8AACBA">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开标时间：2025年07月22日11：00（北京时间）</w:t>
      </w:r>
    </w:p>
    <w:p w14:paraId="3CF626EE">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14:paraId="6763278E">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五、公告期限</w:t>
      </w:r>
    </w:p>
    <w:p w14:paraId="6D88F463">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t>   自本公告发布之日起5个工作日。</w:t>
      </w:r>
    </w:p>
    <w:p w14:paraId="3E7B43E5">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六、其他补充事宜 </w:t>
      </w:r>
    </w:p>
    <w:p w14:paraId="3B03C3E4">
      <w:pPr>
        <w:pStyle w:val="10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1、本公告在新疆政府采购网发布。</w:t>
      </w:r>
    </w:p>
    <w:p w14:paraId="7463EF64">
      <w:pPr>
        <w:pStyle w:val="10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25B00DC3">
      <w:pPr>
        <w:pStyle w:val="10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3、本项目实行电子招投标，供应商须登录政采云平台申请获取招标文件，并通过政采云电子投标客户端制作响应文件，同时自行承担与投标有关的一切费用。</w:t>
      </w:r>
    </w:p>
    <w:p w14:paraId="1CE8749F">
      <w:pPr>
        <w:pStyle w:val="10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11817A91">
      <w:pPr>
        <w:pStyle w:val="10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51F8AD45">
      <w:pPr>
        <w:pStyle w:val="10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4A143650">
      <w:pPr>
        <w:pStyle w:val="10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8415433">
      <w:pPr>
        <w:pStyle w:val="10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 </w:t>
      </w:r>
    </w:p>
    <w:p w14:paraId="3E5E82D1">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七、凡对本次招标提出询问，请按以下方式联系</w:t>
      </w:r>
    </w:p>
    <w:p w14:paraId="0AB0FC72">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1.采购人信息</w:t>
      </w:r>
    </w:p>
    <w:p w14:paraId="4EF204CB">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名称：新疆维吾尔自治区总工会</w:t>
      </w:r>
    </w:p>
    <w:p w14:paraId="414180EA">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地址：乌鲁木齐市民主路326号</w:t>
      </w:r>
    </w:p>
    <w:p w14:paraId="64521698">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联系方式：13319801055</w:t>
      </w:r>
    </w:p>
    <w:p w14:paraId="3576935A">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2.采购代理机构信息</w:t>
      </w:r>
    </w:p>
    <w:p w14:paraId="5BB6B0FE">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名称：</w:t>
      </w:r>
      <w:r>
        <w:rPr>
          <w:rFonts w:hint="eastAsia" w:ascii="宋体" w:hAnsi="宋体" w:eastAsia="宋体" w:cs="宋体"/>
          <w:color w:val="auto"/>
          <w:spacing w:val="0"/>
          <w:position w:val="0"/>
          <w:sz w:val="24"/>
          <w:szCs w:val="24"/>
          <w:highlight w:val="none"/>
          <w:u w:val="none"/>
          <w:lang w:eastAsia="zh-CN"/>
        </w:rPr>
        <w:t>新疆诚成工程项目管理有限公司</w:t>
      </w:r>
    </w:p>
    <w:p w14:paraId="788A2D7B">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地址：</w:t>
      </w:r>
      <w:r>
        <w:rPr>
          <w:rFonts w:hint="eastAsia" w:ascii="宋体" w:hAnsi="宋体" w:eastAsia="宋体" w:cs="宋体"/>
          <w:color w:val="auto"/>
          <w:spacing w:val="0"/>
          <w:position w:val="0"/>
          <w:sz w:val="24"/>
          <w:szCs w:val="24"/>
          <w:highlight w:val="none"/>
          <w:u w:val="none"/>
          <w:lang w:eastAsia="zh-CN"/>
        </w:rPr>
        <w:t>乌鲁木齐市水磨沟区红光山路2588号绿地中心101栋1806室</w:t>
      </w:r>
    </w:p>
    <w:p w14:paraId="17048D4E">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联系方式：13199858738、18690136275</w:t>
      </w:r>
    </w:p>
    <w:p w14:paraId="7614393C">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3.项目联系方式</w:t>
      </w:r>
    </w:p>
    <w:p w14:paraId="2DD02AC1">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项目联系人：马琴、马洁 </w:t>
      </w:r>
    </w:p>
    <w:p w14:paraId="10D9F88D">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联系电话：13199858738、17767622798</w:t>
      </w:r>
    </w:p>
    <w:p w14:paraId="0F4BA7CE">
      <w:pPr>
        <w:ind w:firstLine="1320" w:firstLineChars="550"/>
        <w:rPr>
          <w:rFonts w:hint="eastAsia" w:ascii="宋体" w:hAnsi="宋体" w:eastAsia="宋体" w:cs="宋体"/>
          <w:color w:val="auto"/>
          <w:kern w:val="0"/>
          <w:sz w:val="24"/>
          <w:highlight w:val="none"/>
          <w:u w:val="single"/>
        </w:rPr>
      </w:pPr>
    </w:p>
    <w:p w14:paraId="01AD3D69">
      <w:pPr>
        <w:spacing w:line="500" w:lineRule="exact"/>
        <w:ind w:left="420"/>
        <w:jc w:val="right"/>
        <w:rPr>
          <w:rFonts w:hint="eastAsia" w:ascii="宋体" w:hAnsi="宋体" w:eastAsia="宋体" w:cs="宋体"/>
          <w:color w:val="auto"/>
          <w:sz w:val="24"/>
          <w:highlight w:val="none"/>
        </w:rPr>
      </w:pPr>
    </w:p>
    <w:p w14:paraId="366BFA7F">
      <w:pPr>
        <w:spacing w:line="500" w:lineRule="exact"/>
        <w:ind w:left="420"/>
        <w:jc w:val="right"/>
        <w:rPr>
          <w:rFonts w:hint="eastAsia" w:ascii="宋体" w:hAnsi="宋体" w:eastAsia="宋体" w:cs="宋体"/>
          <w:color w:val="auto"/>
          <w:sz w:val="24"/>
          <w:highlight w:val="none"/>
        </w:rPr>
      </w:pPr>
    </w:p>
    <w:p w14:paraId="2BE0FE34">
      <w:pPr>
        <w:spacing w:line="500" w:lineRule="exact"/>
        <w:ind w:left="420"/>
        <w:jc w:val="right"/>
        <w:rPr>
          <w:rFonts w:hint="eastAsia" w:ascii="宋体" w:hAnsi="宋体" w:eastAsia="宋体" w:cs="宋体"/>
          <w:color w:val="auto"/>
          <w:sz w:val="24"/>
          <w:highlight w:val="none"/>
        </w:rPr>
      </w:pPr>
    </w:p>
    <w:p w14:paraId="72EA09F9">
      <w:pPr>
        <w:spacing w:line="500" w:lineRule="exact"/>
        <w:ind w:left="420"/>
        <w:jc w:val="right"/>
        <w:rPr>
          <w:rFonts w:hint="eastAsia" w:ascii="宋体" w:hAnsi="宋体" w:eastAsia="宋体" w:cs="宋体"/>
          <w:color w:val="auto"/>
          <w:sz w:val="24"/>
          <w:highlight w:val="none"/>
        </w:rPr>
      </w:pPr>
    </w:p>
    <w:p w14:paraId="0D3B828F">
      <w:pPr>
        <w:spacing w:line="500" w:lineRule="exact"/>
        <w:ind w:left="420"/>
        <w:jc w:val="right"/>
        <w:rPr>
          <w:rFonts w:hint="eastAsia" w:ascii="宋体" w:hAnsi="宋体" w:eastAsia="宋体" w:cs="宋体"/>
          <w:color w:val="auto"/>
          <w:sz w:val="24"/>
          <w:highlight w:val="none"/>
        </w:rPr>
      </w:pPr>
    </w:p>
    <w:p w14:paraId="74747ADE">
      <w:pPr>
        <w:spacing w:line="500" w:lineRule="exact"/>
        <w:ind w:left="420"/>
        <w:jc w:val="right"/>
        <w:rPr>
          <w:rFonts w:hint="eastAsia" w:ascii="宋体" w:hAnsi="宋体" w:eastAsia="宋体" w:cs="宋体"/>
          <w:color w:val="auto"/>
          <w:sz w:val="24"/>
          <w:highlight w:val="none"/>
        </w:rPr>
      </w:pPr>
    </w:p>
    <w:p w14:paraId="08AA6B75">
      <w:pPr>
        <w:spacing w:line="500" w:lineRule="exact"/>
        <w:ind w:left="420"/>
        <w:jc w:val="right"/>
        <w:rPr>
          <w:rFonts w:hint="eastAsia" w:ascii="宋体" w:hAnsi="宋体" w:eastAsia="宋体" w:cs="宋体"/>
          <w:color w:val="auto"/>
          <w:sz w:val="24"/>
          <w:highlight w:val="none"/>
        </w:rPr>
      </w:pPr>
    </w:p>
    <w:p w14:paraId="299B2767">
      <w:pPr>
        <w:spacing w:line="500" w:lineRule="exact"/>
        <w:ind w:left="420"/>
        <w:jc w:val="right"/>
        <w:rPr>
          <w:rFonts w:hint="eastAsia" w:ascii="宋体" w:hAnsi="宋体" w:eastAsia="宋体" w:cs="宋体"/>
          <w:color w:val="auto"/>
          <w:szCs w:val="21"/>
          <w:highlight w:val="none"/>
        </w:rPr>
      </w:pPr>
    </w:p>
    <w:p w14:paraId="38E079B4">
      <w:pPr>
        <w:spacing w:line="500" w:lineRule="exact"/>
        <w:ind w:right="420"/>
        <w:rPr>
          <w:rFonts w:hint="eastAsia" w:ascii="宋体" w:hAnsi="宋体" w:eastAsia="宋体" w:cs="宋体"/>
          <w:color w:val="auto"/>
          <w:szCs w:val="21"/>
          <w:highlight w:val="none"/>
        </w:rPr>
      </w:pPr>
    </w:p>
    <w:p w14:paraId="2E2750C4">
      <w:pPr>
        <w:spacing w:line="500" w:lineRule="exact"/>
        <w:ind w:right="420"/>
        <w:rPr>
          <w:rFonts w:hint="eastAsia" w:ascii="宋体" w:hAnsi="宋体" w:eastAsia="宋体" w:cs="宋体"/>
          <w:color w:val="auto"/>
          <w:szCs w:val="21"/>
          <w:highlight w:val="none"/>
        </w:rPr>
      </w:pPr>
    </w:p>
    <w:p w14:paraId="255BA349">
      <w:pPr>
        <w:spacing w:line="500" w:lineRule="exact"/>
        <w:jc w:val="center"/>
        <w:outlineLvl w:val="0"/>
        <w:rPr>
          <w:rFonts w:hint="eastAsia" w:ascii="宋体" w:hAnsi="宋体" w:eastAsia="宋体" w:cs="宋体"/>
          <w:b/>
          <w:color w:val="auto"/>
          <w:sz w:val="32"/>
          <w:szCs w:val="32"/>
          <w:highlight w:val="none"/>
        </w:rPr>
      </w:pPr>
      <w:bookmarkStart w:id="3" w:name="_Toc480368398"/>
      <w:bookmarkStart w:id="4" w:name="_Toc467246734"/>
      <w:bookmarkStart w:id="5" w:name="_Toc467246830"/>
      <w:bookmarkStart w:id="6" w:name="_Toc6755"/>
      <w:bookmarkStart w:id="7" w:name="_Toc467248735"/>
      <w:r>
        <w:rPr>
          <w:rFonts w:hint="eastAsia" w:ascii="宋体" w:hAnsi="宋体" w:eastAsia="宋体" w:cs="宋体"/>
          <w:b/>
          <w:color w:val="auto"/>
          <w:sz w:val="32"/>
          <w:szCs w:val="32"/>
          <w:highlight w:val="none"/>
        </w:rPr>
        <w:t xml:space="preserve">第二部分  </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须知</w:t>
      </w:r>
      <w:bookmarkEnd w:id="3"/>
      <w:bookmarkEnd w:id="4"/>
      <w:bookmarkEnd w:id="5"/>
      <w:bookmarkEnd w:id="6"/>
      <w:bookmarkEnd w:id="7"/>
    </w:p>
    <w:p w14:paraId="3D03A44A">
      <w:pPr>
        <w:spacing w:line="500" w:lineRule="exact"/>
        <w:jc w:val="center"/>
        <w:outlineLvl w:val="1"/>
        <w:rPr>
          <w:rFonts w:hint="eastAsia" w:ascii="宋体" w:hAnsi="宋体" w:eastAsia="宋体" w:cs="宋体"/>
          <w:b/>
          <w:color w:val="auto"/>
          <w:sz w:val="28"/>
          <w:szCs w:val="28"/>
          <w:highlight w:val="none"/>
        </w:rPr>
      </w:pPr>
      <w:bookmarkStart w:id="8" w:name="_Toc467246735"/>
      <w:bookmarkStart w:id="9" w:name="_Toc480368399"/>
      <w:bookmarkStart w:id="10" w:name="_Toc467246831"/>
      <w:bookmarkStart w:id="11" w:name="_Toc467248736"/>
      <w:bookmarkStart w:id="12" w:name="_Toc2718"/>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须知前附表</w:t>
      </w:r>
      <w:bookmarkEnd w:id="8"/>
      <w:bookmarkEnd w:id="9"/>
      <w:bookmarkEnd w:id="10"/>
      <w:bookmarkEnd w:id="11"/>
      <w:bookmarkEnd w:id="12"/>
    </w:p>
    <w:tbl>
      <w:tblPr>
        <w:tblStyle w:val="3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431"/>
        <w:gridCol w:w="6318"/>
      </w:tblGrid>
      <w:tr w14:paraId="4F35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3AF07FC6">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431" w:type="dxa"/>
            <w:noWrap w:val="0"/>
            <w:vAlign w:val="center"/>
          </w:tcPr>
          <w:p w14:paraId="6738B713">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内容</w:t>
            </w:r>
          </w:p>
        </w:tc>
        <w:tc>
          <w:tcPr>
            <w:tcW w:w="6318" w:type="dxa"/>
            <w:noWrap w:val="0"/>
            <w:vAlign w:val="center"/>
          </w:tcPr>
          <w:p w14:paraId="6316DE41">
            <w:pPr>
              <w:pStyle w:val="73"/>
              <w:keepNext w:val="0"/>
              <w:keepLines w:val="0"/>
              <w:pageBreakBefore w:val="0"/>
              <w:numPr>
                <w:ilvl w:val="0"/>
                <w:numId w:val="0"/>
              </w:numPr>
              <w:kinsoku/>
              <w:wordWrap/>
              <w:overflowPunct/>
              <w:topLinePunct w:val="0"/>
              <w:bidi w:val="0"/>
              <w:adjustRightInd w:val="0"/>
              <w:snapToGrid w:val="0"/>
              <w:spacing w:before="0" w:after="0" w:line="440" w:lineRule="exact"/>
              <w:ind w:left="0" w:firstLine="0"/>
              <w:jc w:val="center"/>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说明与要求</w:t>
            </w:r>
          </w:p>
        </w:tc>
      </w:tr>
      <w:tr w14:paraId="098E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547AC810">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p>
        </w:tc>
        <w:tc>
          <w:tcPr>
            <w:tcW w:w="2431" w:type="dxa"/>
            <w:noWrap w:val="0"/>
            <w:vAlign w:val="center"/>
          </w:tcPr>
          <w:p w14:paraId="6960D4ED">
            <w:pPr>
              <w:pStyle w:val="73"/>
              <w:keepNext w:val="0"/>
              <w:keepLines w:val="0"/>
              <w:pageBreakBefore w:val="0"/>
              <w:numPr>
                <w:ilvl w:val="0"/>
                <w:numId w:val="0"/>
              </w:numPr>
              <w:kinsoku/>
              <w:wordWrap/>
              <w:overflowPunct/>
              <w:topLinePunct w:val="0"/>
              <w:bidi w:val="0"/>
              <w:adjustRightInd w:val="0"/>
              <w:snapToGrid w:val="0"/>
              <w:spacing w:before="0" w:after="0" w:line="440" w:lineRule="exact"/>
              <w:ind w:left="0" w:firstLine="0"/>
              <w:jc w:val="center"/>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项目名称</w:t>
            </w:r>
          </w:p>
        </w:tc>
        <w:tc>
          <w:tcPr>
            <w:tcW w:w="6318" w:type="dxa"/>
            <w:noWrap w:val="0"/>
            <w:vAlign w:val="center"/>
          </w:tcPr>
          <w:p w14:paraId="242BA4E9">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新疆维吾尔自治区总工会协同办公平台采购项目</w:t>
            </w:r>
          </w:p>
        </w:tc>
      </w:tr>
      <w:tr w14:paraId="55B7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3F05E16D">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p>
        </w:tc>
        <w:tc>
          <w:tcPr>
            <w:tcW w:w="2431" w:type="dxa"/>
            <w:noWrap w:val="0"/>
            <w:vAlign w:val="center"/>
          </w:tcPr>
          <w:p w14:paraId="51BC1473">
            <w:pPr>
              <w:pStyle w:val="73"/>
              <w:keepNext w:val="0"/>
              <w:keepLines w:val="0"/>
              <w:pageBreakBefore w:val="0"/>
              <w:numPr>
                <w:ilvl w:val="0"/>
                <w:numId w:val="0"/>
              </w:numPr>
              <w:kinsoku/>
              <w:wordWrap/>
              <w:overflowPunct/>
              <w:topLinePunct w:val="0"/>
              <w:bidi w:val="0"/>
              <w:adjustRightInd w:val="0"/>
              <w:snapToGrid w:val="0"/>
              <w:spacing w:before="0" w:after="0" w:line="440" w:lineRule="exact"/>
              <w:ind w:left="0" w:firstLine="0"/>
              <w:jc w:val="center"/>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采购人</w:t>
            </w:r>
          </w:p>
        </w:tc>
        <w:tc>
          <w:tcPr>
            <w:tcW w:w="6318" w:type="dxa"/>
            <w:noWrap w:val="0"/>
            <w:vAlign w:val="center"/>
          </w:tcPr>
          <w:p w14:paraId="02E840E5">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名称：新疆维吾尔自治区总工会 </w:t>
            </w:r>
          </w:p>
          <w:p w14:paraId="0F07690A">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地址：乌鲁木齐市民主路326号</w:t>
            </w:r>
          </w:p>
          <w:p w14:paraId="57199825">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联系人：裴宝全</w:t>
            </w:r>
          </w:p>
          <w:p w14:paraId="048F3DDD">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pacing w:val="0"/>
                <w:position w:val="0"/>
                <w:sz w:val="24"/>
                <w:szCs w:val="24"/>
                <w:highlight w:val="none"/>
                <w:u w:val="none"/>
              </w:rPr>
              <w:t>13319801055</w:t>
            </w:r>
            <w:r>
              <w:rPr>
                <w:rFonts w:hint="eastAsia" w:ascii="宋体" w:hAnsi="宋体" w:eastAsia="宋体" w:cs="宋体"/>
                <w:color w:val="auto"/>
                <w:sz w:val="24"/>
                <w:szCs w:val="24"/>
                <w:highlight w:val="none"/>
              </w:rPr>
              <w:t>　</w:t>
            </w:r>
          </w:p>
        </w:tc>
      </w:tr>
      <w:tr w14:paraId="0BCB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37C8ECE8">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p>
        </w:tc>
        <w:tc>
          <w:tcPr>
            <w:tcW w:w="2431" w:type="dxa"/>
            <w:noWrap w:val="0"/>
            <w:vAlign w:val="center"/>
          </w:tcPr>
          <w:p w14:paraId="337DDA3B">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采购代理机构</w:t>
            </w:r>
          </w:p>
        </w:tc>
        <w:tc>
          <w:tcPr>
            <w:tcW w:w="6318" w:type="dxa"/>
            <w:noWrap w:val="0"/>
            <w:vAlign w:val="center"/>
          </w:tcPr>
          <w:p w14:paraId="6A9C139C">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采购代理机构名称：新疆诚成工程项目管理有限公司</w:t>
            </w:r>
          </w:p>
          <w:p w14:paraId="235D3404">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马琴、马洁</w:t>
            </w:r>
            <w:r>
              <w:rPr>
                <w:rFonts w:hint="eastAsia" w:ascii="宋体" w:hAnsi="宋体" w:eastAsia="宋体" w:cs="宋体"/>
                <w:color w:val="auto"/>
                <w:sz w:val="24"/>
                <w:szCs w:val="24"/>
                <w:highlight w:val="none"/>
              </w:rPr>
              <w:t> </w:t>
            </w:r>
          </w:p>
          <w:p w14:paraId="4A268B8B">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联系电话：13199858738、17767622798</w:t>
            </w:r>
          </w:p>
          <w:p w14:paraId="6FF2C9DD">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地址：乌鲁木齐市水磨沟区红光山路2588号绿地中心领海大厦1806       </w:t>
            </w:r>
          </w:p>
        </w:tc>
      </w:tr>
      <w:tr w14:paraId="097B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53B415B2">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w:t>
            </w:r>
          </w:p>
        </w:tc>
        <w:tc>
          <w:tcPr>
            <w:tcW w:w="2431" w:type="dxa"/>
            <w:noWrap w:val="0"/>
            <w:vAlign w:val="center"/>
          </w:tcPr>
          <w:p w14:paraId="55CD37E3">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采购内容</w:t>
            </w:r>
          </w:p>
        </w:tc>
        <w:tc>
          <w:tcPr>
            <w:tcW w:w="6318" w:type="dxa"/>
            <w:noWrap w:val="0"/>
            <w:vAlign w:val="center"/>
          </w:tcPr>
          <w:p w14:paraId="5BE4A01C">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详见招标文件第三部分</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w:t>
            </w:r>
          </w:p>
        </w:tc>
      </w:tr>
      <w:tr w14:paraId="5EDB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0C5B7007">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w:t>
            </w:r>
          </w:p>
        </w:tc>
        <w:tc>
          <w:tcPr>
            <w:tcW w:w="2431" w:type="dxa"/>
            <w:noWrap w:val="0"/>
            <w:vAlign w:val="center"/>
          </w:tcPr>
          <w:p w14:paraId="6EDC276E">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供应商</w:t>
            </w:r>
            <w:r>
              <w:rPr>
                <w:rFonts w:hint="eastAsia" w:ascii="宋体" w:hAnsi="宋体" w:eastAsia="宋体" w:cs="宋体"/>
                <w:b/>
                <w:color w:val="auto"/>
                <w:kern w:val="0"/>
                <w:sz w:val="24"/>
                <w:szCs w:val="24"/>
                <w:highlight w:val="none"/>
              </w:rPr>
              <w:t>资格要求</w:t>
            </w:r>
          </w:p>
        </w:tc>
        <w:tc>
          <w:tcPr>
            <w:tcW w:w="6318" w:type="dxa"/>
            <w:noWrap w:val="0"/>
            <w:vAlign w:val="center"/>
          </w:tcPr>
          <w:p w14:paraId="57116630">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611B5A2F">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w:t>
            </w:r>
            <w:r>
              <w:rPr>
                <w:rFonts w:hint="eastAsia" w:ascii="宋体" w:hAnsi="宋体" w:eastAsia="宋体" w:cs="宋体"/>
                <w:color w:val="auto"/>
                <w:spacing w:val="0"/>
                <w:position w:val="0"/>
                <w:sz w:val="24"/>
                <w:szCs w:val="24"/>
                <w:highlight w:val="none"/>
              </w:rPr>
              <w:t>本项目为非专门面向中小企业采购项目，根据《政府采购促进中小企业发展管理办法》（财库【2020】46号）及（财库[2022]19号）的规定，评标时将给予此类企业进行价格扣除10%的优惠，用优惠后的价格参与评审。</w:t>
            </w:r>
            <w:r>
              <w:rPr>
                <w:rFonts w:hint="eastAsia" w:ascii="宋体" w:hAnsi="宋体" w:eastAsia="宋体" w:cs="宋体"/>
                <w:color w:val="auto"/>
                <w:spacing w:val="0"/>
                <w:position w:val="0"/>
                <w:highlight w:val="none"/>
              </w:rPr>
              <w:t> </w:t>
            </w:r>
            <w:r>
              <w:rPr>
                <w:rFonts w:hint="eastAsia" w:ascii="宋体" w:hAnsi="宋体" w:eastAsia="宋体" w:cs="宋体"/>
                <w:color w:val="auto"/>
                <w:spacing w:val="0"/>
                <w:position w:val="0"/>
                <w:sz w:val="24"/>
                <w:szCs w:val="24"/>
                <w:highlight w:val="none"/>
              </w:rPr>
              <w:t xml:space="preserve"> </w:t>
            </w:r>
          </w:p>
          <w:p w14:paraId="06458E8B">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3.本项目的特定资格要求：无</w:t>
            </w:r>
          </w:p>
        </w:tc>
      </w:tr>
      <w:tr w14:paraId="451A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7662BB54">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rPr>
              <w:t>6</w:t>
            </w:r>
          </w:p>
        </w:tc>
        <w:tc>
          <w:tcPr>
            <w:tcW w:w="2431" w:type="dxa"/>
            <w:noWrap w:val="0"/>
            <w:vAlign w:val="center"/>
          </w:tcPr>
          <w:p w14:paraId="1C222C5E">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是否允许联合体投标</w:t>
            </w:r>
          </w:p>
        </w:tc>
        <w:tc>
          <w:tcPr>
            <w:tcW w:w="6318" w:type="dxa"/>
            <w:noWrap w:val="0"/>
            <w:vAlign w:val="center"/>
          </w:tcPr>
          <w:p w14:paraId="273F5B70">
            <w:pPr>
              <w:keepNext w:val="0"/>
              <w:keepLines w:val="0"/>
              <w:pageBreakBefore w:val="0"/>
              <w:kinsoku/>
              <w:wordWrap/>
              <w:overflowPunct/>
              <w:topLinePunct w:val="0"/>
              <w:autoSpaceDE w:val="0"/>
              <w:autoSpaceDN w:val="0"/>
              <w:bidi w:val="0"/>
              <w:adjustRightInd w:val="0"/>
              <w:snapToGrid w:val="0"/>
              <w:spacing w:line="440" w:lineRule="exact"/>
              <w:ind w:left="0"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w:t>
            </w:r>
          </w:p>
        </w:tc>
      </w:tr>
      <w:tr w14:paraId="4542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7D49125E">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rPr>
              <w:t>7</w:t>
            </w:r>
          </w:p>
        </w:tc>
        <w:tc>
          <w:tcPr>
            <w:tcW w:w="2431" w:type="dxa"/>
            <w:noWrap w:val="0"/>
            <w:vAlign w:val="center"/>
          </w:tcPr>
          <w:p w14:paraId="2C7E9C65">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将项目非主体、非关键性工作交由他人完成</w:t>
            </w:r>
          </w:p>
        </w:tc>
        <w:tc>
          <w:tcPr>
            <w:tcW w:w="6318" w:type="dxa"/>
            <w:noWrap w:val="0"/>
            <w:vAlign w:val="center"/>
          </w:tcPr>
          <w:p w14:paraId="01720D3C">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w:t>
            </w:r>
          </w:p>
        </w:tc>
      </w:tr>
      <w:tr w14:paraId="31DE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4A5F4BEA">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rPr>
              <w:t>8</w:t>
            </w:r>
          </w:p>
        </w:tc>
        <w:tc>
          <w:tcPr>
            <w:tcW w:w="2431" w:type="dxa"/>
            <w:noWrap w:val="0"/>
            <w:vAlign w:val="center"/>
          </w:tcPr>
          <w:p w14:paraId="69D8FB44">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踏勘现场</w:t>
            </w:r>
          </w:p>
        </w:tc>
        <w:tc>
          <w:tcPr>
            <w:tcW w:w="6318" w:type="dxa"/>
            <w:noWrap w:val="0"/>
            <w:vAlign w:val="center"/>
          </w:tcPr>
          <w:p w14:paraId="751E231B">
            <w:pPr>
              <w:keepNext w:val="0"/>
              <w:keepLines w:val="0"/>
              <w:pageBreakBefore w:val="0"/>
              <w:kinsoku/>
              <w:wordWrap/>
              <w:overflowPunct/>
              <w:topLinePunct w:val="0"/>
              <w:autoSpaceDE w:val="0"/>
              <w:autoSpaceDN w:val="0"/>
              <w:bidi w:val="0"/>
              <w:adjustRightInd w:val="0"/>
              <w:snapToGrid w:val="0"/>
              <w:spacing w:line="440" w:lineRule="exact"/>
              <w:ind w:left="0" w:firstLine="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不组织</w:t>
            </w:r>
          </w:p>
        </w:tc>
      </w:tr>
      <w:tr w14:paraId="2137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0F37AF9B">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rPr>
              <w:t>9</w:t>
            </w:r>
          </w:p>
        </w:tc>
        <w:tc>
          <w:tcPr>
            <w:tcW w:w="2431" w:type="dxa"/>
            <w:noWrap w:val="0"/>
            <w:vAlign w:val="center"/>
          </w:tcPr>
          <w:p w14:paraId="2AAFC999">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答疑接受时间</w:t>
            </w:r>
          </w:p>
        </w:tc>
        <w:tc>
          <w:tcPr>
            <w:tcW w:w="6318" w:type="dxa"/>
            <w:noWrap w:val="0"/>
            <w:vAlign w:val="center"/>
          </w:tcPr>
          <w:p w14:paraId="7994086F">
            <w:pPr>
              <w:keepNext w:val="0"/>
              <w:keepLines w:val="0"/>
              <w:pageBreakBefore w:val="0"/>
              <w:kinsoku/>
              <w:wordWrap/>
              <w:overflowPunct/>
              <w:topLinePunct w:val="0"/>
              <w:autoSpaceDE/>
              <w:autoSpaceDN/>
              <w:bidi w:val="0"/>
              <w:adjustRightIn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联系人：</w:t>
            </w:r>
            <w:r>
              <w:rPr>
                <w:rFonts w:hint="eastAsia" w:ascii="宋体" w:hAnsi="宋体" w:eastAsia="宋体" w:cs="宋体"/>
                <w:color w:val="auto"/>
                <w:spacing w:val="0"/>
                <w:kern w:val="0"/>
                <w:position w:val="0"/>
                <w:sz w:val="24"/>
                <w:szCs w:val="24"/>
                <w:highlight w:val="none"/>
                <w:lang w:eastAsia="zh-CN"/>
              </w:rPr>
              <w:t>马琴、马洁</w:t>
            </w:r>
            <w:r>
              <w:rPr>
                <w:rFonts w:hint="eastAsia" w:ascii="宋体" w:hAnsi="宋体" w:eastAsia="宋体" w:cs="宋体"/>
                <w:color w:val="auto"/>
                <w:spacing w:val="0"/>
                <w:kern w:val="0"/>
                <w:position w:val="0"/>
                <w:sz w:val="24"/>
                <w:szCs w:val="24"/>
                <w:highlight w:val="none"/>
              </w:rPr>
              <w:t xml:space="preserve">   </w:t>
            </w:r>
          </w:p>
          <w:p w14:paraId="6D30EFB8">
            <w:pPr>
              <w:keepNext w:val="0"/>
              <w:keepLines w:val="0"/>
              <w:pageBreakBefore w:val="0"/>
              <w:kinsoku/>
              <w:wordWrap/>
              <w:overflowPunct/>
              <w:topLinePunct w:val="0"/>
              <w:autoSpaceDE/>
              <w:autoSpaceDN/>
              <w:bidi w:val="0"/>
              <w:adjustRightIn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联系电话：13199858738、17767622798</w:t>
            </w:r>
          </w:p>
          <w:p w14:paraId="2A46A593">
            <w:pPr>
              <w:keepNext w:val="0"/>
              <w:keepLines w:val="0"/>
              <w:pageBreakBefore w:val="0"/>
              <w:kinsoku/>
              <w:wordWrap/>
              <w:overflowPunct/>
              <w:topLinePunct w:val="0"/>
              <w:autoSpaceDE/>
              <w:autoSpaceDN/>
              <w:bidi w:val="0"/>
              <w:spacing w:line="440" w:lineRule="exact"/>
              <w:ind w:left="0" w:firstLine="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提交方式：以加盖供应商公章的书面形式（参照财政部令第94号）</w:t>
            </w:r>
          </w:p>
          <w:p w14:paraId="75BAC7B9">
            <w:pPr>
              <w:keepNext w:val="0"/>
              <w:keepLines w:val="0"/>
              <w:pageBreakBefore w:val="0"/>
              <w:kinsoku/>
              <w:wordWrap/>
              <w:overflowPunct/>
              <w:topLinePunct w:val="0"/>
              <w:autoSpaceDE w:val="0"/>
              <w:autoSpaceDN w:val="0"/>
              <w:bidi w:val="0"/>
              <w:adjustRightInd w:val="0"/>
              <w:snapToGrid w:val="0"/>
              <w:spacing w:line="440" w:lineRule="exact"/>
              <w:ind w:left="0" w:firstLine="0"/>
              <w:rPr>
                <w:rFonts w:hint="eastAsia" w:ascii="宋体" w:hAnsi="宋体" w:eastAsia="宋体" w:cs="宋体"/>
                <w:color w:val="auto"/>
                <w:kern w:val="0"/>
                <w:sz w:val="24"/>
                <w:szCs w:val="24"/>
                <w:highlight w:val="none"/>
              </w:rPr>
            </w:pPr>
            <w:r>
              <w:rPr>
                <w:rFonts w:hint="eastAsia" w:ascii="宋体" w:hAnsi="宋体" w:eastAsia="宋体" w:cs="宋体"/>
                <w:bCs/>
                <w:color w:val="auto"/>
                <w:spacing w:val="0"/>
                <w:position w:val="0"/>
                <w:sz w:val="24"/>
                <w:szCs w:val="24"/>
                <w:highlight w:val="none"/>
              </w:rPr>
              <w:t>注：澄清、修改文件发出后，</w:t>
            </w:r>
            <w:r>
              <w:rPr>
                <w:rFonts w:hint="eastAsia" w:ascii="宋体" w:hAnsi="宋体" w:eastAsia="宋体" w:cs="宋体"/>
                <w:bCs/>
                <w:color w:val="auto"/>
                <w:spacing w:val="0"/>
                <w:position w:val="0"/>
                <w:sz w:val="24"/>
                <w:szCs w:val="24"/>
                <w:highlight w:val="none"/>
                <w:lang w:eastAsia="zh-CN"/>
              </w:rPr>
              <w:t>供应商</w:t>
            </w:r>
            <w:r>
              <w:rPr>
                <w:rFonts w:hint="eastAsia" w:ascii="宋体" w:hAnsi="宋体" w:eastAsia="宋体" w:cs="宋体"/>
                <w:bCs/>
                <w:color w:val="auto"/>
                <w:spacing w:val="0"/>
                <w:position w:val="0"/>
                <w:sz w:val="24"/>
                <w:szCs w:val="24"/>
                <w:highlight w:val="none"/>
              </w:rPr>
              <w:t>必须使用最新的澄清文件制作投标文件。</w:t>
            </w:r>
          </w:p>
        </w:tc>
      </w:tr>
      <w:tr w14:paraId="1C00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61A7ACB3">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0</w:t>
            </w:r>
          </w:p>
        </w:tc>
        <w:tc>
          <w:tcPr>
            <w:tcW w:w="2431" w:type="dxa"/>
            <w:noWrap w:val="0"/>
            <w:vAlign w:val="center"/>
          </w:tcPr>
          <w:p w14:paraId="7726DDA4">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投标有效期</w:t>
            </w:r>
          </w:p>
        </w:tc>
        <w:tc>
          <w:tcPr>
            <w:tcW w:w="6318" w:type="dxa"/>
            <w:noWrap w:val="0"/>
            <w:vAlign w:val="center"/>
          </w:tcPr>
          <w:p w14:paraId="08A428C6">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自投标截止之日起</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lang w:val="zh-CN"/>
              </w:rPr>
              <w:t>日历天。</w:t>
            </w:r>
          </w:p>
        </w:tc>
      </w:tr>
      <w:tr w14:paraId="3B53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173D0B96">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11</w:t>
            </w:r>
          </w:p>
        </w:tc>
        <w:tc>
          <w:tcPr>
            <w:tcW w:w="2431" w:type="dxa"/>
            <w:noWrap w:val="0"/>
            <w:vAlign w:val="center"/>
          </w:tcPr>
          <w:p w14:paraId="1C62A15C">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投标截止时间（开标时间）</w:t>
            </w:r>
          </w:p>
        </w:tc>
        <w:tc>
          <w:tcPr>
            <w:tcW w:w="6318" w:type="dxa"/>
            <w:noWrap w:val="0"/>
            <w:vAlign w:val="center"/>
          </w:tcPr>
          <w:p w14:paraId="4D8696AC">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sz w:val="24"/>
                <w:szCs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截止时间：</w:t>
            </w:r>
            <w:r>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t>2025年07月22日11：00（北京时间）</w:t>
            </w:r>
          </w:p>
        </w:tc>
      </w:tr>
      <w:tr w14:paraId="702A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70" w:type="dxa"/>
            <w:noWrap w:val="0"/>
            <w:vAlign w:val="center"/>
          </w:tcPr>
          <w:p w14:paraId="21C0198E">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2</w:t>
            </w:r>
          </w:p>
        </w:tc>
        <w:tc>
          <w:tcPr>
            <w:tcW w:w="2431" w:type="dxa"/>
            <w:noWrap w:val="0"/>
            <w:vAlign w:val="center"/>
          </w:tcPr>
          <w:p w14:paraId="7DF69AE7">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供应商</w:t>
            </w:r>
            <w:r>
              <w:rPr>
                <w:rFonts w:hint="eastAsia" w:ascii="宋体" w:hAnsi="宋体" w:eastAsia="宋体" w:cs="宋体"/>
                <w:b/>
                <w:color w:val="auto"/>
                <w:kern w:val="0"/>
                <w:sz w:val="24"/>
                <w:szCs w:val="24"/>
                <w:highlight w:val="none"/>
              </w:rPr>
              <w:t>在投标截止时间前提交的文件</w:t>
            </w:r>
          </w:p>
        </w:tc>
        <w:tc>
          <w:tcPr>
            <w:tcW w:w="6318" w:type="dxa"/>
            <w:noWrap w:val="0"/>
            <w:vAlign w:val="center"/>
          </w:tcPr>
          <w:p w14:paraId="44D4E805">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投标文件（具体要求见本表第1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w:t>
            </w:r>
          </w:p>
        </w:tc>
      </w:tr>
      <w:tr w14:paraId="5F21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970" w:type="dxa"/>
            <w:noWrap w:val="0"/>
            <w:vAlign w:val="center"/>
          </w:tcPr>
          <w:p w14:paraId="75FA8A2F">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3</w:t>
            </w:r>
          </w:p>
        </w:tc>
        <w:tc>
          <w:tcPr>
            <w:tcW w:w="2431" w:type="dxa"/>
            <w:noWrap w:val="0"/>
            <w:vAlign w:val="center"/>
          </w:tcPr>
          <w:p w14:paraId="34835B51">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投标文件</w:t>
            </w:r>
          </w:p>
        </w:tc>
        <w:tc>
          <w:tcPr>
            <w:tcW w:w="6318" w:type="dxa"/>
            <w:noWrap w:val="0"/>
            <w:vAlign w:val="center"/>
          </w:tcPr>
          <w:p w14:paraId="5E7D6554">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1．本项目采用不见面开标、供应商需要递交电子投标文件，加密的电子投标文件，在投标截止时间前通过新疆政府采购云平台：https://www.zcygov.cn/上传到指定位置。无需递交纸质文件。</w:t>
            </w:r>
          </w:p>
          <w:p w14:paraId="41DCF457">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2.本项目采用远程不见面交易的模式。开标当日，供应商无需到达开标现场，仅需在任意地点通过新疆政府采购云平台不见面开标系统（登录地址详见网站操作手册）完成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因采购人原因或网上招投标平台发生故障，导致无法按时完成投标文件解密或开、评标工作无法进行的，可根据实际情况相应延迟解密时间或调整开、评标时间（友情提示：若供应商已领取副锁（含多把副锁）请注意正副锁的使用差别，务必使用生成投标文件的那把锁解密）。</w:t>
            </w:r>
          </w:p>
          <w:p w14:paraId="1C9566DB">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both"/>
              <w:textAlignment w:val="baseline"/>
              <w:rPr>
                <w:rFonts w:hint="eastAsia" w:ascii="宋体" w:hAnsi="宋体" w:eastAsia="宋体" w:cs="宋体"/>
                <w:color w:val="auto"/>
                <w:kern w:val="0"/>
                <w:sz w:val="24"/>
                <w:szCs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3.远程开标前，供应商务必在新疆政府采购云平台：https://www.zcygov.cn/投标文件上传模块中使用“模拟解密”功能，验证本机远程自助解密环境。</w:t>
            </w:r>
          </w:p>
        </w:tc>
      </w:tr>
      <w:tr w14:paraId="5127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6CDE30BD">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4</w:t>
            </w:r>
          </w:p>
        </w:tc>
        <w:tc>
          <w:tcPr>
            <w:tcW w:w="2431" w:type="dxa"/>
            <w:noWrap w:val="0"/>
            <w:vAlign w:val="center"/>
          </w:tcPr>
          <w:p w14:paraId="53FC2098">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开标时间及地点</w:t>
            </w:r>
          </w:p>
        </w:tc>
        <w:tc>
          <w:tcPr>
            <w:tcW w:w="6318" w:type="dxa"/>
            <w:noWrap w:val="0"/>
            <w:vAlign w:val="center"/>
          </w:tcPr>
          <w:p w14:paraId="2DC4B457">
            <w:pPr>
              <w:pStyle w:val="76"/>
              <w:keepNext w:val="0"/>
              <w:keepLines w:val="0"/>
              <w:pageBreakBefore w:val="0"/>
              <w:kinsoku/>
              <w:wordWrap/>
              <w:overflowPunct/>
              <w:topLinePunct w:val="0"/>
              <w:bidi w:val="0"/>
              <w:adjustRightInd w:val="0"/>
              <w:snapToGrid w:val="0"/>
              <w:spacing w:line="440" w:lineRule="exact"/>
              <w:ind w:left="0" w:firstLine="0" w:firstLineChars="0"/>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采用不见面开标</w:t>
            </w:r>
          </w:p>
          <w:p w14:paraId="2A715D02">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开标时间：</w:t>
            </w:r>
            <w:r>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t>2025年07月22日11：00（北京时间）</w:t>
            </w:r>
          </w:p>
          <w:p w14:paraId="6D183AB3">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eastAsia" w:ascii="宋体" w:hAnsi="宋体" w:eastAsia="宋体" w:cs="宋体"/>
                <w:color w:val="auto"/>
                <w:sz w:val="24"/>
                <w:szCs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开标地点：本项目采用不见面开标，供应商需要递交加密的电子投标文件，在投标截止时间前通过新疆政府采购云平台https://www.zcygov.cn/开标系统上传到指定位置。逾期未上传的或不符合规定的投标文件将被拒绝接收。</w:t>
            </w:r>
          </w:p>
        </w:tc>
      </w:tr>
      <w:tr w14:paraId="1440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51469932">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5</w:t>
            </w:r>
          </w:p>
        </w:tc>
        <w:tc>
          <w:tcPr>
            <w:tcW w:w="2431" w:type="dxa"/>
            <w:noWrap w:val="0"/>
            <w:vAlign w:val="center"/>
          </w:tcPr>
          <w:p w14:paraId="294B881D">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评标委员会的组成</w:t>
            </w:r>
          </w:p>
        </w:tc>
        <w:tc>
          <w:tcPr>
            <w:tcW w:w="6318" w:type="dxa"/>
            <w:noWrap w:val="0"/>
            <w:vAlign w:val="center"/>
          </w:tcPr>
          <w:p w14:paraId="16D1C8B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评标委员会由采购人代表和评审专家组成，成员人数应当为5人以上单数，其中评审专家不得少于成员总数的三分之二。</w:t>
            </w:r>
          </w:p>
          <w:p w14:paraId="52BB7AA6">
            <w:pPr>
              <w:keepNext w:val="0"/>
              <w:keepLines w:val="0"/>
              <w:pageBreakBefore w:val="0"/>
              <w:kinsoku/>
              <w:wordWrap/>
              <w:overflowPunct/>
              <w:topLinePunct w:val="0"/>
              <w:autoSpaceDE/>
              <w:autoSpaceDN/>
              <w:bidi w:val="0"/>
              <w:adjustRightInd w:val="0"/>
              <w:snapToGrid w:val="0"/>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pacing w:val="0"/>
                <w:position w:val="0"/>
                <w:sz w:val="24"/>
                <w:szCs w:val="24"/>
                <w:highlight w:val="none"/>
              </w:rPr>
              <w:t>小组确定方式：</w:t>
            </w:r>
            <w:r>
              <w:rPr>
                <w:rStyle w:val="53"/>
                <w:rFonts w:hint="eastAsia" w:ascii="宋体" w:hAnsi="宋体" w:eastAsia="宋体" w:cs="宋体"/>
                <w:b/>
                <w:i w:val="0"/>
                <w:caps w:val="0"/>
                <w:color w:val="auto"/>
                <w:spacing w:val="0"/>
                <w:w w:val="100"/>
                <w:kern w:val="2"/>
                <w:position w:val="0"/>
                <w:sz w:val="24"/>
                <w:szCs w:val="24"/>
                <w:highlight w:val="none"/>
                <w:lang w:val="en-US" w:eastAsia="zh-CN" w:bidi="ar-SA"/>
              </w:rPr>
              <w:t>开标前于政采云专家库随机抽取</w:t>
            </w:r>
          </w:p>
        </w:tc>
      </w:tr>
      <w:tr w14:paraId="20CB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0" w:type="dxa"/>
            <w:noWrap w:val="0"/>
            <w:vAlign w:val="center"/>
          </w:tcPr>
          <w:p w14:paraId="34B87797">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6</w:t>
            </w:r>
          </w:p>
        </w:tc>
        <w:tc>
          <w:tcPr>
            <w:tcW w:w="2431" w:type="dxa"/>
            <w:noWrap w:val="0"/>
            <w:vAlign w:val="center"/>
          </w:tcPr>
          <w:p w14:paraId="53B7DFAF">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lang w:eastAsia="zh-CN"/>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投标保证金</w:t>
            </w:r>
          </w:p>
        </w:tc>
        <w:tc>
          <w:tcPr>
            <w:tcW w:w="6318" w:type="dxa"/>
            <w:noWrap w:val="0"/>
            <w:vAlign w:val="center"/>
          </w:tcPr>
          <w:p w14:paraId="4638EC72">
            <w:pPr>
              <w:keepNext w:val="0"/>
              <w:keepLines w:val="0"/>
              <w:pageBreakBefore w:val="0"/>
              <w:kinsoku/>
              <w:wordWrap/>
              <w:overflowPunct/>
              <w:topLinePunct w:val="0"/>
              <w:bidi w:val="0"/>
              <w:snapToGrid/>
              <w:spacing w:beforeAutospacing="0" w:after="0" w:afterAutospacing="0" w:line="440" w:lineRule="exact"/>
              <w:ind w:left="0" w:right="0" w:firstLine="0" w:firstLineChars="0"/>
              <w:jc w:val="left"/>
              <w:rPr>
                <w:rStyle w:val="53"/>
                <w:rFonts w:hint="eastAsia" w:ascii="宋体" w:hAnsi="宋体" w:eastAsia="宋体" w:cs="宋体"/>
                <w:b w:val="0"/>
                <w:i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olor w:val="auto"/>
                <w:spacing w:val="0"/>
                <w:w w:val="100"/>
                <w:kern w:val="0"/>
                <w:position w:val="0"/>
                <w:sz w:val="24"/>
                <w:szCs w:val="24"/>
                <w:highlight w:val="none"/>
                <w:lang w:val="en-US" w:eastAsia="zh-CN" w:bidi="ar-SA"/>
              </w:rPr>
              <w:t>投标保证金额为：27000.00元</w:t>
            </w:r>
          </w:p>
          <w:p w14:paraId="378B4C2B">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投标保证金缴纳方式：银行汇票、银行电汇、转账、本票或者金融机构、担保机构出具的保函等非现金形式提交。</w:t>
            </w:r>
          </w:p>
          <w:p w14:paraId="176C3145">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1、若采用银行汇票、银行电汇、转账、本票时，投标保证金于</w:t>
            </w:r>
            <w:r>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t>2025年07月22日11：00（北京时间）</w:t>
            </w: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（以到账时间为准）之前从供应商账户汇至新疆诚成工程项目管理有限公司账户，否则其投标文件将被拒绝评审，供应商提交投标保证金应充分考虑资金在途时间。</w:t>
            </w:r>
          </w:p>
          <w:p w14:paraId="6CFA466C">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注：供应商向银行办理投标保证金汇（转）款时，应在用途栏（备注栏）准确注明"本项目招标编号（例如：XJCC-ZB-2025-</w:t>
            </w:r>
            <w:r>
              <w:rPr>
                <w:rFonts w:hint="eastAsia" w:ascii="宋体" w:hAnsi="宋体" w:eastAsia="宋体" w:cs="宋体"/>
                <w:bCs/>
                <w:color w:val="auto"/>
                <w:spacing w:val="0"/>
                <w:kern w:val="0"/>
                <w:position w:val="0"/>
                <w:sz w:val="24"/>
                <w:szCs w:val="24"/>
                <w:highlight w:val="none"/>
                <w:u w:val="none"/>
                <w:lang w:val="en-US" w:eastAsia="zh-CN"/>
              </w:rPr>
              <w:t>XX</w:t>
            </w: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投标保证金）"字样（每个标段应分别汇款），由于未按要求准确注明信息而导致的一切后果由供应商承担。</w:t>
            </w:r>
          </w:p>
          <w:p w14:paraId="52A9C806">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户名：新疆诚成工程项目管理有限公司</w:t>
            </w:r>
          </w:p>
          <w:p w14:paraId="1A372AAA">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开户行名称：乌鲁木齐银行新华南路支行</w:t>
            </w:r>
          </w:p>
          <w:p w14:paraId="14CFFDC7">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账号：0000001211121500053685</w:t>
            </w:r>
          </w:p>
          <w:p w14:paraId="0393A0A3">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开户行号：313881000176</w:t>
            </w:r>
          </w:p>
          <w:p w14:paraId="02D925BD">
            <w:pPr>
              <w:keepNext w:val="0"/>
              <w:keepLines w:val="0"/>
              <w:pageBreakBefore w:val="0"/>
              <w:numPr>
                <w:ilvl w:val="0"/>
                <w:numId w:val="2"/>
              </w:numPr>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若采用金融机构、担保机构出具的保函形式递交时，须出具对本项目（项目名称）的保函，提供原件的扫描件于投标文件中，否则视为无效。保函有效期不少于投标有效期。</w:t>
            </w:r>
          </w:p>
          <w:p w14:paraId="6959C116">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05BF1F48">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（1）电子保函按照“一分包一保函”的原则。</w:t>
            </w:r>
          </w:p>
          <w:p w14:paraId="757DDC42">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（2）电子保函须在招标文件规定的投标截止时间前办理完成。</w:t>
            </w:r>
          </w:p>
          <w:p w14:paraId="77B9C80D">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eastAsia" w:ascii="宋体" w:hAnsi="宋体" w:eastAsia="宋体" w:cs="宋体"/>
                <w:b/>
                <w:color w:val="auto"/>
                <w:sz w:val="24"/>
                <w:szCs w:val="24"/>
                <w:highlight w:val="none"/>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★备注：（1）投标保证金保证金缴纳截止时间同开标时间一致。（2）供应商未按照采购文件上述要求提交投标保证金的，投标将被否决。</w:t>
            </w:r>
          </w:p>
        </w:tc>
      </w:tr>
      <w:tr w14:paraId="1D5F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70" w:type="dxa"/>
            <w:noWrap w:val="0"/>
            <w:vAlign w:val="center"/>
          </w:tcPr>
          <w:p w14:paraId="590EE2E1">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7</w:t>
            </w:r>
          </w:p>
        </w:tc>
        <w:tc>
          <w:tcPr>
            <w:tcW w:w="2431" w:type="dxa"/>
            <w:noWrap w:val="0"/>
            <w:vAlign w:val="center"/>
          </w:tcPr>
          <w:p w14:paraId="16F4BB3B">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i w:val="0"/>
                <w:caps w:val="0"/>
                <w:color w:val="auto"/>
                <w:spacing w:val="0"/>
                <w:w w:val="100"/>
                <w:kern w:val="0"/>
                <w:position w:val="0"/>
                <w:sz w:val="24"/>
                <w:szCs w:val="24"/>
                <w:highlight w:val="none"/>
                <w:lang w:val="en-US" w:eastAsia="zh-CN" w:bidi="ar-SA"/>
              </w:rPr>
              <w:t>政府采购政策落实</w:t>
            </w:r>
          </w:p>
        </w:tc>
        <w:tc>
          <w:tcPr>
            <w:tcW w:w="6318" w:type="dxa"/>
            <w:tcBorders>
              <w:top w:val="single" w:color="auto" w:sz="4" w:space="0"/>
            </w:tcBorders>
            <w:noWrap w:val="0"/>
            <w:vAlign w:val="center"/>
          </w:tcPr>
          <w:p w14:paraId="69EA1217">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1.本项目不专门面向中小企业预留采购份额。</w:t>
            </w:r>
          </w:p>
          <w:p w14:paraId="472A8AFF">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2.根据工信部等部委发布的《关于印发中小企业划型标准规定的通知》（工信部联企业〔2011〕300号）、财政部、工业和信息化部《政府采购促进中小企业发展管理办法 》（财库[2020]46号文）规定，本次采购标的所属行业为</w:t>
            </w:r>
            <w:r>
              <w:rPr>
                <w:rStyle w:val="53"/>
                <w:rFonts w:hint="eastAsia" w:ascii="宋体" w:hAnsi="宋体" w:eastAsia="宋体" w:cs="宋体"/>
                <w:b/>
                <w:bCs/>
                <w:i w:val="0"/>
                <w:caps w:val="0"/>
                <w:color w:val="auto"/>
                <w:spacing w:val="0"/>
                <w:w w:val="100"/>
                <w:kern w:val="0"/>
                <w:position w:val="0"/>
                <w:sz w:val="24"/>
                <w:szCs w:val="24"/>
                <w:highlight w:val="none"/>
                <w:u w:val="single" w:color="auto"/>
                <w:lang w:val="en-US" w:eastAsia="zh-CN" w:bidi="ar-SA"/>
              </w:rPr>
              <w:t>软件和信息技术服务业</w:t>
            </w:r>
            <w:r>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，符合以下条件的中小微型企业应按照招标文件格式要求提供《中小企业声明函》。</w:t>
            </w:r>
          </w:p>
          <w:p w14:paraId="4B028C81">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A90786E">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150E67B3">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 xml:space="preserve">（3）根据上述文件规定，对满足以上（1）（2）两项条件并按照规定格式提供《中小企业声明函》的小微企业的投标总报价给予 </w:t>
            </w:r>
            <w:r>
              <w:rPr>
                <w:rStyle w:val="53"/>
                <w:rFonts w:hint="eastAsia" w:ascii="宋体" w:hAnsi="宋体" w:eastAsia="宋体" w:cs="宋体"/>
                <w:b/>
                <w:bCs/>
                <w:i w:val="0"/>
                <w:caps w:val="0"/>
                <w:color w:val="auto"/>
                <w:spacing w:val="0"/>
                <w:w w:val="100"/>
                <w:kern w:val="0"/>
                <w:position w:val="0"/>
                <w:sz w:val="24"/>
                <w:szCs w:val="24"/>
                <w:highlight w:val="none"/>
                <w:u w:val="none" w:color="auto"/>
                <w:lang w:val="en-US" w:eastAsia="zh-CN" w:bidi="ar-SA"/>
              </w:rPr>
              <w:t>10 %</w:t>
            </w:r>
            <w:r>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的扣除，用扣除后的价格参与评审。</w:t>
            </w:r>
          </w:p>
          <w:p w14:paraId="667210F6">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（4）依据本办法规定享受扶持政策获得政府采购合同的，小微企业不得将合同分包给大中型企业，中型企业不得将合同分包给大型企业。</w:t>
            </w:r>
          </w:p>
          <w:p w14:paraId="4BE6B818">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（5）提供由省级以上监狱管理局、戒毒管理局（含新疆生产建设兵团）出具的属于监狱企业证明文件（扫描件）的，视同为小型和微型企业。</w:t>
            </w:r>
          </w:p>
          <w:p w14:paraId="51269176">
            <w:pPr>
              <w:keepNext w:val="0"/>
              <w:keepLines w:val="0"/>
              <w:pageBreakBefore w:val="0"/>
              <w:kinsoku/>
              <w:wordWrap/>
              <w:overflowPunct/>
              <w:topLinePunct w:val="0"/>
              <w:bidi w:val="0"/>
              <w:snapToGrid/>
              <w:spacing w:beforeAutospacing="0" w:after="0" w:afterAutospacing="0" w:line="440" w:lineRule="exact"/>
              <w:ind w:left="0" w:right="0" w:firstLine="0" w:firstLineChars="0"/>
              <w:jc w:val="both"/>
              <w:textAlignment w:val="baseline"/>
              <w:rPr>
                <w:rFonts w:hint="eastAsia" w:ascii="宋体" w:hAnsi="宋体" w:eastAsia="宋体" w:cs="宋体"/>
                <w:color w:val="auto"/>
                <w:kern w:val="0"/>
                <w:sz w:val="24"/>
                <w:szCs w:val="24"/>
                <w:highlight w:val="none"/>
              </w:rPr>
            </w:pPr>
            <w:r>
              <w:rPr>
                <w:rStyle w:val="53"/>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（6）符合享受政府采购支持政策的残疾人福利性单位条件且提供《残疾人福利性单位声明函》的，视同为小型和微型企业。</w:t>
            </w:r>
          </w:p>
        </w:tc>
      </w:tr>
      <w:tr w14:paraId="52A6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664DEADF">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8</w:t>
            </w:r>
          </w:p>
        </w:tc>
        <w:tc>
          <w:tcPr>
            <w:tcW w:w="2431" w:type="dxa"/>
            <w:noWrap w:val="0"/>
            <w:vAlign w:val="center"/>
          </w:tcPr>
          <w:p w14:paraId="0DD6508C">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rPr>
              <w:t>评审方法</w:t>
            </w:r>
          </w:p>
        </w:tc>
        <w:tc>
          <w:tcPr>
            <w:tcW w:w="6318" w:type="dxa"/>
            <w:noWrap w:val="0"/>
            <w:vAlign w:val="center"/>
          </w:tcPr>
          <w:p w14:paraId="47844896">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资格后审         </w:t>
            </w:r>
          </w:p>
          <w:p w14:paraId="78BB5B39">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综合评分法      </w:t>
            </w:r>
          </w:p>
          <w:p w14:paraId="4BE07474">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00DC2925">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1、最低评标价法，是指以价格为主要因素确定中标供应商的评标方法，即在全部满足招标文件实质性要求前提下，依据统一的价格要素评定最低报价，以提出最低报价的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作为中标候选供应商或者中标供应商的评标方法。投标报价相同的，按技术指标优劣顺序排列，技术指标较优的一方为中标人。</w:t>
            </w:r>
          </w:p>
          <w:p w14:paraId="574B02D3">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2、综合评分法是指在最大限度地满足招标文件实质性要求前提下，按照招标文件中规定的评分细则评审后，以评标最终得分最高的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作为中标人的评标方法。每一</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的最终得分为所有评委评分的算术平均值</w:t>
            </w:r>
            <w:r>
              <w:rPr>
                <w:rFonts w:hint="eastAsia" w:ascii="宋体" w:hAnsi="宋体" w:eastAsia="宋体" w:cs="宋体"/>
                <w:b/>
                <w:color w:val="auto"/>
                <w:kern w:val="0"/>
                <w:sz w:val="24"/>
                <w:szCs w:val="24"/>
                <w:highlight w:val="none"/>
              </w:rPr>
              <w:t>。</w:t>
            </w:r>
            <w:r>
              <w:rPr>
                <w:rFonts w:hint="eastAsia" w:ascii="宋体" w:hAnsi="宋体" w:eastAsia="宋体" w:cs="宋体"/>
                <w:color w:val="auto"/>
                <w:kern w:val="0"/>
                <w:sz w:val="24"/>
                <w:szCs w:val="24"/>
                <w:highlight w:val="none"/>
              </w:rPr>
              <w:t>得分相同的，报价较低的一方为中标人。得分且投标报价相同的，技术指标较优的一方为中标人。</w:t>
            </w:r>
          </w:p>
        </w:tc>
      </w:tr>
      <w:tr w14:paraId="713C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51B98575">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20</w:t>
            </w:r>
          </w:p>
        </w:tc>
        <w:tc>
          <w:tcPr>
            <w:tcW w:w="2431" w:type="dxa"/>
            <w:noWrap w:val="0"/>
            <w:vAlign w:val="center"/>
          </w:tcPr>
          <w:p w14:paraId="12C119C6">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lang w:val="en-US" w:eastAsia="zh-CN" w:bidi="ar-SA"/>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履约保证金</w:t>
            </w:r>
          </w:p>
        </w:tc>
        <w:tc>
          <w:tcPr>
            <w:tcW w:w="6318" w:type="dxa"/>
            <w:noWrap w:val="0"/>
            <w:vAlign w:val="center"/>
          </w:tcPr>
          <w:p w14:paraId="796A3077">
            <w:pPr>
              <w:pStyle w:val="77"/>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both"/>
              <w:textAlignment w:val="baseline"/>
              <w:rPr>
                <w:rFonts w:hint="eastAsia" w:ascii="宋体" w:hAnsi="宋体" w:eastAsia="宋体" w:cs="宋体"/>
                <w:color w:val="auto"/>
                <w:ker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不交纳</w:t>
            </w:r>
          </w:p>
        </w:tc>
      </w:tr>
      <w:tr w14:paraId="1E78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70" w:type="dxa"/>
            <w:noWrap w:val="0"/>
            <w:vAlign w:val="center"/>
          </w:tcPr>
          <w:p w14:paraId="4D5B17B8">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21</w:t>
            </w:r>
          </w:p>
        </w:tc>
        <w:tc>
          <w:tcPr>
            <w:tcW w:w="2431" w:type="dxa"/>
            <w:noWrap w:val="0"/>
            <w:vAlign w:val="center"/>
          </w:tcPr>
          <w:p w14:paraId="59CB8A69">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Style w:val="53"/>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代理服务费</w:t>
            </w:r>
          </w:p>
        </w:tc>
        <w:tc>
          <w:tcPr>
            <w:tcW w:w="6318" w:type="dxa"/>
            <w:noWrap w:val="0"/>
            <w:vAlign w:val="center"/>
          </w:tcPr>
          <w:p w14:paraId="444F04D6">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both"/>
              <w:textAlignment w:val="baseline"/>
              <w:rPr>
                <w:rFonts w:hint="eastAsia" w:ascii="宋体" w:hAnsi="宋体" w:eastAsia="宋体" w:cs="宋体"/>
                <w:b w:val="0"/>
                <w:bCs/>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bCs/>
                <w:i w:val="0"/>
                <w:caps w:val="0"/>
                <w:color w:val="auto"/>
                <w:spacing w:val="0"/>
                <w:w w:val="100"/>
                <w:kern w:val="0"/>
                <w:position w:val="0"/>
                <w:sz w:val="24"/>
                <w:szCs w:val="24"/>
                <w:highlight w:val="none"/>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由中标人向采购代理机构支付。本项目最高限价已包含代理服务费，请供应商将该费用考虑在报价之中，招标人将不另行支付。</w:t>
            </w:r>
          </w:p>
        </w:tc>
      </w:tr>
      <w:tr w14:paraId="1C22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0" w:type="dxa"/>
            <w:noWrap w:val="0"/>
            <w:vAlign w:val="center"/>
          </w:tcPr>
          <w:p w14:paraId="58738DD5">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22</w:t>
            </w:r>
          </w:p>
        </w:tc>
        <w:tc>
          <w:tcPr>
            <w:tcW w:w="2431" w:type="dxa"/>
            <w:noWrap w:val="0"/>
            <w:vAlign w:val="center"/>
          </w:tcPr>
          <w:p w14:paraId="30289791">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lang w:val="en-US" w:eastAsia="zh-CN" w:bidi="ar-SA"/>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场地服务费</w:t>
            </w:r>
          </w:p>
        </w:tc>
        <w:tc>
          <w:tcPr>
            <w:tcW w:w="6318" w:type="dxa"/>
            <w:noWrap w:val="0"/>
            <w:vAlign w:val="center"/>
          </w:tcPr>
          <w:p w14:paraId="175DAF6F">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both"/>
              <w:textAlignment w:val="baseline"/>
              <w:rPr>
                <w:rFonts w:hint="eastAsia" w:ascii="宋体" w:hAnsi="宋体" w:eastAsia="宋体" w:cs="宋体"/>
                <w:color w:val="auto"/>
                <w:kern w:val="2"/>
                <w:sz w:val="24"/>
                <w:szCs w:val="24"/>
                <w:highlight w:val="none"/>
                <w:u w:val="singl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不交纳 </w:t>
            </w:r>
          </w:p>
        </w:tc>
      </w:tr>
      <w:tr w14:paraId="0BC8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0" w:type="dxa"/>
            <w:noWrap w:val="0"/>
            <w:vAlign w:val="center"/>
          </w:tcPr>
          <w:p w14:paraId="154A9E49">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23</w:t>
            </w:r>
          </w:p>
        </w:tc>
        <w:tc>
          <w:tcPr>
            <w:tcW w:w="2431" w:type="dxa"/>
            <w:noWrap w:val="0"/>
            <w:vAlign w:val="center"/>
          </w:tcPr>
          <w:p w14:paraId="5798B6C9">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u w:val="none"/>
                <w:lang w:val="en-US" w:eastAsia="zh-CN"/>
              </w:rPr>
              <w:t>现场演示</w:t>
            </w:r>
          </w:p>
        </w:tc>
        <w:tc>
          <w:tcPr>
            <w:tcW w:w="6318" w:type="dxa"/>
            <w:noWrap w:val="0"/>
            <w:vAlign w:val="center"/>
          </w:tcPr>
          <w:p w14:paraId="0F22191E">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sym w:font="Wingdings 2" w:char="00A3"/>
            </w:r>
            <w:r>
              <w:rPr>
                <w:rFonts w:hint="eastAsia" w:ascii="宋体" w:hAnsi="宋体" w:eastAsia="宋体" w:cs="宋体"/>
                <w:color w:val="auto"/>
                <w:sz w:val="24"/>
                <w:szCs w:val="24"/>
                <w:highlight w:val="none"/>
                <w:u w:val="none"/>
                <w:lang w:val="zh-CN"/>
              </w:rPr>
              <w:t>不需要。</w:t>
            </w:r>
          </w:p>
          <w:p w14:paraId="50C9ED90">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sym w:font="Wingdings 2" w:char="0052"/>
            </w:r>
            <w:r>
              <w:rPr>
                <w:rFonts w:hint="eastAsia" w:ascii="宋体" w:hAnsi="宋体" w:eastAsia="宋体" w:cs="宋体"/>
                <w:color w:val="auto"/>
                <w:sz w:val="24"/>
                <w:szCs w:val="24"/>
                <w:highlight w:val="none"/>
                <w:u w:val="none"/>
                <w:lang w:val="zh-CN"/>
              </w:rPr>
              <w:t>需要，演示要求如下：</w:t>
            </w:r>
          </w:p>
          <w:p w14:paraId="72665FD0">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zh-CN"/>
              </w:rPr>
              <w:t>1、演示内容：</w:t>
            </w:r>
            <w:r>
              <w:rPr>
                <w:rFonts w:hint="eastAsia" w:ascii="宋体" w:hAnsi="宋体" w:eastAsia="宋体" w:cs="宋体"/>
                <w:color w:val="auto"/>
                <w:sz w:val="24"/>
                <w:szCs w:val="24"/>
                <w:highlight w:val="none"/>
                <w:u w:val="none"/>
              </w:rPr>
              <w:t xml:space="preserve"> 根据评分项内容                                    </w:t>
            </w:r>
          </w:p>
          <w:p w14:paraId="68EF988F">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zh-CN"/>
              </w:rPr>
              <w:t>2、演示人员：</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kern w:val="0"/>
                <w:sz w:val="24"/>
                <w:szCs w:val="24"/>
                <w:highlight w:val="none"/>
              </w:rPr>
              <w:t>授权代表或项目负责人</w:t>
            </w:r>
            <w:r>
              <w:rPr>
                <w:rFonts w:hint="eastAsia" w:ascii="宋体" w:hAnsi="宋体" w:eastAsia="宋体" w:cs="宋体"/>
                <w:color w:val="auto"/>
                <w:sz w:val="24"/>
                <w:szCs w:val="24"/>
                <w:highlight w:val="none"/>
                <w:u w:val="none"/>
              </w:rPr>
              <w:t xml:space="preserve">                                      </w:t>
            </w:r>
          </w:p>
          <w:p w14:paraId="18C2FE12">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3、演示时限：</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kern w:val="0"/>
                <w:sz w:val="24"/>
                <w:szCs w:val="24"/>
                <w:highlight w:val="none"/>
              </w:rPr>
              <w:t>5分钟</w:t>
            </w:r>
            <w:r>
              <w:rPr>
                <w:rFonts w:hint="eastAsia" w:ascii="宋体" w:hAnsi="宋体" w:eastAsia="宋体" w:cs="宋体"/>
                <w:color w:val="auto"/>
                <w:sz w:val="24"/>
                <w:szCs w:val="24"/>
                <w:highlight w:val="none"/>
                <w:u w:val="none"/>
                <w:lang w:val="zh-CN"/>
              </w:rPr>
              <w:t>。</w:t>
            </w:r>
          </w:p>
          <w:p w14:paraId="5D872DFF">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none"/>
                <w:lang w:val="zh-CN"/>
              </w:rPr>
              <w:t>4、演示形式：</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val="en-US" w:eastAsia="zh-CN"/>
              </w:rPr>
              <w:t>在政采云平台上</w:t>
            </w:r>
            <w:r>
              <w:rPr>
                <w:rFonts w:hint="eastAsia" w:ascii="宋体" w:hAnsi="宋体" w:eastAsia="宋体" w:cs="宋体"/>
                <w:color w:val="auto"/>
                <w:kern w:val="0"/>
                <w:sz w:val="24"/>
                <w:szCs w:val="24"/>
                <w:highlight w:val="none"/>
              </w:rPr>
              <w:t>演示</w:t>
            </w:r>
            <w:r>
              <w:rPr>
                <w:rFonts w:hint="eastAsia" w:ascii="宋体" w:hAnsi="宋体" w:eastAsia="宋体" w:cs="宋体"/>
                <w:color w:val="auto"/>
                <w:sz w:val="24"/>
                <w:szCs w:val="24"/>
                <w:highlight w:val="none"/>
                <w:u w:val="none"/>
              </w:rPr>
              <w:t xml:space="preserve">                                    </w:t>
            </w:r>
          </w:p>
        </w:tc>
      </w:tr>
      <w:tr w14:paraId="464D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76F6F6A9">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24</w:t>
            </w:r>
          </w:p>
        </w:tc>
        <w:tc>
          <w:tcPr>
            <w:tcW w:w="2431" w:type="dxa"/>
            <w:noWrap w:val="0"/>
            <w:vAlign w:val="center"/>
          </w:tcPr>
          <w:p w14:paraId="1FB0B07C">
            <w:pPr>
              <w:keepNext w:val="0"/>
              <w:keepLines w:val="0"/>
              <w:pageBreakBefore w:val="0"/>
              <w:kinsoku/>
              <w:wordWrap/>
              <w:overflowPunct/>
              <w:topLinePunct w:val="0"/>
              <w:autoSpaceDE w:val="0"/>
              <w:autoSpaceDN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rPr>
              <w:t>项目预算</w:t>
            </w:r>
          </w:p>
        </w:tc>
        <w:tc>
          <w:tcPr>
            <w:tcW w:w="6318" w:type="dxa"/>
            <w:noWrap w:val="0"/>
            <w:vAlign w:val="center"/>
          </w:tcPr>
          <w:p w14:paraId="02E10BAE">
            <w:pPr>
              <w:keepNext w:val="0"/>
              <w:keepLines w:val="0"/>
              <w:pageBreakBefore w:val="0"/>
              <w:kinsoku/>
              <w:wordWrap/>
              <w:overflowPunct/>
              <w:topLinePunct w:val="0"/>
              <w:autoSpaceDE w:val="0"/>
              <w:autoSpaceDN w:val="0"/>
              <w:bidi w:val="0"/>
              <w:adjustRightInd w:val="0"/>
              <w:snapToGrid w:val="0"/>
              <w:spacing w:line="440" w:lineRule="exact"/>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本</w:t>
            </w:r>
            <w:r>
              <w:rPr>
                <w:rFonts w:hint="eastAsia" w:ascii="宋体" w:hAnsi="宋体" w:eastAsia="宋体" w:cs="宋体"/>
                <w:color w:val="auto"/>
                <w:sz w:val="24"/>
                <w:szCs w:val="24"/>
                <w:highlight w:val="none"/>
                <w:u w:val="single"/>
                <w:lang w:val="zh-CN"/>
              </w:rPr>
              <w:t>新疆维吾尔自治区总工会协同办公平台采购项目项目</w:t>
            </w:r>
            <w:r>
              <w:rPr>
                <w:rFonts w:hint="eastAsia" w:ascii="宋体" w:hAnsi="宋体" w:eastAsia="宋体" w:cs="宋体"/>
                <w:color w:val="auto"/>
                <w:sz w:val="24"/>
                <w:szCs w:val="24"/>
                <w:highlight w:val="none"/>
                <w:lang w:val="zh-CN"/>
              </w:rPr>
              <w:t>预算为</w:t>
            </w:r>
            <w:r>
              <w:rPr>
                <w:rFonts w:hint="eastAsia" w:ascii="宋体" w:hAnsi="宋体" w:eastAsia="宋体" w:cs="宋体"/>
                <w:color w:val="auto"/>
                <w:sz w:val="24"/>
                <w:szCs w:val="24"/>
                <w:highlight w:val="none"/>
                <w:u w:val="single"/>
                <w:lang w:val="en-US" w:eastAsia="zh-CN"/>
              </w:rPr>
              <w:t>1355000.00元</w:t>
            </w:r>
            <w:r>
              <w:rPr>
                <w:rFonts w:hint="eastAsia" w:ascii="宋体" w:hAnsi="宋体" w:eastAsia="宋体" w:cs="宋体"/>
                <w:color w:val="auto"/>
                <w:sz w:val="24"/>
                <w:szCs w:val="24"/>
                <w:highlight w:val="none"/>
                <w:lang w:val="zh-CN"/>
              </w:rPr>
              <w:t>，供应商投标报价超过项目预算的按无效投标处理。</w:t>
            </w:r>
          </w:p>
        </w:tc>
      </w:tr>
      <w:tr w14:paraId="74A7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46BB400D">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25</w:t>
            </w:r>
          </w:p>
        </w:tc>
        <w:tc>
          <w:tcPr>
            <w:tcW w:w="2431" w:type="dxa"/>
            <w:shd w:val="clear" w:color="auto" w:fill="auto"/>
            <w:noWrap w:val="0"/>
            <w:vAlign w:val="center"/>
          </w:tcPr>
          <w:p w14:paraId="614D1BD6">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lang w:val="en-US" w:eastAsia="zh-CN" w:bidi="ar-SA"/>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付款方式</w:t>
            </w:r>
          </w:p>
        </w:tc>
        <w:tc>
          <w:tcPr>
            <w:tcW w:w="6318" w:type="dxa"/>
            <w:shd w:val="clear" w:color="auto" w:fill="auto"/>
            <w:noWrap w:val="0"/>
            <w:vAlign w:val="center"/>
          </w:tcPr>
          <w:p w14:paraId="4CE662C3">
            <w:pPr>
              <w:keepNext w:val="0"/>
              <w:keepLines w:val="0"/>
              <w:pageBreakBefore w:val="0"/>
              <w:kinsoku/>
              <w:wordWrap/>
              <w:overflowPunct/>
              <w:topLinePunct w:val="0"/>
              <w:autoSpaceDE w:val="0"/>
              <w:autoSpaceDN w:val="0"/>
              <w:bidi w:val="0"/>
              <w:adjustRightInd w:val="0"/>
              <w:snapToGrid w:val="0"/>
              <w:spacing w:line="440" w:lineRule="exact"/>
              <w:ind w:left="0" w:leftChars="0" w:firstLine="0" w:firstLineChars="0"/>
              <w:rPr>
                <w:rFonts w:hint="eastAsia" w:ascii="宋体" w:hAnsi="宋体" w:eastAsia="宋体" w:cs="宋体"/>
                <w:color w:val="auto"/>
                <w:kern w:val="2"/>
                <w:sz w:val="24"/>
                <w:szCs w:val="24"/>
                <w:highlight w:val="none"/>
                <w:lang w:val="en-US" w:eastAsia="zh-CN" w:bidi="ar-SA"/>
              </w:rPr>
            </w:pPr>
            <w:bookmarkStart w:id="13" w:name="storageLife"/>
            <w:bookmarkEnd w:id="13"/>
            <w:r>
              <w:rPr>
                <w:rFonts w:hint="eastAsia" w:ascii="宋体" w:hAnsi="宋体" w:eastAsia="宋体" w:cs="宋体"/>
                <w:color w:val="auto"/>
                <w:sz w:val="24"/>
                <w:szCs w:val="24"/>
                <w:highlight w:val="none"/>
                <w:lang w:val="en-US" w:eastAsia="zh-CN"/>
              </w:rPr>
              <w:t>合同签订后支付合同金额的30%，项目验收合格后支付合同金额的60%，一年后支付合同金额的10%。</w:t>
            </w:r>
          </w:p>
        </w:tc>
      </w:tr>
      <w:tr w14:paraId="58E4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shd w:val="clear" w:color="auto" w:fill="auto"/>
            <w:noWrap w:val="0"/>
            <w:vAlign w:val="center"/>
          </w:tcPr>
          <w:p w14:paraId="3F6E6B01">
            <w:pPr>
              <w:keepNext w:val="0"/>
              <w:keepLines w:val="0"/>
              <w:pageBreakBefore w:val="0"/>
              <w:kinsoku/>
              <w:wordWrap/>
              <w:overflowPunct/>
              <w:topLinePunct w:val="0"/>
              <w:bidi w:val="0"/>
              <w:adjustRightInd w:val="0"/>
              <w:snapToGrid w:val="0"/>
              <w:spacing w:line="440" w:lineRule="exact"/>
              <w:ind w:left="0" w:leftChars="0" w:firstLine="0" w:firstLineChars="0"/>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rPr>
              <w:t>26</w:t>
            </w:r>
          </w:p>
        </w:tc>
        <w:tc>
          <w:tcPr>
            <w:tcW w:w="2431" w:type="dxa"/>
            <w:shd w:val="clear" w:color="auto" w:fill="auto"/>
            <w:noWrap w:val="0"/>
            <w:vAlign w:val="center"/>
          </w:tcPr>
          <w:p w14:paraId="4C1E98C1">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质保期</w:t>
            </w:r>
          </w:p>
        </w:tc>
        <w:tc>
          <w:tcPr>
            <w:tcW w:w="6318" w:type="dxa"/>
            <w:shd w:val="clear" w:color="auto" w:fill="auto"/>
            <w:noWrap w:val="0"/>
            <w:vAlign w:val="center"/>
          </w:tcPr>
          <w:p w14:paraId="5EE6C5AD">
            <w:pPr>
              <w:pStyle w:val="17"/>
              <w:keepNext w:val="0"/>
              <w:keepLines w:val="0"/>
              <w:pageBreakBefore w:val="0"/>
              <w:kinsoku/>
              <w:wordWrap/>
              <w:overflowPunct/>
              <w:topLinePunct w:val="0"/>
              <w:bidi w:val="0"/>
              <w:spacing w:before="0" w:line="44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一年</w:t>
            </w:r>
          </w:p>
        </w:tc>
      </w:tr>
      <w:tr w14:paraId="563E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0" w:type="dxa"/>
            <w:shd w:val="clear" w:color="auto" w:fill="auto"/>
            <w:noWrap w:val="0"/>
            <w:vAlign w:val="center"/>
          </w:tcPr>
          <w:p w14:paraId="3E54F12C">
            <w:pPr>
              <w:keepNext w:val="0"/>
              <w:keepLines w:val="0"/>
              <w:pageBreakBefore w:val="0"/>
              <w:kinsoku/>
              <w:wordWrap/>
              <w:overflowPunct/>
              <w:topLinePunct w:val="0"/>
              <w:bidi w:val="0"/>
              <w:adjustRightInd w:val="0"/>
              <w:snapToGrid w:val="0"/>
              <w:spacing w:line="440" w:lineRule="exact"/>
              <w:ind w:left="0" w:leftChars="0" w:firstLine="0" w:firstLineChars="0"/>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rPr>
              <w:t>27</w:t>
            </w:r>
          </w:p>
        </w:tc>
        <w:tc>
          <w:tcPr>
            <w:tcW w:w="2431" w:type="dxa"/>
            <w:noWrap w:val="0"/>
            <w:vAlign w:val="center"/>
          </w:tcPr>
          <w:p w14:paraId="462E4245">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lang w:val="en-US" w:eastAsia="zh-CN" w:bidi="ar-SA"/>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服务期限</w:t>
            </w:r>
          </w:p>
        </w:tc>
        <w:tc>
          <w:tcPr>
            <w:tcW w:w="6318" w:type="dxa"/>
            <w:noWrap w:val="0"/>
            <w:vAlign w:val="center"/>
          </w:tcPr>
          <w:p w14:paraId="0AB061DD">
            <w:pPr>
              <w:pStyle w:val="17"/>
              <w:keepNext w:val="0"/>
              <w:keepLines w:val="0"/>
              <w:pageBreakBefore w:val="0"/>
              <w:kinsoku/>
              <w:wordWrap/>
              <w:overflowPunct/>
              <w:topLinePunct w:val="0"/>
              <w:bidi w:val="0"/>
              <w:spacing w:before="0" w:line="440" w:lineRule="exac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合同签订后60个日历日完成。</w:t>
            </w:r>
          </w:p>
        </w:tc>
      </w:tr>
      <w:tr w14:paraId="1257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46F94FF1">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28</w:t>
            </w:r>
          </w:p>
        </w:tc>
        <w:tc>
          <w:tcPr>
            <w:tcW w:w="2431" w:type="dxa"/>
            <w:noWrap w:val="0"/>
            <w:vAlign w:val="center"/>
          </w:tcPr>
          <w:p w14:paraId="6975AB31">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lang w:val="en-US" w:eastAsia="zh-CN" w:bidi="ar-SA"/>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特别提示</w:t>
            </w:r>
          </w:p>
        </w:tc>
        <w:tc>
          <w:tcPr>
            <w:tcW w:w="6318" w:type="dxa"/>
            <w:noWrap w:val="0"/>
            <w:vAlign w:val="center"/>
          </w:tcPr>
          <w:p w14:paraId="1DC08CE7">
            <w:pPr>
              <w:pStyle w:val="79"/>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both"/>
              <w:textAlignment w:val="baseline"/>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1、本项目实行网上投标，采用电子投标文件；</w:t>
            </w:r>
          </w:p>
          <w:p w14:paraId="334DF045">
            <w:pPr>
              <w:pStyle w:val="79"/>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left"/>
              <w:textAlignment w:val="baseline"/>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24DC6AB6">
            <w:pPr>
              <w:pStyle w:val="79"/>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left"/>
              <w:textAlignment w:val="baseline"/>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064F1D07">
            <w:pPr>
              <w:pStyle w:val="79"/>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both"/>
              <w:textAlignment w:val="baseline"/>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t>4、供应商应当在招标截止时间前,将生成的“电子加密响应文件”上传递交至“政府采购云平台”,招标截止时间以后上传递交的响应文件将被“政府采购云平台”拒收。</w:t>
            </w:r>
          </w:p>
          <w:p w14:paraId="10D17B93">
            <w:pPr>
              <w:pStyle w:val="79"/>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both"/>
              <w:textAlignment w:val="baseline"/>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56C61586">
            <w:pPr>
              <w:keepNext w:val="0"/>
              <w:keepLines w:val="0"/>
              <w:pageBreakBefore w:val="0"/>
              <w:numPr>
                <w:ilvl w:val="0"/>
                <w:numId w:val="0"/>
              </w:numPr>
              <w:kinsoku/>
              <w:wordWrap/>
              <w:overflowPunct/>
              <w:topLinePunct w:val="0"/>
              <w:bidi w:val="0"/>
              <w:adjustRightInd w:val="0"/>
              <w:snapToGrid w:val="0"/>
              <w:spacing w:beforeAutospacing="0" w:after="0" w:afterAutospacing="0" w:line="440" w:lineRule="exact"/>
              <w:ind w:left="0" w:leftChars="0" w:right="0" w:rightChars="0" w:firstLine="0" w:firstLineChars="0"/>
              <w:jc w:val="both"/>
              <w:textAlignment w:val="baseline"/>
              <w:rPr>
                <w:rFonts w:hint="eastAsia" w:ascii="宋体" w:hAnsi="宋体" w:eastAsia="宋体" w:cs="宋体"/>
                <w:color w:val="auto"/>
                <w:kern w:val="2"/>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t>6、供应商登录政采云平台，在招标时间后30分钟内用“项目采购-开标评标”功能进行解密响应文件。若供应商在规定时间内（未按时解密的，视为无效招标。）解密与加密响应文件须使用同一个 CA。 </w:t>
            </w:r>
          </w:p>
        </w:tc>
      </w:tr>
      <w:tr w14:paraId="41C9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65D2FDBB">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备注</w:t>
            </w:r>
          </w:p>
        </w:tc>
        <w:tc>
          <w:tcPr>
            <w:tcW w:w="8749" w:type="dxa"/>
            <w:gridSpan w:val="2"/>
            <w:noWrap w:val="0"/>
            <w:vAlign w:val="center"/>
          </w:tcPr>
          <w:p w14:paraId="71DC7544">
            <w:pPr>
              <w:keepNext w:val="0"/>
              <w:keepLines w:val="0"/>
              <w:pageBreakBefore w:val="0"/>
              <w:kinsoku/>
              <w:wordWrap/>
              <w:overflowPunct/>
              <w:topLinePunct w:val="0"/>
              <w:autoSpaceDE w:val="0"/>
              <w:autoSpaceDN w:val="0"/>
              <w:bidi w:val="0"/>
              <w:adjustRightInd w:val="0"/>
              <w:snapToGrid w:val="0"/>
              <w:spacing w:line="440" w:lineRule="exact"/>
              <w:ind w:left="0" w:firstLine="0"/>
              <w:rPr>
                <w:rFonts w:hint="eastAsia" w:ascii="宋体" w:hAnsi="宋体" w:eastAsia="宋体" w:cs="宋体"/>
                <w:color w:val="auto"/>
                <w:sz w:val="24"/>
                <w:szCs w:val="24"/>
                <w:highlight w:val="none"/>
              </w:rPr>
            </w:pPr>
          </w:p>
        </w:tc>
      </w:tr>
    </w:tbl>
    <w:p w14:paraId="6F842D22">
      <w:pPr>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注：本表内容与招标文件其它内容不一致的，应当以本表内容为准。</w:t>
      </w:r>
    </w:p>
    <w:p w14:paraId="6EA9D651">
      <w:pPr>
        <w:pStyle w:val="21"/>
        <w:rPr>
          <w:rFonts w:hint="eastAsia" w:ascii="宋体" w:hAnsi="宋体" w:eastAsia="宋体" w:cs="宋体"/>
          <w:color w:val="auto"/>
          <w:kern w:val="0"/>
          <w:sz w:val="24"/>
          <w:highlight w:val="none"/>
        </w:rPr>
      </w:pPr>
    </w:p>
    <w:p w14:paraId="2A4BBD20">
      <w:pPr>
        <w:rPr>
          <w:rFonts w:hint="eastAsia" w:ascii="宋体" w:hAnsi="宋体" w:eastAsia="宋体" w:cs="宋体"/>
          <w:color w:val="auto"/>
          <w:kern w:val="0"/>
          <w:sz w:val="24"/>
          <w:highlight w:val="none"/>
        </w:rPr>
      </w:pPr>
    </w:p>
    <w:p w14:paraId="68F4BD45">
      <w:pPr>
        <w:pStyle w:val="29"/>
        <w:rPr>
          <w:rFonts w:hint="eastAsia" w:ascii="宋体" w:hAnsi="宋体" w:eastAsia="宋体" w:cs="宋体"/>
          <w:color w:val="auto"/>
          <w:kern w:val="0"/>
          <w:sz w:val="24"/>
          <w:highlight w:val="none"/>
        </w:rPr>
      </w:pPr>
    </w:p>
    <w:p w14:paraId="1A0EBE79">
      <w:pPr>
        <w:pStyle w:val="29"/>
        <w:rPr>
          <w:rFonts w:hint="eastAsia" w:ascii="宋体" w:hAnsi="宋体" w:eastAsia="宋体" w:cs="宋体"/>
          <w:color w:val="auto"/>
          <w:kern w:val="0"/>
          <w:sz w:val="24"/>
          <w:highlight w:val="none"/>
        </w:rPr>
      </w:pPr>
    </w:p>
    <w:p w14:paraId="0069C936">
      <w:pPr>
        <w:pStyle w:val="29"/>
        <w:rPr>
          <w:rFonts w:hint="eastAsia" w:ascii="宋体" w:hAnsi="宋体" w:eastAsia="宋体" w:cs="宋体"/>
          <w:color w:val="auto"/>
          <w:kern w:val="0"/>
          <w:sz w:val="24"/>
          <w:highlight w:val="none"/>
        </w:rPr>
      </w:pPr>
    </w:p>
    <w:p w14:paraId="10BBDD04">
      <w:pPr>
        <w:pStyle w:val="29"/>
        <w:rPr>
          <w:rFonts w:hint="eastAsia" w:ascii="宋体" w:hAnsi="宋体" w:eastAsia="宋体" w:cs="宋体"/>
          <w:color w:val="auto"/>
          <w:kern w:val="0"/>
          <w:sz w:val="24"/>
          <w:highlight w:val="none"/>
        </w:rPr>
      </w:pPr>
    </w:p>
    <w:p w14:paraId="3ED3680D">
      <w:pPr>
        <w:pStyle w:val="29"/>
        <w:rPr>
          <w:rFonts w:hint="eastAsia" w:ascii="宋体" w:hAnsi="宋体" w:eastAsia="宋体" w:cs="宋体"/>
          <w:color w:val="auto"/>
          <w:kern w:val="0"/>
          <w:sz w:val="24"/>
          <w:highlight w:val="none"/>
        </w:rPr>
      </w:pPr>
    </w:p>
    <w:p w14:paraId="57DEE259">
      <w:pPr>
        <w:pStyle w:val="29"/>
        <w:rPr>
          <w:rFonts w:hint="eastAsia" w:ascii="宋体" w:hAnsi="宋体" w:eastAsia="宋体" w:cs="宋体"/>
          <w:color w:val="auto"/>
          <w:kern w:val="0"/>
          <w:sz w:val="24"/>
          <w:highlight w:val="none"/>
        </w:rPr>
      </w:pPr>
    </w:p>
    <w:p w14:paraId="6FDB36F8">
      <w:pPr>
        <w:pStyle w:val="29"/>
        <w:rPr>
          <w:rFonts w:hint="eastAsia" w:ascii="宋体" w:hAnsi="宋体" w:eastAsia="宋体" w:cs="宋体"/>
          <w:color w:val="auto"/>
          <w:kern w:val="0"/>
          <w:sz w:val="24"/>
          <w:highlight w:val="none"/>
        </w:rPr>
      </w:pPr>
    </w:p>
    <w:p w14:paraId="3650C1F1">
      <w:pPr>
        <w:pStyle w:val="29"/>
        <w:rPr>
          <w:rFonts w:hint="eastAsia" w:ascii="宋体" w:hAnsi="宋体" w:eastAsia="宋体" w:cs="宋体"/>
          <w:color w:val="auto"/>
          <w:kern w:val="0"/>
          <w:sz w:val="24"/>
          <w:highlight w:val="none"/>
        </w:rPr>
      </w:pPr>
    </w:p>
    <w:p w14:paraId="4D3B5CD3">
      <w:pPr>
        <w:pStyle w:val="29"/>
        <w:rPr>
          <w:rFonts w:hint="eastAsia" w:ascii="宋体" w:hAnsi="宋体" w:eastAsia="宋体" w:cs="宋体"/>
          <w:color w:val="auto"/>
          <w:kern w:val="0"/>
          <w:sz w:val="24"/>
          <w:highlight w:val="none"/>
        </w:rPr>
      </w:pPr>
    </w:p>
    <w:p w14:paraId="513A0B97">
      <w:pPr>
        <w:pStyle w:val="29"/>
        <w:rPr>
          <w:rFonts w:hint="eastAsia" w:ascii="宋体" w:hAnsi="宋体" w:eastAsia="宋体" w:cs="宋体"/>
          <w:color w:val="auto"/>
          <w:kern w:val="0"/>
          <w:sz w:val="24"/>
          <w:highlight w:val="none"/>
        </w:rPr>
      </w:pPr>
    </w:p>
    <w:p w14:paraId="11F38B86">
      <w:pPr>
        <w:pStyle w:val="29"/>
        <w:rPr>
          <w:rFonts w:hint="eastAsia" w:ascii="宋体" w:hAnsi="宋体" w:eastAsia="宋体" w:cs="宋体"/>
          <w:color w:val="auto"/>
          <w:kern w:val="0"/>
          <w:sz w:val="24"/>
          <w:highlight w:val="none"/>
        </w:rPr>
      </w:pPr>
    </w:p>
    <w:p w14:paraId="57AE71DB">
      <w:pPr>
        <w:pStyle w:val="29"/>
        <w:rPr>
          <w:rFonts w:hint="eastAsia" w:ascii="宋体" w:hAnsi="宋体" w:eastAsia="宋体" w:cs="宋体"/>
          <w:color w:val="auto"/>
          <w:kern w:val="0"/>
          <w:sz w:val="24"/>
          <w:highlight w:val="none"/>
        </w:rPr>
      </w:pPr>
    </w:p>
    <w:p w14:paraId="5CC43259">
      <w:pPr>
        <w:pStyle w:val="29"/>
        <w:rPr>
          <w:rFonts w:hint="eastAsia" w:ascii="宋体" w:hAnsi="宋体" w:eastAsia="宋体" w:cs="宋体"/>
          <w:color w:val="auto"/>
          <w:kern w:val="0"/>
          <w:sz w:val="24"/>
          <w:highlight w:val="none"/>
        </w:rPr>
      </w:pPr>
    </w:p>
    <w:p w14:paraId="74606D2C">
      <w:pPr>
        <w:pStyle w:val="29"/>
        <w:rPr>
          <w:rFonts w:hint="eastAsia" w:ascii="宋体" w:hAnsi="宋体" w:eastAsia="宋体" w:cs="宋体"/>
          <w:color w:val="auto"/>
          <w:kern w:val="0"/>
          <w:sz w:val="24"/>
          <w:highlight w:val="none"/>
        </w:rPr>
      </w:pPr>
    </w:p>
    <w:p w14:paraId="14A423B4">
      <w:pPr>
        <w:pStyle w:val="29"/>
        <w:rPr>
          <w:rFonts w:hint="eastAsia" w:ascii="宋体" w:hAnsi="宋体" w:eastAsia="宋体" w:cs="宋体"/>
          <w:color w:val="auto"/>
          <w:kern w:val="0"/>
          <w:sz w:val="24"/>
          <w:highlight w:val="none"/>
        </w:rPr>
      </w:pPr>
    </w:p>
    <w:p w14:paraId="4FB303AE">
      <w:pPr>
        <w:pStyle w:val="29"/>
        <w:rPr>
          <w:rFonts w:hint="eastAsia" w:ascii="宋体" w:hAnsi="宋体" w:eastAsia="宋体" w:cs="宋体"/>
          <w:color w:val="auto"/>
          <w:kern w:val="0"/>
          <w:sz w:val="24"/>
          <w:highlight w:val="none"/>
        </w:rPr>
      </w:pPr>
    </w:p>
    <w:p w14:paraId="3458C8DE">
      <w:pPr>
        <w:pStyle w:val="29"/>
        <w:rPr>
          <w:rFonts w:hint="eastAsia" w:ascii="宋体" w:hAnsi="宋体" w:eastAsia="宋体" w:cs="宋体"/>
          <w:color w:val="auto"/>
          <w:kern w:val="0"/>
          <w:sz w:val="24"/>
          <w:highlight w:val="none"/>
        </w:rPr>
      </w:pPr>
    </w:p>
    <w:p w14:paraId="4ECB111C">
      <w:pPr>
        <w:pStyle w:val="29"/>
        <w:rPr>
          <w:rFonts w:hint="eastAsia" w:ascii="宋体" w:hAnsi="宋体" w:eastAsia="宋体" w:cs="宋体"/>
          <w:color w:val="auto"/>
          <w:kern w:val="0"/>
          <w:sz w:val="24"/>
          <w:highlight w:val="none"/>
        </w:rPr>
      </w:pPr>
    </w:p>
    <w:p w14:paraId="2241CE18">
      <w:pPr>
        <w:pStyle w:val="29"/>
        <w:rPr>
          <w:rFonts w:hint="eastAsia" w:ascii="宋体" w:hAnsi="宋体" w:eastAsia="宋体" w:cs="宋体"/>
          <w:color w:val="auto"/>
          <w:kern w:val="0"/>
          <w:sz w:val="24"/>
          <w:highlight w:val="none"/>
        </w:rPr>
      </w:pPr>
    </w:p>
    <w:p w14:paraId="27F2C282">
      <w:pPr>
        <w:pStyle w:val="29"/>
        <w:rPr>
          <w:rFonts w:hint="eastAsia" w:ascii="宋体" w:hAnsi="宋体" w:eastAsia="宋体" w:cs="宋体"/>
          <w:color w:val="auto"/>
          <w:kern w:val="0"/>
          <w:sz w:val="24"/>
          <w:highlight w:val="none"/>
        </w:rPr>
      </w:pPr>
    </w:p>
    <w:p w14:paraId="47B12822">
      <w:pPr>
        <w:pStyle w:val="29"/>
        <w:rPr>
          <w:rFonts w:hint="eastAsia" w:ascii="宋体" w:hAnsi="宋体" w:eastAsia="宋体" w:cs="宋体"/>
          <w:color w:val="auto"/>
          <w:kern w:val="0"/>
          <w:sz w:val="24"/>
          <w:highlight w:val="none"/>
        </w:rPr>
      </w:pPr>
    </w:p>
    <w:p w14:paraId="2B9E57E1">
      <w:pPr>
        <w:pStyle w:val="29"/>
        <w:rPr>
          <w:rFonts w:hint="eastAsia" w:ascii="宋体" w:hAnsi="宋体" w:eastAsia="宋体" w:cs="宋体"/>
          <w:color w:val="auto"/>
          <w:kern w:val="0"/>
          <w:sz w:val="24"/>
          <w:highlight w:val="none"/>
        </w:rPr>
      </w:pPr>
    </w:p>
    <w:p w14:paraId="562A1355">
      <w:pPr>
        <w:pStyle w:val="29"/>
        <w:rPr>
          <w:rFonts w:hint="eastAsia" w:ascii="宋体" w:hAnsi="宋体" w:eastAsia="宋体" w:cs="宋体"/>
          <w:color w:val="auto"/>
          <w:kern w:val="0"/>
          <w:sz w:val="24"/>
          <w:highlight w:val="none"/>
        </w:rPr>
      </w:pPr>
    </w:p>
    <w:p w14:paraId="2C12A799">
      <w:pPr>
        <w:pStyle w:val="29"/>
        <w:rPr>
          <w:rFonts w:hint="eastAsia" w:ascii="宋体" w:hAnsi="宋体" w:eastAsia="宋体" w:cs="宋体"/>
          <w:color w:val="auto"/>
          <w:kern w:val="0"/>
          <w:sz w:val="24"/>
          <w:highlight w:val="none"/>
        </w:rPr>
      </w:pPr>
    </w:p>
    <w:p w14:paraId="6D8C223C">
      <w:pPr>
        <w:pStyle w:val="29"/>
        <w:rPr>
          <w:rFonts w:hint="eastAsia" w:ascii="宋体" w:hAnsi="宋体" w:eastAsia="宋体" w:cs="宋体"/>
          <w:color w:val="auto"/>
          <w:kern w:val="0"/>
          <w:sz w:val="24"/>
          <w:highlight w:val="none"/>
        </w:rPr>
      </w:pPr>
    </w:p>
    <w:p w14:paraId="7D7E15E9">
      <w:pPr>
        <w:pStyle w:val="29"/>
        <w:rPr>
          <w:rFonts w:hint="eastAsia" w:ascii="宋体" w:hAnsi="宋体" w:eastAsia="宋体" w:cs="宋体"/>
          <w:color w:val="auto"/>
          <w:kern w:val="0"/>
          <w:sz w:val="24"/>
          <w:highlight w:val="none"/>
        </w:rPr>
      </w:pPr>
    </w:p>
    <w:p w14:paraId="712E5B29">
      <w:pPr>
        <w:spacing w:line="500" w:lineRule="exact"/>
        <w:jc w:val="center"/>
        <w:outlineLvl w:val="1"/>
        <w:rPr>
          <w:rFonts w:hint="eastAsia" w:ascii="宋体" w:hAnsi="宋体" w:eastAsia="宋体" w:cs="宋体"/>
          <w:b/>
          <w:color w:val="auto"/>
          <w:sz w:val="32"/>
          <w:szCs w:val="32"/>
          <w:highlight w:val="none"/>
        </w:rPr>
      </w:pPr>
      <w:bookmarkStart w:id="14" w:name="_Toc256000003"/>
      <w:bookmarkStart w:id="15" w:name="_Toc25836"/>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须知正文部分</w:t>
      </w:r>
      <w:bookmarkEnd w:id="14"/>
      <w:bookmarkEnd w:id="15"/>
    </w:p>
    <w:p w14:paraId="0F53DE9E">
      <w:pPr>
        <w:pStyle w:val="4"/>
        <w:numPr>
          <w:ilvl w:val="0"/>
          <w:numId w:val="0"/>
        </w:numPr>
        <w:spacing w:before="0" w:after="0" w:line="360" w:lineRule="auto"/>
        <w:jc w:val="both"/>
        <w:rPr>
          <w:rFonts w:hint="eastAsia" w:ascii="宋体" w:hAnsi="宋体" w:eastAsia="宋体" w:cs="宋体"/>
          <w:color w:val="auto"/>
          <w:sz w:val="24"/>
          <w:szCs w:val="24"/>
          <w:highlight w:val="none"/>
        </w:rPr>
      </w:pPr>
      <w:bookmarkStart w:id="16" w:name="_Toc13045"/>
      <w:bookmarkStart w:id="17" w:name="_Toc256000004"/>
      <w:r>
        <w:rPr>
          <w:rFonts w:hint="eastAsia" w:ascii="宋体" w:hAnsi="宋体" w:eastAsia="宋体" w:cs="宋体"/>
          <w:color w:val="auto"/>
          <w:sz w:val="24"/>
          <w:szCs w:val="24"/>
          <w:highlight w:val="none"/>
        </w:rPr>
        <w:t>一、总则</w:t>
      </w:r>
      <w:bookmarkEnd w:id="16"/>
      <w:bookmarkEnd w:id="17"/>
    </w:p>
    <w:p w14:paraId="356D75D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1.说明</w:t>
      </w:r>
    </w:p>
    <w:p w14:paraId="7B2AE7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本招标文件适用于本次招标采购项目的招标投标。</w:t>
      </w:r>
    </w:p>
    <w:p w14:paraId="13FC0EF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485FA2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“采购人”名称见本招标文件第二部分“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w:t>
      </w:r>
    </w:p>
    <w:p w14:paraId="35018D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“采购代理机构”名称见本招标文件第二部分“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w:t>
      </w:r>
    </w:p>
    <w:p w14:paraId="00836D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“服务”指招标文件第三部分所述</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应该履行的承诺和义务。</w:t>
      </w:r>
    </w:p>
    <w:p w14:paraId="2EEE49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“潜在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”指符合招标文件各项规定的供应商。</w:t>
      </w:r>
    </w:p>
    <w:p w14:paraId="098210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”指符合招标文件规定并参加投标的供应商。</w:t>
      </w:r>
    </w:p>
    <w:p w14:paraId="41CEDA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公章”在投标文件中指与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标准公章一致的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电子签章。</w:t>
      </w:r>
    </w:p>
    <w:p w14:paraId="60495E81">
      <w:pPr>
        <w:spacing w:line="360" w:lineRule="auto"/>
        <w:ind w:firstLine="480" w:firstLineChars="200"/>
        <w:rPr>
          <w:rFonts w:hint="eastAsia" w:ascii="宋体" w:hAnsi="宋体" w:eastAsia="宋体" w:cs="宋体"/>
          <w:color w:val="auto"/>
          <w:sz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4D5890B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3.合格</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的条件</w:t>
      </w:r>
    </w:p>
    <w:p w14:paraId="492EC6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具有本项目实施能力，符合、承认并承诺履行本文件各项规定的国内法人、其他组织或自然人均可参加投标。</w:t>
      </w:r>
    </w:p>
    <w:p w14:paraId="7FDEB9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遵守有关的国家法律、法规和条例，具备《中华人民共和国政府采购法》和本文件中规定的条件：</w:t>
      </w:r>
    </w:p>
    <w:p w14:paraId="46C271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1)具有独立承担民事责任的能力； </w:t>
      </w:r>
    </w:p>
    <w:p w14:paraId="4B8814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164FAF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1B58A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4)具有依法缴纳税收和社会保障资金的良好记录；</w:t>
      </w:r>
    </w:p>
    <w:p w14:paraId="08E9C3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540FA6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16984A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7)具有本招标文件第二部分“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须知前附表”中第5项规定的资格条件。</w:t>
      </w:r>
    </w:p>
    <w:p w14:paraId="68B94A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3.3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之间如果存在下列情形之一的，不得同时参加同一包（标段）或者不分包（标段）的同一项目投标：</w:t>
      </w:r>
    </w:p>
    <w:p w14:paraId="143864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 法定代表人为同一个人的两个及两个以上法人；</w:t>
      </w:r>
    </w:p>
    <w:p w14:paraId="2F0A76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母公司、全资子公司及其控股公司；</w:t>
      </w:r>
    </w:p>
    <w:p w14:paraId="6D571E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 参加投标的其他组织之间存在特殊的利害关系的；</w:t>
      </w:r>
    </w:p>
    <w:p w14:paraId="4565A2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 法律和行政法规规定的其他情形。</w:t>
      </w:r>
    </w:p>
    <w:p w14:paraId="72ABEA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须持有《法定代表人授权委托书》。</w:t>
      </w:r>
    </w:p>
    <w:p w14:paraId="314F1E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供应商在政采云交易平台内针对本项目报名并下载了电子采购文件。</w:t>
      </w:r>
    </w:p>
    <w:p w14:paraId="6D5CCF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3.6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按时足额交纳投标保证金。</w:t>
      </w:r>
    </w:p>
    <w:p w14:paraId="098E72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 本次招标是否允许由两个以上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组成一个联合体以一个</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身份共同投标，按照招标文件第二部分“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须知前附表”中第</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项的规定。如果允许，除均应符合上述规定外，还应符合下列要求：</w:t>
      </w:r>
    </w:p>
    <w:p w14:paraId="7FFC69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70556E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2）联合体各方中至少应当有一方对应满足本项目规定的相应资质条件，并且联合体</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整体应当符合本项目的资质要求，否则，其提交的联合投标将被拒绝。</w:t>
      </w:r>
    </w:p>
    <w:p w14:paraId="26B269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3）由不同专业的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组成的联合体, 首先以投标的全权代表方的应答材料作为认定资质以及商务评审的依据；涉及行业专属的资质,按照所属行业所对应的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的应答材料确定。</w:t>
      </w:r>
    </w:p>
    <w:p w14:paraId="05FD3B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4781F8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614874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6）联合体各方均不得同时再以自己独立的名义单独投标，也不得再同时参加其他的联合体投标。若该等情形被发现，其单独的投标和与此有关的联合体的投标均将被一并拒绝。</w:t>
      </w:r>
    </w:p>
    <w:p w14:paraId="0FCE4A0A">
      <w:pPr>
        <w:pStyle w:val="23"/>
        <w:tabs>
          <w:tab w:val="left" w:pos="1146"/>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3.7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不得与采购人、采购代理机构等有利害关系。</w:t>
      </w:r>
    </w:p>
    <w:p w14:paraId="1F20CCA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4.投标费用</w:t>
      </w:r>
    </w:p>
    <w:p w14:paraId="6F4419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应承担所有与准备和参加投标有关的费用。</w:t>
      </w:r>
    </w:p>
    <w:p w14:paraId="42E26F4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5.纪律</w:t>
      </w:r>
    </w:p>
    <w:p w14:paraId="5F1A30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的投标行为应遵守中国的有关法律、法规和规章。</w:t>
      </w:r>
    </w:p>
    <w:p w14:paraId="2EC3E4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5.2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不得相互串通投标报价，不得妨碍其他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的公平竞争，不得损害采购人或其他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的合法权益，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不得以向采购人、评标委员会成员行贿或者采取其他不正当手段谋取中标。</w:t>
      </w:r>
    </w:p>
    <w:p w14:paraId="43886D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5.2.1 有下列情形之一的，属于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相互串通投标：</w:t>
      </w:r>
    </w:p>
    <w:p w14:paraId="5FFE3E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5.2.1.1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之间协商投标报价等投标文件的实质性内容；</w:t>
      </w:r>
    </w:p>
    <w:p w14:paraId="7F32A7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5.2.1.2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之间约定中标人；</w:t>
      </w:r>
    </w:p>
    <w:p w14:paraId="4F8B71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5.2.1.3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之间约定部分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放弃投标或者中标；</w:t>
      </w:r>
    </w:p>
    <w:p w14:paraId="0ABD98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5.2.1.4 属于同一集团、协会、商会等组织成员的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按照该组织要求协同投标；</w:t>
      </w:r>
    </w:p>
    <w:p w14:paraId="69EE78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5.2.1.5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之间为谋取中标或者排斥特定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而采取的其他联合行动。</w:t>
      </w:r>
    </w:p>
    <w:p w14:paraId="1F6602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 有下列情形之一的，视为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相互串通投标：</w:t>
      </w:r>
    </w:p>
    <w:p w14:paraId="04114A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5.2.2.1 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的投标文件由同一单位或者个人编制；</w:t>
      </w:r>
    </w:p>
    <w:p w14:paraId="515779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5.2.2.2 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委托同一单位或者个人办理投标事宜，或制作电子投标文件的文件制作机器码（mac地址）一致，或制作电子投标文件的文件创建标识码一致；</w:t>
      </w:r>
    </w:p>
    <w:p w14:paraId="7AA415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5.2.2.3 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的投标文件载明的项目管理成员为同一人；</w:t>
      </w:r>
    </w:p>
    <w:p w14:paraId="06E735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5.2.2.4 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的投标文件异常一致或者投标报价呈规律性差异；</w:t>
      </w:r>
    </w:p>
    <w:p w14:paraId="363A22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5.2.2.5 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的投标文件相互混装；</w:t>
      </w:r>
    </w:p>
    <w:p w14:paraId="5E5B77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5.2.2.6 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的投标保证金从同一单位或者个人的账户转出。</w:t>
      </w:r>
    </w:p>
    <w:p w14:paraId="524C40F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6.通知</w:t>
      </w:r>
    </w:p>
    <w:p w14:paraId="135B5C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06217C6A">
      <w:pPr>
        <w:pStyle w:val="4"/>
        <w:numPr>
          <w:ilvl w:val="0"/>
          <w:numId w:val="0"/>
        </w:numPr>
        <w:spacing w:before="0" w:after="0" w:line="360" w:lineRule="auto"/>
        <w:jc w:val="both"/>
        <w:rPr>
          <w:rFonts w:hint="eastAsia" w:ascii="宋体" w:hAnsi="宋体" w:eastAsia="宋体" w:cs="宋体"/>
          <w:color w:val="auto"/>
          <w:sz w:val="24"/>
          <w:szCs w:val="24"/>
          <w:highlight w:val="none"/>
        </w:rPr>
      </w:pPr>
      <w:bookmarkStart w:id="18" w:name="_Toc256000005"/>
      <w:bookmarkStart w:id="19" w:name="_Toc22574"/>
      <w:r>
        <w:rPr>
          <w:rFonts w:hint="eastAsia" w:ascii="宋体" w:hAnsi="宋体" w:eastAsia="宋体" w:cs="宋体"/>
          <w:color w:val="auto"/>
          <w:sz w:val="24"/>
          <w:szCs w:val="24"/>
          <w:highlight w:val="none"/>
        </w:rPr>
        <w:t>二、招标文件</w:t>
      </w:r>
      <w:bookmarkEnd w:id="18"/>
      <w:bookmarkEnd w:id="19"/>
    </w:p>
    <w:p w14:paraId="69905BA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7.招标文件组成</w:t>
      </w:r>
    </w:p>
    <w:p w14:paraId="5FDBAF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 招标文件由招标文件目录所列内容组成。</w:t>
      </w:r>
    </w:p>
    <w:p w14:paraId="07F47AE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8.踏勘现场</w:t>
      </w:r>
    </w:p>
    <w:p w14:paraId="7B2345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本项目是否统一组织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踏勘现场见招标文件第二部分“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须知前附表”中的规定。无论是否统一组织，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应对供货现场和周围环境进行勘察，以获取编制投标文件所需的资料。</w:t>
      </w:r>
    </w:p>
    <w:p w14:paraId="6E667A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踏勘现场所发生的费用由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自行承担。采购人向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提供的有关供货现场的资料和数据，是采购人现有的能使</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利用的资料。采购人对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由此而做出的推论、理解和结论概不负责。</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未到供货现场实地踏勘的，中标后签订合同时和履约过程中，不得以不完全了解现场情况为由，提出任何形式的增加合同价款或索赔的要求。</w:t>
      </w:r>
    </w:p>
    <w:p w14:paraId="6AF686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 除非有特殊要求，招标文件不单独提供供货使用地的自然环境、气候条件、公用设施等情况，</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被视为熟悉上述与履行合同有关的一切情况。</w:t>
      </w:r>
    </w:p>
    <w:p w14:paraId="352E9E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8.4 除采购人原因外，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自行负责在踏勘现场中所发生的人员伤亡和财产损失。</w:t>
      </w:r>
    </w:p>
    <w:p w14:paraId="7D8E78D2">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9.知识产权</w:t>
      </w:r>
    </w:p>
    <w:p w14:paraId="6D9AAE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保证，采购人在中华人民共和国境内使用投标货物、资料、技术、服务或其任何一部分时，享有不受限制的无偿使用权，不会产生因第三方提出侵犯其专利权、商标权或其它知识产权而引起的法律或经济纠纷。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不拥有相应的知识产权，则在投标报价中必须包括合法获取该知识产权的一切相关费用。如因此导致采购人损失的，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须承担全部赔偿责任。</w:t>
      </w:r>
    </w:p>
    <w:p w14:paraId="3153DA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9.2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如欲在项目实施过程中采用自有知识成果，须在投标文件中声明，并提供相关知识产权证明文件。使用该知识成果后，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须提供开发接口和开发手册等技术文档。</w:t>
      </w:r>
    </w:p>
    <w:p w14:paraId="27881E7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10.答疑及招标文件的澄清和修改</w:t>
      </w:r>
    </w:p>
    <w:p w14:paraId="4996FC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176D14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在规定的时间内未对招标文件提出疑问或要求澄清的，采购代理机构将视其为同意，对在“答疑接受时间”后就招标文件内容提出的疑问及澄清要求将不予受理。</w:t>
      </w:r>
    </w:p>
    <w:p w14:paraId="26B934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 无论出于何种原因，采购代理机构主动或出于解答</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疑问对已发出的招标文件进行必要澄清或修改的，应当在招标文件要求提交投标文件截止时间15日前，以当面交接、邮寄、传真或电子邮件、网站披露等其中至少一种方式，向潜在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发出澄清、修改的补充文件。需要为此调整投标文件提交截止时间的，应当重新确定，并就变更后的投标截止时间重新发出通知。</w:t>
      </w:r>
    </w:p>
    <w:p w14:paraId="394AB3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特殊情况下，采购代理机构发布澄清、修改文件后，征得</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同意，可不改变投标截止时间和开标时间。</w:t>
      </w:r>
    </w:p>
    <w:p w14:paraId="505E54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10.3 采购代理机构一旦对招标文件作出了澄清、修改，即刻发生效力，采购代理机构有关的补充文件，将作为招标文件的组成部分，对所有现实的或潜在的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均具有约束力，而无论是否已经实际收到上述文件。同时，采购代理机构和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的权利及义务将受到新的截止期的约束。</w:t>
      </w:r>
    </w:p>
    <w:p w14:paraId="577A70F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10.4 采购代理机构对招标文件作出的澄清、修改在</w:t>
      </w:r>
      <w:r>
        <w:rPr>
          <w:rFonts w:hint="eastAsia" w:ascii="宋体" w:hAnsi="宋体" w:eastAsia="宋体" w:cs="宋体"/>
          <w:color w:val="auto"/>
          <w:sz w:val="24"/>
          <w:highlight w:val="none"/>
          <w:lang w:eastAsia="zh-CN"/>
        </w:rPr>
        <w:t>政采云</w:t>
      </w:r>
      <w:r>
        <w:rPr>
          <w:rFonts w:hint="eastAsia" w:ascii="宋体" w:hAnsi="宋体" w:eastAsia="宋体" w:cs="宋体"/>
          <w:color w:val="auto"/>
          <w:sz w:val="24"/>
          <w:highlight w:val="none"/>
        </w:rPr>
        <w:t>平台内进行披露，请</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及时关注并获取相关资料。因登记有误、线路故障或其它任何意外情形，导致</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未及时获取的，采购代理机构不因此承担任何责任，且有关的招标活动继续有效地进行。当招标文件的澄清、修改及进行其他答复等就同一内容的表述不一致时，以最后发布的内容为准。</w:t>
      </w:r>
    </w:p>
    <w:p w14:paraId="60FCA22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Fonts w:hint="eastAsia" w:ascii="宋体" w:hAnsi="宋体" w:eastAsia="宋体" w:cs="宋体"/>
          <w:color w:val="auto"/>
          <w:highlight w:val="none"/>
        </w:rPr>
      </w:pPr>
      <w:r>
        <w:rPr>
          <w:rStyle w:val="53"/>
          <w:rFonts w:hint="eastAsia" w:ascii="宋体" w:hAnsi="宋体" w:eastAsia="宋体" w:cs="宋体"/>
          <w:b w:val="0"/>
          <w:bCs/>
          <w:i w:val="0"/>
          <w:caps w:val="0"/>
          <w:color w:val="auto"/>
          <w:spacing w:val="0"/>
          <w:w w:val="100"/>
          <w:kern w:val="2"/>
          <w:position w:val="0"/>
          <w:sz w:val="24"/>
          <w:szCs w:val="24"/>
          <w:highlight w:val="none"/>
          <w:lang w:val="en-US" w:eastAsia="zh-CN" w:bidi="ar-SA"/>
        </w:rPr>
        <w:t>10.5澄清、修改文件发出后，供应商必须使用最新的答疑、澄清文件制作电子投标文件，未按最终版本招标文件制作的投标文件造成的后果由供应商自行承担。</w:t>
      </w:r>
    </w:p>
    <w:p w14:paraId="5D01FD16">
      <w:pPr>
        <w:pStyle w:val="4"/>
        <w:numPr>
          <w:ilvl w:val="0"/>
          <w:numId w:val="0"/>
        </w:numPr>
        <w:spacing w:before="0" w:after="0" w:line="360" w:lineRule="auto"/>
        <w:jc w:val="both"/>
        <w:rPr>
          <w:rFonts w:hint="eastAsia" w:ascii="宋体" w:hAnsi="宋体" w:eastAsia="宋体" w:cs="宋体"/>
          <w:color w:val="auto"/>
          <w:sz w:val="24"/>
          <w:highlight w:val="none"/>
        </w:rPr>
      </w:pPr>
      <w:bookmarkStart w:id="20" w:name="_Toc256000006"/>
      <w:bookmarkStart w:id="21" w:name="_Toc2037"/>
      <w:r>
        <w:rPr>
          <w:rFonts w:hint="eastAsia" w:ascii="宋体" w:hAnsi="宋体" w:eastAsia="宋体" w:cs="宋体"/>
          <w:color w:val="auto"/>
          <w:sz w:val="24"/>
          <w:highlight w:val="none"/>
        </w:rPr>
        <w:t>三、投标文件</w:t>
      </w:r>
      <w:bookmarkEnd w:id="20"/>
      <w:bookmarkEnd w:id="21"/>
    </w:p>
    <w:p w14:paraId="2566113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11.投标文件的语言及计量单位</w:t>
      </w:r>
    </w:p>
    <w:p w14:paraId="0BE126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提交的投标文件（包括技术文件和资料、图纸中的说明）以及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与采购代理机构就有关投标的所有来往函电均应使用中文简体字。</w:t>
      </w:r>
    </w:p>
    <w:p w14:paraId="12D737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原版为外文的证书类文件，以及由外国人作出的本人签名、外国公司的名称或外国印章等可以是外文，但应当提供中文翻译文件并加盖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公章。必要时评标委员会可以要求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提供附有公证书的中文翻译文件或者与原版文件签章相一致的中文翻译文件。原版为外文的证书类、证明类文件，与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名称或其他实际情况不符的，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应当提供相关证明文件。</w:t>
      </w:r>
    </w:p>
    <w:p w14:paraId="039AA1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除非招标文件另有规定，投标文件所使用的计量单位，应使用国家法定计量单位。</w:t>
      </w:r>
    </w:p>
    <w:p w14:paraId="3513FF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对违反上述规定情形的，评标委员会有权要求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限期提供相应文件或决定对其投标予以拒绝。</w:t>
      </w:r>
    </w:p>
    <w:p w14:paraId="6453D0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电报、电话、传真形式的投标概不接受。</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的投标文件一律不予退还。</w:t>
      </w:r>
    </w:p>
    <w:p w14:paraId="77AB650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12.投标文件组成及编制</w:t>
      </w:r>
    </w:p>
    <w:p w14:paraId="24B6973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12.1投标文件分为资格审查、商务文件、技术文件。</w:t>
      </w:r>
    </w:p>
    <w:p w14:paraId="0EFD150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商务文件指供应商提交的证明其有资格参加投标和中标后有能力履行合同的文件。技术指供应商提交的能够证明其提供的货物及服务符合招标文件规定的文件。本次招标，供应商须按招标文件第六部分“投标文件格式”中规定提交资格审查资料、商务文件、技术文件。</w:t>
      </w:r>
    </w:p>
    <w:p w14:paraId="0364B3BA">
      <w:pPr>
        <w:spacing w:line="360" w:lineRule="auto"/>
        <w:ind w:firstLine="480" w:firstLineChars="200"/>
        <w:rPr>
          <w:rFonts w:hint="eastAsia" w:ascii="宋体" w:hAnsi="宋体" w:eastAsia="宋体" w:cs="宋体"/>
          <w:color w:val="auto"/>
          <w:sz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12.2供应商递交的投标文件及相关要求按照招标文件第二部分“供应商须知前附表”中的规定。</w:t>
      </w:r>
    </w:p>
    <w:p w14:paraId="1DF49B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12.2.1 电子投标文件的编制</w:t>
      </w:r>
    </w:p>
    <w:p w14:paraId="4E7D65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0629F5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12.2.1.2电子投标文件须使用供应商公章的电子签章以及法定代表人的电子签章。若无电子签章，则视为无效投标。</w:t>
      </w:r>
    </w:p>
    <w:p w14:paraId="255945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39F1A6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12.2.1.4电子投标文件制作工具在生成加密投标文件时，同时生成非加密投标文件一份。 </w:t>
      </w:r>
    </w:p>
    <w:p w14:paraId="37527C5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13.投标报价</w:t>
      </w:r>
    </w:p>
    <w:p w14:paraId="797AFE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w:t>
      </w:r>
    </w:p>
    <w:p w14:paraId="4AEA57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13.2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投报多包的，须对每包分别制作投标文件并报价</w:t>
      </w:r>
      <w:r>
        <w:rPr>
          <w:rFonts w:hint="eastAsia" w:ascii="宋体" w:hAnsi="宋体" w:eastAsia="宋体" w:cs="宋体"/>
          <w:b/>
          <w:color w:val="auto"/>
          <w:sz w:val="24"/>
          <w:highlight w:val="none"/>
        </w:rPr>
        <w:t>。</w:t>
      </w:r>
    </w:p>
    <w:p w14:paraId="36A5776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13.3 除非招标文件另有规定，不接受可选择或可调整的投标方案和报价，任何有选择的或可调整的投标方案和报价将被视为非响应性投标而被拒绝。</w:t>
      </w:r>
    </w:p>
    <w:p w14:paraId="24A5AB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本项目是否允许</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将项目的非主体、非关键性工作交由他人完成按照招标文件第二部分“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须知前附表”中的规定。如允许，</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根据采购项目的实际情况，拟在中标后将中标项目的非主体、非关键性工作交由他人完成，须在技术文件中载明。</w:t>
      </w:r>
    </w:p>
    <w:p w14:paraId="39A6AC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须严格按照报价明细表规定的内容填写货物单价以及其他事项。</w:t>
      </w:r>
    </w:p>
    <w:p w14:paraId="06812A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对投标报价若有说明应在投标文件中显著处注明。</w:t>
      </w:r>
    </w:p>
    <w:p w14:paraId="6037B4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除政策性文件规定以外，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所报价格在合同实施期间不因市场变化因素而变动。</w:t>
      </w:r>
    </w:p>
    <w:p w14:paraId="4D142B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 对于有配件、耗材、选件、备件和特殊工具的货物，还应填报投标货物配件、耗材、选件表和备件及特殊工具清单，注明品牌、型号、产地、功能、单价、批量折扣等内容，该表格格式由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自行设计。</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按照上述要求分类报价，其目的是便于评标，但在任何情况下并不限制采购人以其他条款签订合同的权利。</w:t>
      </w:r>
    </w:p>
    <w:p w14:paraId="0D5D5D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最低报价不能作为中标的保证。</w:t>
      </w:r>
    </w:p>
    <w:p w14:paraId="3B29A22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14.投标有效期</w:t>
      </w:r>
    </w:p>
    <w:p w14:paraId="144C04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本项目的投标有效期按照招标文件第二部分“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须知前附表”中的规定。投标有效期自开标之日起计算，短于规定期限的投标将按无效投标处理。</w:t>
      </w:r>
    </w:p>
    <w:p w14:paraId="0C692B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在特殊情况下，采购代理机构可与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协商延长投标有效期。这种要求和答复都应以书面形式进行。此时，规定的投标保证金的有效期也相应延长。</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可以拒绝接受延期要求而不会被没收保证金。同意延长有效期的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除按照采购代理机构要求修改投标有效期外，不能修改投标文件的其他内容。</w:t>
      </w:r>
    </w:p>
    <w:p w14:paraId="61C1E4E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15.投标内容填写说明</w:t>
      </w:r>
    </w:p>
    <w:p w14:paraId="6BE7B0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应详细阅读招标文件的全部内容。投标文件须对招标文件中的内容作出实质性和完整的响应，如果投标文件填报的内容不详，或没有提供招标文件中所要求的全部资料及数据，将可能导致投标被拒绝。</w:t>
      </w:r>
    </w:p>
    <w:p w14:paraId="2216E17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承担。投标文件未按规定提交或留有空项，将被视为不完整响应的投标文件，其投标有可能被拒绝</w:t>
      </w:r>
      <w:r>
        <w:rPr>
          <w:rFonts w:hint="eastAsia" w:ascii="宋体" w:hAnsi="宋体" w:eastAsia="宋体" w:cs="宋体"/>
          <w:b/>
          <w:color w:val="auto"/>
          <w:sz w:val="24"/>
          <w:highlight w:val="none"/>
        </w:rPr>
        <w:t>。</w:t>
      </w:r>
    </w:p>
    <w:p w14:paraId="2840AF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开标一览表为在开标仪式上唱标的内容，要求按格式统一填写，不得自行增减内容。</w:t>
      </w:r>
    </w:p>
    <w:p w14:paraId="05784C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15.4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须注意：为合理节约政府采购评审成本，提倡诚实信用的投标行为，特别要求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应本着诚信精神，在本次投标文件的偏离表中，均以审慎的态度明确、清楚地披露各项偏离。若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对某一事项是否存在或是否属于偏离不能确定，亦必须在偏离表中清楚地表明该偏离事项，并可以注明不能确定的字样。任何情况下，对于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没有在偏离表中明确、清楚地披露的事项，包括可能属于被</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在偏离表中遗漏披露的事项，一旦在评审中被发现存在偏离或被认定为属于偏离，则评标委员会有权视具体情形评审时予以处理，乃至对该投标予以拒绝。</w:t>
      </w:r>
    </w:p>
    <w:p w14:paraId="51B857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15.5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必须保证投标文件所提供的全部资料真实可靠，并接受采购代理机构或评标委员会对其中任何资料进一步审查的要求。</w:t>
      </w:r>
    </w:p>
    <w:p w14:paraId="1FC1AB8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15.6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5B404CC4">
      <w:pPr>
        <w:pStyle w:val="4"/>
        <w:numPr>
          <w:ilvl w:val="0"/>
          <w:numId w:val="0"/>
        </w:numPr>
        <w:spacing w:before="0" w:after="0" w:line="360" w:lineRule="auto"/>
        <w:jc w:val="both"/>
        <w:rPr>
          <w:rFonts w:hint="eastAsia" w:ascii="宋体" w:hAnsi="宋体" w:eastAsia="宋体" w:cs="宋体"/>
          <w:color w:val="auto"/>
          <w:sz w:val="24"/>
          <w:highlight w:val="none"/>
        </w:rPr>
      </w:pPr>
      <w:bookmarkStart w:id="22" w:name="_Toc256000007"/>
      <w:bookmarkStart w:id="23" w:name="_Toc29177"/>
      <w:r>
        <w:rPr>
          <w:rFonts w:hint="eastAsia" w:ascii="宋体" w:hAnsi="宋体" w:eastAsia="宋体" w:cs="宋体"/>
          <w:color w:val="auto"/>
          <w:sz w:val="24"/>
          <w:highlight w:val="none"/>
        </w:rPr>
        <w:t>四、投标保证金</w:t>
      </w:r>
      <w:bookmarkEnd w:id="22"/>
      <w:bookmarkEnd w:id="23"/>
    </w:p>
    <w:p w14:paraId="443A67B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16.投标保证金 </w:t>
      </w:r>
    </w:p>
    <w:p w14:paraId="721BF26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14:paraId="2610ABF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16.2未按要求提交投标保证金的，将被视为无效投标。</w:t>
      </w:r>
    </w:p>
    <w:p w14:paraId="1F5DAD1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16BE1C73">
      <w:pPr>
        <w:spacing w:line="360" w:lineRule="auto"/>
        <w:ind w:firstLine="480" w:firstLineChars="200"/>
        <w:rPr>
          <w:rFonts w:hint="eastAsia" w:ascii="宋体" w:hAnsi="宋体" w:eastAsia="宋体" w:cs="宋体"/>
          <w:color w:val="auto"/>
          <w:sz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66262075">
      <w:pPr>
        <w:rPr>
          <w:rFonts w:hint="eastAsia" w:ascii="宋体" w:hAnsi="宋体" w:eastAsia="宋体" w:cs="宋体"/>
          <w:color w:val="auto"/>
          <w:highlight w:val="none"/>
        </w:rPr>
      </w:pPr>
      <w:bookmarkStart w:id="24" w:name="EBa90ba16225e5405a8b55b51f6fbf6913"/>
      <w:r>
        <w:rPr>
          <w:rFonts w:hint="eastAsia" w:ascii="宋体" w:hAnsi="宋体" w:eastAsia="宋体" w:cs="宋体"/>
          <w:color w:val="auto"/>
          <w:sz w:val="20"/>
          <w:highlight w:val="none"/>
        </w:rPr>
        <w:t xml:space="preserve"> </w:t>
      </w:r>
      <w:bookmarkEnd w:id="24"/>
      <w:bookmarkStart w:id="25" w:name="EB0c070bf3e6d94ea48712869c254a1cb6"/>
      <w:r>
        <w:rPr>
          <w:rFonts w:hint="eastAsia" w:ascii="宋体" w:hAnsi="宋体" w:eastAsia="宋体" w:cs="宋体"/>
          <w:color w:val="auto"/>
          <w:sz w:val="20"/>
          <w:highlight w:val="none"/>
        </w:rPr>
        <w:t xml:space="preserve"> </w:t>
      </w:r>
      <w:bookmarkEnd w:id="25"/>
      <w:bookmarkStart w:id="26" w:name="EBc8891308b3a1430f8313667ff7476db2"/>
      <w:r>
        <w:rPr>
          <w:rFonts w:hint="eastAsia" w:ascii="宋体" w:hAnsi="宋体" w:eastAsia="宋体" w:cs="宋体"/>
          <w:color w:val="auto"/>
          <w:sz w:val="20"/>
          <w:highlight w:val="none"/>
        </w:rPr>
        <w:t xml:space="preserve"> </w:t>
      </w:r>
      <w:bookmarkEnd w:id="26"/>
    </w:p>
    <w:p w14:paraId="23DBDCCA">
      <w:pPr>
        <w:pStyle w:val="4"/>
        <w:numPr>
          <w:ilvl w:val="0"/>
          <w:numId w:val="0"/>
        </w:numPr>
        <w:spacing w:before="0" w:after="0" w:line="360" w:lineRule="auto"/>
        <w:jc w:val="both"/>
        <w:rPr>
          <w:rFonts w:hint="eastAsia" w:ascii="宋体" w:hAnsi="宋体" w:eastAsia="宋体" w:cs="宋体"/>
          <w:color w:val="auto"/>
          <w:sz w:val="24"/>
          <w:highlight w:val="none"/>
        </w:rPr>
      </w:pPr>
      <w:bookmarkStart w:id="27" w:name="_Toc209"/>
      <w:bookmarkStart w:id="28" w:name="_Toc256000008"/>
      <w:r>
        <w:rPr>
          <w:rFonts w:hint="eastAsia" w:ascii="宋体" w:hAnsi="宋体" w:eastAsia="宋体" w:cs="宋体"/>
          <w:color w:val="auto"/>
          <w:sz w:val="24"/>
          <w:highlight w:val="none"/>
        </w:rPr>
        <w:t>五、投标文件的递交</w:t>
      </w:r>
      <w:bookmarkEnd w:id="27"/>
      <w:bookmarkEnd w:id="28"/>
    </w:p>
    <w:p w14:paraId="6D52C65E">
      <w:pPr>
        <w:pageBreakBefore w:val="0"/>
        <w:kinsoku/>
        <w:wordWrap/>
        <w:overflowPunct/>
        <w:topLinePunct w:val="0"/>
        <w:bidi w:val="0"/>
        <w:snapToGrid w:val="0"/>
        <w:spacing w:before="0" w:beforeAutospacing="0" w:after="0" w:afterAutospacing="0" w:line="360" w:lineRule="auto"/>
        <w:jc w:val="both"/>
        <w:textAlignment w:val="baseline"/>
        <w:rPr>
          <w:rStyle w:val="53"/>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i w:val="0"/>
          <w:caps w:val="0"/>
          <w:color w:val="auto"/>
          <w:spacing w:val="0"/>
          <w:w w:val="100"/>
          <w:kern w:val="2"/>
          <w:position w:val="0"/>
          <w:sz w:val="24"/>
          <w:szCs w:val="24"/>
          <w:highlight w:val="none"/>
          <w:lang w:val="en-US" w:eastAsia="zh-CN" w:bidi="ar-SA"/>
        </w:rPr>
        <w:t>17.投标文件的密封和标记</w:t>
      </w:r>
    </w:p>
    <w:p w14:paraId="0847171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3A61D3D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5ADF56D6">
      <w:pPr>
        <w:pageBreakBefore w:val="0"/>
        <w:kinsoku/>
        <w:wordWrap/>
        <w:overflowPunct/>
        <w:topLinePunct w:val="0"/>
        <w:bidi w:val="0"/>
        <w:snapToGrid w:val="0"/>
        <w:spacing w:before="0" w:beforeAutospacing="0" w:after="0" w:afterAutospacing="0" w:line="360" w:lineRule="auto"/>
        <w:jc w:val="both"/>
        <w:textAlignment w:val="baseline"/>
        <w:rPr>
          <w:rStyle w:val="53"/>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i w:val="0"/>
          <w:caps w:val="0"/>
          <w:color w:val="auto"/>
          <w:spacing w:val="0"/>
          <w:w w:val="100"/>
          <w:kern w:val="2"/>
          <w:position w:val="0"/>
          <w:sz w:val="24"/>
          <w:szCs w:val="24"/>
          <w:highlight w:val="none"/>
          <w:lang w:val="en-US" w:eastAsia="zh-CN" w:bidi="ar-SA"/>
        </w:rPr>
        <w:t>18.投标文件的递交</w:t>
      </w:r>
    </w:p>
    <w:p w14:paraId="561C7D4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18.1 供应商应当在招标文件要求提交投标文件的截止时间前网上投标。</w:t>
      </w:r>
    </w:p>
    <w:p w14:paraId="4382258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在招标文件要求提交投标文件的截止时间之后提交的投标文件，为无效投标文件，采购代理机构将拒绝接收。</w:t>
      </w:r>
    </w:p>
    <w:p w14:paraId="003AFF05">
      <w:pPr>
        <w:spacing w:line="360" w:lineRule="auto"/>
        <w:ind w:firstLine="480" w:firstLineChars="200"/>
        <w:rPr>
          <w:rFonts w:hint="eastAsia" w:ascii="宋体" w:hAnsi="宋体" w:eastAsia="宋体" w:cs="宋体"/>
          <w:color w:val="auto"/>
          <w:sz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18.3 是否采用不见面开标详见供应商须知前附表规定，若项目采用不见面开标，无需提供电子投标文件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7E71E38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19.投标文件的修改和撤回</w:t>
      </w:r>
    </w:p>
    <w:p w14:paraId="044E3B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19.1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在递交投标文件后，可以修改或撤回其投标，但这种修改和撤回，必须在规定的投标截止时间前。在投标截止时间后，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不得要求修改或撤回其投标文件。</w:t>
      </w:r>
    </w:p>
    <w:p w14:paraId="1CB14802">
      <w:pPr>
        <w:rPr>
          <w:rFonts w:hint="eastAsia" w:ascii="宋体" w:hAnsi="宋体" w:eastAsia="宋体" w:cs="宋体"/>
          <w:color w:val="auto"/>
          <w:highlight w:val="none"/>
        </w:rPr>
      </w:pPr>
      <w:bookmarkStart w:id="29" w:name="EBdea484bda35746a2b5fd314ad05e57a5"/>
      <w:r>
        <w:rPr>
          <w:rFonts w:hint="eastAsia" w:ascii="宋体" w:hAnsi="宋体" w:eastAsia="宋体" w:cs="宋体"/>
          <w:color w:val="auto"/>
          <w:sz w:val="20"/>
          <w:highlight w:val="none"/>
        </w:rPr>
        <w:t xml:space="preserve"> </w:t>
      </w:r>
      <w:bookmarkEnd w:id="29"/>
      <w:bookmarkStart w:id="30" w:name="EB81ee8525ba154877a375e0453dfebe72"/>
      <w:r>
        <w:rPr>
          <w:rFonts w:hint="eastAsia" w:ascii="宋体" w:hAnsi="宋体" w:eastAsia="宋体" w:cs="宋体"/>
          <w:color w:val="auto"/>
          <w:sz w:val="20"/>
          <w:highlight w:val="none"/>
        </w:rPr>
        <w:t xml:space="preserve"> </w:t>
      </w:r>
      <w:bookmarkEnd w:id="30"/>
      <w:bookmarkStart w:id="31" w:name="EB59f3b3240a8b4b64960eecad995cd524"/>
      <w:r>
        <w:rPr>
          <w:rFonts w:hint="eastAsia" w:ascii="宋体" w:hAnsi="宋体" w:eastAsia="宋体" w:cs="宋体"/>
          <w:color w:val="auto"/>
          <w:sz w:val="20"/>
          <w:highlight w:val="none"/>
        </w:rPr>
        <w:t xml:space="preserve"> </w:t>
      </w:r>
      <w:bookmarkEnd w:id="31"/>
    </w:p>
    <w:p w14:paraId="582DEDB2">
      <w:pPr>
        <w:pStyle w:val="4"/>
        <w:numPr>
          <w:ilvl w:val="0"/>
          <w:numId w:val="0"/>
        </w:numPr>
        <w:spacing w:before="0" w:after="0" w:line="360" w:lineRule="auto"/>
        <w:jc w:val="both"/>
        <w:rPr>
          <w:rFonts w:hint="eastAsia" w:ascii="宋体" w:hAnsi="宋体" w:eastAsia="宋体" w:cs="宋体"/>
          <w:color w:val="auto"/>
          <w:sz w:val="24"/>
          <w:highlight w:val="none"/>
        </w:rPr>
      </w:pPr>
      <w:bookmarkStart w:id="32" w:name="_Toc719"/>
      <w:bookmarkStart w:id="33" w:name="_Toc256000009"/>
      <w:r>
        <w:rPr>
          <w:rFonts w:hint="eastAsia" w:ascii="宋体" w:hAnsi="宋体" w:eastAsia="宋体" w:cs="宋体"/>
          <w:color w:val="auto"/>
          <w:sz w:val="24"/>
          <w:highlight w:val="none"/>
        </w:rPr>
        <w:t>六、开标</w:t>
      </w:r>
      <w:bookmarkEnd w:id="32"/>
      <w:bookmarkEnd w:id="33"/>
    </w:p>
    <w:p w14:paraId="0900279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20.开标</w:t>
      </w:r>
    </w:p>
    <w:p w14:paraId="4BA117E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招标人在规定的投标截止时间（开标时间）和供应商须知前附表规定的地点开标。供应商的法定代表人或其委托代理人无需到达开标现场，仅需在任意地点通过政采云开标系统，使用 CA 密钥完成远程解密、提疑澄清、开标唱标确认、结果公布等交互环节。</w:t>
      </w:r>
    </w:p>
    <w:p w14:paraId="7D0963D5">
      <w:pPr>
        <w:spacing w:line="360" w:lineRule="auto"/>
        <w:ind w:firstLine="480" w:firstLineChars="200"/>
        <w:rPr>
          <w:rFonts w:hint="eastAsia" w:ascii="宋体" w:hAnsi="宋体" w:eastAsia="宋体" w:cs="宋体"/>
          <w:color w:val="auto"/>
          <w:sz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40B97DFD">
      <w:pPr>
        <w:rPr>
          <w:rFonts w:hint="eastAsia" w:ascii="宋体" w:hAnsi="宋体" w:eastAsia="宋体" w:cs="宋体"/>
          <w:color w:val="auto"/>
          <w:highlight w:val="none"/>
        </w:rPr>
      </w:pPr>
      <w:bookmarkStart w:id="34" w:name="EB762c78e93eba4b72af2df5b3efee4779"/>
      <w:r>
        <w:rPr>
          <w:rFonts w:hint="eastAsia" w:ascii="宋体" w:hAnsi="宋体" w:eastAsia="宋体" w:cs="宋体"/>
          <w:color w:val="auto"/>
          <w:sz w:val="20"/>
          <w:highlight w:val="none"/>
        </w:rPr>
        <w:t xml:space="preserve"> </w:t>
      </w:r>
      <w:bookmarkEnd w:id="34"/>
      <w:bookmarkStart w:id="35" w:name="EBd11563aac94641bcbce64c740b54f3c6"/>
      <w:r>
        <w:rPr>
          <w:rFonts w:hint="eastAsia" w:ascii="宋体" w:hAnsi="宋体" w:eastAsia="宋体" w:cs="宋体"/>
          <w:color w:val="auto"/>
          <w:sz w:val="20"/>
          <w:highlight w:val="none"/>
        </w:rPr>
        <w:t xml:space="preserve"> </w:t>
      </w:r>
      <w:bookmarkEnd w:id="35"/>
      <w:bookmarkStart w:id="36" w:name="EBb2fe5bffca4b463885814e2aee93745c"/>
      <w:r>
        <w:rPr>
          <w:rFonts w:hint="eastAsia" w:ascii="宋体" w:hAnsi="宋体" w:eastAsia="宋体" w:cs="宋体"/>
          <w:color w:val="auto"/>
          <w:sz w:val="20"/>
          <w:highlight w:val="none"/>
        </w:rPr>
        <w:t xml:space="preserve"> </w:t>
      </w:r>
      <w:bookmarkEnd w:id="36"/>
    </w:p>
    <w:p w14:paraId="6C10D0C7">
      <w:pPr>
        <w:pStyle w:val="4"/>
        <w:numPr>
          <w:ilvl w:val="0"/>
          <w:numId w:val="0"/>
        </w:numPr>
        <w:spacing w:before="0" w:after="0" w:line="360" w:lineRule="auto"/>
        <w:jc w:val="both"/>
        <w:rPr>
          <w:rFonts w:hint="eastAsia" w:ascii="宋体" w:hAnsi="宋体" w:eastAsia="宋体" w:cs="宋体"/>
          <w:color w:val="auto"/>
          <w:sz w:val="24"/>
          <w:highlight w:val="none"/>
        </w:rPr>
      </w:pPr>
      <w:bookmarkStart w:id="37" w:name="_Toc256000010"/>
      <w:bookmarkStart w:id="38" w:name="_Toc29109"/>
      <w:r>
        <w:rPr>
          <w:rFonts w:hint="eastAsia" w:ascii="宋体" w:hAnsi="宋体" w:eastAsia="宋体" w:cs="宋体"/>
          <w:color w:val="auto"/>
          <w:sz w:val="24"/>
          <w:highlight w:val="none"/>
        </w:rPr>
        <w:t>七、评标步骤和要求</w:t>
      </w:r>
      <w:bookmarkEnd w:id="37"/>
      <w:bookmarkEnd w:id="38"/>
    </w:p>
    <w:p w14:paraId="5074012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21.组建评标委员会</w:t>
      </w:r>
    </w:p>
    <w:p w14:paraId="0F10DB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6692E1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参与过本项目的论证专家不得作为评标专家参加评标，采购人不得以专家身份参与评标。</w:t>
      </w:r>
    </w:p>
    <w:p w14:paraId="023CDAC4">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22、资格审查</w:t>
      </w:r>
    </w:p>
    <w:p w14:paraId="0F76B12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22.1公开招标采购项目开标结束后，采购人或者采购代理机构应当依法对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的资格进行审查。合格</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不足3家的，不得评标。</w:t>
      </w:r>
      <w:r>
        <w:rPr>
          <w:rFonts w:hint="eastAsia" w:ascii="宋体" w:hAnsi="宋体" w:eastAsia="宋体" w:cs="宋体"/>
          <w:color w:val="auto"/>
          <w:sz w:val="24"/>
          <w:highlight w:val="none"/>
          <w:lang w:val="en-US" w:eastAsia="zh-CN"/>
        </w:rPr>
        <w:t>资格审查内容见下表：</w:t>
      </w:r>
    </w:p>
    <w:tbl>
      <w:tblPr>
        <w:tblStyle w:val="38"/>
        <w:tblW w:w="10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088"/>
        <w:gridCol w:w="6434"/>
        <w:gridCol w:w="605"/>
        <w:gridCol w:w="759"/>
      </w:tblGrid>
      <w:tr w14:paraId="454C2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B6796E">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评分因素</w:t>
            </w:r>
          </w:p>
        </w:tc>
        <w:tc>
          <w:tcPr>
            <w:tcW w:w="2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7D175DC">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评分点</w:t>
            </w:r>
          </w:p>
        </w:tc>
        <w:tc>
          <w:tcPr>
            <w:tcW w:w="64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3512D7B">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评分标准</w:t>
            </w:r>
          </w:p>
        </w:tc>
        <w:tc>
          <w:tcPr>
            <w:tcW w:w="1364" w:type="dxa"/>
            <w:gridSpan w:val="2"/>
            <w:tcBorders>
              <w:top w:val="single" w:color="000000" w:sz="4" w:space="0"/>
              <w:left w:val="single" w:color="000000" w:sz="4" w:space="0"/>
              <w:bottom w:val="single" w:color="000000" w:sz="4" w:space="0"/>
              <w:right w:val="single" w:color="000000" w:sz="4" w:space="0"/>
            </w:tcBorders>
            <w:noWrap w:val="0"/>
            <w:vAlign w:val="center"/>
          </w:tcPr>
          <w:p w14:paraId="4029FF86">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评审意见</w:t>
            </w:r>
          </w:p>
        </w:tc>
      </w:tr>
      <w:tr w14:paraId="4F4F8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61AB6">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2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A4C16">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64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D5F0C">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1090C16">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是</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E6FB300">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否</w:t>
            </w:r>
          </w:p>
        </w:tc>
      </w:tr>
      <w:tr w14:paraId="0956D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restart"/>
            <w:tcBorders>
              <w:top w:val="single" w:color="000000" w:sz="4" w:space="0"/>
              <w:left w:val="single" w:color="000000" w:sz="4" w:space="0"/>
              <w:right w:val="single" w:color="000000" w:sz="4" w:space="0"/>
            </w:tcBorders>
            <w:noWrap w:val="0"/>
            <w:vAlign w:val="center"/>
          </w:tcPr>
          <w:p w14:paraId="0BFD48EF">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资格检查</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3E49CCC">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营业执照具有独立承担民事责任的能力</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06F40D91">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1C3742C6">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170C1F2">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r>
      <w:tr w14:paraId="5A2D1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continue"/>
            <w:tcBorders>
              <w:left w:val="single" w:color="000000" w:sz="4" w:space="0"/>
              <w:right w:val="single" w:color="000000" w:sz="4" w:space="0"/>
            </w:tcBorders>
            <w:noWrap w:val="0"/>
            <w:vAlign w:val="center"/>
          </w:tcPr>
          <w:p w14:paraId="36B842BE">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A4DD620">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具有良好的商业信誉和健全的财务会计制度</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5A6F7B2E">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4F997CFA">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B504ED3">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r>
      <w:tr w14:paraId="62A07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652" w:type="dxa"/>
            <w:vMerge w:val="continue"/>
            <w:tcBorders>
              <w:left w:val="single" w:color="000000" w:sz="4" w:space="0"/>
              <w:right w:val="single" w:color="000000" w:sz="4" w:space="0"/>
            </w:tcBorders>
            <w:noWrap w:val="0"/>
            <w:vAlign w:val="center"/>
          </w:tcPr>
          <w:p w14:paraId="63CBA943">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3B4844B5">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具有履行合同所必需的设备和专业技术能力</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20E9118C">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具备履行合同所必需的设备和专业技术能力的书面声明原件扫描件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5126EB8">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D375583">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r>
      <w:tr w14:paraId="5ECCE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continue"/>
            <w:tcBorders>
              <w:left w:val="single" w:color="000000" w:sz="4" w:space="0"/>
              <w:right w:val="single" w:color="000000" w:sz="4" w:space="0"/>
            </w:tcBorders>
            <w:noWrap w:val="0"/>
            <w:vAlign w:val="center"/>
          </w:tcPr>
          <w:p w14:paraId="65D28CBD">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71C213C">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有依法缴纳税收和社会保障资金的良好记录</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08FCB73F">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53"/>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4958F0F">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81CF1F2">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r>
      <w:tr w14:paraId="25E5B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jc w:val="center"/>
        </w:trPr>
        <w:tc>
          <w:tcPr>
            <w:tcW w:w="652" w:type="dxa"/>
            <w:vMerge w:val="continue"/>
            <w:tcBorders>
              <w:left w:val="single" w:color="000000" w:sz="4" w:space="0"/>
              <w:right w:val="single" w:color="000000" w:sz="4" w:space="0"/>
            </w:tcBorders>
            <w:noWrap w:val="0"/>
            <w:vAlign w:val="center"/>
          </w:tcPr>
          <w:p w14:paraId="7F5A0003">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123B3138">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53"/>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0830443B">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53"/>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参加政府采购活动前三年内，在经营活动中没有重大违法记录；须提供书面声明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7B4B85E">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4967D3A">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r>
      <w:tr w14:paraId="07A1F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2" w:type="dxa"/>
            <w:vMerge w:val="continue"/>
            <w:tcBorders>
              <w:left w:val="single" w:color="000000" w:sz="4" w:space="0"/>
              <w:right w:val="single" w:color="000000" w:sz="4" w:space="0"/>
            </w:tcBorders>
            <w:noWrap w:val="0"/>
            <w:vAlign w:val="center"/>
          </w:tcPr>
          <w:p w14:paraId="27AF40F0">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A8A0B4B">
            <w:pPr>
              <w:pStyle w:val="51"/>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投标保证金</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3C2FFAFC">
            <w:pPr>
              <w:pStyle w:val="51"/>
              <w:keepNext w:val="0"/>
              <w:keepLines w:val="0"/>
              <w:pageBreakBefore w:val="0"/>
              <w:widowControl/>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供应商是否按要求提交投标保证金</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3A276FD">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93E0CB4">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r>
    </w:tbl>
    <w:p w14:paraId="74AA1DF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23.初步评审</w:t>
      </w:r>
    </w:p>
    <w:p w14:paraId="60C709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23.1 评标委员会审查投标文件是否符合招标文件的基本要求：内容是否完整、资格证明文件是否合格、文件签署是否齐全、有无计算错误等。 </w:t>
      </w:r>
    </w:p>
    <w:p w14:paraId="51962C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评标委员会审查投标文件是否实质上响应招标文件的要求。</w:t>
      </w:r>
    </w:p>
    <w:p w14:paraId="0E39CC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1）实质上响应的投标是指与招标文件上的条款、条件和规格相符，没有重大偏离或保留，否则将视为无效投标。</w:t>
      </w:r>
    </w:p>
    <w:p w14:paraId="75A7B6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2）重大偏离或保留系指投标货物的质量、数量和交付日期等明显不能满足招标文件的要求，或者实质上与招标文件不一致，纠正这些偏离或保留将对其他实质上响应要求的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的竞争地位产生不公正的影响。包括但不限于：</w:t>
      </w:r>
    </w:p>
    <w:p w14:paraId="6154CC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A、投标文件未按招标文件的规定签章的；</w:t>
      </w:r>
    </w:p>
    <w:p w14:paraId="7F2023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B、未按投标文件份数要求提交投标文件的；</w:t>
      </w:r>
    </w:p>
    <w:p w14:paraId="5E37A1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C、报价超过项目预算或经评标委员会认定低于成本的；</w:t>
      </w:r>
    </w:p>
    <w:p w14:paraId="36C645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D、投标有效期不足的；</w:t>
      </w:r>
    </w:p>
    <w:p w14:paraId="41A59C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E、联合体投标文件未附联合体投标协议书的；</w:t>
      </w:r>
    </w:p>
    <w:p w14:paraId="4A791A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F、不符合招标文件中有关分包规定的；</w:t>
      </w:r>
    </w:p>
    <w:p w14:paraId="54383A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G、有串通投标或弄虚作假或有其他违法行为的；</w:t>
      </w:r>
    </w:p>
    <w:p w14:paraId="49B853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递交的电子投标文件无法满足正常开标、评标使用功能的；</w:t>
      </w:r>
    </w:p>
    <w:p w14:paraId="642CB9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I、</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名称或组织结构与报名时不一致且无有效变更证明的；</w:t>
      </w:r>
    </w:p>
    <w:p w14:paraId="09305F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J、不符合招标文件中规定的其他实质性要求。</w:t>
      </w:r>
    </w:p>
    <w:p w14:paraId="799EF0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 投标文件的细微偏差是指在实质上响应招标文件要求，但在个别地方存在漏项或者提供了不完整的技术信息和数据等情况，并且补正这些遗漏或者不完整，不会对其他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造成不公正的结果。细微偏差不影响投标文件的有效性。</w:t>
      </w:r>
    </w:p>
    <w:p w14:paraId="5E4B29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23.4 初步评审中，对明显的文字和计算错误按下述原则处理，若出现相互矛盾之处，应以排列在先的原则为准优先处理：        </w:t>
      </w:r>
    </w:p>
    <w:p w14:paraId="246457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1）投标文件中的开标一览表与明细表内容不一致的，以开标一览表为准。</w:t>
      </w:r>
    </w:p>
    <w:p w14:paraId="363211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2）如果以文字表示的数据与数字表示的有差别，以文字为准修正数字。如果大写金额和小写金额不一致的，以大写金额为准；</w:t>
      </w:r>
    </w:p>
    <w:p w14:paraId="44127F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3）如果单价乘以数量不等于总价，以单价为准修正总价，但单价金额小数点有明显错位的，应以总价为准，并修改单价。如果明细价格相加不等于汇总价格，以明细价格为准。</w:t>
      </w:r>
    </w:p>
    <w:p w14:paraId="5BEE3A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4）调整后的数据对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具有约束力，</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不同意以上修正，其投标将被拒绝。</w:t>
      </w:r>
    </w:p>
    <w:p w14:paraId="315003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23.5 评标委员会对投标文件的判定，只依据投标文件内容本身，不依据其他外来证明。</w:t>
      </w:r>
    </w:p>
    <w:p w14:paraId="4C58A47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24.投标的澄清</w:t>
      </w:r>
    </w:p>
    <w:p w14:paraId="14C784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 评标委员会有权要求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对投标文件中含义不明确、对同类问题表述不一致或者有明显文字和计算错误等内容作必要的澄清、说明或者补正。该要求应当采用书面形式，并由评标委员会成员签字。评标委员会不接受</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主动提出的澄清、说明或者补正。</w:t>
      </w:r>
    </w:p>
    <w:p w14:paraId="7AF0D5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按照评标委员会通知的内容和时间做出书面答复，该答复经法定代表人或授权代理人的签字认可，将作为投标文件内容的一部分。澄清、说明或者补正不得超出投标文件的范围或者改变投标文件的实质性内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拒不按照要求对投标文件进行澄清、说明或者补正的，评标委员会可拒绝该投标。</w:t>
      </w:r>
    </w:p>
    <w:p w14:paraId="0071DE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如评标委员会一致认为某个</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的报价明显不合理，有降低质量、不能诚信履行的可能时，评标委员会有权决定是否通知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限期进行书面解释或提供相关证明材料。若已要求，而该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在规定期限内未做出解释、作出的解释不合理或不能提供证明材料的，经评标委员会取得一致意见后，可拒绝该投标。</w:t>
      </w:r>
    </w:p>
    <w:p w14:paraId="7F92A7D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25.详细评审</w:t>
      </w:r>
    </w:p>
    <w:p w14:paraId="5D9E75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 评标委员会只对实质上响应招标文件的投标进行评价和比较；评审应严格按照招标文件第二部分“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须知前附表”中第17项规定以及招标文件的要求进行。具体要求等详见招标文件第四部分“评审方法”。</w:t>
      </w:r>
    </w:p>
    <w:p w14:paraId="1000FC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18B38BE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26.确定中标人</w:t>
      </w:r>
    </w:p>
    <w:p w14:paraId="5F2F2F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使用综合评分法的采购项目，提供相同品牌产品且通过资格审查、符合性审查的不同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参加同一合同项下投标的，按一家</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计算，评审后得分最高的同品牌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获得中标人推荐资格；评审得分相同的，由采购人或者采购人委托评标委员会按照招标文件规定的方式确定一个</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获得中标人推荐资格，招标文件未规定的采取随机抽取方式确定，其他同品牌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不作为中标候选人。</w:t>
      </w:r>
    </w:p>
    <w:p w14:paraId="46828C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评标委员会根据评审结果及招标文件的规定确定中标人。</w:t>
      </w:r>
    </w:p>
    <w:p w14:paraId="63EA559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27.评标过程要求</w:t>
      </w:r>
    </w:p>
    <w:p w14:paraId="396B49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开标之后，直到签订合同止，凡是属于审查、澄清、评价和比较投标的有关资料以及定标意向等，均不向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或者其他与评标无关的人员透露。</w:t>
      </w:r>
    </w:p>
    <w:p w14:paraId="473D2F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在确定中标人之前，</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试图在投标文件审查、澄清、比较和评标时对评标委员会、采购人和采购代理机构施加任何影响都可能导致其投标无效。</w:t>
      </w:r>
    </w:p>
    <w:p w14:paraId="556D93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电子招投标的应急措施</w:t>
      </w:r>
    </w:p>
    <w:p w14:paraId="598892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27.3.1 电子开标、评标如出现下列原因，导致系统无法正常运行或无法正常评标时，应采取应急措施。</w:t>
      </w:r>
    </w:p>
    <w:p w14:paraId="3E1ED2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（1）系统服务器发生故障，无法访问或无法使用系统；</w:t>
      </w:r>
    </w:p>
    <w:p w14:paraId="615D15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（2）系统的软件或数据库出现错误，不能进行正常操作；</w:t>
      </w:r>
    </w:p>
    <w:p w14:paraId="71D60B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（3）系统发现有安全漏洞，有潜在的泄密危险；</w:t>
      </w:r>
    </w:p>
    <w:p w14:paraId="413B07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（4）病毒发作或受到外来病毒的攻击；</w:t>
      </w:r>
    </w:p>
    <w:p w14:paraId="1AFB12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（5）出现其他不可抗拒的客观原因造成开评标系统无法正常使用。</w:t>
      </w:r>
    </w:p>
    <w:p w14:paraId="4E76B6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出现上述情况时，应对未开标的暂停开标。已在系统内开标、评标的立即停止。采取应急措施时，必须对原有资料及信息作出妥善保密处理。</w:t>
      </w:r>
    </w:p>
    <w:p w14:paraId="552B68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27.3.2 因系统原因导致</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均无法解密电子投标文件时，采购代理机构可在开标现场直接导入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在投标截止时间前递交的未加密的电子投标文件进行开标、评标。</w:t>
      </w:r>
    </w:p>
    <w:p w14:paraId="58177F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瑕疵滞后发现的处理规则</w:t>
      </w:r>
    </w:p>
    <w:p w14:paraId="460CC8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无论基于何种原因，各项本应作拒绝处理的情形即便未被及时发现而使该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进入初审、综合评审或其他后续程序，包括已经签订合同的情形，一旦</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被拒绝或该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的此前评议结果被取消，其现有的位置将被其他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依序替代，相关的一切损失均由该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承担。</w:t>
      </w:r>
    </w:p>
    <w:p w14:paraId="077ABA5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29.采购项目废标</w:t>
      </w:r>
    </w:p>
    <w:p w14:paraId="5AF801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29.1 在评标过程中，评标委员会发现有下列情形之一的，应对采购项目予以废标：</w:t>
      </w:r>
    </w:p>
    <w:p w14:paraId="707745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1）符合专业条件的供应商或者对招标文件作实质响应的供应商数量不足，导致进入详细评审、打分阶段的供应商不足3家的； </w:t>
      </w:r>
    </w:p>
    <w:p w14:paraId="2D7BCD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的报价均超过了采购预算；</w:t>
      </w:r>
    </w:p>
    <w:p w14:paraId="3A27D8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3）出现影响采购公正的违法、违规行为的；</w:t>
      </w:r>
    </w:p>
    <w:p w14:paraId="6E9815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115BB8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除前款第四项规定的情形外，项目废标后，如未变更采购方式，采购代理机构将依法重新组织招标。</w:t>
      </w:r>
    </w:p>
    <w:p w14:paraId="1C25E6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 有前款第一项规定的情形导致废标时，供应商只有2家的，可以改为竞争性谈判方式，在书面征得供应商同意并报经财政部门核准后，由采购人、采购代理机构按照竞争性谈判方式的程序组织采购。</w:t>
      </w:r>
    </w:p>
    <w:p w14:paraId="7E9E20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29.2.1 转为谈判后，若供应商未能在评标委员会指定时间内（原则上不超过60分钟）提交符合要求的补充资料或未作出实质性响应的，投标无效。经过审查符合谈判要求的有效供应商少于两家的，作废标处理。</w:t>
      </w:r>
    </w:p>
    <w:p w14:paraId="787A1C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29.2.2 评标委员会根据采购文件内容与实质性响应采购文件要求的供应商分别进行谈判，并给予所有参加谈判的供应商平等的谈判机会。在谈判过程中，评标委员会可以根据采购文件和谈判情况实质性变动采购需求中的技术、服务要求以及合同草案条款，但不得变动采购文件中的其他内容。实质性变动的内容，须经采购人代表确认。对采购文件作出的实质性变动是采购文件的有效组成部分，评标委员会应当及时以书面形式同时通知所有参加谈判的供应商。</w:t>
      </w:r>
    </w:p>
    <w:p w14:paraId="1998E4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供应商应当按照采购文件的变动情况和评标委员会的要求重新提交响应文件，并由其法定代表人或授权代表签字或者加盖公章。</w:t>
      </w:r>
    </w:p>
    <w:p w14:paraId="79DB08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29.2.3 投标文件的报价视为谈判时的首次报价。谈判结束后，评标委员会应当要求所有继续参加谈判的供应商在规定时间内提交不超过两轮的报价。供应商的各轮报价是供应商报价文件的有效组成部分。除最终报价外，谈判时将公开各供应商每轮报价。</w:t>
      </w:r>
    </w:p>
    <w:p w14:paraId="72123A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29.2.4 在谈判内容不作实质性变更及重大调整的前提下，供应商次轮报价不得高于上一轮报价，否则将视为重大偏离并导致报价被拒绝。</w:t>
      </w:r>
    </w:p>
    <w:p w14:paraId="3E71EABE">
      <w:pPr>
        <w:rPr>
          <w:rFonts w:hint="eastAsia" w:ascii="宋体" w:hAnsi="宋体" w:eastAsia="宋体" w:cs="宋体"/>
          <w:color w:val="auto"/>
          <w:highlight w:val="none"/>
        </w:rPr>
      </w:pPr>
      <w:bookmarkStart w:id="39" w:name="EB89510c3b3a30480c8610f449b19e4e0a"/>
      <w:r>
        <w:rPr>
          <w:rFonts w:hint="eastAsia" w:ascii="宋体" w:hAnsi="宋体" w:eastAsia="宋体" w:cs="宋体"/>
          <w:color w:val="auto"/>
          <w:sz w:val="20"/>
          <w:highlight w:val="none"/>
        </w:rPr>
        <w:t xml:space="preserve"> </w:t>
      </w:r>
      <w:bookmarkEnd w:id="39"/>
      <w:bookmarkStart w:id="40" w:name="EBcfcb2aa810f9473284463cee8dd57e95"/>
      <w:r>
        <w:rPr>
          <w:rFonts w:hint="eastAsia" w:ascii="宋体" w:hAnsi="宋体" w:eastAsia="宋体" w:cs="宋体"/>
          <w:color w:val="auto"/>
          <w:sz w:val="20"/>
          <w:highlight w:val="none"/>
        </w:rPr>
        <w:t xml:space="preserve"> </w:t>
      </w:r>
      <w:bookmarkEnd w:id="40"/>
      <w:bookmarkStart w:id="41" w:name="EBaf0501d4fc0047abb4da5d9e147222a8"/>
      <w:r>
        <w:rPr>
          <w:rFonts w:hint="eastAsia" w:ascii="宋体" w:hAnsi="宋体" w:eastAsia="宋体" w:cs="宋体"/>
          <w:color w:val="auto"/>
          <w:sz w:val="20"/>
          <w:highlight w:val="none"/>
        </w:rPr>
        <w:t xml:space="preserve"> </w:t>
      </w:r>
      <w:bookmarkEnd w:id="41"/>
    </w:p>
    <w:p w14:paraId="00735325">
      <w:pPr>
        <w:pStyle w:val="4"/>
        <w:numPr>
          <w:ilvl w:val="0"/>
          <w:numId w:val="0"/>
        </w:numPr>
        <w:spacing w:before="0" w:after="0" w:line="360" w:lineRule="auto"/>
        <w:jc w:val="both"/>
        <w:rPr>
          <w:rFonts w:hint="eastAsia" w:ascii="宋体" w:hAnsi="宋体" w:eastAsia="宋体" w:cs="宋体"/>
          <w:color w:val="auto"/>
          <w:sz w:val="24"/>
          <w:highlight w:val="none"/>
        </w:rPr>
      </w:pPr>
      <w:bookmarkStart w:id="42" w:name="_Toc1299"/>
      <w:bookmarkStart w:id="43" w:name="_Toc256000011"/>
      <w:r>
        <w:rPr>
          <w:rFonts w:hint="eastAsia" w:ascii="宋体" w:hAnsi="宋体" w:eastAsia="宋体" w:cs="宋体"/>
          <w:color w:val="auto"/>
          <w:sz w:val="24"/>
          <w:highlight w:val="none"/>
        </w:rPr>
        <w:t>八、履约保证金</w:t>
      </w:r>
      <w:bookmarkEnd w:id="42"/>
      <w:bookmarkEnd w:id="43"/>
    </w:p>
    <w:p w14:paraId="531B8DF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30.履约保证金</w:t>
      </w:r>
    </w:p>
    <w:p w14:paraId="194FDE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30.1 履约保证金按照招标文件第二部分“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须知前附表”中第2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项规定，在签订合同前交纳。</w:t>
      </w:r>
    </w:p>
    <w:p w14:paraId="1C05BF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30.2 中标人在中标公告发布后及时足额交纳履约保证金。</w:t>
      </w:r>
    </w:p>
    <w:p w14:paraId="273F9E93">
      <w:pPr>
        <w:rPr>
          <w:rFonts w:hint="eastAsia" w:ascii="宋体" w:hAnsi="宋体" w:eastAsia="宋体" w:cs="宋体"/>
          <w:color w:val="auto"/>
          <w:highlight w:val="none"/>
        </w:rPr>
      </w:pPr>
      <w:bookmarkStart w:id="44" w:name="EB09ff709202054180b10e7298446abc62"/>
      <w:r>
        <w:rPr>
          <w:rFonts w:hint="eastAsia" w:ascii="宋体" w:hAnsi="宋体" w:eastAsia="宋体" w:cs="宋体"/>
          <w:color w:val="auto"/>
          <w:sz w:val="20"/>
          <w:highlight w:val="none"/>
        </w:rPr>
        <w:t xml:space="preserve"> </w:t>
      </w:r>
      <w:bookmarkEnd w:id="44"/>
      <w:bookmarkStart w:id="45" w:name="EBa2782dfe55b145cf925f57f312c27ae5"/>
      <w:r>
        <w:rPr>
          <w:rFonts w:hint="eastAsia" w:ascii="宋体" w:hAnsi="宋体" w:eastAsia="宋体" w:cs="宋体"/>
          <w:color w:val="auto"/>
          <w:sz w:val="20"/>
          <w:highlight w:val="none"/>
        </w:rPr>
        <w:t xml:space="preserve"> </w:t>
      </w:r>
      <w:bookmarkEnd w:id="45"/>
      <w:bookmarkStart w:id="46" w:name="EBbe8c5d3558184a138eebad6fbda2d8b7"/>
      <w:r>
        <w:rPr>
          <w:rFonts w:hint="eastAsia" w:ascii="宋体" w:hAnsi="宋体" w:eastAsia="宋体" w:cs="宋体"/>
          <w:color w:val="auto"/>
          <w:sz w:val="20"/>
          <w:highlight w:val="none"/>
        </w:rPr>
        <w:t xml:space="preserve"> </w:t>
      </w:r>
      <w:bookmarkEnd w:id="46"/>
    </w:p>
    <w:p w14:paraId="062EAE34">
      <w:pPr>
        <w:pStyle w:val="4"/>
        <w:numPr>
          <w:ilvl w:val="0"/>
          <w:numId w:val="0"/>
        </w:numPr>
        <w:spacing w:before="0" w:after="0" w:line="360" w:lineRule="auto"/>
        <w:jc w:val="both"/>
        <w:rPr>
          <w:rFonts w:hint="eastAsia" w:ascii="宋体" w:hAnsi="宋体" w:eastAsia="宋体" w:cs="宋体"/>
          <w:color w:val="auto"/>
          <w:sz w:val="24"/>
          <w:highlight w:val="none"/>
        </w:rPr>
      </w:pPr>
      <w:bookmarkStart w:id="47" w:name="_Toc11959"/>
      <w:bookmarkStart w:id="48" w:name="_Toc256000012"/>
      <w:r>
        <w:rPr>
          <w:rFonts w:hint="eastAsia" w:ascii="宋体" w:hAnsi="宋体" w:eastAsia="宋体" w:cs="宋体"/>
          <w:color w:val="auto"/>
          <w:sz w:val="24"/>
          <w:highlight w:val="none"/>
        </w:rPr>
        <w:t>九、代理服务费、公证费</w:t>
      </w:r>
      <w:bookmarkEnd w:id="47"/>
      <w:bookmarkEnd w:id="48"/>
    </w:p>
    <w:p w14:paraId="7DECA62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31.代理服务费、公证费</w:t>
      </w:r>
    </w:p>
    <w:p w14:paraId="1E82EF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 代理服务费、公证费按照招标文件第二部分“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须知前附表”中第2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项和第24项的规定由中标人交纳，请</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在测算投标报价时充分考虑这一因素。</w:t>
      </w:r>
    </w:p>
    <w:p w14:paraId="3F366E4E">
      <w:pPr>
        <w:rPr>
          <w:rFonts w:hint="eastAsia" w:ascii="宋体" w:hAnsi="宋体" w:eastAsia="宋体" w:cs="宋体"/>
          <w:color w:val="auto"/>
          <w:highlight w:val="none"/>
        </w:rPr>
      </w:pPr>
      <w:bookmarkStart w:id="49" w:name="EB3d5290ec12874590b73093f235eb4b9c"/>
      <w:r>
        <w:rPr>
          <w:rFonts w:hint="eastAsia" w:ascii="宋体" w:hAnsi="宋体" w:eastAsia="宋体" w:cs="宋体"/>
          <w:color w:val="auto"/>
          <w:sz w:val="20"/>
          <w:highlight w:val="none"/>
        </w:rPr>
        <w:t xml:space="preserve"> </w:t>
      </w:r>
      <w:bookmarkEnd w:id="49"/>
      <w:bookmarkStart w:id="50" w:name="EBa88a30bffaa84b308ae0078153f9e940"/>
      <w:r>
        <w:rPr>
          <w:rFonts w:hint="eastAsia" w:ascii="宋体" w:hAnsi="宋体" w:eastAsia="宋体" w:cs="宋体"/>
          <w:color w:val="auto"/>
          <w:sz w:val="20"/>
          <w:highlight w:val="none"/>
        </w:rPr>
        <w:t xml:space="preserve"> </w:t>
      </w:r>
      <w:bookmarkEnd w:id="50"/>
      <w:bookmarkStart w:id="51" w:name="EB8594d7a587344cd4b5015c7adff7aa6f"/>
      <w:r>
        <w:rPr>
          <w:rFonts w:hint="eastAsia" w:ascii="宋体" w:hAnsi="宋体" w:eastAsia="宋体" w:cs="宋体"/>
          <w:color w:val="auto"/>
          <w:sz w:val="20"/>
          <w:highlight w:val="none"/>
        </w:rPr>
        <w:t xml:space="preserve"> </w:t>
      </w:r>
      <w:bookmarkEnd w:id="51"/>
    </w:p>
    <w:p w14:paraId="08F1C5C8">
      <w:pPr>
        <w:pStyle w:val="4"/>
        <w:numPr>
          <w:ilvl w:val="0"/>
          <w:numId w:val="0"/>
        </w:numPr>
        <w:spacing w:before="0" w:after="0" w:line="360" w:lineRule="auto"/>
        <w:jc w:val="both"/>
        <w:rPr>
          <w:rFonts w:hint="eastAsia" w:ascii="宋体" w:hAnsi="宋体" w:eastAsia="宋体" w:cs="宋体"/>
          <w:color w:val="auto"/>
          <w:sz w:val="24"/>
          <w:highlight w:val="none"/>
        </w:rPr>
      </w:pPr>
      <w:bookmarkStart w:id="52" w:name="_Toc15037"/>
      <w:bookmarkStart w:id="53" w:name="_Toc256000013"/>
      <w:r>
        <w:rPr>
          <w:rFonts w:hint="eastAsia" w:ascii="宋体" w:hAnsi="宋体" w:eastAsia="宋体" w:cs="宋体"/>
          <w:color w:val="auto"/>
          <w:sz w:val="24"/>
          <w:highlight w:val="none"/>
        </w:rPr>
        <w:t>十、签订、审核合同</w:t>
      </w:r>
      <w:bookmarkEnd w:id="52"/>
      <w:bookmarkEnd w:id="53"/>
    </w:p>
    <w:p w14:paraId="1B542B0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32.中标通知</w:t>
      </w:r>
    </w:p>
    <w:p w14:paraId="74883D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 中标人确定后,采购代理机构将在相关政府采购信息发布媒体上发布中标公告，并以书面形式向中标人发出中标通知书，但该中标结果的有效性不依赖于未中标的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6F3C65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采购代理机构对未中标的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不作未中标原因的解释，但中标结果的有效性不以未中标的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是否收到相应的通知为前提。</w:t>
      </w:r>
    </w:p>
    <w:p w14:paraId="7C8782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 中标通知书是合同的组成部分。</w:t>
      </w:r>
    </w:p>
    <w:p w14:paraId="32F529D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33.签订合同</w:t>
      </w:r>
    </w:p>
    <w:p w14:paraId="0C61FD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 中标人须在中标通知书发出之日起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日内与采购人签订采购合同。</w:t>
      </w:r>
    </w:p>
    <w:p w14:paraId="601E6F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中标人须按照招标文件、投标文件及评标过程中的有关澄清、说明或者补正文件的内容与采购人签订合同。中标人不得再与采购人签订背离合同实质性内容的其他协议或声明。</w:t>
      </w:r>
    </w:p>
    <w:p w14:paraId="6A72FD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2B2B79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 中标人一旦中标及签订合同后，不得转包，亦不得将合同全部及任何权利、义务向第三方转让。</w:t>
      </w:r>
    </w:p>
    <w:p w14:paraId="5AA918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14:paraId="4559FF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 违反32.1条、32.2条的规定，给对方造成损失的，应承担赔偿责任。</w:t>
      </w:r>
    </w:p>
    <w:p w14:paraId="795C564C">
      <w:pPr>
        <w:pageBreakBefore w:val="0"/>
        <w:kinsoku/>
        <w:wordWrap/>
        <w:overflowPunct/>
        <w:topLinePunct w:val="0"/>
        <w:bidi w:val="0"/>
        <w:snapToGrid w:val="0"/>
        <w:spacing w:before="0" w:beforeAutospacing="0" w:after="0" w:afterAutospacing="0" w:line="360" w:lineRule="auto"/>
        <w:jc w:val="both"/>
        <w:textAlignment w:val="baseline"/>
        <w:rPr>
          <w:rStyle w:val="53"/>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i w:val="0"/>
          <w:caps w:val="0"/>
          <w:color w:val="auto"/>
          <w:spacing w:val="0"/>
          <w:w w:val="100"/>
          <w:kern w:val="2"/>
          <w:position w:val="0"/>
          <w:sz w:val="24"/>
          <w:szCs w:val="24"/>
          <w:highlight w:val="none"/>
          <w:lang w:val="en-US" w:eastAsia="zh-CN" w:bidi="ar-SA"/>
        </w:rPr>
        <w:t>34.合同公示</w:t>
      </w:r>
    </w:p>
    <w:p w14:paraId="4E404D70">
      <w:pPr>
        <w:spacing w:line="360" w:lineRule="auto"/>
        <w:ind w:firstLine="480" w:firstLineChars="200"/>
        <w:rPr>
          <w:rFonts w:hint="eastAsia" w:ascii="宋体" w:hAnsi="宋体" w:eastAsia="宋体" w:cs="宋体"/>
          <w:color w:val="auto"/>
          <w:sz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29E0BCD2">
      <w:pPr>
        <w:rPr>
          <w:rFonts w:hint="eastAsia" w:ascii="宋体" w:hAnsi="宋体" w:eastAsia="宋体" w:cs="宋体"/>
          <w:color w:val="auto"/>
          <w:highlight w:val="none"/>
        </w:rPr>
      </w:pPr>
      <w:bookmarkStart w:id="54" w:name="EB65972bcfd405439a8ed92726140c4e40"/>
      <w:r>
        <w:rPr>
          <w:rFonts w:hint="eastAsia" w:ascii="宋体" w:hAnsi="宋体" w:eastAsia="宋体" w:cs="宋体"/>
          <w:color w:val="auto"/>
          <w:sz w:val="20"/>
          <w:highlight w:val="none"/>
        </w:rPr>
        <w:t xml:space="preserve"> </w:t>
      </w:r>
      <w:bookmarkEnd w:id="54"/>
      <w:bookmarkStart w:id="55" w:name="EB6c0abc09bb1f4a6bbedf613e9381b7f4"/>
      <w:r>
        <w:rPr>
          <w:rFonts w:hint="eastAsia" w:ascii="宋体" w:hAnsi="宋体" w:eastAsia="宋体" w:cs="宋体"/>
          <w:color w:val="auto"/>
          <w:sz w:val="20"/>
          <w:highlight w:val="none"/>
        </w:rPr>
        <w:t xml:space="preserve"> </w:t>
      </w:r>
      <w:bookmarkEnd w:id="55"/>
      <w:bookmarkStart w:id="56" w:name="EB26d94f6935064ca08c11486392c4dde2"/>
      <w:r>
        <w:rPr>
          <w:rFonts w:hint="eastAsia" w:ascii="宋体" w:hAnsi="宋体" w:eastAsia="宋体" w:cs="宋体"/>
          <w:color w:val="auto"/>
          <w:sz w:val="20"/>
          <w:highlight w:val="none"/>
        </w:rPr>
        <w:t xml:space="preserve"> </w:t>
      </w:r>
      <w:bookmarkEnd w:id="56"/>
    </w:p>
    <w:p w14:paraId="1683768B">
      <w:pPr>
        <w:pStyle w:val="4"/>
        <w:numPr>
          <w:ilvl w:val="0"/>
          <w:numId w:val="0"/>
        </w:numPr>
        <w:spacing w:before="0" w:after="0" w:line="360" w:lineRule="auto"/>
        <w:jc w:val="both"/>
        <w:rPr>
          <w:rFonts w:hint="eastAsia" w:ascii="宋体" w:hAnsi="宋体" w:eastAsia="宋体" w:cs="宋体"/>
          <w:color w:val="auto"/>
          <w:sz w:val="24"/>
          <w:highlight w:val="none"/>
        </w:rPr>
      </w:pPr>
      <w:bookmarkStart w:id="57" w:name="_Toc8005"/>
      <w:bookmarkStart w:id="58" w:name="_Toc256000014"/>
      <w:r>
        <w:rPr>
          <w:rFonts w:hint="eastAsia" w:ascii="宋体" w:hAnsi="宋体" w:eastAsia="宋体" w:cs="宋体"/>
          <w:color w:val="auto"/>
          <w:sz w:val="24"/>
          <w:highlight w:val="none"/>
        </w:rPr>
        <w:t>十一、处罚、询问和质疑</w:t>
      </w:r>
      <w:bookmarkEnd w:id="57"/>
      <w:bookmarkEnd w:id="58"/>
      <w:r>
        <w:rPr>
          <w:rFonts w:hint="eastAsia" w:ascii="宋体" w:hAnsi="宋体" w:eastAsia="宋体" w:cs="宋体"/>
          <w:color w:val="auto"/>
          <w:sz w:val="24"/>
          <w:highlight w:val="none"/>
        </w:rPr>
        <w:t xml:space="preserve"> </w:t>
      </w:r>
    </w:p>
    <w:p w14:paraId="5374D0F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35.处罚</w:t>
      </w:r>
    </w:p>
    <w:p w14:paraId="08A9D9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 发生下列情况之一，</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的保证金不予退还；情节严重的将其列入不良记录名单。</w:t>
      </w:r>
    </w:p>
    <w:p w14:paraId="4A566D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1）开标后在投标有效期内，</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撤回其投标；</w:t>
      </w:r>
    </w:p>
    <w:p w14:paraId="0019EF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2）中标后无正当理由不与采购人签订合同的；</w:t>
      </w:r>
    </w:p>
    <w:p w14:paraId="1C360B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3）中标人与采购人订立背离合同实质性内容的其他协议；</w:t>
      </w:r>
    </w:p>
    <w:p w14:paraId="6E21CA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4）将中标项目转让给他人，或者在投标文件中未说明，且未经采购代理机构同意，将中标项目分包给他人的；</w:t>
      </w:r>
    </w:p>
    <w:p w14:paraId="0DF2D5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5）存在串通投标行为的；</w:t>
      </w:r>
    </w:p>
    <w:p w14:paraId="1E0C50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6）存在弄虚作假或提供虚假材料谋取中标的；</w:t>
      </w:r>
    </w:p>
    <w:p w14:paraId="685431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其他未按招标文件规定和合同约定履行义务的行为。</w:t>
      </w:r>
    </w:p>
    <w:p w14:paraId="3F94751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36.询问</w:t>
      </w:r>
    </w:p>
    <w:p w14:paraId="5BB23C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36.1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对采购事项有疑问的，可以向采购人或采购代理机构提出询问。</w:t>
      </w:r>
    </w:p>
    <w:p w14:paraId="5895413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37.</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有权就招标事宜提出质疑</w:t>
      </w:r>
    </w:p>
    <w:p w14:paraId="22FC59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37.1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认为招标文件、采购过程和中标结果使自已的权益受到损害的，可以在知道或者应知其权益受到损害之日起7个工作日内，以书面形式提出质疑。</w:t>
      </w:r>
    </w:p>
    <w:p w14:paraId="310D6E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37.2 质疑应当按照《中华人民共和国政府采购法》、《中华人民共和国政府采购法实施条例》、《政府采购供应商投诉处理办法》等法律法规的相关规定，以书面形式向采购代理机构提出。</w:t>
      </w:r>
    </w:p>
    <w:p w14:paraId="65E737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6405F4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37.4 质疑人可以采取直接送达或者邮寄方式提交质疑书。采购代理机构收到质疑书后，对质疑书进行审查，对符合质疑条件的将办理签收手续，自签收质疑书之日起即为受理。</w:t>
      </w:r>
    </w:p>
    <w:p w14:paraId="0350D6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37.5 采购代理机构将在受理书面质疑后7个工作日内审查质疑事项，作出答复或相关处理决定，并以书面形式通知质疑人和其他相关供应商，但答复的内容不涉及商业秘密。</w:t>
      </w:r>
    </w:p>
    <w:p w14:paraId="3359F0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37.6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进行虚假和恶意质疑的，采购代理机构将提请有关部门将其列入不良记录名单，在一至三年内禁止参加政府采购活动，并将处理决定在相关政府采购媒体上公布。</w:t>
      </w:r>
    </w:p>
    <w:p w14:paraId="6F4CC1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37.7 质疑人对答复不满意以及采购代理机构未在规定的时间内作出答复的，可以在答复期满后15个工作日内向财政部门投拆。</w:t>
      </w:r>
    </w:p>
    <w:p w14:paraId="29CC6E50">
      <w:pPr>
        <w:rPr>
          <w:rFonts w:hint="eastAsia" w:ascii="宋体" w:hAnsi="宋体" w:eastAsia="宋体" w:cs="宋体"/>
          <w:color w:val="auto"/>
          <w:highlight w:val="none"/>
        </w:rPr>
      </w:pPr>
      <w:bookmarkStart w:id="59" w:name="EB39c71293e74d40469078ba26d6416c98"/>
      <w:r>
        <w:rPr>
          <w:rFonts w:hint="eastAsia" w:ascii="宋体" w:hAnsi="宋体" w:eastAsia="宋体" w:cs="宋体"/>
          <w:color w:val="auto"/>
          <w:sz w:val="20"/>
          <w:highlight w:val="none"/>
        </w:rPr>
        <w:t xml:space="preserve"> </w:t>
      </w:r>
      <w:bookmarkEnd w:id="59"/>
      <w:bookmarkStart w:id="60" w:name="EB271efed5eb2c4571a51ef86245b10499"/>
      <w:r>
        <w:rPr>
          <w:rFonts w:hint="eastAsia" w:ascii="宋体" w:hAnsi="宋体" w:eastAsia="宋体" w:cs="宋体"/>
          <w:color w:val="auto"/>
          <w:sz w:val="20"/>
          <w:highlight w:val="none"/>
        </w:rPr>
        <w:t xml:space="preserve"> </w:t>
      </w:r>
      <w:bookmarkEnd w:id="60"/>
      <w:bookmarkStart w:id="61" w:name="EB1019d0c475354d278c10922fbe210b36"/>
      <w:r>
        <w:rPr>
          <w:rFonts w:hint="eastAsia" w:ascii="宋体" w:hAnsi="宋体" w:eastAsia="宋体" w:cs="宋体"/>
          <w:color w:val="auto"/>
          <w:sz w:val="20"/>
          <w:highlight w:val="none"/>
        </w:rPr>
        <w:t xml:space="preserve"> </w:t>
      </w:r>
      <w:bookmarkEnd w:id="61"/>
    </w:p>
    <w:p w14:paraId="3A90C395">
      <w:pPr>
        <w:pStyle w:val="4"/>
        <w:numPr>
          <w:ilvl w:val="0"/>
          <w:numId w:val="0"/>
        </w:numPr>
        <w:spacing w:before="0" w:after="0" w:line="360" w:lineRule="auto"/>
        <w:jc w:val="both"/>
        <w:rPr>
          <w:rFonts w:hint="eastAsia" w:ascii="宋体" w:hAnsi="宋体" w:eastAsia="宋体" w:cs="宋体"/>
          <w:color w:val="auto"/>
          <w:sz w:val="24"/>
          <w:highlight w:val="none"/>
        </w:rPr>
      </w:pPr>
      <w:bookmarkStart w:id="62" w:name="_Toc11666"/>
      <w:bookmarkStart w:id="63" w:name="_Toc256000015"/>
      <w:r>
        <w:rPr>
          <w:rFonts w:hint="eastAsia" w:ascii="宋体" w:hAnsi="宋体" w:eastAsia="宋体" w:cs="宋体"/>
          <w:color w:val="auto"/>
          <w:sz w:val="24"/>
          <w:highlight w:val="none"/>
        </w:rPr>
        <w:t>十二、保密和披露</w:t>
      </w:r>
      <w:bookmarkEnd w:id="62"/>
      <w:bookmarkEnd w:id="63"/>
    </w:p>
    <w:p w14:paraId="7151FD6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38.保密和披露</w:t>
      </w:r>
    </w:p>
    <w:p w14:paraId="42787A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38.1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自领取招标文件之日起，须承担本招标项目保密义务，不得将因本次招标获得的信息向第三人外传。由采购人向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提供的图纸、详细资料、样品、模型、模件和所有其它资料，被视为保密资料，仅被用于它所规定的用途。除非得到采购人的同意，不能向任何第三方透露。开标结束后，应采购人要求，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应归还所有从采购人处获得的保密资料。</w:t>
      </w:r>
    </w:p>
    <w:p w14:paraId="34A486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38.2 采购代理机构有权将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提供的所有资料向有关政府部门或评审标书的有关人员披露。</w:t>
      </w:r>
    </w:p>
    <w:p w14:paraId="06B5CC9B">
      <w:pPr>
        <w:spacing w:line="360" w:lineRule="auto"/>
        <w:ind w:firstLine="480" w:firstLineChars="200"/>
        <w:rPr>
          <w:rFonts w:hint="eastAsia" w:ascii="宋体" w:hAnsi="宋体" w:eastAsia="宋体" w:cs="宋体"/>
          <w:color w:val="auto"/>
          <w:sz w:val="24"/>
          <w:highlight w:val="none"/>
        </w:rPr>
        <w:sectPr>
          <w:headerReference r:id="rId4" w:type="default"/>
          <w:footerReference r:id="rId5" w:type="default"/>
          <w:pgSz w:w="11907" w:h="16840"/>
          <w:pgMar w:top="1474" w:right="1814" w:bottom="1474" w:left="1814" w:header="851" w:footer="851" w:gutter="0"/>
          <w:cols w:space="720" w:num="1"/>
          <w:docGrid w:linePitch="462" w:charSpace="0"/>
        </w:sectPr>
      </w:pPr>
      <w:r>
        <w:rPr>
          <w:rFonts w:hint="eastAsia" w:ascii="宋体" w:hAnsi="宋体" w:eastAsia="宋体" w:cs="宋体"/>
          <w:color w:val="auto"/>
          <w:sz w:val="24"/>
          <w:highlight w:val="none"/>
        </w:rPr>
        <w:t>38.3 在采购代理机构认为适当时、国家机关调查、审查、审计时以及其他符合法律规定的情形下，采购代理机构无须事先征求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同意而可以披露关于采购过程、合同文本、签署情况的资料、</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的名称及地址、投标文件的有关信息以及补充条款等，但应当在合理的必要范围内。对任何已经公布过的内容或与之内容相同的资料，以及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已经泄露或公开的，无须再承担保密责任。</w:t>
      </w:r>
    </w:p>
    <w:p w14:paraId="252E5F15">
      <w:pPr>
        <w:bidi w:val="0"/>
        <w:rPr>
          <w:rFonts w:hint="eastAsia" w:ascii="宋体" w:hAnsi="宋体" w:eastAsia="宋体" w:cs="宋体"/>
          <w:color w:val="auto"/>
          <w:highlight w:val="none"/>
          <w:lang w:val="en-US" w:eastAsia="zh-CN"/>
        </w:rPr>
      </w:pPr>
      <w:bookmarkStart w:id="64" w:name="_Toc480368413"/>
      <w:bookmarkStart w:id="65" w:name="_Toc3569"/>
    </w:p>
    <w:p w14:paraId="7A9CC0A6">
      <w:pPr>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lang w:val="en-US" w:eastAsia="zh-CN"/>
        </w:rPr>
        <w:t xml:space="preserve">第三部分   </w:t>
      </w:r>
      <w:bookmarkEnd w:id="64"/>
      <w:r>
        <w:rPr>
          <w:rFonts w:hint="eastAsia" w:ascii="宋体" w:hAnsi="宋体" w:eastAsia="宋体" w:cs="宋体"/>
          <w:b/>
          <w:color w:val="auto"/>
          <w:sz w:val="32"/>
          <w:szCs w:val="32"/>
          <w:highlight w:val="none"/>
          <w:lang w:val="en-US" w:eastAsia="zh-CN"/>
        </w:rPr>
        <w:t>采购需求</w:t>
      </w:r>
      <w:bookmarkEnd w:id="65"/>
    </w:p>
    <w:p w14:paraId="241D0937">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rPr>
        <w:t>一、</w:t>
      </w:r>
      <w:r>
        <w:rPr>
          <w:rFonts w:hint="eastAsia" w:ascii="宋体" w:hAnsi="宋体" w:eastAsia="宋体" w:cs="宋体"/>
          <w:b/>
          <w:bCs/>
          <w:color w:val="auto"/>
          <w:spacing w:val="-11"/>
          <w:sz w:val="24"/>
          <w:szCs w:val="24"/>
          <w:highlight w:val="none"/>
          <w:lang w:val="en-US" w:eastAsia="zh-CN"/>
        </w:rPr>
        <w:t>功能</w:t>
      </w:r>
      <w:r>
        <w:rPr>
          <w:rFonts w:hint="eastAsia" w:ascii="宋体" w:hAnsi="宋体" w:eastAsia="宋体" w:cs="宋体"/>
          <w:b/>
          <w:bCs/>
          <w:color w:val="auto"/>
          <w:spacing w:val="-11"/>
          <w:sz w:val="24"/>
          <w:szCs w:val="24"/>
          <w:highlight w:val="none"/>
        </w:rPr>
        <w:t>清单</w:t>
      </w:r>
    </w:p>
    <w:p w14:paraId="7FE25E34">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p>
    <w:tbl>
      <w:tblPr>
        <w:tblStyle w:val="38"/>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96"/>
        <w:gridCol w:w="1559"/>
        <w:gridCol w:w="10773"/>
      </w:tblGrid>
      <w:tr w14:paraId="2C68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shd w:val="clear" w:color="auto" w:fill="C6D9F1"/>
            <w:vAlign w:val="center"/>
          </w:tcPr>
          <w:p w14:paraId="07A9A2E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196" w:type="dxa"/>
            <w:shd w:val="clear" w:color="auto" w:fill="C6D9F1"/>
            <w:vAlign w:val="center"/>
          </w:tcPr>
          <w:p w14:paraId="5115CA8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模块分类</w:t>
            </w:r>
          </w:p>
        </w:tc>
        <w:tc>
          <w:tcPr>
            <w:tcW w:w="1559" w:type="dxa"/>
            <w:shd w:val="clear" w:color="auto" w:fill="C6D9F1"/>
            <w:vAlign w:val="center"/>
          </w:tcPr>
          <w:p w14:paraId="6A6E0E3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rPr>
              <w:t>模块功能</w:t>
            </w:r>
          </w:p>
        </w:tc>
        <w:tc>
          <w:tcPr>
            <w:tcW w:w="10773" w:type="dxa"/>
            <w:shd w:val="clear" w:color="auto" w:fill="C6D9F1"/>
          </w:tcPr>
          <w:p w14:paraId="60DB0F5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平台功能</w:t>
            </w:r>
          </w:p>
        </w:tc>
      </w:tr>
      <w:tr w14:paraId="0032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79C3258E">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restart"/>
            <w:vAlign w:val="center"/>
          </w:tcPr>
          <w:p w14:paraId="42C6A69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办公管理（事务审批）</w:t>
            </w:r>
          </w:p>
        </w:tc>
        <w:tc>
          <w:tcPr>
            <w:tcW w:w="1559" w:type="dxa"/>
            <w:vMerge w:val="restart"/>
            <w:vAlign w:val="center"/>
          </w:tcPr>
          <w:p w14:paraId="3AB7916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流程办理</w:t>
            </w:r>
          </w:p>
        </w:tc>
        <w:tc>
          <w:tcPr>
            <w:tcW w:w="10773" w:type="dxa"/>
          </w:tcPr>
          <w:p w14:paraId="0AB39EE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办公管理总体功能要求描述：</w:t>
            </w:r>
            <w:r>
              <w:rPr>
                <w:rFonts w:hint="eastAsia" w:ascii="宋体" w:hAnsi="宋体" w:eastAsia="宋体" w:cs="宋体"/>
                <w:color w:val="auto"/>
                <w:kern w:val="0"/>
                <w:sz w:val="24"/>
                <w:szCs w:val="24"/>
                <w:highlight w:val="none"/>
              </w:rPr>
              <w:t>工会所有行政办公、事务审批业务审批流转的电子流程化管理，各项事务审批</w:t>
            </w:r>
            <w:r>
              <w:rPr>
                <w:rFonts w:hint="eastAsia" w:ascii="宋体" w:hAnsi="宋体" w:eastAsia="宋体" w:cs="宋体"/>
                <w:color w:val="auto"/>
                <w:kern w:val="0"/>
                <w:sz w:val="24"/>
                <w:szCs w:val="24"/>
                <w:highlight w:val="none"/>
                <w:lang w:eastAsia="zh-CN"/>
              </w:rPr>
              <w:t>日志留存</w:t>
            </w:r>
            <w:r>
              <w:rPr>
                <w:rFonts w:hint="eastAsia" w:ascii="宋体" w:hAnsi="宋体" w:eastAsia="宋体" w:cs="宋体"/>
                <w:color w:val="auto"/>
                <w:kern w:val="0"/>
                <w:sz w:val="24"/>
                <w:szCs w:val="24"/>
                <w:highlight w:val="none"/>
              </w:rPr>
              <w:t>。要求要能根据单位组织架构部门和人员的调整灵活的调整和修改审批流转。办公事务审批流程功能要包括：发起审批、待办事宜、知会事宜、已办事宜、办结事宜、流程跟踪、流程分类代理、流程转发、流程监控、流程报表台账生成、流程效率分析、审批事项查询灵活方便、要提供审批流程提醒功能。</w:t>
            </w:r>
          </w:p>
          <w:p w14:paraId="4587BA8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待办任务：</w:t>
            </w:r>
            <w:r>
              <w:rPr>
                <w:rFonts w:hint="eastAsia" w:ascii="宋体" w:hAnsi="宋体" w:eastAsia="宋体" w:cs="宋体"/>
                <w:color w:val="auto"/>
                <w:kern w:val="0"/>
                <w:sz w:val="24"/>
                <w:szCs w:val="24"/>
                <w:highlight w:val="none"/>
              </w:rPr>
              <w:t>处理待审批的流程，批量通过审批；</w:t>
            </w:r>
          </w:p>
          <w:p w14:paraId="6A8CA04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未读待办任务流程标题加粗</w:t>
            </w:r>
            <w:r>
              <w:rPr>
                <w:rFonts w:hint="eastAsia" w:ascii="宋体" w:hAnsi="宋体" w:eastAsia="宋体" w:cs="宋体"/>
                <w:color w:val="auto"/>
                <w:kern w:val="0"/>
                <w:sz w:val="24"/>
                <w:szCs w:val="24"/>
                <w:highlight w:val="none"/>
                <w:lang w:eastAsia="zh-CN"/>
              </w:rPr>
              <w:t>提醒</w:t>
            </w:r>
            <w:r>
              <w:rPr>
                <w:rFonts w:hint="eastAsia" w:ascii="宋体" w:hAnsi="宋体" w:eastAsia="宋体" w:cs="宋体"/>
                <w:color w:val="auto"/>
                <w:kern w:val="0"/>
                <w:sz w:val="24"/>
                <w:szCs w:val="24"/>
                <w:highlight w:val="none"/>
              </w:rPr>
              <w:t>显示</w:t>
            </w:r>
            <w:r>
              <w:rPr>
                <w:rFonts w:hint="eastAsia" w:ascii="宋体" w:hAnsi="宋体" w:eastAsia="宋体" w:cs="宋体"/>
                <w:color w:val="auto"/>
                <w:kern w:val="0"/>
                <w:sz w:val="24"/>
                <w:szCs w:val="24"/>
                <w:highlight w:val="none"/>
                <w:lang w:eastAsia="zh-CN"/>
              </w:rPr>
              <w:t>，可定期通过邮件方式或短信提醒方式通知文件、通知等的接收账户，防止遗漏通知等</w:t>
            </w:r>
            <w:r>
              <w:rPr>
                <w:rFonts w:hint="eastAsia" w:ascii="宋体" w:hAnsi="宋体" w:eastAsia="宋体" w:cs="宋体"/>
                <w:color w:val="auto"/>
                <w:kern w:val="0"/>
                <w:sz w:val="24"/>
                <w:szCs w:val="24"/>
                <w:highlight w:val="none"/>
              </w:rPr>
              <w:t>；</w:t>
            </w:r>
          </w:p>
          <w:p w14:paraId="0E4F118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对不紧急或不具备办理条件的任务进行暂不办理处理，</w:t>
            </w:r>
            <w:r>
              <w:rPr>
                <w:rFonts w:hint="eastAsia" w:ascii="宋体" w:hAnsi="宋体" w:eastAsia="宋体" w:cs="宋体"/>
                <w:color w:val="auto"/>
                <w:spacing w:val="-6"/>
                <w:kern w:val="0"/>
                <w:sz w:val="24"/>
                <w:szCs w:val="24"/>
                <w:highlight w:val="none"/>
                <w:lang w:eastAsia="zh-CN"/>
              </w:rPr>
              <w:t>定期通过邮件提醒是否</w:t>
            </w:r>
            <w:r>
              <w:rPr>
                <w:rFonts w:hint="eastAsia" w:ascii="宋体" w:hAnsi="宋体" w:eastAsia="宋体" w:cs="宋体"/>
                <w:color w:val="auto"/>
                <w:spacing w:val="-6"/>
                <w:kern w:val="0"/>
                <w:sz w:val="24"/>
                <w:szCs w:val="24"/>
                <w:highlight w:val="none"/>
              </w:rPr>
              <w:t>恢复办理</w:t>
            </w:r>
            <w:r>
              <w:rPr>
                <w:rFonts w:hint="eastAsia" w:ascii="宋体" w:hAnsi="宋体" w:eastAsia="宋体" w:cs="宋体"/>
                <w:color w:val="auto"/>
                <w:spacing w:val="-6"/>
                <w:kern w:val="0"/>
                <w:sz w:val="24"/>
                <w:szCs w:val="24"/>
                <w:highlight w:val="none"/>
                <w:lang w:eastAsia="zh-CN"/>
              </w:rPr>
              <w:t>，同时通过短信提醒再次提醒</w:t>
            </w:r>
            <w:r>
              <w:rPr>
                <w:rFonts w:hint="eastAsia" w:ascii="宋体" w:hAnsi="宋体" w:eastAsia="宋体" w:cs="宋体"/>
                <w:color w:val="auto"/>
                <w:spacing w:val="-6"/>
                <w:kern w:val="0"/>
                <w:sz w:val="24"/>
                <w:szCs w:val="24"/>
                <w:highlight w:val="none"/>
              </w:rPr>
              <w:t>；</w:t>
            </w:r>
          </w:p>
          <w:p w14:paraId="066859E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可配置退回、关联流程、转交、加签、跳转、作废、结束、打印、打印记录、阅件、转发、下载、邮件转发、部门办理等流程操作按钮；</w:t>
            </w:r>
          </w:p>
          <w:p w14:paraId="4232768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打印表单草稿批示意见打印；</w:t>
            </w:r>
          </w:p>
          <w:p w14:paraId="4F70A86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关注流程的活动环节和审批人，活动办理完成或审批人办理后推送提醒给用户；</w:t>
            </w:r>
          </w:p>
          <w:p w14:paraId="0323359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按照任务类型（转交、退回）查询；</w:t>
            </w:r>
          </w:p>
          <w:p w14:paraId="65FDFFE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按照流程名称进行查询（也可通过中间流程树）；</w:t>
            </w:r>
          </w:p>
          <w:p w14:paraId="03A25FE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按流程类型（分类）查看待办任务，待办数量显示；</w:t>
            </w:r>
          </w:p>
          <w:p w14:paraId="6C531DF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待办任务列表流程标题高级检索；</w:t>
            </w:r>
          </w:p>
        </w:tc>
      </w:tr>
      <w:tr w14:paraId="19D1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3E4D37F">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B87506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0196B82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52A59EC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待阅任务：</w:t>
            </w:r>
            <w:r>
              <w:rPr>
                <w:rFonts w:hint="eastAsia" w:ascii="宋体" w:hAnsi="宋体" w:eastAsia="宋体" w:cs="宋体"/>
                <w:color w:val="auto"/>
                <w:kern w:val="0"/>
                <w:sz w:val="24"/>
                <w:szCs w:val="24"/>
                <w:highlight w:val="none"/>
              </w:rPr>
              <w:t>处理待查阅的流程，批量阅件；</w:t>
            </w:r>
          </w:p>
          <w:p w14:paraId="099BB4D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未读待阅任务流程标题加粗显示；下载、转发、阅件、打印、打印记录、已阅等操作；</w:t>
            </w:r>
          </w:p>
          <w:p w14:paraId="1BCC07C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关注流程的活动环节和审批人，活动办理完成或审批人办理后推送提醒给用户；</w:t>
            </w:r>
          </w:p>
          <w:p w14:paraId="79868A7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按流程类型（分类）查看待阅任务，待阅数量显示；</w:t>
            </w:r>
          </w:p>
        </w:tc>
      </w:tr>
      <w:tr w14:paraId="450B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84D6D21">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7B4BB1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03F6394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7DE2F95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已办任务：</w:t>
            </w:r>
            <w:r>
              <w:rPr>
                <w:rFonts w:hint="eastAsia" w:ascii="宋体" w:hAnsi="宋体" w:eastAsia="宋体" w:cs="宋体"/>
                <w:color w:val="auto"/>
                <w:kern w:val="0"/>
                <w:sz w:val="24"/>
                <w:szCs w:val="24"/>
                <w:highlight w:val="none"/>
              </w:rPr>
              <w:t>查询已经办理的审批流程，导出列表数据；</w:t>
            </w:r>
          </w:p>
          <w:p w14:paraId="1B6FD9E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可配置撤回、收回、反馈、补签、撤签等流程操作按钮；</w:t>
            </w:r>
          </w:p>
          <w:p w14:paraId="178F8AB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关注流程的活动环节和审批人，活动办理完成或审批人办理后推送提醒给用户；</w:t>
            </w:r>
          </w:p>
          <w:p w14:paraId="3F63552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按流程类型（分类）查看已办任务，已办数量显示；</w:t>
            </w:r>
          </w:p>
        </w:tc>
      </w:tr>
      <w:tr w14:paraId="29D5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44C6B54">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D58482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2BBFEEC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70167BE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已阅任务：</w:t>
            </w:r>
            <w:r>
              <w:rPr>
                <w:rFonts w:hint="eastAsia" w:ascii="宋体" w:hAnsi="宋体" w:eastAsia="宋体" w:cs="宋体"/>
                <w:color w:val="auto"/>
                <w:kern w:val="0"/>
                <w:sz w:val="24"/>
                <w:szCs w:val="24"/>
                <w:highlight w:val="none"/>
              </w:rPr>
              <w:t>查询已经阅件的审批流程；</w:t>
            </w:r>
          </w:p>
          <w:p w14:paraId="53E1FFD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下载、转发、阅件、打印、打印记录等流程操作</w:t>
            </w:r>
            <w:r>
              <w:rPr>
                <w:rFonts w:hint="eastAsia" w:ascii="宋体" w:hAnsi="宋体" w:eastAsia="宋体" w:cs="宋体"/>
                <w:color w:val="auto"/>
                <w:kern w:val="0"/>
                <w:sz w:val="24"/>
                <w:szCs w:val="24"/>
                <w:highlight w:val="none"/>
                <w:lang w:eastAsia="zh-CN"/>
              </w:rPr>
              <w:t>及日志留存</w:t>
            </w:r>
            <w:r>
              <w:rPr>
                <w:rFonts w:hint="eastAsia" w:ascii="宋体" w:hAnsi="宋体" w:eastAsia="宋体" w:cs="宋体"/>
                <w:color w:val="auto"/>
                <w:kern w:val="0"/>
                <w:sz w:val="24"/>
                <w:szCs w:val="24"/>
                <w:highlight w:val="none"/>
              </w:rPr>
              <w:t>；</w:t>
            </w:r>
          </w:p>
          <w:p w14:paraId="3FE7920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按流程类型（分类）查看已阅任务，已阅数量显示；</w:t>
            </w:r>
          </w:p>
        </w:tc>
      </w:tr>
      <w:tr w14:paraId="6EC2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2CAECCF">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3507AE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10FEF0C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7478008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我的流程：</w:t>
            </w:r>
            <w:r>
              <w:rPr>
                <w:rFonts w:hint="eastAsia" w:ascii="宋体" w:hAnsi="宋体" w:eastAsia="宋体" w:cs="宋体"/>
                <w:color w:val="auto"/>
                <w:kern w:val="0"/>
                <w:sz w:val="24"/>
                <w:szCs w:val="24"/>
                <w:highlight w:val="none"/>
              </w:rPr>
              <w:t>查询所有发起的审批流程，导出列表数据；</w:t>
            </w:r>
          </w:p>
          <w:p w14:paraId="702FCB9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流程催办、撤回、再次发送等操作；</w:t>
            </w:r>
          </w:p>
          <w:p w14:paraId="2EB596A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关注流程的活动环节和审批人，活动办理完成或审批人办理后推送提醒给用户；</w:t>
            </w:r>
          </w:p>
          <w:p w14:paraId="2C88999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按流程类型（分类）查看待办文件，流程数量显示；</w:t>
            </w:r>
          </w:p>
        </w:tc>
      </w:tr>
      <w:tr w14:paraId="36A4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8061E57">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7D3747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0793EDC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2D327B8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我的关注：</w:t>
            </w:r>
            <w:r>
              <w:rPr>
                <w:rFonts w:hint="eastAsia" w:ascii="宋体" w:hAnsi="宋体" w:eastAsia="宋体" w:cs="宋体"/>
                <w:color w:val="auto"/>
                <w:kern w:val="0"/>
                <w:sz w:val="24"/>
                <w:szCs w:val="24"/>
                <w:highlight w:val="none"/>
              </w:rPr>
              <w:t>查看我已经关注的流程，修改关注活动、审批人；</w:t>
            </w:r>
          </w:p>
        </w:tc>
      </w:tr>
      <w:tr w14:paraId="39E0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1A54E05">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922485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73AFC9F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08EBE1F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eastAsia="zh-Hans"/>
              </w:rPr>
              <w:t>我的退回：</w:t>
            </w:r>
            <w:r>
              <w:rPr>
                <w:rFonts w:hint="eastAsia" w:ascii="宋体" w:hAnsi="宋体" w:eastAsia="宋体" w:cs="宋体"/>
                <w:color w:val="auto"/>
                <w:kern w:val="0"/>
                <w:sz w:val="24"/>
                <w:szCs w:val="24"/>
                <w:highlight w:val="none"/>
                <w:lang w:eastAsia="zh-Hans"/>
              </w:rPr>
              <w:t>查看</w:t>
            </w:r>
            <w:r>
              <w:rPr>
                <w:rFonts w:hint="eastAsia" w:ascii="宋体" w:hAnsi="宋体" w:eastAsia="宋体" w:cs="宋体"/>
                <w:color w:val="auto"/>
                <w:kern w:val="0"/>
                <w:sz w:val="24"/>
                <w:szCs w:val="24"/>
                <w:highlight w:val="none"/>
                <w:lang w:eastAsia="zh-CN"/>
              </w:rPr>
              <w:t>其他人</w:t>
            </w:r>
            <w:r>
              <w:rPr>
                <w:rFonts w:hint="eastAsia" w:ascii="宋体" w:hAnsi="宋体" w:eastAsia="宋体" w:cs="宋体"/>
                <w:color w:val="auto"/>
                <w:kern w:val="0"/>
                <w:sz w:val="24"/>
                <w:szCs w:val="24"/>
                <w:highlight w:val="none"/>
                <w:lang w:eastAsia="zh-Hans"/>
              </w:rPr>
              <w:t>退回给</w:t>
            </w:r>
            <w:r>
              <w:rPr>
                <w:rFonts w:hint="eastAsia" w:ascii="宋体" w:hAnsi="宋体" w:eastAsia="宋体" w:cs="宋体"/>
                <w:color w:val="auto"/>
                <w:kern w:val="0"/>
                <w:sz w:val="24"/>
                <w:szCs w:val="24"/>
                <w:highlight w:val="none"/>
                <w:lang w:eastAsia="zh-CN"/>
              </w:rPr>
              <w:t>本人</w:t>
            </w:r>
            <w:r>
              <w:rPr>
                <w:rFonts w:hint="eastAsia" w:ascii="宋体" w:hAnsi="宋体" w:eastAsia="宋体" w:cs="宋体"/>
                <w:color w:val="auto"/>
                <w:kern w:val="0"/>
                <w:sz w:val="24"/>
                <w:szCs w:val="24"/>
                <w:highlight w:val="none"/>
                <w:lang w:eastAsia="zh-Hans"/>
              </w:rPr>
              <w:t>的流程详情和</w:t>
            </w:r>
            <w:r>
              <w:rPr>
                <w:rFonts w:hint="eastAsia" w:ascii="宋体" w:hAnsi="宋体" w:eastAsia="宋体" w:cs="宋体"/>
                <w:color w:val="auto"/>
                <w:kern w:val="0"/>
                <w:sz w:val="24"/>
                <w:szCs w:val="24"/>
                <w:highlight w:val="none"/>
                <w:lang w:eastAsia="zh-CN"/>
              </w:rPr>
              <w:t>本人</w:t>
            </w:r>
            <w:r>
              <w:rPr>
                <w:rFonts w:hint="eastAsia" w:ascii="宋体" w:hAnsi="宋体" w:eastAsia="宋体" w:cs="宋体"/>
                <w:color w:val="auto"/>
                <w:kern w:val="0"/>
                <w:sz w:val="24"/>
                <w:szCs w:val="24"/>
                <w:highlight w:val="none"/>
                <w:lang w:eastAsia="zh-Hans"/>
              </w:rPr>
              <w:t>退回给</w:t>
            </w:r>
            <w:r>
              <w:rPr>
                <w:rFonts w:hint="eastAsia" w:ascii="宋体" w:hAnsi="宋体" w:eastAsia="宋体" w:cs="宋体"/>
                <w:color w:val="auto"/>
                <w:kern w:val="0"/>
                <w:sz w:val="24"/>
                <w:szCs w:val="24"/>
                <w:highlight w:val="none"/>
                <w:lang w:eastAsia="zh-CN"/>
              </w:rPr>
              <w:t>其他人</w:t>
            </w:r>
            <w:r>
              <w:rPr>
                <w:rFonts w:hint="eastAsia" w:ascii="宋体" w:hAnsi="宋体" w:eastAsia="宋体" w:cs="宋体"/>
                <w:color w:val="auto"/>
                <w:kern w:val="0"/>
                <w:sz w:val="24"/>
                <w:szCs w:val="24"/>
                <w:highlight w:val="none"/>
                <w:lang w:eastAsia="zh-Hans"/>
              </w:rPr>
              <w:t>的流程数据；</w:t>
            </w:r>
          </w:p>
        </w:tc>
      </w:tr>
      <w:tr w14:paraId="4E44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5F01589">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6A39B1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51405C8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发起流程</w:t>
            </w:r>
          </w:p>
        </w:tc>
        <w:tc>
          <w:tcPr>
            <w:tcW w:w="10773" w:type="dxa"/>
          </w:tcPr>
          <w:p w14:paraId="180A39D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发起流程页面瀑布视图和列表视图切换，三列或四列显示；</w:t>
            </w:r>
          </w:p>
          <w:p w14:paraId="2F5AC71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TOP8分类显示：</w:t>
            </w:r>
            <w:r>
              <w:rPr>
                <w:rFonts w:hint="eastAsia" w:ascii="宋体" w:hAnsi="宋体" w:eastAsia="宋体" w:cs="宋体"/>
                <w:color w:val="auto"/>
                <w:kern w:val="0"/>
                <w:sz w:val="24"/>
                <w:szCs w:val="24"/>
                <w:highlight w:val="none"/>
              </w:rPr>
              <w:t>显示当前人发起次数最多的8个流程；</w:t>
            </w:r>
          </w:p>
          <w:p w14:paraId="39965F2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设置常用流程，将流程保存至草稿箱中；</w:t>
            </w:r>
          </w:p>
          <w:p w14:paraId="7244396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发起流程前设置阅读流程说明，总是弹出和首次弹出；</w:t>
            </w:r>
          </w:p>
          <w:p w14:paraId="3DD4308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3秒自动关闭和已阅关闭；</w:t>
            </w:r>
          </w:p>
          <w:p w14:paraId="785B5D4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支持</w:t>
            </w:r>
            <w:r>
              <w:rPr>
                <w:rFonts w:hint="eastAsia" w:ascii="宋体" w:hAnsi="宋体" w:eastAsia="宋体" w:cs="宋体"/>
                <w:color w:val="auto"/>
                <w:kern w:val="0"/>
                <w:sz w:val="24"/>
                <w:szCs w:val="24"/>
                <w:highlight w:val="none"/>
              </w:rPr>
              <w:t>显示和发起第三方系统流程；</w:t>
            </w:r>
          </w:p>
        </w:tc>
      </w:tr>
      <w:tr w14:paraId="70E1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B7FC756">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89AF87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72182A3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草稿箱</w:t>
            </w:r>
          </w:p>
        </w:tc>
        <w:tc>
          <w:tcPr>
            <w:tcW w:w="10773" w:type="dxa"/>
          </w:tcPr>
          <w:p w14:paraId="6B9469D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按流程查看暂存的申请流程，批量提交、批量删除；批量提交必填项的校验；</w:t>
            </w:r>
          </w:p>
        </w:tc>
      </w:tr>
      <w:tr w14:paraId="5B7D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76448F9">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27AB05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77C3AA0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下属待办</w:t>
            </w:r>
          </w:p>
        </w:tc>
        <w:tc>
          <w:tcPr>
            <w:tcW w:w="10773" w:type="dxa"/>
          </w:tcPr>
          <w:p w14:paraId="436DB7C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查看下属用户的待办流程，按下属姓名、流程标题查询；</w:t>
            </w:r>
          </w:p>
        </w:tc>
      </w:tr>
      <w:tr w14:paraId="38C2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1E3D7A0">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DECEE9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178AF7D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流程转交</w:t>
            </w:r>
          </w:p>
        </w:tc>
        <w:tc>
          <w:tcPr>
            <w:tcW w:w="10773" w:type="dxa"/>
          </w:tcPr>
          <w:p w14:paraId="44D235E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管理员权限，批量转交待办的流程；转交选择组织或个人；</w:t>
            </w:r>
          </w:p>
        </w:tc>
      </w:tr>
      <w:tr w14:paraId="1C18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F71E8F7">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DAE3E5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3980973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流程查询</w:t>
            </w:r>
          </w:p>
        </w:tc>
        <w:tc>
          <w:tcPr>
            <w:tcW w:w="10773" w:type="dxa"/>
          </w:tcPr>
          <w:p w14:paraId="04CB59A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开启打印标识，流程查询列表标题根据打印记录，显示已打印标识；</w:t>
            </w:r>
          </w:p>
          <w:p w14:paraId="66F07C1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查询所有流程记录，表单页面显示正常办结、取消、作废标识；</w:t>
            </w:r>
          </w:p>
          <w:p w14:paraId="68DEFFC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按流程分类、流程状态、发起人、流程标题、发起时间筛选流程记录；</w:t>
            </w:r>
          </w:p>
          <w:p w14:paraId="24B4364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 w:eastAsia="zh-CN"/>
              </w:rPr>
            </w:pPr>
            <w:r>
              <w:rPr>
                <w:rFonts w:hint="eastAsia" w:ascii="宋体" w:hAnsi="宋体" w:eastAsia="宋体" w:cs="宋体"/>
                <w:color w:val="auto"/>
                <w:kern w:val="0"/>
                <w:sz w:val="24"/>
                <w:szCs w:val="24"/>
                <w:highlight w:val="none"/>
                <w:lang w:eastAsia="zh-CN"/>
              </w:rPr>
              <w:t>分管领导、部门负责人、</w:t>
            </w:r>
            <w:r>
              <w:rPr>
                <w:rFonts w:hint="eastAsia" w:ascii="宋体" w:hAnsi="宋体" w:eastAsia="宋体" w:cs="宋体"/>
                <w:color w:val="auto"/>
                <w:kern w:val="0"/>
                <w:sz w:val="24"/>
                <w:szCs w:val="24"/>
                <w:highlight w:val="none"/>
              </w:rPr>
              <w:t>管理员权限，修改表单信息，修改批示意见内容；</w:t>
            </w:r>
          </w:p>
          <w:p w14:paraId="0C87C96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分管领导、部门负责人、</w:t>
            </w:r>
            <w:r>
              <w:rPr>
                <w:rFonts w:hint="eastAsia" w:ascii="宋体" w:hAnsi="宋体" w:eastAsia="宋体" w:cs="宋体"/>
                <w:color w:val="auto"/>
                <w:kern w:val="0"/>
                <w:sz w:val="24"/>
                <w:szCs w:val="24"/>
                <w:highlight w:val="none"/>
              </w:rPr>
              <w:t>管理员权限，干预流程走向，跳转、退回、作废、更新版本、结束、催办、转交等操作；</w:t>
            </w:r>
          </w:p>
          <w:p w14:paraId="093460C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分管领导、部门负责人、</w:t>
            </w:r>
            <w:r>
              <w:rPr>
                <w:rFonts w:hint="eastAsia" w:ascii="宋体" w:hAnsi="宋体" w:eastAsia="宋体" w:cs="宋体"/>
                <w:color w:val="auto"/>
                <w:kern w:val="0"/>
                <w:sz w:val="24"/>
                <w:szCs w:val="24"/>
                <w:highlight w:val="none"/>
              </w:rPr>
              <w:t>管理员权限，批量更新版本；对流程实例的发起人进行消息推送提醒；</w:t>
            </w:r>
          </w:p>
          <w:p w14:paraId="6EF905C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查看表单所有打印记录，包括打印人、打印时间、打印客户端IP等信息；</w:t>
            </w:r>
          </w:p>
        </w:tc>
      </w:tr>
      <w:tr w14:paraId="4269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7731EB1">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D8C720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23C97DF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批示查询</w:t>
            </w:r>
          </w:p>
        </w:tc>
        <w:tc>
          <w:tcPr>
            <w:tcW w:w="10773" w:type="dxa"/>
          </w:tcPr>
          <w:p w14:paraId="214BF36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分管领导、部门负责人、流程</w:t>
            </w:r>
            <w:r>
              <w:rPr>
                <w:rFonts w:hint="eastAsia" w:ascii="宋体" w:hAnsi="宋体" w:eastAsia="宋体" w:cs="宋体"/>
                <w:color w:val="auto"/>
                <w:kern w:val="0"/>
                <w:sz w:val="24"/>
                <w:szCs w:val="24"/>
                <w:highlight w:val="none"/>
              </w:rPr>
              <w:t>管理员（秘书或文书）可快速检索领导批示意见，导出权限范围内的领导批示意见；</w:t>
            </w:r>
          </w:p>
        </w:tc>
      </w:tr>
      <w:tr w14:paraId="1479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41D99E6">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19EA7B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2DB7B70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效率分析</w:t>
            </w:r>
          </w:p>
        </w:tc>
        <w:tc>
          <w:tcPr>
            <w:tcW w:w="10773" w:type="dxa"/>
          </w:tcPr>
          <w:p w14:paraId="5404A5A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流程流转统计、人员办理统计、部门办理统计、办理状态统计、人员超时统计、流程超时统计；</w:t>
            </w:r>
          </w:p>
        </w:tc>
      </w:tr>
      <w:tr w14:paraId="1E05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01FF8CD">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EECF2A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restart"/>
            <w:vAlign w:val="center"/>
          </w:tcPr>
          <w:p w14:paraId="3D24B87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流程设置</w:t>
            </w:r>
          </w:p>
        </w:tc>
        <w:tc>
          <w:tcPr>
            <w:tcW w:w="10773" w:type="dxa"/>
          </w:tcPr>
          <w:p w14:paraId="51AE2DD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流程分类：</w:t>
            </w:r>
            <w:r>
              <w:rPr>
                <w:rFonts w:hint="eastAsia" w:ascii="宋体" w:hAnsi="宋体" w:eastAsia="宋体" w:cs="宋体"/>
                <w:color w:val="auto"/>
                <w:kern w:val="0"/>
                <w:sz w:val="24"/>
                <w:szCs w:val="24"/>
                <w:highlight w:val="none"/>
              </w:rPr>
              <w:t>设置流程分类名称、编码，增、删、改、查操作；</w:t>
            </w:r>
          </w:p>
        </w:tc>
      </w:tr>
      <w:tr w14:paraId="1F73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7C7FBBA">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451E02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63C7BA3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5D32F0D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流程管理：</w:t>
            </w:r>
            <w:r>
              <w:rPr>
                <w:rFonts w:hint="eastAsia" w:ascii="宋体" w:hAnsi="宋体" w:eastAsia="宋体" w:cs="宋体"/>
                <w:color w:val="auto"/>
                <w:kern w:val="0"/>
                <w:sz w:val="24"/>
                <w:szCs w:val="24"/>
                <w:highlight w:val="none"/>
              </w:rPr>
              <w:t>对流程活动节点、流程审批人、流程图、流程表单进行自定义设计，可以对流程进行部署发布、修改、删除等操作；</w:t>
            </w:r>
          </w:p>
        </w:tc>
      </w:tr>
      <w:tr w14:paraId="047F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2B3D967">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ADCECE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76B93D1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423143C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流程设置查询：</w:t>
            </w:r>
            <w:r>
              <w:rPr>
                <w:rFonts w:hint="eastAsia" w:ascii="宋体" w:hAnsi="宋体" w:eastAsia="宋体" w:cs="宋体"/>
                <w:color w:val="auto"/>
                <w:kern w:val="0"/>
                <w:sz w:val="24"/>
                <w:szCs w:val="24"/>
                <w:highlight w:val="none"/>
              </w:rPr>
              <w:t>按流程名称、活动名称、参与者查询流程活动设置详情；</w:t>
            </w:r>
          </w:p>
        </w:tc>
      </w:tr>
      <w:tr w14:paraId="0E23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402EE17">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AE65DB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122A97A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1BDAFC2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表单管理：</w:t>
            </w:r>
            <w:r>
              <w:rPr>
                <w:rFonts w:hint="eastAsia" w:ascii="宋体" w:hAnsi="宋体" w:eastAsia="宋体" w:cs="宋体"/>
                <w:color w:val="auto"/>
                <w:kern w:val="0"/>
                <w:sz w:val="24"/>
                <w:szCs w:val="24"/>
                <w:highlight w:val="none"/>
              </w:rPr>
              <w:t>表单增删改查、复制操作；</w:t>
            </w:r>
          </w:p>
          <w:p w14:paraId="45536AA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自定义设计HTML表单和矩阵表单；</w:t>
            </w:r>
          </w:p>
          <w:p w14:paraId="38F11E8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自定义设计HTML打印模板和套打模板；</w:t>
            </w:r>
          </w:p>
          <w:p w14:paraId="644F1D1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表单字段联动设置；</w:t>
            </w:r>
          </w:p>
          <w:p w14:paraId="25171E2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在线预览表单样式；</w:t>
            </w:r>
          </w:p>
        </w:tc>
      </w:tr>
      <w:tr w14:paraId="3CFE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A7AB0F2">
            <w:pPr>
              <w:pStyle w:val="66"/>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B4C9C2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0A23AEC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0C514C3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数据表：</w:t>
            </w:r>
            <w:r>
              <w:rPr>
                <w:rFonts w:hint="eastAsia" w:ascii="宋体" w:hAnsi="宋体" w:eastAsia="宋体" w:cs="宋体"/>
                <w:color w:val="auto"/>
                <w:kern w:val="0"/>
                <w:sz w:val="24"/>
                <w:szCs w:val="24"/>
                <w:highlight w:val="none"/>
              </w:rPr>
              <w:t>管理数据表和数据表中的字段信息；</w:t>
            </w:r>
          </w:p>
          <w:p w14:paraId="191972C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按分类管理，对数据表进行同步、复制、增删改查操作；</w:t>
            </w:r>
          </w:p>
          <w:p w14:paraId="36E1695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对数据表中字段进行增删改查、同步操作，定义字段属性；</w:t>
            </w:r>
          </w:p>
        </w:tc>
      </w:tr>
      <w:tr w14:paraId="6406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34714418">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restart"/>
            <w:vAlign w:val="center"/>
          </w:tcPr>
          <w:p w14:paraId="2CB9BB2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公文管理</w:t>
            </w:r>
          </w:p>
        </w:tc>
        <w:tc>
          <w:tcPr>
            <w:tcW w:w="1559" w:type="dxa"/>
            <w:vAlign w:val="center"/>
          </w:tcPr>
          <w:p w14:paraId="0B8AB75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公文办公业务需求总述</w:t>
            </w:r>
          </w:p>
        </w:tc>
        <w:tc>
          <w:tcPr>
            <w:tcW w:w="10773" w:type="dxa"/>
          </w:tcPr>
          <w:p w14:paraId="3EEA382F">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公文处理主要实现收文、发文的流转、审批、催办督办等功能，并对文件、信息处理情况提供了简单易用的实时监控机制，方便单位领导及时掌握单位工作人员的工作情况。信息流转的处理范围包括如收文、发文、传阅公文、签报等等。公文处理子系统具体工作流程可以由企业系统管理员在无须改动程序的情况下进行灵活定义，实现办公室人员收发文处理工作流自动化，过程计算机化，提高办公效率。</w:t>
            </w:r>
          </w:p>
          <w:p w14:paraId="34DD87A1">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(2)公文管理平台不但能</w:t>
            </w:r>
            <w:r>
              <w:rPr>
                <w:rFonts w:hint="eastAsia" w:ascii="宋体" w:hAnsi="宋体" w:eastAsia="宋体" w:cs="宋体"/>
                <w:color w:val="auto"/>
                <w:kern w:val="0"/>
                <w:sz w:val="24"/>
                <w:szCs w:val="24"/>
                <w:highlight w:val="none"/>
                <w:lang w:eastAsia="zh-CN"/>
              </w:rPr>
              <w:t>进行</w:t>
            </w:r>
            <w:r>
              <w:rPr>
                <w:rFonts w:hint="eastAsia" w:ascii="宋体" w:hAnsi="宋体" w:eastAsia="宋体" w:cs="宋体"/>
                <w:color w:val="auto"/>
                <w:kern w:val="0"/>
                <w:sz w:val="24"/>
                <w:szCs w:val="24"/>
                <w:highlight w:val="none"/>
              </w:rPr>
              <w:t>各类复杂公文的流转，灵活的加签、减签。还</w:t>
            </w:r>
            <w:r>
              <w:rPr>
                <w:rFonts w:hint="eastAsia" w:ascii="宋体" w:hAnsi="宋体" w:eastAsia="宋体" w:cs="宋体"/>
                <w:color w:val="auto"/>
                <w:kern w:val="0"/>
                <w:sz w:val="24"/>
                <w:szCs w:val="24"/>
                <w:highlight w:val="none"/>
                <w:lang w:eastAsia="zh-CN"/>
              </w:rPr>
              <w:t>能</w:t>
            </w:r>
            <w:r>
              <w:rPr>
                <w:rFonts w:hint="eastAsia" w:ascii="宋体" w:hAnsi="宋体" w:eastAsia="宋体" w:cs="宋体"/>
                <w:color w:val="auto"/>
                <w:kern w:val="0"/>
                <w:sz w:val="24"/>
                <w:szCs w:val="24"/>
                <w:highlight w:val="none"/>
              </w:rPr>
              <w:t>自动套红、加密信封等，让公文办文更简便。</w:t>
            </w:r>
          </w:p>
        </w:tc>
      </w:tr>
      <w:tr w14:paraId="738A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5447640">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27D303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6FB360F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发起公文</w:t>
            </w:r>
          </w:p>
        </w:tc>
        <w:tc>
          <w:tcPr>
            <w:tcW w:w="10773" w:type="dxa"/>
          </w:tcPr>
          <w:p w14:paraId="50209C8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按单位公文分类发起公文审批事项：</w:t>
            </w:r>
            <w:r>
              <w:rPr>
                <w:rFonts w:hint="eastAsia" w:ascii="宋体" w:hAnsi="宋体" w:eastAsia="宋体" w:cs="宋体"/>
                <w:color w:val="auto"/>
                <w:kern w:val="0"/>
                <w:sz w:val="24"/>
                <w:szCs w:val="24"/>
                <w:highlight w:val="none"/>
              </w:rPr>
              <w:t>如发文审批流程、收文审批流程、签报流程；</w:t>
            </w:r>
          </w:p>
          <w:p w14:paraId="1FD21A0B">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发起公文可以自定义公文最常用的公文审批事项（系统</w:t>
            </w:r>
            <w:r>
              <w:rPr>
                <w:rFonts w:hint="eastAsia" w:ascii="宋体" w:hAnsi="宋体" w:eastAsia="宋体" w:cs="宋体"/>
                <w:color w:val="auto"/>
                <w:kern w:val="0"/>
                <w:sz w:val="24"/>
                <w:szCs w:val="24"/>
                <w:highlight w:val="none"/>
                <w:lang w:val="en-US" w:eastAsia="zh-CN"/>
              </w:rPr>
              <w:t>支持</w:t>
            </w:r>
            <w:r>
              <w:rPr>
                <w:rFonts w:hint="eastAsia" w:ascii="宋体" w:hAnsi="宋体" w:eastAsia="宋体" w:cs="宋体"/>
                <w:color w:val="auto"/>
                <w:kern w:val="0"/>
                <w:sz w:val="24"/>
                <w:szCs w:val="24"/>
                <w:highlight w:val="none"/>
              </w:rPr>
              <w:t>智能识别办事人员前8个用的最频繁的发文审批事项）、可以按常用流程识别分类；</w:t>
            </w:r>
          </w:p>
          <w:p w14:paraId="3F7A9554">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办文人员可以对自己办理的重要公文进行个人收藏，收藏夹名称个人</w:t>
            </w:r>
            <w:r>
              <w:rPr>
                <w:rFonts w:hint="eastAsia" w:ascii="宋体" w:hAnsi="宋体" w:eastAsia="宋体" w:cs="宋体"/>
                <w:color w:val="auto"/>
                <w:kern w:val="0"/>
                <w:sz w:val="24"/>
                <w:szCs w:val="24"/>
                <w:highlight w:val="none"/>
                <w:lang w:eastAsia="zh-CN"/>
              </w:rPr>
              <w:t>可</w:t>
            </w:r>
            <w:r>
              <w:rPr>
                <w:rFonts w:hint="eastAsia" w:ascii="宋体" w:hAnsi="宋体" w:eastAsia="宋体" w:cs="宋体"/>
                <w:color w:val="auto"/>
                <w:kern w:val="0"/>
                <w:sz w:val="24"/>
                <w:szCs w:val="24"/>
                <w:highlight w:val="none"/>
              </w:rPr>
              <w:t>按需进行自定义。</w:t>
            </w:r>
          </w:p>
          <w:p w14:paraId="19C0EFE9">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对某些或个别公文审批事项进行关注，可根据办公室关注的需要，关注办理或办理活动，也可关注相应办理人的办理操作，并可及时提醒关注人。</w:t>
            </w:r>
          </w:p>
          <w:p w14:paraId="0313E295">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起草拟文、直接打开红头文件、编号。</w:t>
            </w:r>
          </w:p>
          <w:p w14:paraId="5CC7F6B9">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插入word、wps、pdf、ofd等多种格式文件作为正文。</w:t>
            </w:r>
          </w:p>
          <w:p w14:paraId="6F8912F5">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公文表单标题填写时进行联想自动带出相关公文文字内容和补齐功能或判断相同标题是否进行过收文或发文等操作。</w:t>
            </w:r>
          </w:p>
          <w:p w14:paraId="1458B537">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公文辅助写作，公文起草、核稿、签发等环节均可通过搜索信息、公文的历史记录双屏展现，快速检索、拖拽相应内容或复制粘贴使用。</w:t>
            </w:r>
          </w:p>
          <w:p w14:paraId="360EB43E">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公文流转中表单内容修改记录日志保存、流程办理中附件上传删除记录保存。</w:t>
            </w:r>
          </w:p>
          <w:p w14:paraId="35BDC414">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公文发文流转中的正文/正式公文进行版本管理，办理中可根据实际需要进行公文版本的回退或版本的追溯。</w:t>
            </w:r>
          </w:p>
          <w:p w14:paraId="70577B9E">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转发文、转收文、转签报文件关联，关联公文以及事务审批相关流程。</w:t>
            </w:r>
          </w:p>
          <w:p w14:paraId="4C2D07D3">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正文、正式公文、附件嵌套至页签中进行切换显示。</w:t>
            </w:r>
          </w:p>
          <w:p w14:paraId="50273F77">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发文附件上传时并生成序号，并且在套红时，带入正文中。</w:t>
            </w:r>
          </w:p>
          <w:p w14:paraId="4D51B403">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OCR识别，多种图片等格式的文件识别成文字、辅助编辑正文内容。</w:t>
            </w:r>
          </w:p>
          <w:p w14:paraId="34E0CFE1">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发文转版生成公文二维码，便于来文的时候扫描二维码，自动带出公文元数据。</w:t>
            </w:r>
          </w:p>
          <w:p w14:paraId="60F7B089">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文号可按需进行预留，也可实现跨年进行补录公文，公文文号也可以进行作废或进行释放处理，办文编号时也可自由选择空闲编号。</w:t>
            </w:r>
          </w:p>
          <w:p w14:paraId="6BB4E0D8">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公文分发后，文员可以全程跟踪收文单位是否已签收、是否已收文办理、是否有退回记录，也可以进行分发撤回操作、补发操作或进行传阅操作。</w:t>
            </w:r>
          </w:p>
        </w:tc>
      </w:tr>
      <w:tr w14:paraId="18EC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FD03FD7">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C1CAE3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restart"/>
            <w:vAlign w:val="center"/>
          </w:tcPr>
          <w:p w14:paraId="7D57A0F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公文办理</w:t>
            </w:r>
          </w:p>
        </w:tc>
        <w:tc>
          <w:tcPr>
            <w:tcW w:w="10773" w:type="dxa"/>
          </w:tcPr>
          <w:p w14:paraId="04A7343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待办公文：</w:t>
            </w:r>
            <w:r>
              <w:rPr>
                <w:rFonts w:hint="eastAsia" w:ascii="宋体" w:hAnsi="宋体" w:eastAsia="宋体" w:cs="宋体"/>
                <w:color w:val="auto"/>
                <w:sz w:val="24"/>
                <w:szCs w:val="24"/>
                <w:highlight w:val="none"/>
              </w:rPr>
              <w:t>处理待审批的公文，设置待办页签、批量通过审批，可配置驳回、加签流程操作按钮；版式手写签批；</w:t>
            </w:r>
          </w:p>
        </w:tc>
      </w:tr>
      <w:tr w14:paraId="0F5E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1981133">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05F412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5DD5435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07D3662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待阅公文：</w:t>
            </w:r>
            <w:r>
              <w:rPr>
                <w:rFonts w:hint="eastAsia" w:ascii="宋体" w:hAnsi="宋体" w:eastAsia="宋体" w:cs="宋体"/>
                <w:color w:val="auto"/>
                <w:sz w:val="24"/>
                <w:szCs w:val="24"/>
                <w:highlight w:val="none"/>
              </w:rPr>
              <w:t>处理待查阅的公文，包含传阅件与收文、批量阅件、批量收文；</w:t>
            </w:r>
          </w:p>
        </w:tc>
      </w:tr>
      <w:tr w14:paraId="549A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75F75F7">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BEDC9D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66B994F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577F77C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已办公文：</w:t>
            </w:r>
            <w:r>
              <w:rPr>
                <w:rFonts w:hint="eastAsia" w:ascii="宋体" w:hAnsi="宋体" w:eastAsia="宋体" w:cs="宋体"/>
                <w:color w:val="auto"/>
                <w:sz w:val="24"/>
                <w:szCs w:val="24"/>
                <w:highlight w:val="none"/>
              </w:rPr>
              <w:t>查询已经办理的公文流程；可配置撤回等流程操作按钮；</w:t>
            </w:r>
          </w:p>
        </w:tc>
      </w:tr>
      <w:tr w14:paraId="190A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55B3A31">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9D6A49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6F2B32B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0FFFA6E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已阅公文：</w:t>
            </w:r>
            <w:r>
              <w:rPr>
                <w:rFonts w:hint="eastAsia" w:ascii="宋体" w:hAnsi="宋体" w:eastAsia="宋体" w:cs="宋体"/>
                <w:color w:val="auto"/>
                <w:sz w:val="24"/>
                <w:szCs w:val="24"/>
                <w:highlight w:val="none"/>
              </w:rPr>
              <w:t>查询已经查看的公文流程；</w:t>
            </w:r>
          </w:p>
        </w:tc>
      </w:tr>
      <w:tr w14:paraId="0927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B2305AC">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801BDA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53990B9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6025AF2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办理查阅：</w:t>
            </w:r>
            <w:r>
              <w:rPr>
                <w:rFonts w:hint="eastAsia" w:ascii="宋体" w:hAnsi="宋体" w:eastAsia="宋体" w:cs="宋体"/>
                <w:color w:val="auto"/>
                <w:sz w:val="24"/>
                <w:szCs w:val="24"/>
                <w:highlight w:val="none"/>
              </w:rPr>
              <w:t>根据流程查看人、维护人，干预流程流转；</w:t>
            </w:r>
          </w:p>
        </w:tc>
      </w:tr>
      <w:tr w14:paraId="4064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E253D05">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809C8B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72C1BCB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草稿箱</w:t>
            </w:r>
          </w:p>
        </w:tc>
        <w:tc>
          <w:tcPr>
            <w:tcW w:w="10773" w:type="dxa"/>
          </w:tcPr>
          <w:p w14:paraId="4432522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公文流程批量提交、批量删除；</w:t>
            </w:r>
          </w:p>
        </w:tc>
      </w:tr>
      <w:tr w14:paraId="2FC5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1E7A6ED">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652DDA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3196625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我的公文</w:t>
            </w:r>
          </w:p>
        </w:tc>
        <w:tc>
          <w:tcPr>
            <w:tcW w:w="10773" w:type="dxa"/>
          </w:tcPr>
          <w:p w14:paraId="769E546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我的发起：</w:t>
            </w:r>
            <w:r>
              <w:rPr>
                <w:rFonts w:hint="eastAsia" w:ascii="宋体" w:hAnsi="宋体" w:eastAsia="宋体" w:cs="宋体"/>
                <w:color w:val="auto"/>
                <w:sz w:val="24"/>
                <w:szCs w:val="24"/>
                <w:highlight w:val="none"/>
              </w:rPr>
              <w:t>查询所有发起公文流程，导出列表数据；流程催办、撤回、收藏、再次发送等操作；</w:t>
            </w:r>
          </w:p>
          <w:p w14:paraId="12CE0A3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我的分发：</w:t>
            </w:r>
            <w:r>
              <w:rPr>
                <w:rFonts w:hint="eastAsia" w:ascii="宋体" w:hAnsi="宋体" w:eastAsia="宋体" w:cs="宋体"/>
                <w:color w:val="auto"/>
                <w:sz w:val="24"/>
                <w:szCs w:val="24"/>
                <w:highlight w:val="none"/>
              </w:rPr>
              <w:t>查看已分发的公文和被退回的公文记录；撤回、补发已分发的公文；</w:t>
            </w:r>
          </w:p>
          <w:p w14:paraId="13D0B98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我的关注：</w:t>
            </w:r>
            <w:r>
              <w:rPr>
                <w:rFonts w:hint="eastAsia" w:ascii="宋体" w:hAnsi="宋体" w:eastAsia="宋体" w:cs="宋体"/>
                <w:color w:val="auto"/>
                <w:sz w:val="24"/>
                <w:szCs w:val="24"/>
                <w:highlight w:val="none"/>
              </w:rPr>
              <w:t>查看关注的公文，取消关注；</w:t>
            </w:r>
          </w:p>
          <w:p w14:paraId="3D2D21E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我的退回：</w:t>
            </w:r>
            <w:r>
              <w:rPr>
                <w:rFonts w:hint="eastAsia" w:ascii="宋体" w:hAnsi="宋体" w:eastAsia="宋体" w:cs="宋体"/>
                <w:color w:val="auto"/>
                <w:sz w:val="24"/>
                <w:szCs w:val="24"/>
                <w:highlight w:val="none"/>
              </w:rPr>
              <w:t>查看其他人退给</w:t>
            </w:r>
            <w:r>
              <w:rPr>
                <w:rFonts w:hint="eastAsia" w:ascii="宋体" w:hAnsi="宋体" w:eastAsia="宋体" w:cs="宋体"/>
                <w:color w:val="auto"/>
                <w:sz w:val="24"/>
                <w:szCs w:val="24"/>
                <w:highlight w:val="none"/>
                <w:lang w:eastAsia="zh-CN"/>
              </w:rPr>
              <w:t>本人</w:t>
            </w:r>
            <w:r>
              <w:rPr>
                <w:rFonts w:hint="eastAsia" w:ascii="宋体" w:hAnsi="宋体" w:eastAsia="宋体" w:cs="宋体"/>
                <w:color w:val="auto"/>
                <w:sz w:val="24"/>
                <w:szCs w:val="24"/>
                <w:highlight w:val="none"/>
              </w:rPr>
              <w:t>的流程，</w:t>
            </w:r>
            <w:r>
              <w:rPr>
                <w:rFonts w:hint="eastAsia" w:ascii="宋体" w:hAnsi="宋体" w:eastAsia="宋体" w:cs="宋体"/>
                <w:color w:val="auto"/>
                <w:sz w:val="24"/>
                <w:szCs w:val="24"/>
                <w:highlight w:val="none"/>
                <w:lang w:eastAsia="zh-CN"/>
              </w:rPr>
              <w:t>本人</w:t>
            </w:r>
            <w:r>
              <w:rPr>
                <w:rFonts w:hint="eastAsia" w:ascii="宋体" w:hAnsi="宋体" w:eastAsia="宋体" w:cs="宋体"/>
                <w:color w:val="auto"/>
                <w:sz w:val="24"/>
                <w:szCs w:val="24"/>
                <w:highlight w:val="none"/>
              </w:rPr>
              <w:t>退给其他</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的流程及其他人退给</w:t>
            </w:r>
            <w:r>
              <w:rPr>
                <w:rFonts w:hint="eastAsia" w:ascii="宋体" w:hAnsi="宋体" w:eastAsia="宋体" w:cs="宋体"/>
                <w:color w:val="auto"/>
                <w:sz w:val="24"/>
                <w:szCs w:val="24"/>
                <w:highlight w:val="none"/>
                <w:lang w:eastAsia="zh-CN"/>
              </w:rPr>
              <w:t>本人</w:t>
            </w:r>
            <w:r>
              <w:rPr>
                <w:rFonts w:hint="eastAsia" w:ascii="宋体" w:hAnsi="宋体" w:eastAsia="宋体" w:cs="宋体"/>
                <w:color w:val="auto"/>
                <w:sz w:val="24"/>
                <w:szCs w:val="24"/>
                <w:highlight w:val="none"/>
              </w:rPr>
              <w:t>的分发件详情；</w:t>
            </w:r>
          </w:p>
          <w:p w14:paraId="5A3F233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收藏夹：</w:t>
            </w:r>
            <w:r>
              <w:rPr>
                <w:rFonts w:hint="eastAsia" w:ascii="宋体" w:hAnsi="宋体" w:eastAsia="宋体" w:cs="宋体"/>
                <w:color w:val="auto"/>
                <w:sz w:val="24"/>
                <w:szCs w:val="24"/>
                <w:highlight w:val="none"/>
              </w:rPr>
              <w:t>设置收藏夹分类，收藏及取消收藏公文；</w:t>
            </w:r>
          </w:p>
        </w:tc>
      </w:tr>
      <w:tr w14:paraId="1AE7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7879F45">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994349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2BBA34B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收文管理和收文登记</w:t>
            </w:r>
          </w:p>
        </w:tc>
        <w:tc>
          <w:tcPr>
            <w:tcW w:w="10773" w:type="dxa"/>
          </w:tcPr>
          <w:p w14:paraId="407685B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办文人员收文登记后，对来文可以转收文、转签报、也可以进行转发文办理。也可以直接进行分发处理。</w:t>
            </w:r>
          </w:p>
          <w:p w14:paraId="6994AA9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收文登记的正式公文，导入正式公文</w:t>
            </w:r>
            <w:r>
              <w:rPr>
                <w:rFonts w:hint="eastAsia" w:ascii="宋体" w:hAnsi="宋体" w:eastAsia="宋体" w:cs="宋体"/>
                <w:color w:val="auto"/>
                <w:sz w:val="24"/>
                <w:szCs w:val="24"/>
                <w:highlight w:val="none"/>
                <w:lang w:eastAsia="zh-CN"/>
              </w:rPr>
              <w:t>等可通过</w:t>
            </w:r>
            <w:r>
              <w:rPr>
                <w:rFonts w:hint="eastAsia" w:ascii="宋体" w:hAnsi="宋体" w:eastAsia="宋体" w:cs="宋体"/>
                <w:color w:val="auto"/>
                <w:sz w:val="24"/>
                <w:szCs w:val="24"/>
                <w:highlight w:val="none"/>
              </w:rPr>
              <w:t>文件识别方式上传。</w:t>
            </w:r>
          </w:p>
          <w:p w14:paraId="2D43895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收文时外来文件直接进行OCR识别。</w:t>
            </w:r>
          </w:p>
          <w:p w14:paraId="2C9F237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二维码扫描自动带入相关公文原数据到登记单。</w:t>
            </w:r>
          </w:p>
          <w:p w14:paraId="77F60D3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自定义列表分类：按时间分类、按活动节点分类。</w:t>
            </w:r>
          </w:p>
          <w:p w14:paraId="38E8E33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统一阅件入口：阅件和收文于待阅公文中，方便领导查阅。</w:t>
            </w:r>
          </w:p>
          <w:p w14:paraId="14041F72">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领导意见秘书代录，秘书转呈领导。</w:t>
            </w:r>
          </w:p>
          <w:p w14:paraId="16D26DB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来文单位进行登记，转收文、转发文、转签报、分发、二维码扫描、扫描仪识别、智能提取、文件识别等；</w:t>
            </w:r>
          </w:p>
        </w:tc>
      </w:tr>
      <w:tr w14:paraId="2F85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523CC62">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6697FF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37B5EC7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公文签报</w:t>
            </w:r>
          </w:p>
        </w:tc>
        <w:tc>
          <w:tcPr>
            <w:tcW w:w="10773" w:type="dxa"/>
          </w:tcPr>
          <w:p w14:paraId="0C68B7EB">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白头文，签报审批自定义；</w:t>
            </w:r>
          </w:p>
          <w:p w14:paraId="0F0A23EF">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收文、发文、签报要求可以互转，自动带入公文表单业务数据。</w:t>
            </w:r>
          </w:p>
        </w:tc>
      </w:tr>
      <w:tr w14:paraId="5DA8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17D85E3">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39BFF2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3D4C065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公文转交</w:t>
            </w:r>
          </w:p>
        </w:tc>
        <w:tc>
          <w:tcPr>
            <w:tcW w:w="10773" w:type="dxa"/>
          </w:tcPr>
          <w:p w14:paraId="5CC594B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可以批量转交给他人办理；</w:t>
            </w:r>
          </w:p>
        </w:tc>
      </w:tr>
      <w:tr w14:paraId="50F5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554A18F">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9364A2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4EB7C97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公文统计</w:t>
            </w:r>
          </w:p>
        </w:tc>
        <w:tc>
          <w:tcPr>
            <w:tcW w:w="10773" w:type="dxa"/>
          </w:tcPr>
          <w:p w14:paraId="468BB3D2">
            <w:pPr>
              <w:keepNext w:val="0"/>
              <w:keepLines w:val="0"/>
              <w:pageBreakBefore w:val="0"/>
              <w:tabs>
                <w:tab w:val="left" w:pos="1523"/>
              </w:tabs>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发文量统计、收文量统计、签到量统计、来文单位统计、登记量统计、来文单位统计、办件量统计、签收情况统计、领导文件统计等。（提供产品截图）自定义设置显示哪些统计数据分类。</w:t>
            </w:r>
          </w:p>
        </w:tc>
      </w:tr>
      <w:tr w14:paraId="48E7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F26601A">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EC5E88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47ED6BE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效率分析</w:t>
            </w:r>
          </w:p>
        </w:tc>
        <w:tc>
          <w:tcPr>
            <w:tcW w:w="10773" w:type="dxa"/>
          </w:tcPr>
          <w:p w14:paraId="15FD617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对公文流程数量、单个流程类型平均耗时进行统计分析；</w:t>
            </w:r>
          </w:p>
        </w:tc>
      </w:tr>
      <w:tr w14:paraId="7A56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C6BFC61">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54AD83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5029714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公文查询</w:t>
            </w:r>
          </w:p>
        </w:tc>
        <w:tc>
          <w:tcPr>
            <w:tcW w:w="10773" w:type="dxa"/>
          </w:tcPr>
          <w:p w14:paraId="3518ECE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发文查询、收文查询、签报查询；管理员干预流程流转；</w:t>
            </w:r>
          </w:p>
        </w:tc>
      </w:tr>
      <w:tr w14:paraId="5584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06C7C3F">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976FB3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31B9976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公文监控</w:t>
            </w:r>
          </w:p>
        </w:tc>
        <w:tc>
          <w:tcPr>
            <w:tcW w:w="10773" w:type="dxa"/>
          </w:tcPr>
          <w:p w14:paraId="30D042D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对公文进行分类查询，可以对个别公文流程进行特殊干预，如：转交、传阅、跳转、作废、提前结束等。</w:t>
            </w:r>
          </w:p>
          <w:p w14:paraId="569EFFA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公文删除后，有权限的管理员可以在废件箱中进行删除日志的查询。</w:t>
            </w:r>
          </w:p>
          <w:p w14:paraId="478F5B4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红绿灯（个人灯、文件等）、紧急程度、附件标识等特殊标记。</w:t>
            </w:r>
          </w:p>
          <w:p w14:paraId="0DCC796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选择下载、打包下载、自定义选择打印内容。</w:t>
            </w:r>
          </w:p>
          <w:p w14:paraId="2981967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主流程环节各部门内部发起子流程审批办理后返回主流程继续办理。</w:t>
            </w:r>
          </w:p>
          <w:p w14:paraId="2DCECFE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附件统一管理，流程流转过程的表单中、批示意见中、表单右侧留言区的附件上传后，均在表单页签“附件”中集中展示，便于统一管理与维护。</w:t>
            </w:r>
          </w:p>
          <w:p w14:paraId="14BB025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针对于分发的特殊操作：补发、分发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撤回、查看签收情况、查看撤回情况、查看退回记录等。</w:t>
            </w:r>
          </w:p>
          <w:p w14:paraId="703C7A2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公文办理效率分析图表展现。</w:t>
            </w:r>
          </w:p>
          <w:p w14:paraId="038866D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对重点关注的领导文件办理情况进行统计。</w:t>
            </w:r>
          </w:p>
          <w:p w14:paraId="76A3714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公文流转统计、人员办理统计、部门办理统计、办理状态统计、人员超时统计、流程超时统计。</w:t>
            </w:r>
          </w:p>
          <w:p w14:paraId="7C1EC339">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公文统计数据的多维度统计分析，且穿透至具体明细页面。</w:t>
            </w:r>
          </w:p>
        </w:tc>
      </w:tr>
      <w:tr w14:paraId="1EED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A733CC5">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CC0E25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6294D66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废件箱</w:t>
            </w:r>
          </w:p>
        </w:tc>
        <w:tc>
          <w:tcPr>
            <w:tcW w:w="10773" w:type="dxa"/>
          </w:tcPr>
          <w:p w14:paraId="2B95BA0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废件箱彻底删除或还原</w:t>
            </w:r>
            <w:r>
              <w:rPr>
                <w:rFonts w:hint="eastAsia" w:ascii="宋体" w:hAnsi="宋体" w:eastAsia="宋体" w:cs="宋体"/>
                <w:color w:val="auto"/>
                <w:sz w:val="24"/>
                <w:szCs w:val="24"/>
                <w:highlight w:val="none"/>
                <w:lang w:eastAsia="zh-CN"/>
              </w:rPr>
              <w:t>。</w:t>
            </w:r>
          </w:p>
        </w:tc>
      </w:tr>
      <w:tr w14:paraId="1757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E925383">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DB3502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restart"/>
            <w:vAlign w:val="center"/>
          </w:tcPr>
          <w:p w14:paraId="46CF27F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公文设置</w:t>
            </w:r>
          </w:p>
        </w:tc>
        <w:tc>
          <w:tcPr>
            <w:tcW w:w="10773" w:type="dxa"/>
          </w:tcPr>
          <w:p w14:paraId="4B93A91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基础设置：</w:t>
            </w:r>
            <w:r>
              <w:rPr>
                <w:rFonts w:hint="eastAsia" w:ascii="宋体" w:hAnsi="宋体" w:eastAsia="宋体" w:cs="宋体"/>
                <w:color w:val="auto"/>
                <w:sz w:val="24"/>
                <w:szCs w:val="24"/>
                <w:highlight w:val="none"/>
              </w:rPr>
              <w:t>插入正文类别、列表操作配置、调用WPS客户端、流式只读调预览、生成份号、生成二维码、表单正文双屏、起草流式调模板、打印默认勾选标题、</w:t>
            </w:r>
            <w:bookmarkStart w:id="66" w:name="OLE_LINK4"/>
            <w:bookmarkStart w:id="67" w:name="OLE_LINK3"/>
            <w:r>
              <w:rPr>
                <w:rFonts w:hint="eastAsia" w:ascii="宋体" w:hAnsi="宋体" w:eastAsia="宋体" w:cs="宋体"/>
                <w:color w:val="auto"/>
                <w:sz w:val="24"/>
                <w:szCs w:val="24"/>
                <w:highlight w:val="none"/>
              </w:rPr>
              <w:t>标题联想、来文单位联想、统一标识、待办分类、分发内容、传阅内容、单位显示长度、公文统计设置、文字识别、智能提取、二维码扫描、辅助写作、全文检索、正文转版、正文转换文件格式、选择成员对象、转版按钮、转发文转收文转签报设置、公文查阅设置等设置项内容的设置；</w:t>
            </w:r>
          </w:p>
          <w:bookmarkEnd w:id="66"/>
          <w:bookmarkEnd w:id="67"/>
          <w:p w14:paraId="244F9BE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流程设置：</w:t>
            </w:r>
            <w:r>
              <w:rPr>
                <w:rFonts w:hint="eastAsia" w:ascii="宋体" w:hAnsi="宋体" w:eastAsia="宋体" w:cs="宋体"/>
                <w:color w:val="auto"/>
                <w:sz w:val="24"/>
                <w:szCs w:val="24"/>
                <w:highlight w:val="none"/>
              </w:rPr>
              <w:t>设置发文流程、收文流程、签报流程；</w:t>
            </w:r>
          </w:p>
          <w:p w14:paraId="5E887C5A">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流程设置查询：</w:t>
            </w:r>
            <w:r>
              <w:rPr>
                <w:rFonts w:hint="eastAsia" w:ascii="宋体" w:hAnsi="宋体" w:eastAsia="宋体" w:cs="宋体"/>
                <w:color w:val="auto"/>
                <w:sz w:val="24"/>
                <w:szCs w:val="24"/>
                <w:highlight w:val="none"/>
              </w:rPr>
              <w:t>查询流程内设置的节点内容（参与方式、办理方式、参与者、活动按钮）；</w:t>
            </w:r>
          </w:p>
          <w:p w14:paraId="0FF6B1D4">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统一标识设置：</w:t>
            </w:r>
            <w:r>
              <w:rPr>
                <w:rFonts w:hint="eastAsia" w:ascii="宋体" w:hAnsi="宋体" w:eastAsia="宋体" w:cs="宋体"/>
                <w:color w:val="auto"/>
                <w:sz w:val="24"/>
                <w:szCs w:val="24"/>
                <w:highlight w:val="none"/>
              </w:rPr>
              <w:t>设置单位统一标识；</w:t>
            </w:r>
          </w:p>
          <w:p w14:paraId="05B48CEA">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表单设置：</w:t>
            </w:r>
            <w:r>
              <w:rPr>
                <w:rFonts w:hint="eastAsia" w:ascii="宋体" w:hAnsi="宋体" w:eastAsia="宋体" w:cs="宋体"/>
                <w:color w:val="auto"/>
                <w:sz w:val="24"/>
                <w:szCs w:val="24"/>
                <w:highlight w:val="none"/>
              </w:rPr>
              <w:t>设置发文表单、收文表单、签报表单、收文登记表单；</w:t>
            </w:r>
          </w:p>
          <w:p w14:paraId="1C76BC12">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流水号设置：</w:t>
            </w:r>
            <w:r>
              <w:rPr>
                <w:rFonts w:hint="eastAsia" w:ascii="宋体" w:hAnsi="宋体" w:eastAsia="宋体" w:cs="宋体"/>
                <w:color w:val="auto"/>
                <w:sz w:val="24"/>
                <w:szCs w:val="24"/>
                <w:highlight w:val="none"/>
              </w:rPr>
              <w:t>设置收文流水号、收文登记流水号；</w:t>
            </w:r>
            <w:r>
              <w:rPr>
                <w:rFonts w:hint="eastAsia" w:ascii="宋体" w:hAnsi="宋体" w:eastAsia="宋体" w:cs="宋体"/>
                <w:b/>
                <w:color w:val="auto"/>
                <w:sz w:val="24"/>
                <w:szCs w:val="24"/>
                <w:highlight w:val="none"/>
              </w:rPr>
              <w:t>分发单位设置：</w:t>
            </w:r>
            <w:r>
              <w:rPr>
                <w:rFonts w:hint="eastAsia" w:ascii="宋体" w:hAnsi="宋体" w:eastAsia="宋体" w:cs="宋体"/>
                <w:color w:val="auto"/>
                <w:sz w:val="24"/>
                <w:szCs w:val="24"/>
                <w:highlight w:val="none"/>
              </w:rPr>
              <w:t>设置分发单位；</w:t>
            </w:r>
          </w:p>
          <w:p w14:paraId="56094BF2">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公文员设置：</w:t>
            </w:r>
            <w:r>
              <w:rPr>
                <w:rFonts w:hint="eastAsia" w:ascii="宋体" w:hAnsi="宋体" w:eastAsia="宋体" w:cs="宋体"/>
                <w:color w:val="auto"/>
                <w:sz w:val="24"/>
                <w:szCs w:val="24"/>
                <w:highlight w:val="none"/>
              </w:rPr>
              <w:t>设置组织公文员；</w:t>
            </w:r>
            <w:r>
              <w:rPr>
                <w:rFonts w:hint="eastAsia" w:ascii="宋体" w:hAnsi="宋体" w:eastAsia="宋体" w:cs="宋体"/>
                <w:b/>
                <w:color w:val="auto"/>
                <w:sz w:val="24"/>
                <w:szCs w:val="24"/>
                <w:highlight w:val="none"/>
              </w:rPr>
              <w:t>枚举设置：</w:t>
            </w:r>
            <w:r>
              <w:rPr>
                <w:rFonts w:hint="eastAsia" w:ascii="宋体" w:hAnsi="宋体" w:eastAsia="宋体" w:cs="宋体"/>
                <w:color w:val="auto"/>
                <w:sz w:val="24"/>
                <w:szCs w:val="24"/>
                <w:highlight w:val="none"/>
              </w:rPr>
              <w:t>自定义公文管理中需要用的各类枚举；</w:t>
            </w:r>
          </w:p>
        </w:tc>
      </w:tr>
      <w:tr w14:paraId="5923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8EBD662">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375A8B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26B06A9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09B22DD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发文设置：</w:t>
            </w:r>
            <w:r>
              <w:rPr>
                <w:rFonts w:hint="eastAsia" w:ascii="宋体" w:hAnsi="宋体" w:eastAsia="宋体" w:cs="宋体"/>
                <w:color w:val="auto"/>
                <w:sz w:val="24"/>
                <w:szCs w:val="24"/>
                <w:highlight w:val="none"/>
              </w:rPr>
              <w:t>设置发文字号、字号共用、正文模板管理、模板标签管理、图片签章管理；</w:t>
            </w:r>
          </w:p>
        </w:tc>
      </w:tr>
      <w:tr w14:paraId="4682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15F5EBB">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25EC47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4A3ACEF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3D29828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收文设置：</w:t>
            </w:r>
            <w:r>
              <w:rPr>
                <w:rFonts w:hint="eastAsia" w:ascii="宋体" w:hAnsi="宋体" w:eastAsia="宋体" w:cs="宋体"/>
                <w:color w:val="auto"/>
                <w:sz w:val="24"/>
                <w:szCs w:val="24"/>
                <w:highlight w:val="none"/>
              </w:rPr>
              <w:t>设置来文单位、收文模板、收文标签；</w:t>
            </w:r>
          </w:p>
        </w:tc>
      </w:tr>
      <w:tr w14:paraId="63B0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3A37139">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06E973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7CED300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7999606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签报设置：</w:t>
            </w:r>
            <w:r>
              <w:rPr>
                <w:rFonts w:hint="eastAsia" w:ascii="宋体" w:hAnsi="宋体" w:eastAsia="宋体" w:cs="宋体"/>
                <w:color w:val="auto"/>
                <w:sz w:val="24"/>
                <w:szCs w:val="24"/>
                <w:highlight w:val="none"/>
              </w:rPr>
              <w:t>正文模板管理、模板标签管理；</w:t>
            </w:r>
          </w:p>
        </w:tc>
      </w:tr>
      <w:tr w14:paraId="5B91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70D009AD">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restart"/>
            <w:vAlign w:val="center"/>
          </w:tcPr>
          <w:p w14:paraId="61A9C0AF">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督办管理</w:t>
            </w:r>
          </w:p>
        </w:tc>
        <w:tc>
          <w:tcPr>
            <w:tcW w:w="1559" w:type="dxa"/>
            <w:vAlign w:val="center"/>
          </w:tcPr>
          <w:p w14:paraId="4440065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督查督办业务需求</w:t>
            </w:r>
          </w:p>
        </w:tc>
        <w:tc>
          <w:tcPr>
            <w:tcW w:w="10773" w:type="dxa"/>
          </w:tcPr>
          <w:p w14:paraId="4024770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要求对督办事项按照立项、交办、催办、审核、办结</w:t>
            </w: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项程序建立督办运行机制，为单位政务督查工作的高效、有序开展搭建科学的工作平台，形成程序化、制度化、信息化的督查模式和方法，确保工作质量和效率明显提高，促进各项工作的贯彻落实的督办管理。督查督办要实现单位对各个工作任务的督办、催办和审核。要求可以面向所有督办任务来源，下发督办通知红头文件、单次反馈及长期反馈，实现端到端的快速反馈及审核</w:t>
            </w:r>
            <w:r>
              <w:rPr>
                <w:rFonts w:hint="eastAsia" w:ascii="宋体" w:hAnsi="宋体" w:eastAsia="宋体" w:cs="宋体"/>
                <w:color w:val="auto"/>
                <w:kern w:val="0"/>
                <w:sz w:val="24"/>
                <w:szCs w:val="24"/>
                <w:highlight w:val="none"/>
                <w:lang w:eastAsia="zh-CN"/>
              </w:rPr>
              <w:t>，要能定期显示对需督办事项的办理状态的显示等。</w:t>
            </w:r>
          </w:p>
        </w:tc>
      </w:tr>
      <w:tr w14:paraId="399A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C1F1C50">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0EB35E8">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p>
        </w:tc>
        <w:tc>
          <w:tcPr>
            <w:tcW w:w="1559" w:type="dxa"/>
            <w:vAlign w:val="center"/>
          </w:tcPr>
          <w:p w14:paraId="34725C1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督查督办门户</w:t>
            </w:r>
          </w:p>
        </w:tc>
        <w:tc>
          <w:tcPr>
            <w:tcW w:w="10773" w:type="dxa"/>
          </w:tcPr>
          <w:p w14:paraId="57D4AFCA">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可以配置督办方门户、承办方门户和领导门户；</w:t>
            </w:r>
          </w:p>
        </w:tc>
      </w:tr>
      <w:tr w14:paraId="64B0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4A1A4BF">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2425515">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p>
        </w:tc>
        <w:tc>
          <w:tcPr>
            <w:tcW w:w="1559" w:type="dxa"/>
            <w:vAlign w:val="center"/>
          </w:tcPr>
          <w:p w14:paraId="7CA73C7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任务总览</w:t>
            </w:r>
          </w:p>
        </w:tc>
        <w:tc>
          <w:tcPr>
            <w:tcW w:w="10773" w:type="dxa"/>
          </w:tcPr>
          <w:p w14:paraId="67714BCF">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任务总览模块显示所有督办类别下的督办任务，按照几种督办类别分类显示，有权限的用户可以进行查看列表及详情页面，也可以做批示和关注；</w:t>
            </w:r>
          </w:p>
        </w:tc>
      </w:tr>
      <w:tr w14:paraId="5CE7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6C6EA8C">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0D604A5">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p>
        </w:tc>
        <w:tc>
          <w:tcPr>
            <w:tcW w:w="1559" w:type="dxa"/>
            <w:vAlign w:val="center"/>
          </w:tcPr>
          <w:p w14:paraId="4D9B55E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领导关注</w:t>
            </w:r>
          </w:p>
        </w:tc>
        <w:tc>
          <w:tcPr>
            <w:tcW w:w="10773" w:type="dxa"/>
          </w:tcPr>
          <w:p w14:paraId="07542D35">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展示牵头领导的督办任务和从任务总览关注过来的任务，可以查看详情、取消关注和批示；</w:t>
            </w:r>
          </w:p>
        </w:tc>
      </w:tr>
      <w:tr w14:paraId="2526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AA375FA">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6C0D5D5">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p>
        </w:tc>
        <w:tc>
          <w:tcPr>
            <w:tcW w:w="1559" w:type="dxa"/>
            <w:vAlign w:val="center"/>
          </w:tcPr>
          <w:p w14:paraId="1900D03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任务办理</w:t>
            </w:r>
          </w:p>
        </w:tc>
        <w:tc>
          <w:tcPr>
            <w:tcW w:w="10773" w:type="dxa"/>
          </w:tcPr>
          <w:p w14:paraId="2A481C29">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分为待办、已办、待阅、已阅、催办、流程和批示；待办包括各个环节的审核，已办包括已经办理的审核，待阅包括各个环节的审阅，已阅包括已经审阅的</w:t>
            </w:r>
            <w:r>
              <w:rPr>
                <w:rFonts w:hint="eastAsia" w:ascii="宋体" w:hAnsi="宋体" w:eastAsia="宋体" w:cs="宋体"/>
                <w:color w:val="auto"/>
                <w:kern w:val="0"/>
                <w:sz w:val="24"/>
                <w:szCs w:val="24"/>
                <w:highlight w:val="none"/>
                <w:lang w:eastAsia="zh-CN"/>
              </w:rPr>
              <w:t>文</w:t>
            </w:r>
            <w:r>
              <w:rPr>
                <w:rFonts w:hint="eastAsia" w:ascii="宋体" w:hAnsi="宋体" w:eastAsia="宋体" w:cs="宋体"/>
                <w:color w:val="auto"/>
                <w:kern w:val="0"/>
                <w:sz w:val="24"/>
                <w:szCs w:val="24"/>
                <w:highlight w:val="none"/>
              </w:rPr>
              <w:t>件，催办展示催促办理的事项，流程展示所有权限范围的流程数据，批示可以显示已批示的记录，可以回复；</w:t>
            </w:r>
          </w:p>
        </w:tc>
      </w:tr>
      <w:tr w14:paraId="46C5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E4864B5">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C7234C6">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p>
        </w:tc>
        <w:tc>
          <w:tcPr>
            <w:tcW w:w="1559" w:type="dxa"/>
            <w:vAlign w:val="center"/>
          </w:tcPr>
          <w:p w14:paraId="433E209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任务督办</w:t>
            </w:r>
          </w:p>
        </w:tc>
        <w:tc>
          <w:tcPr>
            <w:tcW w:w="10773" w:type="dxa"/>
          </w:tcPr>
          <w:p w14:paraId="62EDBB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括预立项、督办立项、任务下达和督办考评，预立项是从公文推送的待立项内容，可以提交督办或退回，督办立项可以进行统一立项、审核；任务下达新建任务或导入任务（含已结项任务），无办结时限任务，进行编辑、催办、终止、删除、分发等操作；督办考评是可以针对已办结的任务进行结果性评价打分；以不同维度生成督办报告；</w:t>
            </w:r>
          </w:p>
        </w:tc>
      </w:tr>
      <w:tr w14:paraId="17DE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BDC37CF">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AAAC81B">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p>
        </w:tc>
        <w:tc>
          <w:tcPr>
            <w:tcW w:w="1559" w:type="dxa"/>
            <w:vAlign w:val="center"/>
          </w:tcPr>
          <w:p w14:paraId="4317EC4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承办任务</w:t>
            </w:r>
          </w:p>
        </w:tc>
        <w:tc>
          <w:tcPr>
            <w:tcW w:w="10773" w:type="dxa"/>
          </w:tcPr>
          <w:p w14:paraId="1BD070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括主办任务、协办任务、交办任务和积分查询功能，主办任务可以进行任务分解，预案上报、反馈、交办操作；协办任务可以给主办单位上报、反馈和交办；交办任务可以查看转入和转出的任务情况；积分查询可以查看承办单位自己的得分情况；</w:t>
            </w:r>
          </w:p>
        </w:tc>
      </w:tr>
      <w:tr w14:paraId="6FF4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7D914C3">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6E0D19B">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p>
        </w:tc>
        <w:tc>
          <w:tcPr>
            <w:tcW w:w="1559" w:type="dxa"/>
            <w:vAlign w:val="center"/>
          </w:tcPr>
          <w:p w14:paraId="7E1C8CB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统计分析</w:t>
            </w:r>
          </w:p>
        </w:tc>
        <w:tc>
          <w:tcPr>
            <w:tcW w:w="10773" w:type="dxa"/>
          </w:tcPr>
          <w:p w14:paraId="0DF6DDB0">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按承办单位统计、任务类别统计、办理状态统计、领导批示统计；</w:t>
            </w:r>
          </w:p>
        </w:tc>
      </w:tr>
      <w:tr w14:paraId="39E9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FC216A7">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7BC9233">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p>
        </w:tc>
        <w:tc>
          <w:tcPr>
            <w:tcW w:w="1559" w:type="dxa"/>
            <w:vAlign w:val="center"/>
          </w:tcPr>
          <w:p w14:paraId="7123808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系统设置</w:t>
            </w:r>
          </w:p>
        </w:tc>
        <w:tc>
          <w:tcPr>
            <w:tcW w:w="10773" w:type="dxa"/>
          </w:tcPr>
          <w:p w14:paraId="7ED24252">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包括：基础设置、任务类别、任务编号、单位设置、积分设置、表管理、表单管理、流程设置、督查标签设置和督查模板设置</w:t>
            </w:r>
            <w:r>
              <w:rPr>
                <w:rFonts w:hint="eastAsia" w:ascii="宋体" w:hAnsi="宋体" w:eastAsia="宋体" w:cs="宋体"/>
                <w:color w:val="auto"/>
                <w:kern w:val="0"/>
                <w:sz w:val="24"/>
                <w:szCs w:val="24"/>
                <w:highlight w:val="none"/>
                <w:lang w:eastAsia="zh-CN"/>
              </w:rPr>
              <w:t>；</w:t>
            </w:r>
          </w:p>
        </w:tc>
      </w:tr>
      <w:tr w14:paraId="6082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09F2F47A">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restart"/>
            <w:vAlign w:val="center"/>
          </w:tcPr>
          <w:p w14:paraId="62239D62">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公告管理</w:t>
            </w:r>
          </w:p>
        </w:tc>
        <w:tc>
          <w:tcPr>
            <w:tcW w:w="1559" w:type="dxa"/>
            <w:vAlign w:val="center"/>
          </w:tcPr>
          <w:p w14:paraId="1CC607B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公告管理</w:t>
            </w:r>
          </w:p>
        </w:tc>
        <w:tc>
          <w:tcPr>
            <w:tcW w:w="10773" w:type="dxa"/>
          </w:tcPr>
          <w:p w14:paraId="4B85461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建立总工会对内统一的官方的信息公告发布窗口：</w:t>
            </w:r>
            <w:r>
              <w:rPr>
                <w:rFonts w:hint="eastAsia" w:ascii="宋体" w:hAnsi="宋体" w:eastAsia="宋体" w:cs="宋体"/>
                <w:color w:val="auto"/>
                <w:kern w:val="0"/>
                <w:sz w:val="24"/>
                <w:szCs w:val="24"/>
                <w:highlight w:val="none"/>
              </w:rPr>
              <w:t>通过办公系统办公窗口给所有单位工作人员发布通知和公告，提供总工会对内信息发布统一入口。实现单位通知公告的充分共享，最大化的减少信息孤岛的存在，以集中式的信息通告推送到系统办公平台，让不同的部门、不同的岗位、不同的人员都可快速的有针对性的获取通知公告。</w:t>
            </w:r>
          </w:p>
          <w:p w14:paraId="7D911DC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通知公告要提供审核机制，公告在经过相关部门和领导审批通过后才可以将信息发布到协同办公平台的公文发布专栏中。</w:t>
            </w:r>
          </w:p>
        </w:tc>
      </w:tr>
      <w:tr w14:paraId="36D3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5638F64">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481A70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67FC47D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公告栏目内容</w:t>
            </w:r>
          </w:p>
        </w:tc>
        <w:tc>
          <w:tcPr>
            <w:tcW w:w="10773" w:type="dxa"/>
          </w:tcPr>
          <w:p w14:paraId="7F4466D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按栏目树的方式显示有权限查看的内容；</w:t>
            </w:r>
          </w:p>
          <w:p w14:paraId="5F978B7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列表、缩略图和视频多种视图展示信息；</w:t>
            </w:r>
          </w:p>
          <w:p w14:paraId="69BD92B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对内容增删改查、置顶（可设置指定结束日期）、移动、复制、同步；</w:t>
            </w:r>
          </w:p>
          <w:p w14:paraId="1F9530F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设置自动移动栏目规则；对置顶的信息进行排序；列表显示自定义设置；</w:t>
            </w:r>
          </w:p>
          <w:p w14:paraId="6CEB2C4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显示不同状态标签：置顶、未读、新信息</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w:t>
            </w:r>
          </w:p>
          <w:p w14:paraId="030AC8C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按标题、栏目名称、发布人、发布时间等查询项快速定位信息；</w:t>
            </w:r>
          </w:p>
          <w:p w14:paraId="427D2FE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删除信息后保存到系统回收站；</w:t>
            </w:r>
          </w:p>
          <w:p w14:paraId="7E6741C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信息详情页查看上一条和下一条信息，有图片的信息点击图片放大查看；</w:t>
            </w:r>
          </w:p>
          <w:p w14:paraId="64DF1EC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信息详情页查看版本记录，可删除、恢复版本，受权限控制；</w:t>
            </w:r>
          </w:p>
          <w:p w14:paraId="46ADB2C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查看信息的阅读情况包括是否阅读和阅读时间、附件下载情况包括是否下载和下载时间、打印情况包括打印时间和打印次数；</w:t>
            </w:r>
          </w:p>
          <w:p w14:paraId="23C4F1F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发布HTML、文件链接、在线编辑、地址链接等多种内容类型信息；</w:t>
            </w:r>
          </w:p>
          <w:p w14:paraId="57915D8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短信、移动端、系统消息、邮件提醒，可设置推送范围，重要信息不遗漏；</w:t>
            </w:r>
          </w:p>
          <w:p w14:paraId="6474C4C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基于流程引擎，发布信息进行报批和审核；</w:t>
            </w:r>
          </w:p>
          <w:p w14:paraId="2E2481B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跨频道多选栏目快速发布信息；</w:t>
            </w:r>
          </w:p>
          <w:p w14:paraId="11C4A1D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发布信息时设置关联信息，在查看信息详情时，可拉到底部查看关联的信息；</w:t>
            </w:r>
          </w:p>
          <w:p w14:paraId="0393418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多重权限控制，包括查看、维护、删除、下载、复制、打印等权限范围控制；</w:t>
            </w:r>
          </w:p>
          <w:p w14:paraId="7E5F98A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发布继续功能，发布信息后打开该栏目下新信息表单实现在同一个栏目下快速发布多条信息的场景；</w:t>
            </w:r>
          </w:p>
          <w:p w14:paraId="0E58A82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收藏信息至个人中心-收藏夹下创建的分类中；</w:t>
            </w:r>
          </w:p>
          <w:p w14:paraId="667021F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视频栏目下文件链接类型信息上传的视频在列表页播放；</w:t>
            </w:r>
          </w:p>
          <w:p w14:paraId="5744A1E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控制文件链接类型信息下内容文件的下载；</w:t>
            </w:r>
          </w:p>
          <w:p w14:paraId="75F2474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查看信息详情以及预览图片、附件时显示水印；</w:t>
            </w:r>
          </w:p>
        </w:tc>
      </w:tr>
      <w:tr w14:paraId="3B3A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C1EC7B1">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7AD101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66BE0B4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公告栏目管理</w:t>
            </w:r>
          </w:p>
        </w:tc>
        <w:tc>
          <w:tcPr>
            <w:tcW w:w="10773" w:type="dxa"/>
          </w:tcPr>
          <w:p w14:paraId="16E5C87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对所有栏目进行管理，栏目树结构查看方式；</w:t>
            </w:r>
          </w:p>
          <w:p w14:paraId="0B29F39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设置栏目名称、所属栏目、栏目类型、新信息标识、是否允许评论和点赞、是否使用内容模板等基本信息，</w:t>
            </w:r>
          </w:p>
          <w:p w14:paraId="69A54EF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新建/查看/维护范围、是否审批关联等属性；</w:t>
            </w:r>
          </w:p>
        </w:tc>
      </w:tr>
      <w:tr w14:paraId="6327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AB61755">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132A8B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restart"/>
            <w:vAlign w:val="center"/>
          </w:tcPr>
          <w:p w14:paraId="36A599B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公告审核</w:t>
            </w:r>
          </w:p>
        </w:tc>
        <w:tc>
          <w:tcPr>
            <w:tcW w:w="10773" w:type="dxa"/>
          </w:tcPr>
          <w:p w14:paraId="0581549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待审信息：</w:t>
            </w:r>
            <w:r>
              <w:rPr>
                <w:rFonts w:hint="eastAsia" w:ascii="宋体" w:hAnsi="宋体" w:eastAsia="宋体" w:cs="宋体"/>
                <w:color w:val="auto"/>
                <w:kern w:val="0"/>
                <w:sz w:val="24"/>
                <w:szCs w:val="24"/>
                <w:highlight w:val="none"/>
              </w:rPr>
              <w:t>处理待我审核的信息流程，按流程查找信息；</w:t>
            </w:r>
          </w:p>
        </w:tc>
      </w:tr>
      <w:tr w14:paraId="46BC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A1CFC22">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47BF7D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5875F62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5CD8CE0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已审信息：</w:t>
            </w:r>
            <w:r>
              <w:rPr>
                <w:rFonts w:hint="eastAsia" w:ascii="宋体" w:hAnsi="宋体" w:eastAsia="宋体" w:cs="宋体"/>
                <w:color w:val="auto"/>
                <w:kern w:val="0"/>
                <w:sz w:val="24"/>
                <w:szCs w:val="24"/>
                <w:highlight w:val="none"/>
              </w:rPr>
              <w:t>查看我已审核的信息流程，导出审核数据；</w:t>
            </w:r>
          </w:p>
        </w:tc>
      </w:tr>
      <w:tr w14:paraId="2082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2C9314C">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49E6F3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7C40FC8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40992E5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待阅信息：</w:t>
            </w:r>
            <w:r>
              <w:rPr>
                <w:rFonts w:hint="eastAsia" w:ascii="宋体" w:hAnsi="宋体" w:eastAsia="宋体" w:cs="宋体"/>
                <w:color w:val="auto"/>
                <w:kern w:val="0"/>
                <w:sz w:val="24"/>
                <w:szCs w:val="24"/>
                <w:highlight w:val="none"/>
              </w:rPr>
              <w:t>管理传阅给我的信息流程，查看流程详情；</w:t>
            </w:r>
          </w:p>
        </w:tc>
      </w:tr>
      <w:tr w14:paraId="0347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711B19E">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EA97A9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18288C3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1A88F7E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已阅信息：</w:t>
            </w:r>
            <w:r>
              <w:rPr>
                <w:rFonts w:hint="eastAsia" w:ascii="宋体" w:hAnsi="宋体" w:eastAsia="宋体" w:cs="宋体"/>
                <w:color w:val="auto"/>
                <w:kern w:val="0"/>
                <w:sz w:val="24"/>
                <w:szCs w:val="24"/>
                <w:highlight w:val="none"/>
              </w:rPr>
              <w:t>管理我已阅件的信息流程；</w:t>
            </w:r>
          </w:p>
        </w:tc>
      </w:tr>
      <w:tr w14:paraId="4A24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40EE2FD">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03AE61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115D8BD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公告信息查询</w:t>
            </w:r>
          </w:p>
        </w:tc>
        <w:tc>
          <w:tcPr>
            <w:tcW w:w="10773" w:type="dxa"/>
          </w:tcPr>
          <w:p w14:paraId="22EA9F6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信息流程查询：</w:t>
            </w:r>
            <w:r>
              <w:rPr>
                <w:rFonts w:hint="eastAsia" w:ascii="宋体" w:hAnsi="宋体" w:eastAsia="宋体" w:cs="宋体"/>
                <w:color w:val="auto"/>
                <w:kern w:val="0"/>
                <w:sz w:val="24"/>
                <w:szCs w:val="24"/>
                <w:highlight w:val="none"/>
              </w:rPr>
              <w:t>根据流程查看人、维护人、管理员设置查询信息流程记录；</w:t>
            </w:r>
          </w:p>
          <w:p w14:paraId="63C35A0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按流程状态、发起人、标题、时间筛选流程记录；</w:t>
            </w:r>
          </w:p>
        </w:tc>
      </w:tr>
      <w:tr w14:paraId="1BD5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3966A47">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6E26CC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2549278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我发布的内容</w:t>
            </w:r>
          </w:p>
        </w:tc>
        <w:tc>
          <w:tcPr>
            <w:tcW w:w="10773" w:type="dxa"/>
          </w:tcPr>
          <w:p w14:paraId="74C14A6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我的发布：</w:t>
            </w:r>
            <w:r>
              <w:rPr>
                <w:rFonts w:hint="eastAsia" w:ascii="宋体" w:hAnsi="宋体" w:eastAsia="宋体" w:cs="宋体"/>
                <w:color w:val="auto"/>
                <w:kern w:val="0"/>
                <w:sz w:val="24"/>
                <w:szCs w:val="24"/>
                <w:highlight w:val="none"/>
              </w:rPr>
              <w:t>管理本人发布的信息，查看信息审核流程审批记录；</w:t>
            </w:r>
          </w:p>
          <w:p w14:paraId="6F87384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编辑、同步、移动、复制、删除、收藏信息；</w:t>
            </w:r>
          </w:p>
        </w:tc>
      </w:tr>
      <w:tr w14:paraId="43DE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4C3BBE9">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DF3B8D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2B9453D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我的关注</w:t>
            </w:r>
          </w:p>
        </w:tc>
        <w:tc>
          <w:tcPr>
            <w:tcW w:w="10773" w:type="dxa"/>
          </w:tcPr>
          <w:p w14:paraId="22CA804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我的关注：</w:t>
            </w:r>
            <w:r>
              <w:rPr>
                <w:rFonts w:hint="eastAsia" w:ascii="宋体" w:hAnsi="宋体" w:eastAsia="宋体" w:cs="宋体"/>
                <w:color w:val="auto"/>
                <w:kern w:val="0"/>
                <w:sz w:val="24"/>
                <w:szCs w:val="24"/>
                <w:highlight w:val="none"/>
              </w:rPr>
              <w:t>关注当前用户查看范围内的栏目，列表展示关注栏目下的所有的信息；</w:t>
            </w:r>
          </w:p>
          <w:p w14:paraId="045689C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也收藏信息至个人中心-收藏夹下创建的分类中；</w:t>
            </w:r>
          </w:p>
        </w:tc>
      </w:tr>
      <w:tr w14:paraId="6C08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D9A9464">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A32ECF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663333F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草稿箱</w:t>
            </w:r>
          </w:p>
        </w:tc>
        <w:tc>
          <w:tcPr>
            <w:tcW w:w="10773" w:type="dxa"/>
          </w:tcPr>
          <w:p w14:paraId="34F4592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草稿箱：</w:t>
            </w:r>
            <w:r>
              <w:rPr>
                <w:rFonts w:hint="eastAsia" w:ascii="宋体" w:hAnsi="宋体" w:eastAsia="宋体" w:cs="宋体"/>
                <w:color w:val="auto"/>
                <w:kern w:val="0"/>
                <w:sz w:val="24"/>
                <w:szCs w:val="24"/>
                <w:highlight w:val="none"/>
              </w:rPr>
              <w:t>编辑、发布、删除草稿信息，可批量删除；</w:t>
            </w:r>
          </w:p>
        </w:tc>
      </w:tr>
      <w:tr w14:paraId="1E33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9E02564">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144A28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71EECDC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信息统计</w:t>
            </w:r>
          </w:p>
        </w:tc>
        <w:tc>
          <w:tcPr>
            <w:tcW w:w="10773" w:type="dxa"/>
          </w:tcPr>
          <w:p w14:paraId="38BAAEB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按组织、发布人</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统计信息数量；</w:t>
            </w:r>
          </w:p>
        </w:tc>
      </w:tr>
      <w:tr w14:paraId="5E0A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4CAFD9A">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251BC7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681B5FB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积分统计</w:t>
            </w:r>
          </w:p>
        </w:tc>
        <w:tc>
          <w:tcPr>
            <w:tcW w:w="10773" w:type="dxa"/>
          </w:tcPr>
          <w:p w14:paraId="4337089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积分规则设置，不同操作设置不同积分；</w:t>
            </w:r>
          </w:p>
          <w:p w14:paraId="05E8EAE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以信息、栏目、用户、组织为计算标准进行积分统计；</w:t>
            </w:r>
          </w:p>
          <w:p w14:paraId="78A48C7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查询信息积分趋势图；</w:t>
            </w:r>
          </w:p>
        </w:tc>
      </w:tr>
      <w:tr w14:paraId="1061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B61CA42">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D2AC09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2B7ABD0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内容模板</w:t>
            </w:r>
          </w:p>
        </w:tc>
        <w:tc>
          <w:tcPr>
            <w:tcW w:w="10773" w:type="dxa"/>
          </w:tcPr>
          <w:p w14:paraId="4679B91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按类别管理内容模板；模板类别的增删改查；</w:t>
            </w:r>
          </w:p>
          <w:p w14:paraId="47ECE87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内容模板的增删改查，设置模块的适用范围；</w:t>
            </w:r>
          </w:p>
          <w:p w14:paraId="2931144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在发布信息时可选择内容模板快速发布信息，提高发布质量和效率；</w:t>
            </w:r>
          </w:p>
        </w:tc>
      </w:tr>
      <w:tr w14:paraId="6F11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06035F8">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BEBAED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3F660A3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公告审核流程管理</w:t>
            </w:r>
          </w:p>
        </w:tc>
        <w:tc>
          <w:tcPr>
            <w:tcW w:w="10773" w:type="dxa"/>
            <w:vAlign w:val="center"/>
          </w:tcPr>
          <w:p w14:paraId="2C21A35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对信息审核流程的流程节点进行自定义设计，部署、修改、删除流程；</w:t>
            </w:r>
          </w:p>
        </w:tc>
      </w:tr>
      <w:tr w14:paraId="7385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75CD2B17">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restart"/>
            <w:vAlign w:val="center"/>
          </w:tcPr>
          <w:p w14:paraId="4E884FA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日程管理</w:t>
            </w:r>
          </w:p>
        </w:tc>
        <w:tc>
          <w:tcPr>
            <w:tcW w:w="1559" w:type="dxa"/>
            <w:vAlign w:val="center"/>
          </w:tcPr>
          <w:p w14:paraId="7EBCCEC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日程管理</w:t>
            </w:r>
          </w:p>
        </w:tc>
        <w:tc>
          <w:tcPr>
            <w:tcW w:w="10773" w:type="dxa"/>
          </w:tcPr>
          <w:p w14:paraId="71BE55D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可以</w:t>
            </w:r>
            <w:r>
              <w:rPr>
                <w:rFonts w:hint="eastAsia" w:ascii="宋体" w:hAnsi="宋体" w:eastAsia="宋体" w:cs="宋体"/>
                <w:color w:val="auto"/>
                <w:kern w:val="0"/>
                <w:sz w:val="24"/>
                <w:szCs w:val="24"/>
                <w:highlight w:val="none"/>
                <w:lang w:eastAsia="zh-CN"/>
              </w:rPr>
              <w:t>对用户所属人员</w:t>
            </w:r>
            <w:r>
              <w:rPr>
                <w:rFonts w:hint="eastAsia" w:ascii="宋体" w:hAnsi="宋体" w:eastAsia="宋体" w:cs="宋体"/>
                <w:color w:val="auto"/>
                <w:kern w:val="0"/>
                <w:sz w:val="24"/>
                <w:szCs w:val="24"/>
                <w:highlight w:val="none"/>
              </w:rPr>
              <w:t>日程进行管理，领导可以查看到下属工作日程，需要关注领导日程的办公室人员可以看到领导日程安排，可以更高效的通过平台确定领导的时间安排，在领导方便没有安排的时间段内去做工作汇报更有利于提高办公效率。</w:t>
            </w:r>
          </w:p>
        </w:tc>
      </w:tr>
      <w:tr w14:paraId="58C9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B0D754F">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B4950F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2CFEA26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我的日程</w:t>
            </w:r>
          </w:p>
        </w:tc>
        <w:tc>
          <w:tcPr>
            <w:tcW w:w="10773" w:type="dxa"/>
          </w:tcPr>
          <w:p w14:paraId="3DFAE71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设置日程分类，多种颜色进行标识，按分类查看日程；</w:t>
            </w:r>
          </w:p>
          <w:p w14:paraId="76866DF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共享分类，包括这个分类的允许查看、允许维护范围；</w:t>
            </w:r>
          </w:p>
          <w:p w14:paraId="3649C1D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以日视图、周视图、工作周视图、月视图、列表视图查看日程安排；</w:t>
            </w:r>
          </w:p>
          <w:p w14:paraId="6FC2CDD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共享日程，设置查看范围和维护范围；</w:t>
            </w:r>
          </w:p>
          <w:p w14:paraId="1F89CA0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点击新建按钮或点击、拖动选中日历区块创建普通日程、全天日程和重复日程；</w:t>
            </w:r>
          </w:p>
          <w:p w14:paraId="6DA7C16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标注日程的重要程度，普通/重要；</w:t>
            </w:r>
          </w:p>
          <w:p w14:paraId="07CCDC4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设置日程参与人，提高协作办公效率；</w:t>
            </w:r>
          </w:p>
          <w:p w14:paraId="5E5EC1C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日程到提醒时间移动端、短信、邮件推送；</w:t>
            </w:r>
          </w:p>
          <w:p w14:paraId="738ED23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标记完成日程，完成的日程置灰；导出日程；</w:t>
            </w:r>
          </w:p>
          <w:p w14:paraId="4796FDA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按日程状态、标题快速检索定位；</w:t>
            </w:r>
          </w:p>
        </w:tc>
      </w:tr>
      <w:tr w14:paraId="160E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EDC1B38">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E8B7BC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215C2E6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领导日程</w:t>
            </w:r>
          </w:p>
        </w:tc>
        <w:tc>
          <w:tcPr>
            <w:tcW w:w="10773" w:type="dxa"/>
          </w:tcPr>
          <w:p w14:paraId="4462A2D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秘书等领导授权人员可以查看、维护领导的日程安排；</w:t>
            </w:r>
          </w:p>
          <w:p w14:paraId="30FDDF0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有维护权限的用户对领导日程进行增删改查、共享、导入日程操作；</w:t>
            </w:r>
          </w:p>
          <w:p w14:paraId="4A5A32D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按概览模式和详情模式导出领导日程；按领导分类、单位、领导筛选日程查看；</w:t>
            </w:r>
          </w:p>
          <w:p w14:paraId="34D9FBE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以日视图、周视图、工作周视图、月视图、列表视图查看日程安排；</w:t>
            </w:r>
          </w:p>
        </w:tc>
      </w:tr>
      <w:tr w14:paraId="3B3B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D3B173B">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A66C26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1410C33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其他日程</w:t>
            </w:r>
          </w:p>
        </w:tc>
        <w:tc>
          <w:tcPr>
            <w:tcW w:w="10773" w:type="dxa"/>
          </w:tcPr>
          <w:p w14:paraId="64CE060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日程设置-自定义设置处设置日程栏目，查看范围下人员才能查看到这个栏目，展示相关人员创建的日程；</w:t>
            </w:r>
          </w:p>
          <w:p w14:paraId="4A64C4E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以日视图、周视图、工作周视图、月视图、列表视图查看日程安排；</w:t>
            </w:r>
          </w:p>
          <w:p w14:paraId="51FB09F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日程查看、导出；按相关人员、日程标题快速检索日程；</w:t>
            </w:r>
          </w:p>
        </w:tc>
      </w:tr>
      <w:tr w14:paraId="768B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ACE4E23">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EB6BEB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1559" w:type="dxa"/>
            <w:vAlign w:val="center"/>
          </w:tcPr>
          <w:p w14:paraId="2237196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共享给</w:t>
            </w:r>
          </w:p>
          <w:p w14:paraId="436C29D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我的日程</w:t>
            </w:r>
          </w:p>
        </w:tc>
        <w:tc>
          <w:tcPr>
            <w:tcW w:w="10773" w:type="dxa"/>
          </w:tcPr>
          <w:p w14:paraId="62E19BD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按共享用户查看、导出、维护共享给我的日程（维护范围设置）；</w:t>
            </w:r>
          </w:p>
          <w:p w14:paraId="45018F5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以日视图、周视图、工作周视图、月视图、列表视图查看日程安排；</w:t>
            </w:r>
          </w:p>
          <w:p w14:paraId="0F328C9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日程到提醒时间移动端、短信、邮件推送；</w:t>
            </w:r>
          </w:p>
          <w:p w14:paraId="19436E1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按共享人、日程标题快速检索日程；</w:t>
            </w:r>
          </w:p>
        </w:tc>
      </w:tr>
      <w:tr w14:paraId="4685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C420EFC">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9206ED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restart"/>
            <w:vAlign w:val="center"/>
          </w:tcPr>
          <w:p w14:paraId="438A3FD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日程设置</w:t>
            </w:r>
          </w:p>
          <w:p w14:paraId="1208659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（灵活）</w:t>
            </w:r>
          </w:p>
        </w:tc>
        <w:tc>
          <w:tcPr>
            <w:tcW w:w="10773" w:type="dxa"/>
          </w:tcPr>
          <w:p w14:paraId="4BC1A86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视图显示设置：</w:t>
            </w:r>
            <w:r>
              <w:rPr>
                <w:rFonts w:hint="eastAsia" w:ascii="宋体" w:hAnsi="宋体" w:eastAsia="宋体" w:cs="宋体"/>
                <w:color w:val="auto"/>
                <w:kern w:val="0"/>
                <w:sz w:val="24"/>
                <w:szCs w:val="24"/>
                <w:highlight w:val="none"/>
              </w:rPr>
              <w:t>设置各个日程菜单下显示的视图；</w:t>
            </w:r>
          </w:p>
          <w:p w14:paraId="5A446C3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设置领导日程、下属日程、其他日程、共享给日程周视图日程排序规则，按照时间或人员进行排序；</w:t>
            </w:r>
          </w:p>
        </w:tc>
      </w:tr>
      <w:tr w14:paraId="70D0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46FB66E">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12F922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1DFF1A5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450EE23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工作周设置：</w:t>
            </w:r>
            <w:r>
              <w:rPr>
                <w:rFonts w:hint="eastAsia" w:ascii="宋体" w:hAnsi="宋体" w:eastAsia="宋体" w:cs="宋体"/>
                <w:color w:val="auto"/>
                <w:kern w:val="0"/>
                <w:sz w:val="24"/>
                <w:szCs w:val="24"/>
                <w:highlight w:val="none"/>
              </w:rPr>
              <w:t>工作周日历显示区间设置，工作日显示/隐藏设置；</w:t>
            </w:r>
          </w:p>
        </w:tc>
      </w:tr>
      <w:tr w14:paraId="2274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D555445">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B9E3AB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5BB569E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0E185E9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日程信息字段设置：</w:t>
            </w:r>
            <w:r>
              <w:rPr>
                <w:rFonts w:hint="eastAsia" w:ascii="宋体" w:hAnsi="宋体" w:eastAsia="宋体" w:cs="宋体"/>
                <w:color w:val="auto"/>
                <w:kern w:val="0"/>
                <w:sz w:val="24"/>
                <w:szCs w:val="24"/>
                <w:highlight w:val="none"/>
              </w:rPr>
              <w:t>设置新建、查看、编辑日程时显示的字段；</w:t>
            </w:r>
          </w:p>
          <w:p w14:paraId="0F6BA70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标题开启/关闭快速选择功能；</w:t>
            </w:r>
          </w:p>
          <w:p w14:paraId="5F3D25A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日期时间设置开始结束/上午下午模式；</w:t>
            </w:r>
          </w:p>
        </w:tc>
      </w:tr>
      <w:tr w14:paraId="2A23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BA7F0CD">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31C61C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141FD87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5F7D071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日程显示设置：</w:t>
            </w:r>
            <w:r>
              <w:rPr>
                <w:rFonts w:hint="eastAsia" w:ascii="宋体" w:hAnsi="宋体" w:eastAsia="宋体" w:cs="宋体"/>
                <w:color w:val="auto"/>
                <w:kern w:val="0"/>
                <w:sz w:val="24"/>
                <w:szCs w:val="24"/>
                <w:highlight w:val="none"/>
              </w:rPr>
              <w:t>设置是否显示领导日程、下属日程和共享给我的日程；</w:t>
            </w:r>
          </w:p>
          <w:p w14:paraId="2D5A71F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设置日程同步，若开启并配置，OA创建的日程和</w:t>
            </w:r>
            <w:r>
              <w:rPr>
                <w:rFonts w:hint="eastAsia" w:ascii="宋体" w:hAnsi="宋体" w:eastAsia="宋体" w:cs="宋体"/>
                <w:color w:val="auto"/>
                <w:kern w:val="0"/>
                <w:sz w:val="24"/>
                <w:szCs w:val="24"/>
                <w:highlight w:val="none"/>
                <w:lang w:eastAsia="zh-CN"/>
              </w:rPr>
              <w:t>移动平台</w:t>
            </w:r>
            <w:r>
              <w:rPr>
                <w:rFonts w:hint="eastAsia" w:ascii="宋体" w:hAnsi="宋体" w:eastAsia="宋体" w:cs="宋体"/>
                <w:color w:val="auto"/>
                <w:kern w:val="0"/>
                <w:sz w:val="24"/>
                <w:szCs w:val="24"/>
                <w:highlight w:val="none"/>
              </w:rPr>
              <w:t>创建的日程可双向同步；</w:t>
            </w:r>
          </w:p>
        </w:tc>
      </w:tr>
      <w:tr w14:paraId="309E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7770ECD">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C883C6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0CAD95A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vAlign w:val="center"/>
          </w:tcPr>
          <w:p w14:paraId="5F3C06C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选人页签设置：</w:t>
            </w:r>
            <w:r>
              <w:rPr>
                <w:rFonts w:hint="eastAsia" w:ascii="宋体" w:hAnsi="宋体" w:eastAsia="宋体" w:cs="宋体"/>
                <w:color w:val="auto"/>
                <w:kern w:val="0"/>
                <w:sz w:val="24"/>
                <w:szCs w:val="24"/>
                <w:highlight w:val="none"/>
              </w:rPr>
              <w:t>设置日程参与人、可查看范围、可维护范围选人时的页签显示；</w:t>
            </w:r>
          </w:p>
        </w:tc>
      </w:tr>
      <w:tr w14:paraId="2020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CCE832B">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005C7F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2B34686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vAlign w:val="center"/>
          </w:tcPr>
          <w:p w14:paraId="76982C7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领导日程分类设置：</w:t>
            </w:r>
            <w:r>
              <w:rPr>
                <w:rFonts w:hint="eastAsia" w:ascii="宋体" w:hAnsi="宋体" w:eastAsia="宋体" w:cs="宋体"/>
                <w:color w:val="auto"/>
                <w:kern w:val="0"/>
                <w:sz w:val="24"/>
                <w:szCs w:val="24"/>
                <w:highlight w:val="none"/>
              </w:rPr>
              <w:t>设置多个领导日程分类，设置可查看范围，指定分类的适用范围；</w:t>
            </w:r>
          </w:p>
        </w:tc>
      </w:tr>
      <w:tr w14:paraId="42FB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19929B6">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726660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551D781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vAlign w:val="center"/>
          </w:tcPr>
          <w:p w14:paraId="4BE47D1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领导日程设置：</w:t>
            </w:r>
            <w:r>
              <w:rPr>
                <w:rFonts w:hint="eastAsia" w:ascii="宋体" w:hAnsi="宋体" w:eastAsia="宋体" w:cs="宋体"/>
                <w:color w:val="auto"/>
                <w:kern w:val="0"/>
                <w:sz w:val="24"/>
                <w:szCs w:val="24"/>
                <w:highlight w:val="none"/>
              </w:rPr>
              <w:t>设置所属的领导日程分类，添加相关领导、设置对应的日程维护人和可查看范围；</w:t>
            </w:r>
          </w:p>
        </w:tc>
      </w:tr>
      <w:tr w14:paraId="0AC2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5DA4A7A">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7D4EE0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2256140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vAlign w:val="center"/>
          </w:tcPr>
          <w:p w14:paraId="1C29AAA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自定义设置日程栏目，设置栏目名称、展示日程的人员、查看日程的人员；</w:t>
            </w:r>
          </w:p>
        </w:tc>
      </w:tr>
      <w:tr w14:paraId="445E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493C3CE">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A7F1C5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2D75A8F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vAlign w:val="center"/>
          </w:tcPr>
          <w:p w14:paraId="294AD24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基础状态设置：</w:t>
            </w:r>
            <w:r>
              <w:rPr>
                <w:rFonts w:hint="eastAsia" w:ascii="宋体" w:hAnsi="宋体" w:eastAsia="宋体" w:cs="宋体"/>
                <w:color w:val="auto"/>
                <w:kern w:val="0"/>
                <w:sz w:val="24"/>
                <w:szCs w:val="24"/>
                <w:highlight w:val="none"/>
              </w:rPr>
              <w:t>维护基础状态内容，在创建日程时可选择基础状态快速填入标题；</w:t>
            </w:r>
          </w:p>
        </w:tc>
      </w:tr>
      <w:tr w14:paraId="6AB7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3660BAE3">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restart"/>
            <w:vAlign w:val="center"/>
          </w:tcPr>
          <w:p w14:paraId="1589EB6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无纸化会议</w:t>
            </w:r>
          </w:p>
        </w:tc>
        <w:tc>
          <w:tcPr>
            <w:tcW w:w="1559" w:type="dxa"/>
            <w:vAlign w:val="center"/>
          </w:tcPr>
          <w:p w14:paraId="17606E1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会议总览</w:t>
            </w:r>
          </w:p>
        </w:tc>
        <w:tc>
          <w:tcPr>
            <w:tcW w:w="10773" w:type="dxa"/>
            <w:vAlign w:val="center"/>
          </w:tcPr>
          <w:p w14:paraId="5805F6F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查看当前已公布会议、历史参加会议，相关会议等将永久存档会议文件，参会人员可随时根据会议名称查看历史会议相关文件。</w:t>
            </w:r>
          </w:p>
        </w:tc>
      </w:tr>
      <w:tr w14:paraId="7A2D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C335879">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0114B7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14B32A1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会议室管理</w:t>
            </w:r>
          </w:p>
        </w:tc>
        <w:tc>
          <w:tcPr>
            <w:tcW w:w="10773" w:type="dxa"/>
            <w:vAlign w:val="center"/>
          </w:tcPr>
          <w:p w14:paraId="08739A6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预约会议室时可自动检测会议室是否被占用，在线显示各会议室的预约状况、使用状况、审批状况等。</w:t>
            </w:r>
          </w:p>
        </w:tc>
      </w:tr>
      <w:tr w14:paraId="2253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1F12328">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AA4E40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42F3AEF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会议日程议程</w:t>
            </w:r>
          </w:p>
        </w:tc>
        <w:tc>
          <w:tcPr>
            <w:tcW w:w="10773" w:type="dxa"/>
            <w:vAlign w:val="center"/>
          </w:tcPr>
          <w:p w14:paraId="479B6F4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查看相关日程会议信息，会议日程将自动按时间排序显示到日程中，参会人员随时点击查看。</w:t>
            </w:r>
          </w:p>
          <w:p w14:paraId="682E7FB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（1）会议日程查看</w:t>
            </w:r>
          </w:p>
          <w:p w14:paraId="11472AE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★会议日程根据日期、时间排列展示，可直接查看会议名称、具体会议时间，自行添加新建个人日程。</w:t>
            </w:r>
          </w:p>
          <w:p w14:paraId="556B0C2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（2）会议议程</w:t>
            </w:r>
          </w:p>
          <w:p w14:paraId="627EE4A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参会人员可查看本次会议的所有议程及相关文件。</w:t>
            </w:r>
          </w:p>
        </w:tc>
      </w:tr>
      <w:tr w14:paraId="662C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60166DD">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6DBC6E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6263A78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会议信息管理</w:t>
            </w:r>
          </w:p>
        </w:tc>
        <w:tc>
          <w:tcPr>
            <w:tcW w:w="10773" w:type="dxa"/>
            <w:vAlign w:val="center"/>
          </w:tcPr>
          <w:p w14:paraId="2771D8D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（1）预约会议</w:t>
            </w:r>
          </w:p>
          <w:p w14:paraId="60B1AB9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办会人员可提前预约会议，提前通知参会人员相关会议信息</w:t>
            </w:r>
          </w:p>
          <w:p w14:paraId="7A3F8C3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（2）新增会议</w:t>
            </w:r>
          </w:p>
          <w:p w14:paraId="176E024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办会人员可在线新增会议，设置会议会徽，选择相关会议类型，填写会议名称等。</w:t>
            </w:r>
          </w:p>
          <w:p w14:paraId="3DD8A05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（3）会议发布</w:t>
            </w:r>
          </w:p>
          <w:p w14:paraId="49D4753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随时选择发布会议，系统将自动通知与会者，提供会议议程、相关文档等材料。</w:t>
            </w:r>
          </w:p>
          <w:p w14:paraId="1D8E6B4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（4）会议重置</w:t>
            </w:r>
          </w:p>
          <w:p w14:paraId="4352C95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★如参会人员需提前了解会议情况，真实会议场景模拟，结束后可重置会议数据。</w:t>
            </w:r>
          </w:p>
          <w:p w14:paraId="0AE66E0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（5）大屏预览</w:t>
            </w:r>
          </w:p>
          <w:p w14:paraId="124E1F1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★大屏预览功能，可以等比预览会议大屏效果，在开会前调整所有议程的标题大小、字体、颜色、行高、间距、对齐方式，智能适配各种分辨率等比缩放。</w:t>
            </w:r>
          </w:p>
        </w:tc>
      </w:tr>
      <w:tr w14:paraId="4007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1221C79">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5349D9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03A2DDB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会议人员管理</w:t>
            </w:r>
          </w:p>
        </w:tc>
        <w:tc>
          <w:tcPr>
            <w:tcW w:w="10773" w:type="dxa"/>
            <w:vAlign w:val="center"/>
          </w:tcPr>
          <w:p w14:paraId="4CD62E0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（1）同步参会人员</w:t>
            </w:r>
          </w:p>
          <w:p w14:paraId="0537F5C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★同步历史参会人员信息，无需重复输入参会人员信息。</w:t>
            </w:r>
          </w:p>
          <w:p w14:paraId="7747B31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（2）修改参会状态</w:t>
            </w:r>
          </w:p>
          <w:p w14:paraId="6975956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可变更参会人员状态，如“出席”或“请假”。</w:t>
            </w:r>
          </w:p>
          <w:p w14:paraId="4BD5C08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（3）同屏权限设置</w:t>
            </w:r>
          </w:p>
          <w:p w14:paraId="449E524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设置同屏发起人权限，确保协作的顺利进行。</w:t>
            </w:r>
          </w:p>
          <w:p w14:paraId="4C57D67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（4）导出参会人员</w:t>
            </w:r>
          </w:p>
          <w:p w14:paraId="7DD3D4C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一键导出与会人员所有信息，包括姓名、联系方式、所在单位等。</w:t>
            </w:r>
          </w:p>
          <w:p w14:paraId="4EDB012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（5）导出桌牌</w:t>
            </w:r>
          </w:p>
          <w:p w14:paraId="40A058A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shd w:val="clear" w:color="auto" w:fill="auto"/>
                <w:lang w:val="en-US" w:eastAsia="zh-CN"/>
              </w:rPr>
              <w:t>通过系统导出不同样式的桌牌信息，满足各种会议场景，简化桌牌制作流程。</w:t>
            </w:r>
          </w:p>
        </w:tc>
      </w:tr>
      <w:tr w14:paraId="244B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AA135A0">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7B1930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0C6F305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会议材料管理</w:t>
            </w:r>
          </w:p>
        </w:tc>
        <w:tc>
          <w:tcPr>
            <w:tcW w:w="10773" w:type="dxa"/>
            <w:vAlign w:val="center"/>
          </w:tcPr>
          <w:p w14:paraId="0EAB0EA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（1）会议材料预下载</w:t>
            </w:r>
          </w:p>
          <w:p w14:paraId="41A4A0F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办会人员可一键控制参会人员终端预下载参会文件，多格式文件，如pdf;doc;docx;wps;xls;xlsx;ppt;pptx;jpg;gif;png;jpeg;bmp;mp4;mp3;ofd；et;dps等。</w:t>
            </w:r>
          </w:p>
          <w:p w14:paraId="325A34A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（2）文件分类管理</w:t>
            </w:r>
          </w:p>
          <w:p w14:paraId="5CDDD1E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新增/修改/删除文件分类，分类结果实时同步参会人员终端，文件分类模式应用到新的会议中。</w:t>
            </w:r>
          </w:p>
          <w:p w14:paraId="619F8E8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（3）上传会议材料</w:t>
            </w:r>
          </w:p>
          <w:p w14:paraId="715DC88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会议材料可根据会议议程进行上传，也可根据文件分类进行上传。</w:t>
            </w:r>
          </w:p>
          <w:p w14:paraId="7B9BC81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★每个文件根据不同查看权限进行设置分发，可以查看分发人数和查收百分比。</w:t>
            </w:r>
          </w:p>
          <w:p w14:paraId="60A3417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（4）上传议题</w:t>
            </w:r>
          </w:p>
          <w:p w14:paraId="571871C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议程管理功能，可以添加、编辑、删除议程。</w:t>
            </w:r>
          </w:p>
          <w:p w14:paraId="5114BF9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上传会议文件压缩包，系统根据文件内容自动生成完整会议议题和文件，投票的议题需单独补充。</w:t>
            </w:r>
          </w:p>
          <w:p w14:paraId="013AC45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多级议程功能，议程、议题、材料三级结构管理，可以鼠标拖动自由调整议程顺序。</w:t>
            </w:r>
          </w:p>
          <w:p w14:paraId="4EBEDA3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（5）议程预览</w:t>
            </w:r>
          </w:p>
          <w:p w14:paraId="6A0595B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提前预览大屏显示议程情况，可实时进行议程排版，如字体大小、字体颜色、间距、行距等调整。</w:t>
            </w:r>
          </w:p>
          <w:p w14:paraId="6A5C099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（6）AI语音播报</w:t>
            </w:r>
          </w:p>
          <w:p w14:paraId="088005A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★AI实播功能，后台将文件通过加密方式上传，根据输入的文本，由系统机器人进行语音宣读。 </w:t>
            </w:r>
          </w:p>
        </w:tc>
      </w:tr>
      <w:tr w14:paraId="708A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7F1D369">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4476A5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0231641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会议材料推送</w:t>
            </w:r>
          </w:p>
        </w:tc>
        <w:tc>
          <w:tcPr>
            <w:tcW w:w="10773" w:type="dxa"/>
            <w:vAlign w:val="center"/>
          </w:tcPr>
          <w:p w14:paraId="63C04CA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（1）批量推送</w:t>
            </w:r>
          </w:p>
          <w:p w14:paraId="1D5F618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一键批量分发，重复多次上传推送，最新文件版本实时更新。</w:t>
            </w:r>
          </w:p>
          <w:p w14:paraId="67C0D43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（2）指定推送</w:t>
            </w:r>
          </w:p>
          <w:p w14:paraId="014F27A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若文件涉及敏感或特定内容的，指定需要接收的参会人员，只有被指定的终端才可查看分发的文件。</w:t>
            </w:r>
          </w:p>
        </w:tc>
      </w:tr>
      <w:tr w14:paraId="66D7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790A477">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39D444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2C2B4AD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批注回传收集</w:t>
            </w:r>
          </w:p>
        </w:tc>
        <w:tc>
          <w:tcPr>
            <w:tcW w:w="10773" w:type="dxa"/>
            <w:vAlign w:val="center"/>
          </w:tcPr>
          <w:p w14:paraId="0F4E19B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会议的所有批注内容进行自动回收汇总，按文件显示批注内容，可以逐条查看并转化成文字，可以一键导出归档后的文字批注。</w:t>
            </w:r>
          </w:p>
        </w:tc>
      </w:tr>
      <w:tr w14:paraId="2F6D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A51CB15">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E82AA5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6F2D486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会后材料归档</w:t>
            </w:r>
          </w:p>
        </w:tc>
        <w:tc>
          <w:tcPr>
            <w:tcW w:w="10773" w:type="dxa"/>
            <w:vAlign w:val="center"/>
          </w:tcPr>
          <w:p w14:paraId="5E88860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（1）数据归档</w:t>
            </w:r>
          </w:p>
          <w:p w14:paraId="6FA2CAD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一键销毁功能，会后针对重要文件，可以进行集中技术销毁、不留历史痕迹，客户端将不能再查看相关文件内容；</w:t>
            </w:r>
          </w:p>
          <w:p w14:paraId="71A3213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自动回收手写标记并汇总，按文件显示手写内容，可逐条查看并转化成文字；</w:t>
            </w:r>
          </w:p>
          <w:p w14:paraId="36CEB58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自动收集文字和图片审议备注并汇总，按文件显示备注内容；</w:t>
            </w:r>
          </w:p>
          <w:p w14:paraId="12123D6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结果查看功能，可根据会议集中查看签到、表决、测评等互动议程的结果数据，一键导出EXCEL存档；</w:t>
            </w:r>
          </w:p>
          <w:p w14:paraId="69898FE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数据打包功能，可以一键下载所有互动议程结果数据；</w:t>
            </w:r>
          </w:p>
          <w:p w14:paraId="25FE216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会务文件管理，可以上传管理会议服务、会风会纪、会议记录等会务文件，进行集中统一管理。</w:t>
            </w:r>
          </w:p>
          <w:p w14:paraId="72244F6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（2）历史材料</w:t>
            </w:r>
          </w:p>
          <w:p w14:paraId="5A0E678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★汇聚所有历史材料，办会单位可根据材料上传时间、会议材料所属会议、文件类型、文件名称等搜索相关文件。</w:t>
            </w:r>
          </w:p>
        </w:tc>
      </w:tr>
      <w:tr w14:paraId="0396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183B048">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D5F198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7CD04BC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终端管理</w:t>
            </w:r>
          </w:p>
        </w:tc>
        <w:tc>
          <w:tcPr>
            <w:tcW w:w="10773" w:type="dxa"/>
            <w:vAlign w:val="center"/>
          </w:tcPr>
          <w:p w14:paraId="59D439C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（1）终端文件自动删除</w:t>
            </w:r>
          </w:p>
          <w:p w14:paraId="7276987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对所有会议终端进行定期自动批量删除，所有会议终端将不能再查看相关文件内容。</w:t>
            </w:r>
          </w:p>
          <w:p w14:paraId="3F3746F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（2）通信监控</w:t>
            </w:r>
          </w:p>
          <w:p w14:paraId="5DFC4EF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★为帮助管理人员及时了解参会人员终端的运行状况和问题情况，通信监控功能汇聚所有终端日志信息，导出日志。</w:t>
            </w:r>
          </w:p>
        </w:tc>
      </w:tr>
      <w:tr w14:paraId="3A5B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43C4425">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E6F437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25A62B1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会议纪要</w:t>
            </w:r>
          </w:p>
        </w:tc>
        <w:tc>
          <w:tcPr>
            <w:tcW w:w="10773" w:type="dxa"/>
            <w:vAlign w:val="center"/>
          </w:tcPr>
          <w:p w14:paraId="3D0B3CA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AI 提炼会议纪要，会场键盘声、脚步声等杂音降噪，多语种、方言转文字。</w:t>
            </w:r>
          </w:p>
          <w:p w14:paraId="0E51422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★配备智能语音转写系统1套。</w:t>
            </w:r>
          </w:p>
          <w:p w14:paraId="7ED600C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1.支持运用大规模的语言模型，智能预测语境，提供智能断句和标点符号的预测，可对结果中出现数字、日期、时间等内容格式化成规整的文本，可在会议或教学过程中提供实时字幕，实现直播效果。</w:t>
            </w:r>
          </w:p>
          <w:p w14:paraId="3B88BC0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2.具有硬件接口：≥1×HDMI、≥1×DP、≥2×USB2.0、≥2×USB3.0、≥1×MIC in、≥1×Line out。</w:t>
            </w:r>
          </w:p>
          <w:p w14:paraId="0C15C49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3.建立应用与语音识别引擎的长链接，对不限时长的音频流作实时识别，可以做到“边说话边同步输出文字”的效果，内置智能断句，可提供每句话开始结束时间，适用于实时直播字幕、实时会议记录</w:t>
            </w:r>
          </w:p>
          <w:p w14:paraId="60F1215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4.语音识别准确率：标准普通话转写准确率≥96%。</w:t>
            </w:r>
          </w:p>
          <w:p w14:paraId="260BE4E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支持将实时外部音频信号转换成文字文本，转写文本可按照发言人角色进行自动分离，内容更加清晰直观。支持设置自动分段、语气词过滤、禁忌词屏蔽以及添加系统热词，优化文本显示。支持对文本中重点或存疑内容进行标记，方便会后整理文稿。支持查找文本关键词、按发言人显示文本功能。支持文本编辑，允许编辑单句，修改错别字。</w:t>
            </w:r>
          </w:p>
          <w:p w14:paraId="23D1127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支持编辑会议纪要，对会议重要内容进行记录。纪要文本支持字体类型、字体大小、加粗、斜体、下划线自定义设置。采用二分屏对照转写文本的方式，记录人员可直接将转写文本内容复制到纪要文本中，提升会议记录效率。</w:t>
            </w:r>
          </w:p>
        </w:tc>
      </w:tr>
      <w:tr w14:paraId="43FF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A718870">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B73D50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7CA872D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移动阅文</w:t>
            </w:r>
          </w:p>
        </w:tc>
        <w:tc>
          <w:tcPr>
            <w:tcW w:w="10773" w:type="dxa"/>
            <w:vAlign w:val="center"/>
          </w:tcPr>
          <w:p w14:paraId="408CB210">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（1）会议材料列表</w:t>
            </w:r>
          </w:p>
          <w:p w14:paraId="662EF6B4">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会议材料以会议形式展现，参会人员可根据参与会议查看相关会议材料。</w:t>
            </w:r>
          </w:p>
          <w:p w14:paraId="3C12B9F1">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★文件显示已读未读状态。</w:t>
            </w:r>
          </w:p>
          <w:p w14:paraId="09FA4CD8">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文件通过加密通道下载，内置安全加密文档阅读器，在线、离线多模式浏览。</w:t>
            </w:r>
          </w:p>
          <w:p w14:paraId="6B5FD91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办会人员可于后台查看文件的阅读情况，提醒未读参会人员及时对文件进行审议。</w:t>
            </w:r>
          </w:p>
          <w:p w14:paraId="680ED549">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（2）文件查看</w:t>
            </w:r>
          </w:p>
          <w:p w14:paraId="2FAB6EA5">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横竖屏浏览文件，上下滑动浏览翻页，也可以点击快速翻页。</w:t>
            </w:r>
          </w:p>
          <w:p w14:paraId="0215A2D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★可根据文件不同类型，以无水印或使用桌牌水印、自定义水印形式呈现。</w:t>
            </w:r>
          </w:p>
          <w:p w14:paraId="64943EB2">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（3）分屏比较</w:t>
            </w:r>
          </w:p>
          <w:p w14:paraId="6DBD1615">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★左右分屏、上下分屏形式，可选择不同文件或相同文件进行对比查看。</w:t>
            </w:r>
          </w:p>
          <w:p w14:paraId="7944DBA5">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（4）多媒体播放</w:t>
            </w:r>
          </w:p>
          <w:p w14:paraId="0DFB3158">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大会期间参会人员可通过本系统查看多媒体视频、规划文件等。多种文件格式，如pdf;doc;docx;wps;xls;xlsx;ppt;pptx;jpg;gif;png;jpeg;bmp;mp4;mp3;ofd；et;dps等。</w:t>
            </w:r>
          </w:p>
        </w:tc>
      </w:tr>
      <w:tr w14:paraId="1A63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3E5C7D1">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D40855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67BD96F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文件审议</w:t>
            </w:r>
          </w:p>
        </w:tc>
        <w:tc>
          <w:tcPr>
            <w:tcW w:w="10773" w:type="dxa"/>
            <w:vAlign w:val="center"/>
          </w:tcPr>
          <w:p w14:paraId="14824CE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（1）文件查看</w:t>
            </w:r>
          </w:p>
          <w:p w14:paraId="029C97F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横竖屏浏览文件，上下滑动浏览翻页，也可以点击快速翻页。可根据文件不同类型，以无水印或增加水印形式呈现。</w:t>
            </w:r>
          </w:p>
          <w:p w14:paraId="3268F12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（2）文件批注</w:t>
            </w:r>
          </w:p>
          <w:p w14:paraId="1C96708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选择多种文件批注方式，批注信息将自动实时保存。</w:t>
            </w:r>
          </w:p>
          <w:p w14:paraId="2254510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（1）手写批注，手写模式，真实还原手写笔锋，参会人员能在纸质书写一般。</w:t>
            </w:r>
          </w:p>
          <w:p w14:paraId="11F8ED6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（2）打字批注，参会人员可打字输入批注信息。</w:t>
            </w:r>
          </w:p>
          <w:p w14:paraId="06649E5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 w:eastAsia="zh-CN"/>
              </w:rPr>
            </w:pPr>
            <w:r>
              <w:rPr>
                <w:rFonts w:hint="eastAsia" w:ascii="宋体" w:hAnsi="宋体" w:eastAsia="宋体" w:cs="宋体"/>
                <w:color w:val="auto"/>
                <w:kern w:val="0"/>
                <w:sz w:val="24"/>
                <w:szCs w:val="24"/>
                <w:highlight w:val="none"/>
                <w:lang w:val="en-US" w:eastAsia="zh-CN"/>
              </w:rPr>
              <w:t>（3）文件标记。</w:t>
            </w:r>
          </w:p>
          <w:p w14:paraId="7D252FC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如参会人员对文件进行高亮、下线划、删除线等标记，单笔擦除或全屏清除。</w:t>
            </w:r>
          </w:p>
        </w:tc>
      </w:tr>
      <w:tr w14:paraId="1CB1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3F78391">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B79DC4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08BEAD6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安全阅文</w:t>
            </w:r>
          </w:p>
        </w:tc>
        <w:tc>
          <w:tcPr>
            <w:tcW w:w="10773" w:type="dxa"/>
            <w:vAlign w:val="center"/>
          </w:tcPr>
          <w:p w14:paraId="74FDE34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（1）文件安全水印</w:t>
            </w:r>
          </w:p>
          <w:p w14:paraId="0BC3311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文件材料水印、桌牌水印、自定义水印等形式呈现（文件上传后均需带有水印）。</w:t>
            </w:r>
          </w:p>
          <w:p w14:paraId="40EA59E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（2）离线查看模式</w:t>
            </w:r>
          </w:p>
          <w:p w14:paraId="5E56C88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★会议终端离线模式查看文件，提高文件的安全性。</w:t>
            </w:r>
          </w:p>
          <w:p w14:paraId="3EF4A94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（3）安全阅读器</w:t>
            </w:r>
          </w:p>
          <w:p w14:paraId="5360AC6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★文件默认使用安全阅读器，进行文字提示。</w:t>
            </w:r>
          </w:p>
        </w:tc>
      </w:tr>
      <w:tr w14:paraId="1380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0BF7106">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90B049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4B6897F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多角色客户端</w:t>
            </w:r>
          </w:p>
        </w:tc>
        <w:tc>
          <w:tcPr>
            <w:tcW w:w="10773" w:type="dxa"/>
            <w:vAlign w:val="center"/>
          </w:tcPr>
          <w:p w14:paraId="6C5E43B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若当前终端设备故障，可实时切换至新的设备终端，保障会议顺利进行。</w:t>
            </w:r>
          </w:p>
          <w:p w14:paraId="566F65A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根据议题内容由管理员对参会人员进行分类，即根据内容将相关人员拉入出席、列席等模块，终端根据自身所在的模块自动对参会人员显示相关内容，同时拥有相关权限（即签到、赞成等互动议程功能）。</w:t>
            </w:r>
          </w:p>
          <w:p w14:paraId="208E06D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主持人终端切换</w:t>
            </w:r>
          </w:p>
          <w:p w14:paraId="36CB7C7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其他用户可无缝切换至主持人角色，通过终端设备，实时掌握会议进度。</w:t>
            </w:r>
          </w:p>
          <w:p w14:paraId="0F70A8B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可查看出席人员会前具体签到情况，预览当前会议所有议程，便于了解会议的整体安排。一键快速定位至未开始议程。</w:t>
            </w:r>
          </w:p>
          <w:p w14:paraId="30DB4D5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（4）★服务终端</w:t>
            </w:r>
          </w:p>
          <w:p w14:paraId="6DF2ED1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工作人员可通过服务终端实现扫码报道、扫码用餐、签到本、服务消息接收、电子纸条传送。通过电子纸条功能，向主持人终端发送电子纸条信息，主持人终端会置顶显示电子纸条信息。</w:t>
            </w:r>
          </w:p>
        </w:tc>
      </w:tr>
      <w:tr w14:paraId="0580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2948C39F">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both"/>
              <w:textAlignment w:val="auto"/>
              <w:rPr>
                <w:rFonts w:hint="eastAsia" w:ascii="宋体" w:hAnsi="宋体" w:eastAsia="宋体" w:cs="宋体"/>
                <w:b/>
                <w:color w:val="auto"/>
                <w:kern w:val="0"/>
                <w:sz w:val="24"/>
                <w:szCs w:val="24"/>
                <w:highlight w:val="none"/>
              </w:rPr>
            </w:pPr>
          </w:p>
        </w:tc>
        <w:tc>
          <w:tcPr>
            <w:tcW w:w="1196" w:type="dxa"/>
            <w:vMerge w:val="restart"/>
            <w:vAlign w:val="center"/>
          </w:tcPr>
          <w:p w14:paraId="25DC96D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综合事务</w:t>
            </w:r>
          </w:p>
        </w:tc>
        <w:tc>
          <w:tcPr>
            <w:tcW w:w="1559" w:type="dxa"/>
            <w:vAlign w:val="center"/>
          </w:tcPr>
          <w:p w14:paraId="2FD39C8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请假管理</w:t>
            </w:r>
          </w:p>
        </w:tc>
        <w:tc>
          <w:tcPr>
            <w:tcW w:w="10773" w:type="dxa"/>
          </w:tcPr>
          <w:p w14:paraId="1A01702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对机关内部请假事宜实现快速高效的电子化审批，满足领导通过移动办公可以远程审批请假事项，实现单位领导请假、处级领导请假审批、</w:t>
            </w:r>
            <w:r>
              <w:rPr>
                <w:rFonts w:hint="eastAsia" w:ascii="宋体" w:hAnsi="宋体" w:eastAsia="宋体" w:cs="宋体"/>
                <w:color w:val="auto"/>
                <w:kern w:val="0"/>
                <w:sz w:val="24"/>
                <w:szCs w:val="24"/>
                <w:highlight w:val="none"/>
                <w:lang w:eastAsia="zh-CN"/>
              </w:rPr>
              <w:t>其他工作人员</w:t>
            </w:r>
            <w:r>
              <w:rPr>
                <w:rFonts w:hint="eastAsia" w:ascii="宋体" w:hAnsi="宋体" w:eastAsia="宋体" w:cs="宋体"/>
                <w:color w:val="auto"/>
                <w:kern w:val="0"/>
                <w:sz w:val="24"/>
                <w:szCs w:val="24"/>
                <w:highlight w:val="none"/>
              </w:rPr>
              <w:t>请假审批的统一管理</w:t>
            </w:r>
            <w:r>
              <w:rPr>
                <w:rFonts w:hint="eastAsia" w:ascii="宋体" w:hAnsi="宋体" w:eastAsia="宋体" w:cs="宋体"/>
                <w:color w:val="auto"/>
                <w:kern w:val="0"/>
                <w:sz w:val="24"/>
                <w:szCs w:val="24"/>
                <w:highlight w:val="none"/>
                <w:lang w:eastAsia="zh-CN"/>
              </w:rPr>
              <w:t>；</w:t>
            </w:r>
          </w:p>
        </w:tc>
      </w:tr>
      <w:tr w14:paraId="5E09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729DF4E">
            <w:pPr>
              <w:pStyle w:val="66"/>
              <w:keepNext w:val="0"/>
              <w:keepLines w:val="0"/>
              <w:pageBreakBefore w:val="0"/>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E0AAE5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2408506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公务出差</w:t>
            </w:r>
          </w:p>
        </w:tc>
        <w:tc>
          <w:tcPr>
            <w:tcW w:w="10773" w:type="dxa"/>
          </w:tcPr>
          <w:p w14:paraId="5B78E05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对单位人员的出差审批进行统一审批、统一登记备案的管理：实现对公务出差的经费、时间等相关内容的审批，通过无纸化办公平台更加高效的管理因公出差，实现单位因公出差的过程审批管理和电子留痕</w:t>
            </w:r>
            <w:r>
              <w:rPr>
                <w:rFonts w:hint="eastAsia" w:ascii="宋体" w:hAnsi="宋体" w:eastAsia="宋体" w:cs="宋体"/>
                <w:color w:val="auto"/>
                <w:kern w:val="0"/>
                <w:sz w:val="24"/>
                <w:szCs w:val="24"/>
                <w:highlight w:val="none"/>
                <w:lang w:eastAsia="zh-CN"/>
              </w:rPr>
              <w:t>；</w:t>
            </w:r>
          </w:p>
        </w:tc>
      </w:tr>
      <w:tr w14:paraId="2CDA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86F5D13">
            <w:pPr>
              <w:pStyle w:val="66"/>
              <w:keepNext w:val="0"/>
              <w:keepLines w:val="0"/>
              <w:pageBreakBefore w:val="0"/>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DF990C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4133871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公务接待</w:t>
            </w:r>
          </w:p>
        </w:tc>
        <w:tc>
          <w:tcPr>
            <w:tcW w:w="10773" w:type="dxa"/>
          </w:tcPr>
          <w:p w14:paraId="742DABB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实现对各类公文接待的线上全流程审批</w:t>
            </w:r>
            <w:r>
              <w:rPr>
                <w:rFonts w:hint="eastAsia" w:ascii="宋体" w:hAnsi="宋体" w:eastAsia="宋体" w:cs="宋体"/>
                <w:color w:val="auto"/>
                <w:kern w:val="0"/>
                <w:sz w:val="24"/>
                <w:szCs w:val="24"/>
                <w:highlight w:val="none"/>
                <w:lang w:eastAsia="zh-CN"/>
              </w:rPr>
              <w:t>；</w:t>
            </w:r>
          </w:p>
        </w:tc>
      </w:tr>
      <w:tr w14:paraId="53E8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4359DD7">
            <w:pPr>
              <w:pStyle w:val="66"/>
              <w:keepNext w:val="0"/>
              <w:keepLines w:val="0"/>
              <w:pageBreakBefore w:val="0"/>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F9F982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66D271C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意见建议</w:t>
            </w:r>
          </w:p>
        </w:tc>
        <w:tc>
          <w:tcPr>
            <w:tcW w:w="10773" w:type="dxa"/>
          </w:tcPr>
          <w:p w14:paraId="3982947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实现对系统意见建议的登记，提交，反馈等功能</w:t>
            </w:r>
            <w:r>
              <w:rPr>
                <w:rFonts w:hint="eastAsia" w:ascii="宋体" w:hAnsi="宋体" w:eastAsia="宋体" w:cs="宋体"/>
                <w:color w:val="auto"/>
                <w:kern w:val="0"/>
                <w:sz w:val="24"/>
                <w:szCs w:val="24"/>
                <w:highlight w:val="none"/>
                <w:lang w:eastAsia="zh-CN"/>
              </w:rPr>
              <w:t>。</w:t>
            </w:r>
          </w:p>
        </w:tc>
      </w:tr>
      <w:tr w14:paraId="1D99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77BBA27B">
            <w:pPr>
              <w:pStyle w:val="66"/>
              <w:keepNext w:val="0"/>
              <w:keepLines w:val="0"/>
              <w:pageBreakBefore w:val="0"/>
              <w:kinsoku/>
              <w:wordWrap/>
              <w:overflowPunct/>
              <w:topLinePunct w:val="0"/>
              <w:autoSpaceDE/>
              <w:autoSpaceDN/>
              <w:bidi w:val="0"/>
              <w:adjustRightInd w:val="0"/>
              <w:snapToGrid/>
              <w:spacing w:line="440" w:lineRule="exact"/>
              <w:ind w:left="0" w:firstLine="0" w:firstLineChars="0"/>
              <w:jc w:val="both"/>
              <w:textAlignment w:val="auto"/>
              <w:rPr>
                <w:rFonts w:hint="eastAsia" w:ascii="宋体" w:hAnsi="宋体" w:eastAsia="宋体" w:cs="宋体"/>
                <w:b/>
                <w:color w:val="auto"/>
                <w:kern w:val="0"/>
                <w:sz w:val="24"/>
                <w:szCs w:val="24"/>
                <w:highlight w:val="none"/>
                <w:lang w:val="en"/>
              </w:rPr>
            </w:pPr>
            <w:r>
              <w:rPr>
                <w:rFonts w:hint="eastAsia" w:ascii="宋体" w:hAnsi="宋体" w:eastAsia="宋体" w:cs="宋体"/>
                <w:b/>
                <w:color w:val="auto"/>
                <w:kern w:val="0"/>
                <w:sz w:val="24"/>
                <w:szCs w:val="24"/>
                <w:highlight w:val="none"/>
                <w:lang w:val="en"/>
              </w:rPr>
              <w:t>8</w:t>
            </w:r>
          </w:p>
        </w:tc>
        <w:tc>
          <w:tcPr>
            <w:tcW w:w="1196" w:type="dxa"/>
            <w:vMerge w:val="restart"/>
            <w:vAlign w:val="center"/>
          </w:tcPr>
          <w:p w14:paraId="27967FD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lang w:val="en" w:eastAsia="zh-CN"/>
              </w:rPr>
            </w:pPr>
            <w:r>
              <w:rPr>
                <w:rFonts w:hint="eastAsia" w:ascii="宋体" w:hAnsi="宋体" w:eastAsia="宋体" w:cs="宋体"/>
                <w:b/>
                <w:bCs/>
                <w:color w:val="auto"/>
                <w:kern w:val="0"/>
                <w:sz w:val="24"/>
                <w:szCs w:val="24"/>
                <w:highlight w:val="none"/>
                <w:lang w:val="en" w:eastAsia="zh-CN"/>
              </w:rPr>
              <w:t>用车管理</w:t>
            </w:r>
          </w:p>
        </w:tc>
        <w:tc>
          <w:tcPr>
            <w:tcW w:w="1559" w:type="dxa"/>
            <w:vAlign w:val="center"/>
          </w:tcPr>
          <w:p w14:paraId="7039413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用车管理需求</w:t>
            </w:r>
          </w:p>
        </w:tc>
        <w:tc>
          <w:tcPr>
            <w:tcW w:w="10773" w:type="dxa"/>
          </w:tcPr>
          <w:p w14:paraId="0CE7A0A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用车管理主要是对车辆、司机和用车过程留痕管理的管理，实现单位公车用车费用的节约和用车管理的过程留痕管理：包括对车辆使用情况以列表方式查看车辆使用情况，可以申请使用车辆，通过日期范围可以根据日、周、月来查看。车辆申请审批所有需要使用的车辆。车辆查询显示所有可查看的车辆，通过车牌、车辆类型、司机等信息搜索车辆。车辆信息的维护管理。</w:t>
            </w:r>
          </w:p>
        </w:tc>
      </w:tr>
      <w:tr w14:paraId="6B47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EEC468C">
            <w:pPr>
              <w:pStyle w:val="66"/>
              <w:keepNext w:val="0"/>
              <w:keepLines w:val="0"/>
              <w:pageBreakBefore w:val="0"/>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98E410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53CE49BE">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rPr>
              <w:t>用车申请</w:t>
            </w:r>
          </w:p>
        </w:tc>
        <w:tc>
          <w:tcPr>
            <w:tcW w:w="10773" w:type="dxa"/>
            <w:vAlign w:val="top"/>
          </w:tcPr>
          <w:p w14:paraId="64A7D71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发起用车申请流程，申请记录</w:t>
            </w:r>
            <w:r>
              <w:rPr>
                <w:rFonts w:hint="eastAsia" w:ascii="宋体" w:hAnsi="宋体" w:eastAsia="宋体" w:cs="宋体"/>
                <w:color w:val="auto"/>
                <w:kern w:val="0"/>
                <w:sz w:val="24"/>
                <w:szCs w:val="24"/>
                <w:highlight w:val="none"/>
                <w:lang w:eastAsia="zh-CN"/>
              </w:rPr>
              <w:t>等，具体按照区总机关用车管理相关规定执行</w:t>
            </w:r>
            <w:r>
              <w:rPr>
                <w:rFonts w:hint="eastAsia" w:ascii="宋体" w:hAnsi="宋体" w:eastAsia="宋体" w:cs="宋体"/>
                <w:color w:val="auto"/>
                <w:kern w:val="0"/>
                <w:sz w:val="24"/>
                <w:szCs w:val="24"/>
                <w:highlight w:val="none"/>
              </w:rPr>
              <w:t>；</w:t>
            </w:r>
          </w:p>
        </w:tc>
      </w:tr>
      <w:tr w14:paraId="6067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89D3B47">
            <w:pPr>
              <w:pStyle w:val="66"/>
              <w:keepNext w:val="0"/>
              <w:keepLines w:val="0"/>
              <w:pageBreakBefore w:val="0"/>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48BE92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2A28DC0A">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rPr>
              <w:t>基础管理</w:t>
            </w:r>
          </w:p>
        </w:tc>
        <w:tc>
          <w:tcPr>
            <w:tcW w:w="10773" w:type="dxa"/>
            <w:vAlign w:val="top"/>
          </w:tcPr>
          <w:p w14:paraId="1161D7F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车辆信息，司机管理，违章/事故管理；</w:t>
            </w:r>
          </w:p>
        </w:tc>
      </w:tr>
      <w:tr w14:paraId="3C70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3019A41">
            <w:pPr>
              <w:pStyle w:val="66"/>
              <w:keepNext w:val="0"/>
              <w:keepLines w:val="0"/>
              <w:pageBreakBefore w:val="0"/>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2250C6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12496F61">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rPr>
              <w:t>车辆统计</w:t>
            </w:r>
          </w:p>
        </w:tc>
        <w:tc>
          <w:tcPr>
            <w:tcW w:w="10773" w:type="dxa"/>
            <w:vAlign w:val="top"/>
          </w:tcPr>
          <w:p w14:paraId="69803E4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单车核算统计，车辆运行统计，部门用车统计；</w:t>
            </w:r>
          </w:p>
        </w:tc>
      </w:tr>
      <w:tr w14:paraId="6046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271826B4">
            <w:pPr>
              <w:pStyle w:val="66"/>
              <w:keepNext w:val="0"/>
              <w:keepLines w:val="0"/>
              <w:pageBreakBefore w:val="0"/>
              <w:numPr>
                <w:ilvl w:val="0"/>
                <w:numId w:val="0"/>
              </w:numPr>
              <w:kinsoku/>
              <w:wordWrap/>
              <w:overflowPunct/>
              <w:topLinePunct w:val="0"/>
              <w:autoSpaceDE/>
              <w:autoSpaceDN/>
              <w:bidi w:val="0"/>
              <w:adjustRightInd w:val="0"/>
              <w:snapToGrid/>
              <w:spacing w:line="440" w:lineRule="exact"/>
              <w:ind w:leftChars="0"/>
              <w:jc w:val="both"/>
              <w:textAlignment w:val="auto"/>
              <w:rPr>
                <w:rFonts w:hint="eastAsia" w:ascii="宋体" w:hAnsi="宋体" w:eastAsia="宋体" w:cs="宋体"/>
                <w:b/>
                <w:color w:val="auto"/>
                <w:kern w:val="0"/>
                <w:sz w:val="24"/>
                <w:szCs w:val="24"/>
                <w:highlight w:val="none"/>
                <w:lang w:val="en" w:eastAsia="zh-CN"/>
              </w:rPr>
            </w:pPr>
            <w:r>
              <w:rPr>
                <w:rFonts w:hint="eastAsia" w:ascii="宋体" w:hAnsi="宋体" w:eastAsia="宋体" w:cs="宋体"/>
                <w:b/>
                <w:color w:val="auto"/>
                <w:kern w:val="0"/>
                <w:sz w:val="24"/>
                <w:szCs w:val="24"/>
                <w:highlight w:val="none"/>
                <w:lang w:val="en" w:eastAsia="zh-CN"/>
              </w:rPr>
              <w:t>9</w:t>
            </w:r>
          </w:p>
        </w:tc>
        <w:tc>
          <w:tcPr>
            <w:tcW w:w="1196" w:type="dxa"/>
            <w:vMerge w:val="restart"/>
            <w:vAlign w:val="center"/>
          </w:tcPr>
          <w:p w14:paraId="4177CF8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个人中心</w:t>
            </w:r>
          </w:p>
        </w:tc>
        <w:tc>
          <w:tcPr>
            <w:tcW w:w="1559" w:type="dxa"/>
            <w:vMerge w:val="restart"/>
            <w:vAlign w:val="center"/>
          </w:tcPr>
          <w:p w14:paraId="11BA1C1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个人设置</w:t>
            </w:r>
          </w:p>
        </w:tc>
        <w:tc>
          <w:tcPr>
            <w:tcW w:w="10773" w:type="dxa"/>
          </w:tcPr>
          <w:p w14:paraId="7FB1DC0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用户姓名、头像、身份证号、联系方式、地址、电子邮箱、移动电话、个人签名等基础信息设置；</w:t>
            </w:r>
          </w:p>
        </w:tc>
      </w:tr>
      <w:tr w14:paraId="66BA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79E6205">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E4DBA9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051222D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0C79E75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重置当前用户登录密码，密码二次确认；</w:t>
            </w:r>
          </w:p>
        </w:tc>
      </w:tr>
      <w:tr w14:paraId="18BE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E531B02">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496595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02B1910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35CF4C8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个人账号角色权限查询；流程转交代理人设置</w:t>
            </w:r>
            <w:r>
              <w:rPr>
                <w:rFonts w:hint="eastAsia" w:ascii="宋体" w:hAnsi="宋体" w:eastAsia="宋体" w:cs="宋体"/>
                <w:color w:val="auto"/>
                <w:kern w:val="0"/>
                <w:sz w:val="24"/>
                <w:szCs w:val="24"/>
                <w:highlight w:val="none"/>
                <w:lang w:eastAsia="zh-CN"/>
              </w:rPr>
              <w:t>。</w:t>
            </w:r>
          </w:p>
        </w:tc>
      </w:tr>
      <w:tr w14:paraId="6EE8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C92FD81">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6E788F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3D449C1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常用语</w:t>
            </w:r>
          </w:p>
        </w:tc>
        <w:tc>
          <w:tcPr>
            <w:tcW w:w="10773" w:type="dxa"/>
          </w:tcPr>
          <w:p w14:paraId="6B2CF4D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设置个人常用语，流程审批时选择个人常用语快速审批；</w:t>
            </w:r>
          </w:p>
        </w:tc>
      </w:tr>
      <w:tr w14:paraId="297E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F72E2F0">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792852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00DD07B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群组</w:t>
            </w:r>
          </w:p>
        </w:tc>
        <w:tc>
          <w:tcPr>
            <w:tcW w:w="10773" w:type="dxa"/>
          </w:tcPr>
          <w:p w14:paraId="6802691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对个人群组进行新增、修改、删除，添加成员等操作；查看单位群组列表和群组内成员</w:t>
            </w:r>
            <w:r>
              <w:rPr>
                <w:rFonts w:hint="eastAsia" w:ascii="宋体" w:hAnsi="宋体" w:eastAsia="宋体" w:cs="宋体"/>
                <w:color w:val="auto"/>
                <w:kern w:val="0"/>
                <w:sz w:val="24"/>
                <w:szCs w:val="24"/>
                <w:highlight w:val="none"/>
                <w:lang w:eastAsia="zh-CN"/>
              </w:rPr>
              <w:t>。</w:t>
            </w:r>
          </w:p>
        </w:tc>
      </w:tr>
      <w:tr w14:paraId="01E8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4A360D1">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224F82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restart"/>
            <w:vAlign w:val="center"/>
          </w:tcPr>
          <w:p w14:paraId="591CFE9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通讯录</w:t>
            </w:r>
          </w:p>
        </w:tc>
        <w:tc>
          <w:tcPr>
            <w:tcW w:w="10773" w:type="dxa"/>
          </w:tcPr>
          <w:p w14:paraId="01EEA0F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单位联系人：</w:t>
            </w:r>
            <w:r>
              <w:rPr>
                <w:rFonts w:hint="eastAsia" w:ascii="宋体" w:hAnsi="宋体" w:eastAsia="宋体" w:cs="宋体"/>
                <w:color w:val="auto"/>
                <w:kern w:val="0"/>
                <w:sz w:val="24"/>
                <w:szCs w:val="24"/>
                <w:highlight w:val="none"/>
              </w:rPr>
              <w:t>查看单位联系人的用户信息(姓名、所属组织、性别、办公电话、移动电话、电子邮箱、职务、工作状态、英文名、办公地点、备用电话等信息，设置列表显示字段）；</w:t>
            </w:r>
          </w:p>
          <w:p w14:paraId="5CF94BE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将通讯录中的用</w:t>
            </w:r>
            <w:r>
              <w:rPr>
                <w:rFonts w:hint="eastAsia" w:ascii="宋体" w:hAnsi="宋体" w:eastAsia="宋体" w:cs="宋体"/>
                <w:color w:val="auto"/>
                <w:kern w:val="0"/>
                <w:sz w:val="24"/>
                <w:szCs w:val="24"/>
                <w:highlight w:val="none"/>
                <w:lang w:eastAsia="zh-CN"/>
              </w:rPr>
              <w:t>户</w:t>
            </w:r>
            <w:r>
              <w:rPr>
                <w:rFonts w:hint="eastAsia" w:ascii="宋体" w:hAnsi="宋体" w:eastAsia="宋体" w:cs="宋体"/>
                <w:color w:val="auto"/>
                <w:kern w:val="0"/>
                <w:sz w:val="24"/>
                <w:szCs w:val="24"/>
                <w:highlight w:val="none"/>
              </w:rPr>
              <w:t>添加至个人群组，设置或取消常用联系人；</w:t>
            </w:r>
          </w:p>
          <w:p w14:paraId="277227C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单位联系人列表查询项、列表项自定义显示</w:t>
            </w:r>
            <w:r>
              <w:rPr>
                <w:rFonts w:hint="eastAsia" w:ascii="宋体" w:hAnsi="宋体" w:eastAsia="宋体" w:cs="宋体"/>
                <w:color w:val="auto"/>
                <w:kern w:val="0"/>
                <w:sz w:val="24"/>
                <w:szCs w:val="24"/>
                <w:highlight w:val="none"/>
                <w:lang w:eastAsia="zh-CN"/>
              </w:rPr>
              <w:t>。</w:t>
            </w:r>
          </w:p>
        </w:tc>
      </w:tr>
      <w:tr w14:paraId="4685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649FB65">
            <w:pPr>
              <w:pStyle w:val="66"/>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729969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0A31AFC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42320E0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个人联系人：</w:t>
            </w:r>
            <w:r>
              <w:rPr>
                <w:rFonts w:hint="eastAsia" w:ascii="宋体" w:hAnsi="宋体" w:eastAsia="宋体" w:cs="宋体"/>
                <w:color w:val="auto"/>
                <w:kern w:val="0"/>
                <w:sz w:val="24"/>
                <w:szCs w:val="24"/>
                <w:highlight w:val="none"/>
              </w:rPr>
              <w:t>新增、修改、删除个人联系人，记录姓名、单位、联系方式等信息；</w:t>
            </w:r>
          </w:p>
          <w:p w14:paraId="425EC12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分组显示个人联系人；设置或取消常用联系人；导入个人联系人</w:t>
            </w:r>
            <w:r>
              <w:rPr>
                <w:rFonts w:hint="eastAsia" w:ascii="宋体" w:hAnsi="宋体" w:eastAsia="宋体" w:cs="宋体"/>
                <w:color w:val="auto"/>
                <w:kern w:val="0"/>
                <w:sz w:val="24"/>
                <w:szCs w:val="24"/>
                <w:highlight w:val="none"/>
                <w:lang w:eastAsia="zh-CN"/>
              </w:rPr>
              <w:t>。</w:t>
            </w:r>
          </w:p>
        </w:tc>
      </w:tr>
      <w:tr w14:paraId="61D3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3D97A347">
            <w:pPr>
              <w:pStyle w:val="66"/>
              <w:keepNext w:val="0"/>
              <w:keepLines w:val="0"/>
              <w:pageBreakBefore w:val="0"/>
              <w:numPr>
                <w:ilvl w:val="0"/>
                <w:numId w:val="0"/>
              </w:numPr>
              <w:kinsoku/>
              <w:wordWrap/>
              <w:overflowPunct/>
              <w:topLinePunct w:val="0"/>
              <w:autoSpaceDE/>
              <w:autoSpaceDN/>
              <w:bidi w:val="0"/>
              <w:adjustRightInd w:val="0"/>
              <w:snapToGrid/>
              <w:spacing w:line="440" w:lineRule="exact"/>
              <w:ind w:leftChars="0"/>
              <w:jc w:val="both"/>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 w:eastAsia="zh-CN"/>
              </w:rPr>
              <w:t>1</w:t>
            </w:r>
            <w:r>
              <w:rPr>
                <w:rFonts w:hint="eastAsia" w:ascii="宋体" w:hAnsi="宋体" w:eastAsia="宋体" w:cs="宋体"/>
                <w:b/>
                <w:color w:val="auto"/>
                <w:kern w:val="0"/>
                <w:sz w:val="24"/>
                <w:szCs w:val="24"/>
                <w:highlight w:val="none"/>
                <w:lang w:val="en-US" w:eastAsia="zh-CN"/>
              </w:rPr>
              <w:t>0</w:t>
            </w:r>
          </w:p>
        </w:tc>
        <w:tc>
          <w:tcPr>
            <w:tcW w:w="1196" w:type="dxa"/>
            <w:vAlign w:val="center"/>
          </w:tcPr>
          <w:p w14:paraId="3F24FAA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移动办公</w:t>
            </w:r>
          </w:p>
        </w:tc>
        <w:tc>
          <w:tcPr>
            <w:tcW w:w="1559" w:type="dxa"/>
            <w:vAlign w:val="center"/>
          </w:tcPr>
          <w:p w14:paraId="6161A06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移动办公</w:t>
            </w:r>
          </w:p>
        </w:tc>
        <w:tc>
          <w:tcPr>
            <w:tcW w:w="10773" w:type="dxa"/>
          </w:tcPr>
          <w:p w14:paraId="5959505B">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通过移动办公满足机关领导及办公人员随时随地办公，提升办公效率，完成无纸化办公的最后一公里，实现在外出差和外出的审批和公文处理等。包括移动端办公首页、移动端待办消息提醒推送：包括待办提醒、待阅提醒、在线办理流程审批</w:t>
            </w:r>
            <w:r>
              <w:rPr>
                <w:rFonts w:hint="eastAsia" w:ascii="宋体" w:hAnsi="宋体" w:eastAsia="宋体" w:cs="宋体"/>
                <w:color w:val="auto"/>
                <w:kern w:val="0"/>
                <w:sz w:val="24"/>
                <w:szCs w:val="24"/>
                <w:highlight w:val="none"/>
                <w:lang w:eastAsia="zh-CN"/>
              </w:rPr>
              <w:t>。手机短信提醒等功能；</w:t>
            </w:r>
          </w:p>
          <w:p w14:paraId="22D68C4C">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待办：</w:t>
            </w:r>
            <w:r>
              <w:rPr>
                <w:rFonts w:hint="eastAsia" w:ascii="宋体" w:hAnsi="宋体" w:eastAsia="宋体" w:cs="宋体"/>
                <w:color w:val="auto"/>
                <w:kern w:val="0"/>
                <w:sz w:val="24"/>
                <w:szCs w:val="24"/>
                <w:highlight w:val="none"/>
              </w:rPr>
              <w:t>处理待审批的流程，手写签批，版式签批和H5签批，版式签批OFD文件和PDF文件签批，客户端已集成ArteryPaper、金格、数科、福昕</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w:t>
            </w:r>
          </w:p>
          <w:p w14:paraId="12CA3C45">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关注流程的活动环节和审批人，活动办理完成或审批人办理后推送提醒给用户；可配置退回、加签、转交等流程操作按钮；按照流程标题查询；</w:t>
            </w:r>
          </w:p>
          <w:p w14:paraId="7BC9B643">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待阅：</w:t>
            </w:r>
            <w:r>
              <w:rPr>
                <w:rFonts w:hint="eastAsia" w:ascii="宋体" w:hAnsi="宋体" w:eastAsia="宋体" w:cs="宋体"/>
                <w:color w:val="auto"/>
                <w:kern w:val="0"/>
                <w:sz w:val="24"/>
                <w:szCs w:val="24"/>
                <w:highlight w:val="none"/>
              </w:rPr>
              <w:t>处理待查阅的流程；关注流程的活动环节和审批人，活动办理完成或审批人办理后推送提醒给用户；按照流程标题查询；</w:t>
            </w:r>
          </w:p>
          <w:p w14:paraId="1EE8C470">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已办：</w:t>
            </w:r>
            <w:r>
              <w:rPr>
                <w:rFonts w:hint="eastAsia" w:ascii="宋体" w:hAnsi="宋体" w:eastAsia="宋体" w:cs="宋体"/>
                <w:color w:val="auto"/>
                <w:kern w:val="0"/>
                <w:sz w:val="24"/>
                <w:szCs w:val="24"/>
                <w:highlight w:val="none"/>
              </w:rPr>
              <w:t>按照流程标题查询已经办理的审批流程；可配置撤回等流程操作按钮；关注流程的活动环节和审批人，活动办理完成或审批人办理后推送提醒给用户；</w:t>
            </w:r>
          </w:p>
          <w:p w14:paraId="1E9082C3">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已阅：</w:t>
            </w:r>
            <w:r>
              <w:rPr>
                <w:rFonts w:hint="eastAsia" w:ascii="宋体" w:hAnsi="宋体" w:eastAsia="宋体" w:cs="宋体"/>
                <w:color w:val="auto"/>
                <w:kern w:val="0"/>
                <w:sz w:val="24"/>
                <w:szCs w:val="24"/>
                <w:highlight w:val="none"/>
              </w:rPr>
              <w:t>按照流程标题查询已经查看的审批流程；</w:t>
            </w:r>
          </w:p>
          <w:p w14:paraId="0FD6D044">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关注流程的活动环节和审批人，活动办理完成或审批人办理后推送提醒给用户；</w:t>
            </w:r>
          </w:p>
          <w:p w14:paraId="5268867B">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我的：</w:t>
            </w:r>
            <w:r>
              <w:rPr>
                <w:rFonts w:hint="eastAsia" w:ascii="宋体" w:hAnsi="宋体" w:eastAsia="宋体" w:cs="宋体"/>
                <w:color w:val="auto"/>
                <w:kern w:val="0"/>
                <w:sz w:val="24"/>
                <w:szCs w:val="24"/>
                <w:highlight w:val="none"/>
              </w:rPr>
              <w:t>按照流程标题查询所有发起的审批流程；流程催办、撤回等操作；</w:t>
            </w:r>
          </w:p>
          <w:p w14:paraId="73C606C5">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关注流程的活动环节和审批人，活动办理完成或审批人办理后推送提醒给用户；</w:t>
            </w:r>
          </w:p>
          <w:p w14:paraId="54414132">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流程事务审批：发起流程，将流程保存到草稿箱；按流程分类显示能发起的流程，滑动流程分类选择对应的流程；</w:t>
            </w:r>
          </w:p>
          <w:p w14:paraId="05CCE2B0">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根据流程名称进行查询；公告信息新建和查阅；通过手机端实现内部邮件的收发；通过手机端实现无纸化会议通知的查看等；</w:t>
            </w:r>
          </w:p>
        </w:tc>
      </w:tr>
      <w:tr w14:paraId="43CC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6B8E2AF5">
            <w:pPr>
              <w:pStyle w:val="66"/>
              <w:keepNext w:val="0"/>
              <w:keepLines w:val="0"/>
              <w:pageBreakBefore w:val="0"/>
              <w:numPr>
                <w:ilvl w:val="0"/>
                <w:numId w:val="0"/>
              </w:numPr>
              <w:kinsoku/>
              <w:wordWrap/>
              <w:overflowPunct/>
              <w:topLinePunct w:val="0"/>
              <w:autoSpaceDE/>
              <w:autoSpaceDN/>
              <w:bidi w:val="0"/>
              <w:adjustRightInd w:val="0"/>
              <w:snapToGrid/>
              <w:spacing w:line="440" w:lineRule="exact"/>
              <w:ind w:leftChars="0"/>
              <w:jc w:val="both"/>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11</w:t>
            </w:r>
          </w:p>
        </w:tc>
        <w:tc>
          <w:tcPr>
            <w:tcW w:w="1196" w:type="dxa"/>
            <w:vAlign w:val="center"/>
          </w:tcPr>
          <w:p w14:paraId="15BB8B1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公文智能化应用</w:t>
            </w:r>
          </w:p>
        </w:tc>
        <w:tc>
          <w:tcPr>
            <w:tcW w:w="1559" w:type="dxa"/>
            <w:vAlign w:val="center"/>
          </w:tcPr>
          <w:p w14:paraId="663A9F2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公文智能化应用</w:t>
            </w:r>
          </w:p>
        </w:tc>
        <w:tc>
          <w:tcPr>
            <w:tcW w:w="10773" w:type="dxa"/>
          </w:tcPr>
          <w:p w14:paraId="4B5BA6E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公文标题联想、来文单位联想，具体要求：提供统一的入口，可以作为独立系统使用，也和协同办公系统，或办公软件如WPS，Word集成</w:t>
            </w:r>
            <w:r>
              <w:rPr>
                <w:rFonts w:hint="eastAsia" w:ascii="宋体" w:hAnsi="宋体" w:eastAsia="宋体" w:cs="宋体"/>
                <w:color w:val="auto"/>
                <w:kern w:val="0"/>
                <w:sz w:val="24"/>
                <w:szCs w:val="24"/>
                <w:highlight w:val="none"/>
                <w:lang w:eastAsia="zh-CN"/>
              </w:rPr>
              <w:t>使用</w:t>
            </w:r>
            <w:r>
              <w:rPr>
                <w:rFonts w:hint="eastAsia" w:ascii="宋体" w:hAnsi="宋体" w:eastAsia="宋体" w:cs="宋体"/>
                <w:color w:val="auto"/>
                <w:kern w:val="0"/>
                <w:sz w:val="24"/>
                <w:szCs w:val="24"/>
                <w:highlight w:val="none"/>
              </w:rPr>
              <w:t>。</w:t>
            </w:r>
          </w:p>
          <w:p w14:paraId="78E15E3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▲公文排版</w:t>
            </w:r>
            <w:r>
              <w:rPr>
                <w:rFonts w:hint="eastAsia" w:ascii="宋体" w:hAnsi="宋体" w:eastAsia="宋体" w:cs="宋体"/>
                <w:color w:val="auto"/>
                <w:kern w:val="0"/>
                <w:sz w:val="24"/>
                <w:szCs w:val="24"/>
                <w:highlight w:val="none"/>
                <w:lang w:val="en-US" w:eastAsia="zh-CN"/>
              </w:rPr>
              <w:t>:按照建设单位需求，定制对应的公文模板，满足建设单位公文的格式要求。</w:t>
            </w:r>
          </w:p>
          <w:p w14:paraId="6D6DEA4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▲智能编校:按照建设单位需求，提供5个终端1年的黑马校对授权，满足流失文件的错字等校对需求。</w:t>
            </w:r>
          </w:p>
          <w:p w14:paraId="375C67D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▲如有接入其他智写平台需求，需免费提供技术确保能够接入相应端口应用。</w:t>
            </w:r>
          </w:p>
        </w:tc>
      </w:tr>
      <w:tr w14:paraId="210C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22C9D327">
            <w:pPr>
              <w:pStyle w:val="66"/>
              <w:keepNext w:val="0"/>
              <w:keepLines w:val="0"/>
              <w:pageBreakBefore w:val="0"/>
              <w:kinsoku/>
              <w:wordWrap/>
              <w:overflowPunct/>
              <w:topLinePunct w:val="0"/>
              <w:autoSpaceDE/>
              <w:autoSpaceDN/>
              <w:bidi w:val="0"/>
              <w:adjustRightInd w:val="0"/>
              <w:snapToGrid/>
              <w:spacing w:line="440" w:lineRule="exact"/>
              <w:ind w:left="0" w:leftChars="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1196" w:type="dxa"/>
            <w:vMerge w:val="restart"/>
            <w:vAlign w:val="center"/>
          </w:tcPr>
          <w:p w14:paraId="451D015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系统管理</w:t>
            </w:r>
          </w:p>
        </w:tc>
        <w:tc>
          <w:tcPr>
            <w:tcW w:w="1559" w:type="dxa"/>
            <w:vAlign w:val="center"/>
          </w:tcPr>
          <w:p w14:paraId="070EC76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流程分类</w:t>
            </w:r>
          </w:p>
        </w:tc>
        <w:tc>
          <w:tcPr>
            <w:tcW w:w="10773" w:type="dxa"/>
          </w:tcPr>
          <w:p w14:paraId="606D6FE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对流程进行分类管理；</w:t>
            </w:r>
          </w:p>
        </w:tc>
      </w:tr>
      <w:tr w14:paraId="5BFF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07B7F2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4073327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61666DD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流程管理</w:t>
            </w:r>
          </w:p>
        </w:tc>
        <w:tc>
          <w:tcPr>
            <w:tcW w:w="10773" w:type="dxa"/>
          </w:tcPr>
          <w:p w14:paraId="29ED1AA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对业务流程的新增、修改、删除、设计、部署、流程版本、表单设计等功能进行管理；</w:t>
            </w:r>
          </w:p>
          <w:p w14:paraId="486B890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编辑流程名称、流程编码、选择流程分类和图标；</w:t>
            </w:r>
          </w:p>
          <w:p w14:paraId="128A0A4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设置流程发起人、流程查看人、流程维护人、流程管理员；</w:t>
            </w:r>
          </w:p>
          <w:p w14:paraId="12A943B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设置流程是否移动端发起；实时控制流程的状态，启用状态的流程用户可进行发起操作；</w:t>
            </w:r>
          </w:p>
          <w:p w14:paraId="1832ADC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配置第三方系统流程</w:t>
            </w:r>
            <w:r>
              <w:rPr>
                <w:rFonts w:hint="eastAsia" w:ascii="宋体" w:hAnsi="宋体" w:eastAsia="宋体" w:cs="宋体"/>
                <w:color w:val="auto"/>
                <w:kern w:val="0"/>
                <w:sz w:val="24"/>
                <w:szCs w:val="24"/>
                <w:highlight w:val="none"/>
                <w:lang w:eastAsia="zh-CN"/>
              </w:rPr>
              <w:t>。</w:t>
            </w:r>
          </w:p>
        </w:tc>
      </w:tr>
      <w:tr w14:paraId="2156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65DCA6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720198D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3A1AFA4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流程设计器</w:t>
            </w:r>
          </w:p>
        </w:tc>
        <w:tc>
          <w:tcPr>
            <w:tcW w:w="10773" w:type="dxa"/>
          </w:tcPr>
          <w:p w14:paraId="739E1FB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设计和修改流程，选择自由流程和固定流程；</w:t>
            </w:r>
          </w:p>
          <w:p w14:paraId="7CF60DC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HTML表单、矩阵表单和使用外部表单；不同的活动节点使用不同的表单；</w:t>
            </w:r>
          </w:p>
          <w:p w14:paraId="58D772B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流程设置-基础设置自定义流程提醒标题、批示意见相关设置、关联流程范围设置、主流程设置、调用过程设置、手写签批设置、归档设置、提示方式设置等；</w:t>
            </w:r>
          </w:p>
          <w:p w14:paraId="128619C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流程设置-高级设置批示意见排序设置、打印缩放、打印标识、流程预警提醒和超期提醒设置；</w:t>
            </w:r>
          </w:p>
          <w:p w14:paraId="06C014D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流程设置-事件处理自定义流程发起、结束、取消、作废的处理事件，设置HTTPS接口，满足复杂的审批业务；</w:t>
            </w:r>
          </w:p>
          <w:p w14:paraId="7015390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流程设置-查询设置自定义查询项和列表项字段，满足复杂的流程查询场景；</w:t>
            </w:r>
          </w:p>
          <w:p w14:paraId="66020D2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活动设置-用户活动、阅件活动、发起人活动、随机活动、自动返回活动、子流程、调用过程，活动的基础设置、数据权限、操作权限、事件处理；</w:t>
            </w:r>
          </w:p>
          <w:p w14:paraId="0842B1B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活动设置-基础设置活动名称、参与者、参与方式、办理方式、批示意见、审批时限、自动审批办理等设置；</w:t>
            </w:r>
          </w:p>
          <w:p w14:paraId="278A6F8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活动设置-数据权限控制表单字段的读写、隐藏、必填等；</w:t>
            </w:r>
          </w:p>
          <w:p w14:paraId="2682E94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活动设置-操作权限控制当前审批活动拥有哪些操作按钮；</w:t>
            </w:r>
          </w:p>
          <w:p w14:paraId="2F1CD86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通用按钮-打印、阅件、转发、下载、邮件转发；</w:t>
            </w:r>
          </w:p>
          <w:p w14:paraId="656D4B4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待办按钮-退回、关联流程、转交、加签、跳转、部门办理、作废、结束；</w:t>
            </w:r>
          </w:p>
          <w:p w14:paraId="600BC73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已办按钮-撤回、收回、补签、撤签、反馈；</w:t>
            </w:r>
          </w:p>
          <w:p w14:paraId="1D39CF5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我的按钮-撤回；发起按钮-关联流程；</w:t>
            </w:r>
          </w:p>
          <w:p w14:paraId="6886317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审批过程催办、取消、代录操作；</w:t>
            </w:r>
          </w:p>
          <w:p w14:paraId="4FF687D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活动设置-事件处理自定义任务提交后、退回后、加签后、转交后、跳转后、撤回后的处理事件，设置HTTPS接口，满足复杂的审批业务；设置网关及条件，排他网关、并行网关、包含网关；</w:t>
            </w:r>
          </w:p>
          <w:p w14:paraId="765AB6F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网关路径条件设置，复杂的条件表达式，根据表单字段值、批示意见态度判断流程走向；</w:t>
            </w:r>
          </w:p>
          <w:p w14:paraId="7C8E7B1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流程校验，验证流程图设计是否完整；</w:t>
            </w:r>
          </w:p>
          <w:p w14:paraId="728A3A3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流程设计导入XML、导出XML功能</w:t>
            </w:r>
            <w:r>
              <w:rPr>
                <w:rFonts w:hint="eastAsia" w:ascii="宋体" w:hAnsi="宋体" w:eastAsia="宋体" w:cs="宋体"/>
                <w:color w:val="auto"/>
                <w:kern w:val="0"/>
                <w:sz w:val="24"/>
                <w:szCs w:val="24"/>
                <w:highlight w:val="none"/>
                <w:lang w:eastAsia="zh-CN"/>
              </w:rPr>
              <w:t>。</w:t>
            </w:r>
          </w:p>
        </w:tc>
      </w:tr>
      <w:tr w14:paraId="5829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B3AE9E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76932B1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777C436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流程设置查询</w:t>
            </w:r>
          </w:p>
        </w:tc>
        <w:tc>
          <w:tcPr>
            <w:tcW w:w="10773" w:type="dxa"/>
          </w:tcPr>
          <w:p w14:paraId="2FA1783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查询流程的相关设置，包括流程分类、流程名称、活动名称、参与方式、办理方式、参与者、活动按钮</w:t>
            </w:r>
            <w:r>
              <w:rPr>
                <w:rFonts w:hint="eastAsia" w:ascii="宋体" w:hAnsi="宋体" w:eastAsia="宋体" w:cs="宋体"/>
                <w:color w:val="auto"/>
                <w:kern w:val="0"/>
                <w:sz w:val="24"/>
                <w:szCs w:val="24"/>
                <w:highlight w:val="none"/>
                <w:lang w:eastAsia="zh-CN"/>
              </w:rPr>
              <w:t>。</w:t>
            </w:r>
          </w:p>
        </w:tc>
      </w:tr>
      <w:tr w14:paraId="6304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255A52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50EC69A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093535F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按钮方案</w:t>
            </w:r>
          </w:p>
        </w:tc>
        <w:tc>
          <w:tcPr>
            <w:tcW w:w="10773" w:type="dxa"/>
          </w:tcPr>
          <w:p w14:paraId="2B2C034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设置按钮使用场景的组合，保存为按钮方案</w:t>
            </w:r>
            <w:r>
              <w:rPr>
                <w:rFonts w:hint="eastAsia" w:ascii="宋体" w:hAnsi="宋体" w:eastAsia="宋体" w:cs="宋体"/>
                <w:color w:val="auto"/>
                <w:kern w:val="0"/>
                <w:sz w:val="24"/>
                <w:szCs w:val="24"/>
                <w:highlight w:val="none"/>
                <w:lang w:eastAsia="zh-CN"/>
              </w:rPr>
              <w:t>。</w:t>
            </w:r>
          </w:p>
        </w:tc>
      </w:tr>
      <w:tr w14:paraId="0D37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D7C2DC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7E83C5C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29548E4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按钮管理</w:t>
            </w:r>
          </w:p>
        </w:tc>
        <w:tc>
          <w:tcPr>
            <w:tcW w:w="10773" w:type="dxa"/>
          </w:tcPr>
          <w:p w14:paraId="04C1C65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对流程活动节点的按钮进行管理，按钮排序设置，自定义按钮扩展</w:t>
            </w:r>
            <w:r>
              <w:rPr>
                <w:rFonts w:hint="eastAsia" w:ascii="宋体" w:hAnsi="宋体" w:eastAsia="宋体" w:cs="宋体"/>
                <w:color w:val="auto"/>
                <w:kern w:val="0"/>
                <w:sz w:val="24"/>
                <w:szCs w:val="24"/>
                <w:highlight w:val="none"/>
                <w:lang w:eastAsia="zh-CN"/>
              </w:rPr>
              <w:t>。</w:t>
            </w:r>
          </w:p>
        </w:tc>
      </w:tr>
      <w:tr w14:paraId="300B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68C7AB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08CE5A7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7B4364E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函数管理</w:t>
            </w:r>
          </w:p>
        </w:tc>
        <w:tc>
          <w:tcPr>
            <w:tcW w:w="10773" w:type="dxa"/>
          </w:tcPr>
          <w:p w14:paraId="038EE42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流程引擎使用函数管理，通过函数实现流程条件判断、流程标题定义、活动参与人设置等功能</w:t>
            </w:r>
            <w:r>
              <w:rPr>
                <w:rFonts w:hint="eastAsia" w:ascii="宋体" w:hAnsi="宋体" w:eastAsia="宋体" w:cs="宋体"/>
                <w:color w:val="auto"/>
                <w:kern w:val="0"/>
                <w:sz w:val="24"/>
                <w:szCs w:val="24"/>
                <w:highlight w:val="none"/>
                <w:lang w:eastAsia="zh-CN"/>
              </w:rPr>
              <w:t>。</w:t>
            </w:r>
          </w:p>
        </w:tc>
      </w:tr>
      <w:tr w14:paraId="3FAA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6BABA9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53216FE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0B1DBEA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Hans"/>
              </w:rPr>
              <w:t>通用</w:t>
            </w:r>
            <w:r>
              <w:rPr>
                <w:rFonts w:hint="eastAsia" w:ascii="宋体" w:hAnsi="宋体" w:eastAsia="宋体" w:cs="宋体"/>
                <w:b/>
                <w:color w:val="auto"/>
                <w:kern w:val="0"/>
                <w:sz w:val="24"/>
                <w:szCs w:val="24"/>
                <w:highlight w:val="none"/>
              </w:rPr>
              <w:t>设置</w:t>
            </w:r>
          </w:p>
        </w:tc>
        <w:tc>
          <w:tcPr>
            <w:tcW w:w="10773" w:type="dxa"/>
          </w:tcPr>
          <w:p w14:paraId="1EF1D84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设置流程发起页面展现模式：</w:t>
            </w:r>
            <w:r>
              <w:rPr>
                <w:rFonts w:hint="eastAsia" w:ascii="宋体" w:hAnsi="宋体" w:eastAsia="宋体" w:cs="宋体"/>
                <w:color w:val="auto"/>
                <w:kern w:val="0"/>
                <w:sz w:val="24"/>
                <w:szCs w:val="24"/>
                <w:highlight w:val="none"/>
              </w:rPr>
              <w:t>瀑布模式和列表模式；</w:t>
            </w:r>
          </w:p>
          <w:p w14:paraId="789C0FD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设置流程发起页面是否显示TOP8分类；</w:t>
            </w:r>
          </w:p>
          <w:p w14:paraId="58F9C1B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设置各应用流程审批相关列表流程树是否显示和默认显示状态；</w:t>
            </w:r>
          </w:p>
          <w:p w14:paraId="5514E13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Hans"/>
              </w:rPr>
              <w:t>设置流程转发、阅件、转交、加签操作的选人页签设置；</w:t>
            </w:r>
          </w:p>
          <w:p w14:paraId="172E6F7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rPr>
              <w:t>设置与流程审批相关的内容，如新增领导秘书关系设置，用于配置呈领导和秘书代录的功能；</w:t>
            </w:r>
          </w:p>
          <w:p w14:paraId="19D25FF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Hans"/>
              </w:rPr>
              <w:t>设置批示意见是否</w:t>
            </w:r>
            <w:r>
              <w:rPr>
                <w:rFonts w:hint="eastAsia" w:ascii="宋体" w:hAnsi="宋体" w:eastAsia="宋体" w:cs="宋体"/>
                <w:color w:val="auto"/>
                <w:kern w:val="0"/>
                <w:sz w:val="24"/>
                <w:szCs w:val="24"/>
                <w:highlight w:val="none"/>
              </w:rPr>
              <w:t>输入时联想历史文本内容；</w:t>
            </w:r>
          </w:p>
          <w:p w14:paraId="4AC547E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设置领导批示意见加粗显示；设置需要集成的三方业务系统；</w:t>
            </w:r>
          </w:p>
          <w:p w14:paraId="784C78B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设置三方业务系统提供的接口（获取所有表单信息及对应字段信息接口、根据表单ID获取表单信息及对应字段信息接口、流程办结回调接口、事件处理类接口），在线测试接口</w:t>
            </w:r>
            <w:r>
              <w:rPr>
                <w:rFonts w:hint="eastAsia" w:ascii="宋体" w:hAnsi="宋体" w:eastAsia="宋体" w:cs="宋体"/>
                <w:color w:val="auto"/>
                <w:kern w:val="0"/>
                <w:sz w:val="24"/>
                <w:szCs w:val="24"/>
                <w:highlight w:val="none"/>
                <w:lang w:eastAsia="zh-CN"/>
              </w:rPr>
              <w:t>。</w:t>
            </w:r>
          </w:p>
        </w:tc>
      </w:tr>
      <w:tr w14:paraId="1E76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6B080F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6866ED7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restart"/>
            <w:vAlign w:val="center"/>
          </w:tcPr>
          <w:p w14:paraId="4BE3256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系统配置</w:t>
            </w:r>
          </w:p>
        </w:tc>
        <w:tc>
          <w:tcPr>
            <w:tcW w:w="10773" w:type="dxa"/>
          </w:tcPr>
          <w:p w14:paraId="5E24678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系统设置基础设置、流式组件设置、版式组件设置、预览设置、附件设置、提醒设置、日志设置、自定义设置；</w:t>
            </w:r>
          </w:p>
          <w:p w14:paraId="1DCA2FF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基础设置包括系统</w:t>
            </w:r>
            <w:r>
              <w:rPr>
                <w:rFonts w:hint="eastAsia" w:ascii="宋体" w:hAnsi="宋体" w:eastAsia="宋体" w:cs="宋体"/>
                <w:color w:val="auto"/>
                <w:kern w:val="0"/>
                <w:sz w:val="24"/>
                <w:szCs w:val="24"/>
                <w:highlight w:val="none"/>
                <w:lang w:eastAsia="zh-Hans"/>
              </w:rPr>
              <w:t>手写意见设置</w:t>
            </w:r>
            <w:r>
              <w:rPr>
                <w:rFonts w:hint="eastAsia" w:ascii="宋体" w:hAnsi="宋体" w:eastAsia="宋体" w:cs="宋体"/>
                <w:color w:val="auto"/>
                <w:kern w:val="0"/>
                <w:sz w:val="24"/>
                <w:szCs w:val="24"/>
                <w:highlight w:val="none"/>
              </w:rPr>
              <w:t>；第三方地图配置，用于系统定位功能；系统显示模式设置，国家公祭日自动切换；</w:t>
            </w:r>
          </w:p>
          <w:p w14:paraId="1B8FE55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手写意见OFD文件和PDF文件签批，已集成金格、数科、福昕、ArteryPaper；</w:t>
            </w:r>
          </w:p>
          <w:p w14:paraId="7A3BF76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第三方地图</w:t>
            </w:r>
            <w:r>
              <w:rPr>
                <w:rFonts w:hint="eastAsia" w:ascii="宋体" w:hAnsi="宋体" w:eastAsia="宋体" w:cs="宋体"/>
                <w:color w:val="auto"/>
                <w:kern w:val="0"/>
                <w:sz w:val="24"/>
                <w:szCs w:val="24"/>
                <w:highlight w:val="none"/>
                <w:lang w:eastAsia="zh-CN"/>
              </w:rPr>
              <w:t>支持新创目录下的系统模式</w:t>
            </w:r>
            <w:r>
              <w:rPr>
                <w:rFonts w:hint="eastAsia" w:ascii="宋体" w:hAnsi="宋体" w:eastAsia="宋体" w:cs="宋体"/>
                <w:color w:val="auto"/>
                <w:kern w:val="0"/>
                <w:sz w:val="24"/>
                <w:szCs w:val="24"/>
                <w:highlight w:val="none"/>
              </w:rPr>
              <w:t>；</w:t>
            </w:r>
          </w:p>
          <w:p w14:paraId="27774E5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Hans"/>
              </w:rPr>
              <w:t>流式组件设置</w:t>
            </w:r>
            <w:r>
              <w:rPr>
                <w:rFonts w:hint="eastAsia" w:ascii="宋体" w:hAnsi="宋体" w:eastAsia="宋体" w:cs="宋体"/>
                <w:color w:val="auto"/>
                <w:kern w:val="0"/>
                <w:sz w:val="24"/>
                <w:szCs w:val="24"/>
                <w:highlight w:val="none"/>
              </w:rPr>
              <w:t>PC端和移动端流式组件的选择，金格iWebOffice、WPS网页版、WPS客户端、永中Office、WPS云文档、永中WebOffice、竹简；</w:t>
            </w:r>
          </w:p>
          <w:p w14:paraId="2F7276D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版式组件设置</w:t>
            </w:r>
            <w:r>
              <w:rPr>
                <w:rFonts w:hint="eastAsia" w:ascii="宋体" w:hAnsi="宋体" w:eastAsia="宋体" w:cs="宋体"/>
                <w:color w:val="auto"/>
                <w:kern w:val="0"/>
                <w:sz w:val="24"/>
                <w:szCs w:val="24"/>
                <w:highlight w:val="none"/>
                <w:lang w:eastAsia="zh-Hans"/>
              </w:rPr>
              <w:t>版式阅读设置</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Hans"/>
              </w:rPr>
              <w:t>版式</w:t>
            </w:r>
            <w:r>
              <w:rPr>
                <w:rFonts w:hint="eastAsia" w:ascii="宋体" w:hAnsi="宋体" w:eastAsia="宋体" w:cs="宋体"/>
                <w:color w:val="auto"/>
                <w:kern w:val="0"/>
                <w:sz w:val="24"/>
                <w:szCs w:val="24"/>
                <w:highlight w:val="none"/>
              </w:rPr>
              <w:t>转换</w:t>
            </w:r>
            <w:r>
              <w:rPr>
                <w:rFonts w:hint="eastAsia" w:ascii="宋体" w:hAnsi="宋体" w:eastAsia="宋体" w:cs="宋体"/>
                <w:color w:val="auto"/>
                <w:kern w:val="0"/>
                <w:sz w:val="24"/>
                <w:szCs w:val="24"/>
                <w:highlight w:val="none"/>
                <w:lang w:eastAsia="zh-Hans"/>
              </w:rPr>
              <w:t>设置</w:t>
            </w:r>
            <w:r>
              <w:rPr>
                <w:rFonts w:hint="eastAsia" w:ascii="宋体" w:hAnsi="宋体" w:eastAsia="宋体" w:cs="宋体"/>
                <w:color w:val="auto"/>
                <w:kern w:val="0"/>
                <w:sz w:val="24"/>
                <w:szCs w:val="24"/>
                <w:highlight w:val="none"/>
              </w:rPr>
              <w:t>；</w:t>
            </w:r>
          </w:p>
          <w:p w14:paraId="4B46072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预览设置系统附件预览服务的选择，yozo、openoffice、wps、wps云文档、ArteryPaper、福昕、数科</w:t>
            </w:r>
            <w:r>
              <w:rPr>
                <w:rFonts w:hint="eastAsia" w:ascii="宋体" w:hAnsi="宋体" w:eastAsia="宋体" w:cs="宋体"/>
                <w:color w:val="auto"/>
                <w:kern w:val="0"/>
                <w:sz w:val="24"/>
                <w:szCs w:val="24"/>
                <w:highlight w:val="none"/>
                <w:lang w:eastAsia="zh-CN"/>
              </w:rPr>
              <w:t>、文档、表格、幻灯片</w:t>
            </w:r>
            <w:r>
              <w:rPr>
                <w:rFonts w:hint="eastAsia" w:ascii="宋体" w:hAnsi="宋体" w:eastAsia="宋体" w:cs="宋体"/>
                <w:color w:val="auto"/>
                <w:kern w:val="0"/>
                <w:sz w:val="24"/>
                <w:szCs w:val="24"/>
                <w:highlight w:val="none"/>
              </w:rPr>
              <w:t>；</w:t>
            </w:r>
          </w:p>
          <w:p w14:paraId="4D24EC8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附件预览水印，水印格式自定义设置；</w:t>
            </w:r>
          </w:p>
          <w:p w14:paraId="4AF51F2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附件预览加密文件预览；</w:t>
            </w:r>
          </w:p>
          <w:p w14:paraId="14134A8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附件预览页面的打印、放大/缩小、下载按钮配置显示；</w:t>
            </w:r>
          </w:p>
          <w:p w14:paraId="2125700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附件设置附件大小、附件类型设置，附件是否在线编辑，附件存储是否加密和加密算法设置；</w:t>
            </w:r>
          </w:p>
          <w:p w14:paraId="2BE191E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提醒设置</w:t>
            </w:r>
            <w:r>
              <w:rPr>
                <w:rFonts w:hint="eastAsia" w:ascii="宋体" w:hAnsi="宋体" w:eastAsia="宋体" w:cs="宋体"/>
                <w:color w:val="auto"/>
                <w:kern w:val="0"/>
                <w:sz w:val="24"/>
                <w:szCs w:val="24"/>
                <w:highlight w:val="none"/>
                <w:lang w:eastAsia="zh-Hans"/>
              </w:rPr>
              <w:t>移动端、短信提醒设置；弹窗提醒设置</w:t>
            </w:r>
            <w:r>
              <w:rPr>
                <w:rFonts w:hint="eastAsia" w:ascii="宋体" w:hAnsi="宋体" w:eastAsia="宋体" w:cs="宋体"/>
                <w:color w:val="auto"/>
                <w:kern w:val="0"/>
                <w:sz w:val="24"/>
                <w:szCs w:val="24"/>
                <w:highlight w:val="none"/>
              </w:rPr>
              <w:t>；</w:t>
            </w:r>
          </w:p>
          <w:p w14:paraId="77ED5A9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启用日志设置；自定义设置，为项目二开配置提供便捷设置；</w:t>
            </w:r>
          </w:p>
        </w:tc>
      </w:tr>
      <w:tr w14:paraId="373E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CC51F8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389331A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5453400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6F9BC56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移动访问设置-移动端服务配置可视化；</w:t>
            </w:r>
          </w:p>
        </w:tc>
      </w:tr>
      <w:tr w14:paraId="7E7F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9520F6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441D298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4F8DF2A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6B5F174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设置工作日和节假日，用于流程超期等业务判断；</w:t>
            </w:r>
          </w:p>
          <w:p w14:paraId="0139D12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设置工作时间，用于用户的考勤状态判断；</w:t>
            </w:r>
          </w:p>
        </w:tc>
      </w:tr>
      <w:tr w14:paraId="2C5F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2A6832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04C7653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56D962D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09E87CB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Hans"/>
              </w:rPr>
              <w:t>后台登录页logo、系统名称、网页标题、背景图以及版权信息的设置</w:t>
            </w:r>
            <w:r>
              <w:rPr>
                <w:rFonts w:hint="eastAsia" w:ascii="宋体" w:hAnsi="宋体" w:eastAsia="宋体" w:cs="宋体"/>
                <w:color w:val="auto"/>
                <w:kern w:val="0"/>
                <w:sz w:val="24"/>
                <w:szCs w:val="24"/>
                <w:highlight w:val="none"/>
              </w:rPr>
              <w:t>；</w:t>
            </w:r>
          </w:p>
          <w:p w14:paraId="6886F97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lang w:eastAsia="zh-Hans"/>
              </w:rPr>
              <w:t>后台门户logo、</w:t>
            </w:r>
            <w:r>
              <w:rPr>
                <w:rFonts w:hint="eastAsia" w:ascii="宋体" w:hAnsi="宋体" w:eastAsia="宋体" w:cs="宋体"/>
                <w:color w:val="auto"/>
                <w:kern w:val="0"/>
                <w:sz w:val="24"/>
                <w:szCs w:val="24"/>
                <w:highlight w:val="none"/>
              </w:rPr>
              <w:t>logo大小、</w:t>
            </w:r>
            <w:r>
              <w:rPr>
                <w:rFonts w:hint="eastAsia" w:ascii="宋体" w:hAnsi="宋体" w:eastAsia="宋体" w:cs="宋体"/>
                <w:color w:val="auto"/>
                <w:kern w:val="0"/>
                <w:sz w:val="24"/>
                <w:szCs w:val="24"/>
                <w:highlight w:val="none"/>
                <w:lang w:eastAsia="zh-Hans"/>
              </w:rPr>
              <w:t>网页标题的设置</w:t>
            </w:r>
            <w:r>
              <w:rPr>
                <w:rFonts w:hint="eastAsia" w:ascii="宋体" w:hAnsi="宋体" w:eastAsia="宋体" w:cs="宋体"/>
                <w:color w:val="auto"/>
                <w:kern w:val="0"/>
                <w:sz w:val="24"/>
                <w:szCs w:val="24"/>
                <w:highlight w:val="none"/>
              </w:rPr>
              <w:t>；</w:t>
            </w:r>
          </w:p>
        </w:tc>
      </w:tr>
      <w:tr w14:paraId="5E10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94227F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3CB818B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01D6148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5E69BC4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color w:val="auto"/>
                <w:kern w:val="0"/>
                <w:sz w:val="24"/>
                <w:szCs w:val="24"/>
                <w:highlight w:val="none"/>
              </w:rPr>
              <w:t>枚举管理：</w:t>
            </w:r>
            <w:r>
              <w:rPr>
                <w:rFonts w:hint="eastAsia" w:ascii="宋体" w:hAnsi="宋体" w:eastAsia="宋体" w:cs="宋体"/>
                <w:color w:val="auto"/>
                <w:kern w:val="0"/>
                <w:sz w:val="24"/>
                <w:szCs w:val="24"/>
                <w:highlight w:val="none"/>
              </w:rPr>
              <w:t>管理系统枚举字段，提供常用的公共枚举</w:t>
            </w:r>
            <w:r>
              <w:rPr>
                <w:rFonts w:hint="eastAsia" w:ascii="宋体" w:hAnsi="宋体" w:eastAsia="宋体" w:cs="宋体"/>
                <w:color w:val="auto"/>
                <w:kern w:val="0"/>
                <w:sz w:val="24"/>
                <w:szCs w:val="24"/>
                <w:highlight w:val="none"/>
                <w:lang w:eastAsia="zh-CN"/>
              </w:rPr>
              <w:t>。</w:t>
            </w:r>
          </w:p>
        </w:tc>
      </w:tr>
      <w:tr w14:paraId="1604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08CC44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37A750B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restart"/>
            <w:vAlign w:val="center"/>
          </w:tcPr>
          <w:p w14:paraId="50F331E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统计分析</w:t>
            </w:r>
          </w:p>
        </w:tc>
        <w:tc>
          <w:tcPr>
            <w:tcW w:w="10773" w:type="dxa"/>
          </w:tcPr>
          <w:p w14:paraId="0EAA1C7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系统使用情况：</w:t>
            </w:r>
            <w:r>
              <w:rPr>
                <w:rFonts w:hint="eastAsia" w:ascii="宋体" w:hAnsi="宋体" w:eastAsia="宋体" w:cs="宋体"/>
                <w:color w:val="auto"/>
                <w:kern w:val="0"/>
                <w:sz w:val="24"/>
                <w:szCs w:val="24"/>
                <w:highlight w:val="none"/>
              </w:rPr>
              <w:t>查看系统整体的访问人数和访问次数，查看统计趋势图和每天的数据记录；</w:t>
            </w:r>
          </w:p>
        </w:tc>
      </w:tr>
      <w:tr w14:paraId="61BF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9C9E8B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1837300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7D8E46B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2828190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应用使用情况：</w:t>
            </w:r>
            <w:r>
              <w:rPr>
                <w:rFonts w:hint="eastAsia" w:ascii="宋体" w:hAnsi="宋体" w:eastAsia="宋体" w:cs="宋体"/>
                <w:color w:val="auto"/>
                <w:kern w:val="0"/>
                <w:sz w:val="24"/>
                <w:szCs w:val="24"/>
                <w:highlight w:val="none"/>
              </w:rPr>
              <w:t>查看前台各应用的访问人数和访问次数，查看统计趋势图和每天的数据记录；</w:t>
            </w:r>
          </w:p>
        </w:tc>
      </w:tr>
      <w:tr w14:paraId="0A32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5C9BEA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4C36027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restart"/>
            <w:vAlign w:val="center"/>
          </w:tcPr>
          <w:p w14:paraId="115C068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回收站</w:t>
            </w:r>
          </w:p>
        </w:tc>
        <w:tc>
          <w:tcPr>
            <w:tcW w:w="10773" w:type="dxa"/>
          </w:tcPr>
          <w:p w14:paraId="12A66B7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信息回收站：</w:t>
            </w:r>
            <w:r>
              <w:rPr>
                <w:rFonts w:hint="eastAsia" w:ascii="宋体" w:hAnsi="宋体" w:eastAsia="宋体" w:cs="宋体"/>
                <w:color w:val="auto"/>
                <w:kern w:val="0"/>
                <w:sz w:val="24"/>
                <w:szCs w:val="24"/>
                <w:highlight w:val="none"/>
              </w:rPr>
              <w:t>在信息频道中删除的信息保存到回收站，恢复、彻底删除；（仅超管账号可见）</w:t>
            </w:r>
          </w:p>
        </w:tc>
      </w:tr>
      <w:tr w14:paraId="4C42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18496E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291FBA4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2BB4DDF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54DCF9A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栏目回收站：</w:t>
            </w:r>
            <w:r>
              <w:rPr>
                <w:rFonts w:hint="eastAsia" w:ascii="宋体" w:hAnsi="宋体" w:eastAsia="宋体" w:cs="宋体"/>
                <w:color w:val="auto"/>
                <w:kern w:val="0"/>
                <w:sz w:val="24"/>
                <w:szCs w:val="24"/>
                <w:highlight w:val="none"/>
              </w:rPr>
              <w:t>在信息频道中删除的栏目保存到回收站，恢复、彻底删除；（仅超管账号可见）</w:t>
            </w:r>
          </w:p>
        </w:tc>
      </w:tr>
      <w:tr w14:paraId="1D2C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DBF80F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541FBCE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restart"/>
            <w:vAlign w:val="center"/>
          </w:tcPr>
          <w:p w14:paraId="17D795B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安全配置</w:t>
            </w:r>
          </w:p>
        </w:tc>
        <w:tc>
          <w:tcPr>
            <w:tcW w:w="10773" w:type="dxa"/>
          </w:tcPr>
          <w:p w14:paraId="7515CD2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安全设置：</w:t>
            </w:r>
            <w:r>
              <w:rPr>
                <w:rFonts w:hint="eastAsia" w:ascii="宋体" w:hAnsi="宋体" w:eastAsia="宋体" w:cs="宋体"/>
                <w:color w:val="auto"/>
                <w:kern w:val="0"/>
                <w:sz w:val="24"/>
                <w:szCs w:val="24"/>
                <w:highlight w:val="none"/>
              </w:rPr>
              <w:t>包括系统超时时间、登录异常提醒、</w:t>
            </w:r>
            <w:r>
              <w:rPr>
                <w:rFonts w:hint="eastAsia" w:ascii="宋体" w:hAnsi="宋体" w:eastAsia="宋体" w:cs="宋体"/>
                <w:color w:val="auto"/>
                <w:kern w:val="0"/>
                <w:sz w:val="24"/>
                <w:szCs w:val="24"/>
                <w:highlight w:val="none"/>
                <w:lang w:eastAsia="zh-Hans"/>
              </w:rPr>
              <w:t>唯一电脑登入设置；</w:t>
            </w:r>
            <w:r>
              <w:rPr>
                <w:rFonts w:hint="eastAsia" w:ascii="宋体" w:hAnsi="宋体" w:eastAsia="宋体" w:cs="宋体"/>
                <w:color w:val="auto"/>
                <w:kern w:val="0"/>
                <w:sz w:val="24"/>
                <w:szCs w:val="24"/>
                <w:highlight w:val="none"/>
              </w:rPr>
              <w:t>密码规则、验证码设置；</w:t>
            </w:r>
          </w:p>
          <w:p w14:paraId="5DE1043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系统水印设置，水印内容、水印颜色等设置；三员管理等设置；</w:t>
            </w:r>
          </w:p>
        </w:tc>
      </w:tr>
      <w:tr w14:paraId="739F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675A51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2AA3177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0925013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6A70505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访问设置：</w:t>
            </w:r>
            <w:r>
              <w:rPr>
                <w:rFonts w:hint="eastAsia" w:ascii="宋体" w:hAnsi="宋体" w:eastAsia="宋体" w:cs="宋体"/>
                <w:color w:val="auto"/>
                <w:kern w:val="0"/>
                <w:sz w:val="24"/>
                <w:szCs w:val="24"/>
                <w:highlight w:val="none"/>
              </w:rPr>
              <w:t>管理访问规则，包括规则名称、访问IP、时间段等信息，新建、编辑、删除等操作；</w:t>
            </w:r>
          </w:p>
        </w:tc>
      </w:tr>
      <w:tr w14:paraId="3C9D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A5F1B5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2A9A8EE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4F0E125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5A31C28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敏感词设置：</w:t>
            </w:r>
            <w:r>
              <w:rPr>
                <w:rFonts w:hint="eastAsia" w:ascii="宋体" w:hAnsi="宋体" w:eastAsia="宋体" w:cs="宋体"/>
                <w:color w:val="auto"/>
                <w:kern w:val="0"/>
                <w:sz w:val="24"/>
                <w:szCs w:val="24"/>
                <w:highlight w:val="none"/>
              </w:rPr>
              <w:t>系统敏感词的设置；</w:t>
            </w:r>
          </w:p>
          <w:p w14:paraId="3F4569E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敏感词记录：</w:t>
            </w:r>
            <w:r>
              <w:rPr>
                <w:rFonts w:hint="eastAsia" w:ascii="宋体" w:hAnsi="宋体" w:eastAsia="宋体" w:cs="宋体"/>
                <w:color w:val="auto"/>
                <w:kern w:val="0"/>
                <w:sz w:val="24"/>
                <w:szCs w:val="24"/>
                <w:highlight w:val="none"/>
              </w:rPr>
              <w:t>记录应用中敏感词替换操作记录；</w:t>
            </w:r>
          </w:p>
        </w:tc>
      </w:tr>
      <w:tr w14:paraId="5C50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6721D1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2E2B52A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19843DF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6E14E78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color w:val="auto"/>
                <w:kern w:val="0"/>
                <w:sz w:val="24"/>
                <w:szCs w:val="24"/>
                <w:highlight w:val="none"/>
              </w:rPr>
              <w:t>安全扫描：</w:t>
            </w:r>
            <w:r>
              <w:rPr>
                <w:rFonts w:hint="eastAsia" w:ascii="宋体" w:hAnsi="宋体" w:eastAsia="宋体" w:cs="宋体"/>
                <w:color w:val="auto"/>
                <w:kern w:val="0"/>
                <w:sz w:val="24"/>
                <w:szCs w:val="24"/>
                <w:highlight w:val="none"/>
              </w:rPr>
              <w:t>配置扫描系统和扫描地址，完成对系统的安全扫描并出具扫描报告</w:t>
            </w:r>
            <w:r>
              <w:rPr>
                <w:rFonts w:hint="eastAsia" w:ascii="宋体" w:hAnsi="宋体" w:eastAsia="宋体" w:cs="宋体"/>
                <w:color w:val="auto"/>
                <w:kern w:val="0"/>
                <w:sz w:val="24"/>
                <w:szCs w:val="24"/>
                <w:highlight w:val="none"/>
                <w:lang w:eastAsia="zh-CN"/>
              </w:rPr>
              <w:t>。</w:t>
            </w:r>
          </w:p>
        </w:tc>
      </w:tr>
      <w:tr w14:paraId="4363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4BC08E9D">
            <w:pPr>
              <w:keepNext w:val="0"/>
              <w:keepLines w:val="0"/>
              <w:pageBreakBefore w:val="0"/>
              <w:kinsoku/>
              <w:wordWrap/>
              <w:overflowPunct/>
              <w:topLinePunct w:val="0"/>
              <w:autoSpaceDE/>
              <w:autoSpaceDN/>
              <w:bidi w:val="0"/>
              <w:adjustRightInd w:val="0"/>
              <w:snapToGrid/>
              <w:spacing w:line="440" w:lineRule="exact"/>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1196" w:type="dxa"/>
            <w:vMerge w:val="restart"/>
            <w:vAlign w:val="center"/>
          </w:tcPr>
          <w:p w14:paraId="5C2FCCE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技术</w:t>
            </w:r>
            <w:r>
              <w:rPr>
                <w:rFonts w:hint="eastAsia" w:ascii="宋体" w:hAnsi="宋体" w:eastAsia="宋体" w:cs="宋体"/>
                <w:color w:val="auto"/>
                <w:kern w:val="0"/>
                <w:sz w:val="24"/>
                <w:szCs w:val="24"/>
                <w:highlight w:val="none"/>
              </w:rPr>
              <w:t>服务</w:t>
            </w:r>
          </w:p>
        </w:tc>
        <w:tc>
          <w:tcPr>
            <w:tcW w:w="1559" w:type="dxa"/>
            <w:vAlign w:val="center"/>
          </w:tcPr>
          <w:p w14:paraId="6B65BF4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接口对接服务</w:t>
            </w:r>
          </w:p>
        </w:tc>
        <w:tc>
          <w:tcPr>
            <w:tcW w:w="10773" w:type="dxa"/>
          </w:tcPr>
          <w:p w14:paraId="145322B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b/>
                <w:color w:val="auto"/>
                <w:kern w:val="0"/>
                <w:sz w:val="24"/>
                <w:szCs w:val="24"/>
                <w:highlight w:val="none"/>
                <w:lang w:val="en" w:eastAsia="zh-CN"/>
              </w:rPr>
            </w:pPr>
            <w:r>
              <w:rPr>
                <w:rFonts w:hint="eastAsia" w:ascii="宋体" w:hAnsi="宋体" w:eastAsia="宋体" w:cs="宋体"/>
                <w:color w:val="auto"/>
                <w:kern w:val="0"/>
                <w:sz w:val="24"/>
                <w:szCs w:val="24"/>
                <w:highlight w:val="none"/>
              </w:rPr>
              <w:t>与“新政通”对接、与档案系统对接、电子印章集成</w:t>
            </w:r>
            <w:r>
              <w:rPr>
                <w:rFonts w:hint="eastAsia" w:ascii="宋体" w:hAnsi="宋体" w:eastAsia="宋体" w:cs="宋体"/>
                <w:color w:val="auto"/>
                <w:kern w:val="0"/>
                <w:sz w:val="24"/>
                <w:szCs w:val="24"/>
                <w:highlight w:val="none"/>
                <w:lang w:val="en-US" w:eastAsia="zh-CN"/>
              </w:rPr>
              <w:t>等系统</w:t>
            </w:r>
            <w:r>
              <w:rPr>
                <w:rFonts w:hint="eastAsia" w:ascii="宋体" w:hAnsi="宋体" w:eastAsia="宋体" w:cs="宋体"/>
                <w:color w:val="auto"/>
                <w:kern w:val="0"/>
                <w:sz w:val="24"/>
                <w:szCs w:val="24"/>
                <w:highlight w:val="none"/>
              </w:rPr>
              <w:t>对接</w:t>
            </w:r>
            <w:r>
              <w:rPr>
                <w:rFonts w:hint="eastAsia" w:ascii="宋体" w:hAnsi="宋体" w:eastAsia="宋体" w:cs="宋体"/>
                <w:color w:val="auto"/>
                <w:kern w:val="0"/>
                <w:sz w:val="24"/>
                <w:szCs w:val="24"/>
                <w:highlight w:val="none"/>
                <w:lang w:eastAsia="zh-CN"/>
              </w:rPr>
              <w:t>。</w:t>
            </w:r>
          </w:p>
        </w:tc>
      </w:tr>
      <w:tr w14:paraId="2116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1EF3EB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val="en-US" w:eastAsia="zh-CN"/>
              </w:rPr>
            </w:pPr>
          </w:p>
        </w:tc>
        <w:tc>
          <w:tcPr>
            <w:tcW w:w="1196" w:type="dxa"/>
            <w:vMerge w:val="continue"/>
            <w:vAlign w:val="center"/>
          </w:tcPr>
          <w:p w14:paraId="34CAD66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eastAsia="zh-CN"/>
              </w:rPr>
            </w:pPr>
          </w:p>
        </w:tc>
        <w:tc>
          <w:tcPr>
            <w:tcW w:w="1559" w:type="dxa"/>
            <w:vAlign w:val="center"/>
          </w:tcPr>
          <w:p w14:paraId="6B245FC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搬迁服务要求</w:t>
            </w:r>
          </w:p>
        </w:tc>
        <w:tc>
          <w:tcPr>
            <w:tcW w:w="10773" w:type="dxa"/>
          </w:tcPr>
          <w:p w14:paraId="4A44BF5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根据单位工作实际，针对近</w:t>
            </w:r>
            <w:r>
              <w:rPr>
                <w:rFonts w:hint="eastAsia" w:ascii="宋体" w:hAnsi="宋体" w:eastAsia="宋体" w:cs="宋体"/>
                <w:color w:val="auto"/>
                <w:kern w:val="0"/>
                <w:sz w:val="24"/>
                <w:szCs w:val="24"/>
                <w:highlight w:val="none"/>
                <w:lang w:val="en-US" w:eastAsia="zh-CN"/>
              </w:rPr>
              <w:t>5年</w:t>
            </w:r>
            <w:r>
              <w:rPr>
                <w:rFonts w:hint="eastAsia" w:ascii="宋体" w:hAnsi="宋体" w:eastAsia="宋体" w:cs="宋体"/>
                <w:color w:val="auto"/>
                <w:kern w:val="0"/>
                <w:sz w:val="24"/>
                <w:szCs w:val="24"/>
                <w:highlight w:val="none"/>
                <w:lang w:eastAsia="zh-CN"/>
              </w:rPr>
              <w:t>办公地点的</w:t>
            </w:r>
            <w:r>
              <w:rPr>
                <w:rFonts w:hint="eastAsia" w:ascii="宋体" w:hAnsi="宋体" w:eastAsia="宋体" w:cs="宋体"/>
                <w:color w:val="auto"/>
                <w:kern w:val="0"/>
                <w:sz w:val="24"/>
                <w:szCs w:val="24"/>
                <w:highlight w:val="none"/>
                <w:lang w:val="en-US" w:eastAsia="zh-CN"/>
              </w:rPr>
              <w:t>搬迁工作无偿提供技术保障。</w:t>
            </w:r>
          </w:p>
        </w:tc>
      </w:tr>
      <w:tr w14:paraId="1E7C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4311FC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val="en-US" w:eastAsia="zh-CN"/>
              </w:rPr>
            </w:pPr>
          </w:p>
        </w:tc>
        <w:tc>
          <w:tcPr>
            <w:tcW w:w="1196" w:type="dxa"/>
            <w:vMerge w:val="continue"/>
            <w:vAlign w:val="center"/>
          </w:tcPr>
          <w:p w14:paraId="3AB2996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eastAsia="zh-CN"/>
              </w:rPr>
            </w:pPr>
          </w:p>
        </w:tc>
        <w:tc>
          <w:tcPr>
            <w:tcW w:w="1559" w:type="dxa"/>
            <w:vAlign w:val="center"/>
          </w:tcPr>
          <w:p w14:paraId="38063B8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网络对接</w:t>
            </w:r>
          </w:p>
        </w:tc>
        <w:tc>
          <w:tcPr>
            <w:tcW w:w="10773" w:type="dxa"/>
          </w:tcPr>
          <w:p w14:paraId="19F930C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政务外网向政务内网迁移布置的技术</w:t>
            </w:r>
            <w:r>
              <w:rPr>
                <w:rFonts w:hint="eastAsia" w:ascii="宋体" w:hAnsi="宋体" w:eastAsia="宋体" w:cs="宋体"/>
                <w:color w:val="auto"/>
                <w:kern w:val="0"/>
                <w:sz w:val="24"/>
                <w:szCs w:val="24"/>
                <w:highlight w:val="none"/>
                <w:lang w:val="en-US" w:eastAsia="zh-CN"/>
              </w:rPr>
              <w:t>支撑</w:t>
            </w:r>
            <w:r>
              <w:rPr>
                <w:rFonts w:hint="eastAsia" w:ascii="宋体" w:hAnsi="宋体" w:eastAsia="宋体" w:cs="宋体"/>
                <w:color w:val="auto"/>
                <w:kern w:val="0"/>
                <w:sz w:val="24"/>
                <w:szCs w:val="24"/>
                <w:highlight w:val="none"/>
                <w:lang w:eastAsia="zh-CN"/>
              </w:rPr>
              <w:t>。</w:t>
            </w:r>
          </w:p>
        </w:tc>
      </w:tr>
      <w:tr w14:paraId="272D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A676EB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val="en-US" w:eastAsia="zh-CN"/>
              </w:rPr>
            </w:pPr>
          </w:p>
        </w:tc>
        <w:tc>
          <w:tcPr>
            <w:tcW w:w="1196" w:type="dxa"/>
            <w:vMerge w:val="continue"/>
            <w:vAlign w:val="center"/>
          </w:tcPr>
          <w:p w14:paraId="7EF5CB1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eastAsia="zh-CN"/>
              </w:rPr>
            </w:pPr>
          </w:p>
        </w:tc>
        <w:tc>
          <w:tcPr>
            <w:tcW w:w="1559" w:type="dxa"/>
            <w:vAlign w:val="center"/>
          </w:tcPr>
          <w:p w14:paraId="3F0A9DA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保密要求</w:t>
            </w:r>
          </w:p>
        </w:tc>
        <w:tc>
          <w:tcPr>
            <w:tcW w:w="10773" w:type="dxa"/>
          </w:tcPr>
          <w:p w14:paraId="11B88D1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符合国家保密相关规定，满足新疆维吾尔自治区党政机关保密相关要求，在后期系统日常维护中，能及时根据国家和自治区保密相关规定及时提出进一步的合理有建设意义的措施，所有施工人员需与甲方签订保密责任书，如乙方因履约中发生失泄密行为，则由乙方承担相应后果。</w:t>
            </w:r>
          </w:p>
        </w:tc>
      </w:tr>
      <w:tr w14:paraId="08EE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FF9E5F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val="en-US" w:eastAsia="zh-CN"/>
              </w:rPr>
            </w:pPr>
          </w:p>
        </w:tc>
        <w:tc>
          <w:tcPr>
            <w:tcW w:w="1196" w:type="dxa"/>
            <w:vMerge w:val="continue"/>
            <w:vAlign w:val="center"/>
          </w:tcPr>
          <w:p w14:paraId="581AAFD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eastAsia="zh-CN"/>
              </w:rPr>
            </w:pPr>
          </w:p>
        </w:tc>
        <w:tc>
          <w:tcPr>
            <w:tcW w:w="1559" w:type="dxa"/>
            <w:vAlign w:val="center"/>
          </w:tcPr>
          <w:p w14:paraId="3C89AA1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日常维护</w:t>
            </w:r>
          </w:p>
        </w:tc>
        <w:tc>
          <w:tcPr>
            <w:tcW w:w="10773" w:type="dxa"/>
          </w:tcPr>
          <w:p w14:paraId="723A785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该项目上线试运行期间，乙方要及时派出技术人员对甲方工作人员进行系统使用及日常管理应用的培训，并持续对系统使用过程中出现的问题进行优化和处理，进一步满足甲方需求，确保系统稳定。待系统稳定运行后，乙方要定期对该系统进行检查维护，并根据形势需要提出建设性的完善建议。</w:t>
            </w:r>
          </w:p>
        </w:tc>
      </w:tr>
      <w:tr w14:paraId="5CFF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764D35A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1196" w:type="dxa"/>
            <w:vAlign w:val="center"/>
          </w:tcPr>
          <w:p w14:paraId="74F7833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用户最大使用量</w:t>
            </w:r>
          </w:p>
        </w:tc>
        <w:tc>
          <w:tcPr>
            <w:tcW w:w="1559" w:type="dxa"/>
            <w:vAlign w:val="center"/>
          </w:tcPr>
          <w:p w14:paraId="1288635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vAlign w:val="center"/>
          </w:tcPr>
          <w:p w14:paraId="4BC557F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能够</w:t>
            </w: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eastAsia="zh-CN"/>
              </w:rPr>
              <w:t>最大</w:t>
            </w:r>
            <w:r>
              <w:rPr>
                <w:rFonts w:hint="eastAsia" w:ascii="宋体" w:hAnsi="宋体" w:eastAsia="宋体" w:cs="宋体"/>
                <w:color w:val="auto"/>
                <w:kern w:val="0"/>
                <w:sz w:val="24"/>
                <w:szCs w:val="24"/>
                <w:highlight w:val="none"/>
                <w:lang w:val="en-US" w:eastAsia="zh-CN"/>
              </w:rPr>
              <w:t>500个并发数的使用。</w:t>
            </w:r>
          </w:p>
        </w:tc>
      </w:tr>
      <w:tr w14:paraId="30DE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1FC0486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1196" w:type="dxa"/>
            <w:vAlign w:val="center"/>
          </w:tcPr>
          <w:p w14:paraId="25F19D1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产品质保</w:t>
            </w:r>
          </w:p>
        </w:tc>
        <w:tc>
          <w:tcPr>
            <w:tcW w:w="1559" w:type="dxa"/>
            <w:vAlign w:val="center"/>
          </w:tcPr>
          <w:p w14:paraId="0F25B0F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vAlign w:val="center"/>
          </w:tcPr>
          <w:p w14:paraId="5D10FC4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系统软硬件均需提供1年免费质保，后续系统运行维护按照甲方采购相关管理办法执行。</w:t>
            </w:r>
          </w:p>
        </w:tc>
      </w:tr>
      <w:tr w14:paraId="762F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1754FE1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1196" w:type="dxa"/>
            <w:vAlign w:val="center"/>
          </w:tcPr>
          <w:p w14:paraId="6F9FE8C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费用结算</w:t>
            </w:r>
          </w:p>
        </w:tc>
        <w:tc>
          <w:tcPr>
            <w:tcW w:w="1559" w:type="dxa"/>
            <w:vAlign w:val="center"/>
          </w:tcPr>
          <w:p w14:paraId="3EC99AB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vAlign w:val="center"/>
          </w:tcPr>
          <w:p w14:paraId="4D1F890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根据后期合同按照相关规定留取部分资金作为质保金，确保系统在质保期限内进一步完善合同内相关功能。</w:t>
            </w:r>
          </w:p>
        </w:tc>
      </w:tr>
    </w:tbl>
    <w:p w14:paraId="74A3F8B9">
      <w:pPr>
        <w:bidi w:val="0"/>
        <w:rPr>
          <w:rFonts w:hint="eastAsia" w:ascii="宋体" w:hAnsi="宋体" w:eastAsia="宋体" w:cs="宋体"/>
          <w:color w:val="auto"/>
          <w:highlight w:val="none"/>
        </w:rPr>
      </w:pPr>
    </w:p>
    <w:p w14:paraId="2E39BB50">
      <w:pPr>
        <w:bidi w:val="0"/>
        <w:rPr>
          <w:rFonts w:hint="eastAsia" w:ascii="宋体" w:hAnsi="宋体" w:eastAsia="宋体" w:cs="宋体"/>
          <w:color w:val="auto"/>
          <w:highlight w:val="none"/>
        </w:rPr>
      </w:pPr>
    </w:p>
    <w:p w14:paraId="3BC8E7B1">
      <w:pPr>
        <w:bidi w:val="0"/>
        <w:rPr>
          <w:rFonts w:hint="eastAsia" w:ascii="宋体" w:hAnsi="宋体" w:eastAsia="宋体" w:cs="宋体"/>
          <w:color w:val="auto"/>
          <w:highlight w:val="none"/>
        </w:rPr>
      </w:pPr>
    </w:p>
    <w:p w14:paraId="48924D4B">
      <w:pPr>
        <w:bidi w:val="0"/>
        <w:rPr>
          <w:rFonts w:hint="eastAsia" w:ascii="宋体" w:hAnsi="宋体" w:eastAsia="宋体" w:cs="宋体"/>
          <w:color w:val="auto"/>
          <w:highlight w:val="none"/>
        </w:rPr>
      </w:pPr>
    </w:p>
    <w:p w14:paraId="627B6F07">
      <w:pPr>
        <w:pStyle w:val="17"/>
        <w:rPr>
          <w:rFonts w:hint="eastAsia" w:ascii="宋体" w:hAnsi="宋体" w:eastAsia="宋体" w:cs="宋体"/>
          <w:color w:val="auto"/>
          <w:highlight w:val="none"/>
        </w:rPr>
      </w:pPr>
    </w:p>
    <w:p w14:paraId="39C47C1A">
      <w:pPr>
        <w:rPr>
          <w:rFonts w:hint="eastAsia" w:ascii="宋体" w:hAnsi="宋体" w:eastAsia="宋体" w:cs="宋体"/>
          <w:color w:val="auto"/>
          <w:highlight w:val="none"/>
        </w:rPr>
      </w:pPr>
    </w:p>
    <w:p w14:paraId="26C82D23">
      <w:pPr>
        <w:pStyle w:val="17"/>
        <w:rPr>
          <w:rFonts w:hint="eastAsia" w:ascii="宋体" w:hAnsi="宋体" w:eastAsia="宋体" w:cs="宋体"/>
          <w:color w:val="auto"/>
          <w:highlight w:val="none"/>
        </w:rPr>
      </w:pPr>
    </w:p>
    <w:p w14:paraId="46186F5A">
      <w:pPr>
        <w:bidi w:val="0"/>
        <w:rPr>
          <w:rFonts w:hint="eastAsia" w:ascii="宋体" w:hAnsi="宋体" w:eastAsia="宋体" w:cs="宋体"/>
          <w:color w:val="auto"/>
          <w:highlight w:val="none"/>
        </w:rPr>
      </w:pPr>
    </w:p>
    <w:p w14:paraId="3180C233">
      <w:pPr>
        <w:rPr>
          <w:rFonts w:hint="eastAsia" w:ascii="宋体" w:hAnsi="宋体" w:eastAsia="宋体" w:cs="宋体"/>
          <w:color w:val="auto"/>
          <w:sz w:val="24"/>
          <w:szCs w:val="24"/>
          <w:highlight w:val="none"/>
        </w:rPr>
      </w:pPr>
    </w:p>
    <w:p w14:paraId="11D42291">
      <w:pPr>
        <w:pStyle w:val="20"/>
        <w:rPr>
          <w:rFonts w:hint="eastAsia" w:ascii="宋体" w:hAnsi="宋体" w:eastAsia="宋体" w:cs="宋体"/>
          <w:color w:val="auto"/>
          <w:highlight w:val="none"/>
        </w:rPr>
      </w:pPr>
    </w:p>
    <w:p w14:paraId="2C02765A">
      <w:pPr>
        <w:pStyle w:val="32"/>
        <w:keepNext w:val="0"/>
        <w:keepLines w:val="0"/>
        <w:pageBreakBefore w:val="0"/>
        <w:kinsoku/>
        <w:wordWrap/>
        <w:overflowPunct/>
        <w:topLinePunct w:val="0"/>
        <w:autoSpaceDE/>
        <w:autoSpaceDN/>
        <w:bidi w:val="0"/>
        <w:snapToGrid/>
        <w:spacing w:before="0" w:after="0" w:line="440" w:lineRule="exact"/>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二、配套：</w:t>
      </w:r>
    </w:p>
    <w:tbl>
      <w:tblPr>
        <w:tblStyle w:val="38"/>
        <w:tblW w:w="13551" w:type="dxa"/>
        <w:tblInd w:w="1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83"/>
        <w:gridCol w:w="2257"/>
        <w:gridCol w:w="1864"/>
        <w:gridCol w:w="8647"/>
      </w:tblGrid>
      <w:tr w14:paraId="59FF1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shd w:val="clear" w:color="auto" w:fill="BDD6EE"/>
            <w:vAlign w:val="center"/>
          </w:tcPr>
          <w:p w14:paraId="13C810D2">
            <w:pPr>
              <w:keepNext w:val="0"/>
              <w:keepLines w:val="0"/>
              <w:pageBreakBefore w:val="0"/>
              <w:widowControl/>
              <w:kinsoku/>
              <w:wordWrap/>
              <w:overflowPunct/>
              <w:topLinePunct w:val="0"/>
              <w:autoSpaceDE/>
              <w:autoSpaceDN/>
              <w:bidi w:val="0"/>
              <w:snapToGrid/>
              <w:spacing w:line="440" w:lineRule="exact"/>
              <w:jc w:val="righ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57" w:type="dxa"/>
            <w:tcBorders>
              <w:top w:val="single" w:color="auto" w:sz="4" w:space="0"/>
              <w:left w:val="single" w:color="auto" w:sz="4" w:space="0"/>
              <w:bottom w:val="single" w:color="auto" w:sz="4" w:space="0"/>
              <w:right w:val="single" w:color="auto" w:sz="4" w:space="0"/>
            </w:tcBorders>
            <w:shd w:val="clear" w:color="auto" w:fill="BDD6EE"/>
            <w:vAlign w:val="center"/>
          </w:tcPr>
          <w:p w14:paraId="3BCCCB05">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产品名称</w:t>
            </w:r>
          </w:p>
        </w:tc>
        <w:tc>
          <w:tcPr>
            <w:tcW w:w="1864" w:type="dxa"/>
            <w:tcBorders>
              <w:top w:val="single" w:color="auto" w:sz="4" w:space="0"/>
              <w:left w:val="single" w:color="auto" w:sz="4" w:space="0"/>
              <w:bottom w:val="single" w:color="auto" w:sz="4" w:space="0"/>
              <w:right w:val="single" w:color="auto" w:sz="4" w:space="0"/>
            </w:tcBorders>
            <w:shd w:val="clear" w:color="auto" w:fill="BDD6EE"/>
            <w:vAlign w:val="center"/>
          </w:tcPr>
          <w:p w14:paraId="3EC344A6">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功能菜单</w:t>
            </w:r>
          </w:p>
        </w:tc>
        <w:tc>
          <w:tcPr>
            <w:tcW w:w="8647" w:type="dxa"/>
            <w:tcBorders>
              <w:top w:val="single" w:color="auto" w:sz="4" w:space="0"/>
              <w:left w:val="single" w:color="auto" w:sz="4" w:space="0"/>
              <w:bottom w:val="single" w:color="auto" w:sz="4" w:space="0"/>
              <w:right w:val="single" w:color="auto" w:sz="4" w:space="0"/>
            </w:tcBorders>
            <w:shd w:val="clear" w:color="auto" w:fill="BDD6EE"/>
            <w:vAlign w:val="center"/>
          </w:tcPr>
          <w:p w14:paraId="1D7100C0">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功能介绍</w:t>
            </w:r>
          </w:p>
        </w:tc>
      </w:tr>
      <w:tr w14:paraId="48785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right w:val="single" w:color="auto" w:sz="4" w:space="0"/>
            </w:tcBorders>
            <w:shd w:val="clear" w:color="auto" w:fill="FFFFFF"/>
            <w:vAlign w:val="center"/>
          </w:tcPr>
          <w:p w14:paraId="2FE1A100">
            <w:pPr>
              <w:pStyle w:val="66"/>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tcBorders>
              <w:top w:val="single" w:color="auto" w:sz="4" w:space="0"/>
              <w:left w:val="single" w:color="auto" w:sz="4" w:space="0"/>
              <w:right w:val="single" w:color="auto" w:sz="4" w:space="0"/>
            </w:tcBorders>
            <w:shd w:val="clear" w:color="auto" w:fill="FFFFFF"/>
            <w:vAlign w:val="center"/>
          </w:tcPr>
          <w:p w14:paraId="638FA7B2">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val="en" w:eastAsia="zh-CN"/>
              </w:rPr>
            </w:pPr>
            <w:r>
              <w:rPr>
                <w:rFonts w:hint="eastAsia" w:ascii="宋体" w:hAnsi="宋体" w:eastAsia="宋体" w:cs="宋体"/>
                <w:b/>
                <w:color w:val="auto"/>
                <w:kern w:val="0"/>
                <w:sz w:val="24"/>
                <w:szCs w:val="24"/>
                <w:highlight w:val="none"/>
              </w:rPr>
              <w:t>文档</w:t>
            </w:r>
            <w:r>
              <w:rPr>
                <w:rFonts w:hint="eastAsia" w:ascii="宋体" w:hAnsi="宋体" w:eastAsia="宋体" w:cs="宋体"/>
                <w:b/>
                <w:color w:val="auto"/>
                <w:kern w:val="0"/>
                <w:sz w:val="24"/>
                <w:szCs w:val="24"/>
                <w:highlight w:val="none"/>
                <w:lang w:eastAsia="zh-CN"/>
              </w:rPr>
              <w:t>中台</w:t>
            </w:r>
          </w:p>
        </w:tc>
        <w:tc>
          <w:tcPr>
            <w:tcW w:w="1864" w:type="dxa"/>
            <w:tcBorders>
              <w:top w:val="single" w:color="auto" w:sz="4" w:space="0"/>
              <w:left w:val="single" w:color="auto" w:sz="4" w:space="0"/>
              <w:bottom w:val="single" w:color="auto" w:sz="4" w:space="0"/>
              <w:right w:val="single" w:color="auto" w:sz="4" w:space="0"/>
            </w:tcBorders>
            <w:shd w:val="clear" w:color="auto" w:fill="FFFFFF"/>
            <w:vAlign w:val="center"/>
          </w:tcPr>
          <w:p w14:paraId="53DF291D">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提供文档中台</w:t>
            </w:r>
          </w:p>
          <w:p w14:paraId="055636A0">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1年应用授权</w:t>
            </w:r>
          </w:p>
        </w:tc>
        <w:tc>
          <w:tcPr>
            <w:tcW w:w="8647" w:type="dxa"/>
            <w:tcBorders>
              <w:top w:val="single" w:color="auto" w:sz="4" w:space="0"/>
              <w:left w:val="single" w:color="auto" w:sz="4" w:space="0"/>
              <w:bottom w:val="single" w:color="auto" w:sz="4" w:space="0"/>
              <w:right w:val="single" w:color="auto" w:sz="4" w:space="0"/>
            </w:tcBorders>
            <w:shd w:val="clear" w:color="auto" w:fill="FFFFFF"/>
          </w:tcPr>
          <w:p w14:paraId="245A2C1B">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1.支持在X86服务器和国产服务器环境部署；</w:t>
            </w:r>
          </w:p>
          <w:p w14:paraId="280EAAE2">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2.国产CPU支持：支持鲲鹏920、飞腾2000、海光7280/7285、龙芯LS3C5000l等；</w:t>
            </w:r>
          </w:p>
          <w:p w14:paraId="0CD53262">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3.国产操作系统支持：银河麒麟、UOS、中科方德、龙蜥、龙芯等。</w:t>
            </w:r>
          </w:p>
          <w:p w14:paraId="4F772F54">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4.支持文档在线预览时限制用户数，支持限制打开文件的大小，须支持2G大小的word、excel、ppt、pdf文件在线预览；</w:t>
            </w:r>
          </w:p>
          <w:p w14:paraId="2375BDD0">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5.支持在业务系统中进行多种文件格式（doc、docx、wps、xls、xlsx、et、ppt、pptx、dpt）的在线编辑，同时支持在PDF文件上批注；</w:t>
            </w:r>
          </w:p>
          <w:p w14:paraId="433FC4CB">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6.支持第三方应用调用接口实现套用套红、文档清稿、添加文档水印等能力。</w:t>
            </w:r>
          </w:p>
        </w:tc>
      </w:tr>
      <w:tr w14:paraId="43953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right w:val="single" w:color="auto" w:sz="4" w:space="0"/>
            </w:tcBorders>
            <w:vAlign w:val="center"/>
          </w:tcPr>
          <w:p w14:paraId="483B1A0B">
            <w:pPr>
              <w:pStyle w:val="66"/>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tcBorders>
              <w:top w:val="single" w:color="auto" w:sz="4" w:space="0"/>
              <w:left w:val="single" w:color="auto" w:sz="4" w:space="0"/>
              <w:bottom w:val="single" w:color="auto" w:sz="4" w:space="0"/>
              <w:right w:val="single" w:color="auto" w:sz="4" w:space="0"/>
            </w:tcBorders>
            <w:vAlign w:val="center"/>
          </w:tcPr>
          <w:p w14:paraId="68EA56BC">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国产化中间件</w:t>
            </w:r>
          </w:p>
        </w:tc>
        <w:tc>
          <w:tcPr>
            <w:tcW w:w="1864" w:type="dxa"/>
            <w:tcBorders>
              <w:top w:val="single" w:color="auto" w:sz="4" w:space="0"/>
              <w:left w:val="single" w:color="auto" w:sz="4" w:space="0"/>
              <w:bottom w:val="single" w:color="auto" w:sz="4" w:space="0"/>
              <w:right w:val="single" w:color="auto" w:sz="4" w:space="0"/>
            </w:tcBorders>
            <w:vAlign w:val="center"/>
          </w:tcPr>
          <w:p w14:paraId="0C29572B">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国产化中间件</w:t>
            </w:r>
          </w:p>
        </w:tc>
        <w:tc>
          <w:tcPr>
            <w:tcW w:w="8647" w:type="dxa"/>
            <w:tcBorders>
              <w:top w:val="single" w:color="auto" w:sz="4" w:space="0"/>
              <w:left w:val="single" w:color="auto" w:sz="4" w:space="0"/>
              <w:bottom w:val="single" w:color="auto" w:sz="4" w:space="0"/>
              <w:right w:val="single" w:color="auto" w:sz="4" w:space="0"/>
            </w:tcBorders>
          </w:tcPr>
          <w:p w14:paraId="0B99E782">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国产主流中间件：要求</w:t>
            </w:r>
            <w:r>
              <w:rPr>
                <w:rFonts w:hint="eastAsia" w:ascii="宋体" w:hAnsi="宋体" w:eastAsia="宋体" w:cs="宋体"/>
                <w:color w:val="auto"/>
                <w:sz w:val="24"/>
                <w:szCs w:val="24"/>
                <w:highlight w:val="none"/>
                <w:lang w:eastAsia="zh-CN"/>
              </w:rPr>
              <w:t>支持</w:t>
            </w:r>
            <w:r>
              <w:rPr>
                <w:rFonts w:hint="eastAsia" w:ascii="宋体" w:hAnsi="宋体" w:eastAsia="宋体" w:cs="宋体"/>
                <w:color w:val="auto"/>
                <w:sz w:val="24"/>
                <w:szCs w:val="24"/>
                <w:highlight w:val="none"/>
              </w:rPr>
              <w:t>和适配全信创基础软硬件环境。</w:t>
            </w:r>
          </w:p>
          <w:p w14:paraId="222C6668">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1、具有自主知识产权；产品必须符合信创要求。</w:t>
            </w:r>
          </w:p>
          <w:p w14:paraId="7A522279">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、中间件产品提供包括 Web容器、监控管理、JAVA规范管理、JMX服务、JMS消息服务、日志管理、应用部署、数据源管理、数据库连接池管理等基础功能。</w:t>
            </w:r>
          </w:p>
          <w:p w14:paraId="025EA7D1">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、中间件产品应用增量文件包在线自动化更新。</w:t>
            </w:r>
          </w:p>
          <w:p w14:paraId="20F721AF">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、中间件产品提供完善的集群技术与 Session 管理，内置分布式会话管理方案。</w:t>
            </w:r>
          </w:p>
          <w:p w14:paraId="57F85B11">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多种负载管理算法。</w:t>
            </w:r>
          </w:p>
          <w:p w14:paraId="476C41E7">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、中间件产品通过应用Web接口的QPS、并发数等指标对应用请求进行限流。</w:t>
            </w:r>
          </w:p>
          <w:p w14:paraId="10143DC9">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、中间件产品拦截多种web安全攻击，安全防护统计功能。</w:t>
            </w:r>
          </w:p>
        </w:tc>
      </w:tr>
      <w:tr w14:paraId="74B90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vAlign w:val="center"/>
          </w:tcPr>
          <w:p w14:paraId="2EB56089">
            <w:pPr>
              <w:pStyle w:val="66"/>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bookmarkStart w:id="68" w:name="_Hlk196352652"/>
          </w:p>
        </w:tc>
        <w:tc>
          <w:tcPr>
            <w:tcW w:w="2257" w:type="dxa"/>
            <w:tcBorders>
              <w:top w:val="single" w:color="auto" w:sz="4" w:space="0"/>
              <w:left w:val="single" w:color="auto" w:sz="4" w:space="0"/>
              <w:bottom w:val="single" w:color="auto" w:sz="4" w:space="0"/>
              <w:right w:val="single" w:color="auto" w:sz="4" w:space="0"/>
            </w:tcBorders>
            <w:vAlign w:val="center"/>
          </w:tcPr>
          <w:p w14:paraId="6053EC27">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国产数据库</w:t>
            </w:r>
          </w:p>
        </w:tc>
        <w:tc>
          <w:tcPr>
            <w:tcW w:w="1864" w:type="dxa"/>
            <w:tcBorders>
              <w:top w:val="single" w:color="auto" w:sz="4" w:space="0"/>
              <w:left w:val="single" w:color="auto" w:sz="4" w:space="0"/>
              <w:bottom w:val="single" w:color="auto" w:sz="4" w:space="0"/>
              <w:right w:val="single" w:color="auto" w:sz="4" w:space="0"/>
            </w:tcBorders>
            <w:vAlign w:val="center"/>
          </w:tcPr>
          <w:p w14:paraId="05008DB5">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国产化数据库</w:t>
            </w:r>
          </w:p>
        </w:tc>
        <w:tc>
          <w:tcPr>
            <w:tcW w:w="8647" w:type="dxa"/>
            <w:tcBorders>
              <w:top w:val="single" w:color="auto" w:sz="4" w:space="0"/>
              <w:left w:val="single" w:color="auto" w:sz="4" w:space="0"/>
              <w:bottom w:val="single" w:color="auto" w:sz="4" w:space="0"/>
              <w:right w:val="single" w:color="auto" w:sz="4" w:space="0"/>
            </w:tcBorders>
          </w:tcPr>
          <w:p w14:paraId="0986A339">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国产主流数据库：</w:t>
            </w:r>
            <w:r>
              <w:rPr>
                <w:rFonts w:hint="eastAsia" w:ascii="宋体" w:hAnsi="宋体" w:eastAsia="宋体" w:cs="宋体"/>
                <w:color w:val="auto"/>
                <w:sz w:val="24"/>
                <w:szCs w:val="24"/>
                <w:highlight w:val="none"/>
                <w:lang w:eastAsia="zh-CN"/>
              </w:rPr>
              <w:t>国产化入围性能稳定的国产化产品。</w:t>
            </w:r>
          </w:p>
          <w:p w14:paraId="72DD5114">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多</w:t>
            </w:r>
            <w:r>
              <w:rPr>
                <w:rFonts w:hint="eastAsia" w:ascii="宋体" w:hAnsi="宋体" w:eastAsia="宋体" w:cs="宋体"/>
                <w:color w:val="auto"/>
                <w:sz w:val="24"/>
                <w:szCs w:val="24"/>
                <w:highlight w:val="none"/>
                <w:lang w:val="en-US" w:eastAsia="zh-CN"/>
              </w:rPr>
              <w:t>模式</w:t>
            </w:r>
            <w:r>
              <w:rPr>
                <w:rFonts w:hint="eastAsia" w:ascii="宋体" w:hAnsi="宋体" w:eastAsia="宋体" w:cs="宋体"/>
                <w:color w:val="auto"/>
                <w:sz w:val="24"/>
                <w:szCs w:val="24"/>
                <w:highlight w:val="none"/>
              </w:rPr>
              <w:t>索引</w:t>
            </w:r>
            <w:r>
              <w:rPr>
                <w:rFonts w:hint="eastAsia" w:ascii="宋体" w:hAnsi="宋体" w:eastAsia="宋体" w:cs="宋体"/>
                <w:color w:val="auto"/>
                <w:sz w:val="24"/>
                <w:szCs w:val="24"/>
                <w:highlight w:val="none"/>
                <w:lang w:val="en-US" w:eastAsia="zh-CN"/>
              </w:rPr>
              <w:t>及管理</w:t>
            </w:r>
            <w:r>
              <w:rPr>
                <w:rFonts w:hint="eastAsia" w:ascii="宋体" w:hAnsi="宋体" w:eastAsia="宋体" w:cs="宋体"/>
                <w:color w:val="auto"/>
                <w:sz w:val="24"/>
                <w:szCs w:val="24"/>
                <w:highlight w:val="none"/>
                <w:lang w:eastAsia="zh-CN"/>
              </w:rPr>
              <w:t>。</w:t>
            </w:r>
          </w:p>
          <w:p w14:paraId="305F9945">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2.支持</w:t>
            </w:r>
            <w:r>
              <w:rPr>
                <w:rFonts w:hint="eastAsia" w:ascii="宋体" w:hAnsi="宋体" w:eastAsia="宋体" w:cs="宋体"/>
                <w:color w:val="auto"/>
                <w:sz w:val="24"/>
                <w:szCs w:val="24"/>
                <w:highlight w:val="none"/>
              </w:rPr>
              <w:t>数据库内存及执行计划智能配置。</w:t>
            </w:r>
          </w:p>
          <w:p w14:paraId="5B1FEF68">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数据</w:t>
            </w:r>
            <w:r>
              <w:rPr>
                <w:rFonts w:hint="eastAsia" w:ascii="宋体" w:hAnsi="宋体" w:eastAsia="宋体" w:cs="宋体"/>
                <w:color w:val="auto"/>
                <w:sz w:val="24"/>
                <w:szCs w:val="24"/>
                <w:highlight w:val="none"/>
                <w:lang w:val="en-US" w:eastAsia="zh-CN"/>
              </w:rPr>
              <w:t>国密算法</w:t>
            </w:r>
            <w:r>
              <w:rPr>
                <w:rFonts w:hint="eastAsia" w:ascii="宋体" w:hAnsi="宋体" w:eastAsia="宋体" w:cs="宋体"/>
                <w:color w:val="auto"/>
                <w:sz w:val="24"/>
                <w:szCs w:val="24"/>
                <w:highlight w:val="none"/>
              </w:rPr>
              <w:t>加密存储。</w:t>
            </w:r>
          </w:p>
          <w:p w14:paraId="6E871841">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多集群体系架构。</w:t>
            </w:r>
          </w:p>
          <w:p w14:paraId="509BBB94">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物理备份及恢复，包括全量、增量和差异备份及恢复功能。</w:t>
            </w:r>
          </w:p>
          <w:p w14:paraId="17FD3FC8">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审计功能，</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审计日志分析。</w:t>
            </w:r>
          </w:p>
        </w:tc>
      </w:tr>
      <w:tr w14:paraId="65DF7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vAlign w:val="center"/>
          </w:tcPr>
          <w:p w14:paraId="4B3EAB48">
            <w:pPr>
              <w:pStyle w:val="66"/>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tcBorders>
              <w:top w:val="single" w:color="auto" w:sz="4" w:space="0"/>
              <w:left w:val="single" w:color="auto" w:sz="4" w:space="0"/>
              <w:bottom w:val="single" w:color="auto" w:sz="4" w:space="0"/>
              <w:right w:val="single" w:color="auto" w:sz="4" w:space="0"/>
            </w:tcBorders>
            <w:vAlign w:val="center"/>
          </w:tcPr>
          <w:p w14:paraId="55F3A0F7">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电子印章</w:t>
            </w:r>
          </w:p>
        </w:tc>
        <w:tc>
          <w:tcPr>
            <w:tcW w:w="1864" w:type="dxa"/>
            <w:tcBorders>
              <w:top w:val="single" w:color="auto" w:sz="4" w:space="0"/>
              <w:left w:val="single" w:color="auto" w:sz="4" w:space="0"/>
              <w:bottom w:val="single" w:color="auto" w:sz="4" w:space="0"/>
              <w:right w:val="single" w:color="auto" w:sz="4" w:space="0"/>
            </w:tcBorders>
            <w:vAlign w:val="center"/>
          </w:tcPr>
          <w:p w14:paraId="1732A2EA">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电子印章系统</w:t>
            </w:r>
          </w:p>
        </w:tc>
        <w:tc>
          <w:tcPr>
            <w:tcW w:w="8647" w:type="dxa"/>
            <w:tcBorders>
              <w:top w:val="single" w:color="auto" w:sz="4" w:space="0"/>
              <w:left w:val="single" w:color="auto" w:sz="4" w:space="0"/>
              <w:bottom w:val="single" w:color="auto" w:sz="4" w:space="0"/>
              <w:right w:val="single" w:color="auto" w:sz="4" w:space="0"/>
            </w:tcBorders>
            <w:vAlign w:val="center"/>
          </w:tcPr>
          <w:p w14:paraId="4D14394B">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实现文件的线上加盖电子以及制章等功能</w:t>
            </w:r>
            <w:r>
              <w:rPr>
                <w:rFonts w:hint="eastAsia" w:ascii="宋体" w:hAnsi="宋体" w:eastAsia="宋体" w:cs="宋体"/>
                <w:color w:val="auto"/>
                <w:sz w:val="24"/>
                <w:szCs w:val="24"/>
                <w:highlight w:val="none"/>
                <w:lang w:eastAsia="zh-CN"/>
              </w:rPr>
              <w:t>。</w:t>
            </w:r>
          </w:p>
        </w:tc>
      </w:tr>
      <w:tr w14:paraId="60338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vAlign w:val="center"/>
          </w:tcPr>
          <w:p w14:paraId="2765C07D">
            <w:pPr>
              <w:pStyle w:val="66"/>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tcBorders>
              <w:top w:val="single" w:color="auto" w:sz="4" w:space="0"/>
              <w:left w:val="single" w:color="auto" w:sz="4" w:space="0"/>
              <w:bottom w:val="single" w:color="auto" w:sz="4" w:space="0"/>
              <w:right w:val="single" w:color="auto" w:sz="4" w:space="0"/>
            </w:tcBorders>
            <w:vAlign w:val="center"/>
          </w:tcPr>
          <w:p w14:paraId="5250E45D">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版式软件</w:t>
            </w:r>
          </w:p>
        </w:tc>
        <w:tc>
          <w:tcPr>
            <w:tcW w:w="1864" w:type="dxa"/>
            <w:tcBorders>
              <w:top w:val="single" w:color="auto" w:sz="4" w:space="0"/>
              <w:left w:val="single" w:color="auto" w:sz="4" w:space="0"/>
              <w:bottom w:val="single" w:color="auto" w:sz="4" w:space="0"/>
              <w:right w:val="single" w:color="auto" w:sz="4" w:space="0"/>
            </w:tcBorders>
            <w:vAlign w:val="center"/>
          </w:tcPr>
          <w:p w14:paraId="634CB756">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版式软件</w:t>
            </w:r>
          </w:p>
        </w:tc>
        <w:tc>
          <w:tcPr>
            <w:tcW w:w="8647" w:type="dxa"/>
            <w:tcBorders>
              <w:top w:val="single" w:color="auto" w:sz="4" w:space="0"/>
              <w:left w:val="single" w:color="auto" w:sz="4" w:space="0"/>
              <w:bottom w:val="single" w:color="auto" w:sz="4" w:space="0"/>
              <w:right w:val="single" w:color="auto" w:sz="4" w:space="0"/>
            </w:tcBorders>
            <w:vAlign w:val="center"/>
          </w:tcPr>
          <w:p w14:paraId="238F0D3E">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提供国家标准格式进行各类文件的转版功能，转为OFD/PDF等文件。</w:t>
            </w:r>
          </w:p>
        </w:tc>
      </w:tr>
      <w:tr w14:paraId="5DAC6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vAlign w:val="center"/>
          </w:tcPr>
          <w:p w14:paraId="73079A47">
            <w:pPr>
              <w:pStyle w:val="66"/>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vMerge w:val="restart"/>
            <w:tcBorders>
              <w:top w:val="single" w:color="auto" w:sz="4" w:space="0"/>
              <w:left w:val="single" w:color="auto" w:sz="4" w:space="0"/>
              <w:right w:val="single" w:color="auto" w:sz="4" w:space="0"/>
            </w:tcBorders>
            <w:vAlign w:val="center"/>
          </w:tcPr>
          <w:p w14:paraId="5870E5B6">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移动办公配套</w:t>
            </w:r>
          </w:p>
        </w:tc>
        <w:tc>
          <w:tcPr>
            <w:tcW w:w="1864" w:type="dxa"/>
            <w:tcBorders>
              <w:top w:val="single" w:color="auto" w:sz="4" w:space="0"/>
              <w:left w:val="single" w:color="auto" w:sz="4" w:space="0"/>
              <w:bottom w:val="single" w:color="auto" w:sz="4" w:space="0"/>
              <w:right w:val="single" w:color="auto" w:sz="4" w:space="0"/>
            </w:tcBorders>
            <w:vAlign w:val="center"/>
          </w:tcPr>
          <w:p w14:paraId="6CAAC877">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移动办公安全平板</w:t>
            </w:r>
          </w:p>
        </w:tc>
        <w:tc>
          <w:tcPr>
            <w:tcW w:w="8647" w:type="dxa"/>
            <w:tcBorders>
              <w:top w:val="single" w:color="auto" w:sz="4" w:space="0"/>
              <w:left w:val="single" w:color="auto" w:sz="4" w:space="0"/>
              <w:bottom w:val="single" w:color="auto" w:sz="4" w:space="0"/>
              <w:right w:val="single" w:color="auto" w:sz="4" w:space="0"/>
            </w:tcBorders>
            <w:vAlign w:val="center"/>
          </w:tcPr>
          <w:p w14:paraId="2DC36421">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国产平板数量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 w:eastAsia="zh-CN"/>
              </w:rPr>
              <w:t>5</w:t>
            </w:r>
            <w:r>
              <w:rPr>
                <w:rFonts w:hint="eastAsia" w:ascii="宋体" w:hAnsi="宋体" w:eastAsia="宋体" w:cs="宋体"/>
                <w:color w:val="auto"/>
                <w:sz w:val="24"/>
                <w:szCs w:val="24"/>
                <w:highlight w:val="none"/>
                <w:lang w:val="en-US" w:eastAsia="zh-CN"/>
              </w:rPr>
              <w:t>台，要有配套的无纸化会议系统独立APP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操作系统属于信创目录上的操作系统。</w:t>
            </w:r>
          </w:p>
          <w:p w14:paraId="69013991">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平板各项参数要为当前国产领先水准。</w:t>
            </w:r>
          </w:p>
          <w:p w14:paraId="245FBFA4">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华为 平板 12.2英寸 16GB+512GB,SIM卡版，长271.25mm；宽182.53mm；高5.5mm，像素800W+1300W ，分辨率2.8-3.2K</w:t>
            </w:r>
          </w:p>
        </w:tc>
      </w:tr>
      <w:tr w14:paraId="7BB2F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vAlign w:val="center"/>
          </w:tcPr>
          <w:p w14:paraId="3444BE77">
            <w:pPr>
              <w:pStyle w:val="66"/>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vMerge w:val="continue"/>
            <w:tcBorders>
              <w:left w:val="single" w:color="auto" w:sz="4" w:space="0"/>
              <w:right w:val="single" w:color="auto" w:sz="4" w:space="0"/>
            </w:tcBorders>
            <w:vAlign w:val="center"/>
          </w:tcPr>
          <w:p w14:paraId="02E0CDF3">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p>
        </w:tc>
        <w:tc>
          <w:tcPr>
            <w:tcW w:w="1864" w:type="dxa"/>
            <w:tcBorders>
              <w:top w:val="single" w:color="auto" w:sz="4" w:space="0"/>
              <w:left w:val="single" w:color="auto" w:sz="4" w:space="0"/>
              <w:bottom w:val="single" w:color="auto" w:sz="4" w:space="0"/>
              <w:right w:val="single" w:color="auto" w:sz="4" w:space="0"/>
            </w:tcBorders>
            <w:vAlign w:val="center"/>
          </w:tcPr>
          <w:p w14:paraId="1A23AA99">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物联网卡</w:t>
            </w:r>
          </w:p>
        </w:tc>
        <w:tc>
          <w:tcPr>
            <w:tcW w:w="8647" w:type="dxa"/>
            <w:tcBorders>
              <w:top w:val="single" w:color="auto" w:sz="4" w:space="0"/>
              <w:left w:val="single" w:color="auto" w:sz="4" w:space="0"/>
              <w:bottom w:val="single" w:color="auto" w:sz="4" w:space="0"/>
              <w:right w:val="single" w:color="auto" w:sz="4" w:space="0"/>
            </w:tcBorders>
            <w:vAlign w:val="center"/>
          </w:tcPr>
          <w:p w14:paraId="0CC61612">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 w:eastAsia="zh-CN"/>
              </w:rPr>
              <w:t>5</w:t>
            </w:r>
            <w:r>
              <w:rPr>
                <w:rFonts w:hint="eastAsia" w:ascii="宋体" w:hAnsi="宋体" w:eastAsia="宋体" w:cs="宋体"/>
                <w:color w:val="auto"/>
                <w:sz w:val="24"/>
                <w:szCs w:val="24"/>
                <w:highlight w:val="none"/>
                <w:lang w:val="en-US" w:eastAsia="zh-CN"/>
              </w:rPr>
              <w:t>张物联网卡2年的通讯费。</w:t>
            </w:r>
          </w:p>
        </w:tc>
      </w:tr>
      <w:tr w14:paraId="5CD25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vAlign w:val="center"/>
          </w:tcPr>
          <w:p w14:paraId="613FAAE4">
            <w:pPr>
              <w:pStyle w:val="66"/>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vMerge w:val="continue"/>
            <w:tcBorders>
              <w:left w:val="single" w:color="auto" w:sz="4" w:space="0"/>
              <w:right w:val="single" w:color="auto" w:sz="4" w:space="0"/>
            </w:tcBorders>
            <w:vAlign w:val="center"/>
          </w:tcPr>
          <w:p w14:paraId="2EEB4D65">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p>
        </w:tc>
        <w:tc>
          <w:tcPr>
            <w:tcW w:w="1864" w:type="dxa"/>
            <w:tcBorders>
              <w:top w:val="single" w:color="auto" w:sz="4" w:space="0"/>
              <w:left w:val="single" w:color="auto" w:sz="4" w:space="0"/>
              <w:bottom w:val="single" w:color="auto" w:sz="4" w:space="0"/>
              <w:right w:val="single" w:color="auto" w:sz="4" w:space="0"/>
            </w:tcBorders>
            <w:vAlign w:val="center"/>
          </w:tcPr>
          <w:p w14:paraId="125B23BC">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键盘</w:t>
            </w:r>
          </w:p>
        </w:tc>
        <w:tc>
          <w:tcPr>
            <w:tcW w:w="8647" w:type="dxa"/>
            <w:tcBorders>
              <w:top w:val="single" w:color="auto" w:sz="4" w:space="0"/>
              <w:left w:val="single" w:color="auto" w:sz="4" w:space="0"/>
              <w:bottom w:val="single" w:color="auto" w:sz="4" w:space="0"/>
              <w:right w:val="single" w:color="auto" w:sz="4" w:space="0"/>
            </w:tcBorders>
            <w:vAlign w:val="center"/>
          </w:tcPr>
          <w:p w14:paraId="6CBE3E84">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智能磁吸键盘4</w:t>
            </w:r>
            <w:r>
              <w:rPr>
                <w:rFonts w:hint="eastAsia" w:ascii="宋体" w:hAnsi="宋体" w:eastAsia="宋体" w:cs="宋体"/>
                <w:color w:val="auto"/>
                <w:sz w:val="24"/>
                <w:szCs w:val="24"/>
                <w:highlight w:val="none"/>
                <w:lang w:val="en" w:eastAsia="zh-CN"/>
              </w:rPr>
              <w:t>5</w:t>
            </w:r>
            <w:r>
              <w:rPr>
                <w:rFonts w:hint="eastAsia" w:ascii="宋体" w:hAnsi="宋体" w:eastAsia="宋体" w:cs="宋体"/>
                <w:color w:val="auto"/>
                <w:sz w:val="24"/>
                <w:szCs w:val="24"/>
                <w:highlight w:val="none"/>
                <w:lang w:val="en-US" w:eastAsia="zh-CN"/>
              </w:rPr>
              <w:t>个。</w:t>
            </w:r>
          </w:p>
        </w:tc>
      </w:tr>
      <w:tr w14:paraId="26B40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vAlign w:val="center"/>
          </w:tcPr>
          <w:p w14:paraId="30A6389D">
            <w:pPr>
              <w:pStyle w:val="66"/>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vMerge w:val="continue"/>
            <w:tcBorders>
              <w:left w:val="single" w:color="auto" w:sz="4" w:space="0"/>
              <w:right w:val="single" w:color="auto" w:sz="4" w:space="0"/>
            </w:tcBorders>
            <w:vAlign w:val="center"/>
          </w:tcPr>
          <w:p w14:paraId="4213A49D">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p>
        </w:tc>
        <w:tc>
          <w:tcPr>
            <w:tcW w:w="1864" w:type="dxa"/>
            <w:tcBorders>
              <w:top w:val="single" w:color="auto" w:sz="4" w:space="0"/>
              <w:left w:val="single" w:color="auto" w:sz="4" w:space="0"/>
              <w:bottom w:val="single" w:color="auto" w:sz="4" w:space="0"/>
              <w:right w:val="single" w:color="auto" w:sz="4" w:space="0"/>
            </w:tcBorders>
            <w:vAlign w:val="center"/>
          </w:tcPr>
          <w:p w14:paraId="52D6136B">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手写笔</w:t>
            </w:r>
          </w:p>
        </w:tc>
        <w:tc>
          <w:tcPr>
            <w:tcW w:w="8647" w:type="dxa"/>
            <w:tcBorders>
              <w:top w:val="single" w:color="auto" w:sz="4" w:space="0"/>
              <w:left w:val="single" w:color="auto" w:sz="4" w:space="0"/>
              <w:bottom w:val="single" w:color="auto" w:sz="4" w:space="0"/>
              <w:right w:val="single" w:color="auto" w:sz="4" w:space="0"/>
            </w:tcBorders>
            <w:vAlign w:val="center"/>
          </w:tcPr>
          <w:p w14:paraId="02383615">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手写笔</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 w:eastAsia="zh-CN"/>
              </w:rPr>
              <w:t>5</w:t>
            </w:r>
            <w:r>
              <w:rPr>
                <w:rFonts w:hint="eastAsia" w:ascii="宋体" w:hAnsi="宋体" w:eastAsia="宋体" w:cs="宋体"/>
                <w:color w:val="auto"/>
                <w:sz w:val="24"/>
                <w:szCs w:val="24"/>
                <w:highlight w:val="none"/>
                <w:lang w:val="en-US" w:eastAsia="zh-CN"/>
              </w:rPr>
              <w:t>个。</w:t>
            </w:r>
          </w:p>
        </w:tc>
      </w:tr>
      <w:tr w14:paraId="48D5E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vAlign w:val="center"/>
          </w:tcPr>
          <w:p w14:paraId="1713DF9A">
            <w:pPr>
              <w:pStyle w:val="66"/>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vMerge w:val="continue"/>
            <w:tcBorders>
              <w:left w:val="single" w:color="auto" w:sz="4" w:space="0"/>
              <w:right w:val="single" w:color="auto" w:sz="4" w:space="0"/>
            </w:tcBorders>
            <w:vAlign w:val="center"/>
          </w:tcPr>
          <w:p w14:paraId="5B6155D4">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p>
        </w:tc>
        <w:tc>
          <w:tcPr>
            <w:tcW w:w="1864" w:type="dxa"/>
            <w:tcBorders>
              <w:top w:val="single" w:color="auto" w:sz="4" w:space="0"/>
              <w:left w:val="single" w:color="auto" w:sz="4" w:space="0"/>
              <w:bottom w:val="single" w:color="auto" w:sz="4" w:space="0"/>
              <w:right w:val="single" w:color="auto" w:sz="4" w:space="0"/>
            </w:tcBorders>
            <w:vAlign w:val="center"/>
          </w:tcPr>
          <w:p w14:paraId="5345AD7A">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移动终端安全管控系统</w:t>
            </w:r>
          </w:p>
        </w:tc>
        <w:tc>
          <w:tcPr>
            <w:tcW w:w="8647" w:type="dxa"/>
            <w:tcBorders>
              <w:top w:val="single" w:color="auto" w:sz="4" w:space="0"/>
              <w:left w:val="single" w:color="auto" w:sz="4" w:space="0"/>
              <w:bottom w:val="single" w:color="auto" w:sz="4" w:space="0"/>
              <w:right w:val="single" w:color="auto" w:sz="4" w:space="0"/>
            </w:tcBorders>
            <w:vAlign w:val="center"/>
          </w:tcPr>
          <w:p w14:paraId="2285CECD">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包括设备管理、权限管控、网络及应用白名单管控功能（管理平台</w:t>
            </w:r>
            <w:r>
              <w:rPr>
                <w:rFonts w:hint="eastAsia" w:ascii="宋体" w:hAnsi="宋体" w:eastAsia="宋体" w:cs="宋体"/>
                <w:color w:val="auto"/>
                <w:sz w:val="24"/>
                <w:szCs w:val="24"/>
                <w:highlight w:val="none"/>
                <w:lang w:val="en-US" w:eastAsia="zh-CN"/>
              </w:rPr>
              <w:t>+45个终端授权</w:t>
            </w:r>
            <w:r>
              <w:rPr>
                <w:rFonts w:hint="eastAsia" w:ascii="宋体" w:hAnsi="宋体" w:eastAsia="宋体" w:cs="宋体"/>
                <w:color w:val="auto"/>
                <w:sz w:val="24"/>
                <w:szCs w:val="24"/>
                <w:highlight w:val="none"/>
                <w:lang w:eastAsia="zh-CN"/>
              </w:rPr>
              <w:t>）。</w:t>
            </w:r>
          </w:p>
        </w:tc>
      </w:tr>
      <w:bookmarkEnd w:id="68"/>
    </w:tbl>
    <w:p w14:paraId="5502EAA8">
      <w:pPr>
        <w:bidi w:val="0"/>
        <w:rPr>
          <w:rFonts w:hint="eastAsia" w:ascii="宋体" w:hAnsi="宋体" w:eastAsia="宋体" w:cs="宋体"/>
          <w:color w:val="auto"/>
          <w:highlight w:val="none"/>
        </w:rPr>
        <w:sectPr>
          <w:pgSz w:w="16838" w:h="11905" w:orient="landscape"/>
          <w:pgMar w:top="1814" w:right="1474" w:bottom="1814" w:left="1474" w:header="850" w:footer="850" w:gutter="0"/>
          <w:cols w:space="0" w:num="1"/>
          <w:rtlGutter w:val="0"/>
          <w:docGrid w:linePitch="462" w:charSpace="0"/>
        </w:sectPr>
      </w:pPr>
    </w:p>
    <w:p w14:paraId="2949B7F9">
      <w:pPr>
        <w:pStyle w:val="22"/>
        <w:tabs>
          <w:tab w:val="left" w:pos="0"/>
        </w:tabs>
        <w:spacing w:line="240" w:lineRule="auto"/>
        <w:ind w:left="0" w:leftChars="0" w:firstLine="0" w:firstLineChars="0"/>
        <w:jc w:val="center"/>
        <w:outlineLvl w:val="0"/>
        <w:rPr>
          <w:rFonts w:hint="eastAsia" w:ascii="宋体" w:hAnsi="宋体" w:eastAsia="宋体" w:cs="宋体"/>
          <w:b/>
          <w:color w:val="auto"/>
          <w:sz w:val="36"/>
          <w:highlight w:val="none"/>
        </w:rPr>
      </w:pPr>
      <w:bookmarkStart w:id="69" w:name="_Toc480368414"/>
      <w:bookmarkStart w:id="70" w:name="_Toc20014"/>
      <w:r>
        <w:rPr>
          <w:rFonts w:hint="eastAsia" w:ascii="宋体" w:hAnsi="宋体" w:eastAsia="宋体" w:cs="宋体"/>
          <w:b/>
          <w:color w:val="auto"/>
          <w:sz w:val="36"/>
          <w:highlight w:val="none"/>
        </w:rPr>
        <w:t>第四部分   评审方法（综合评分法）</w:t>
      </w:r>
      <w:bookmarkEnd w:id="69"/>
      <w:bookmarkEnd w:id="70"/>
    </w:p>
    <w:p w14:paraId="4224B227">
      <w:pPr>
        <w:keepNext w:val="0"/>
        <w:keepLines w:val="0"/>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kern w:val="0"/>
          <w:sz w:val="24"/>
          <w:highlight w:val="none"/>
        </w:rPr>
      </w:pPr>
      <w:bookmarkStart w:id="71" w:name="percentDesc"/>
      <w:bookmarkEnd w:id="71"/>
      <w:r>
        <w:rPr>
          <w:rFonts w:hint="eastAsia" w:ascii="宋体" w:hAnsi="宋体" w:eastAsia="宋体" w:cs="宋体"/>
          <w:color w:val="auto"/>
          <w:sz w:val="24"/>
          <w:highlight w:val="none"/>
        </w:rPr>
        <w:t>本项目评审方法见招标文件第二部分“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须知前附表”中第21项的规定。</w:t>
      </w:r>
      <w:r>
        <w:rPr>
          <w:rFonts w:hint="eastAsia" w:ascii="宋体" w:hAnsi="宋体" w:eastAsia="宋体" w:cs="宋体"/>
          <w:color w:val="auto"/>
          <w:kern w:val="0"/>
          <w:sz w:val="24"/>
          <w:highlight w:val="none"/>
        </w:rPr>
        <w:t>如果采用综合评分法，评分细则如下：</w:t>
      </w:r>
    </w:p>
    <w:p w14:paraId="3131A2C9">
      <w:pPr>
        <w:pStyle w:val="14"/>
        <w:keepNext w:val="0"/>
        <w:keepLines w:val="0"/>
        <w:pageBreakBefore w:val="0"/>
        <w:kinsoku/>
        <w:wordWrap/>
        <w:overflowPunct/>
        <w:topLinePunct w:val="0"/>
        <w:autoSpaceDE/>
        <w:autoSpaceDN/>
        <w:bidi w:val="0"/>
        <w:spacing w:line="440" w:lineRule="exact"/>
        <w:rPr>
          <w:rStyle w:val="53"/>
          <w:rFonts w:hint="eastAsia" w:ascii="宋体" w:hAnsi="宋体" w:eastAsia="宋体" w:cs="宋体"/>
          <w:b w:val="0"/>
          <w:i w:val="0"/>
          <w:caps w:val="0"/>
          <w:color w:val="auto"/>
          <w:spacing w:val="0"/>
          <w:w w:val="100"/>
          <w:kern w:val="0"/>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2"/>
          <w:highlight w:val="none"/>
          <w:lang w:val="en-US" w:eastAsia="zh-CN" w:bidi="ar-SA"/>
        </w:rPr>
        <w:t>1、初步评审</w:t>
      </w:r>
    </w:p>
    <w:p w14:paraId="23A8057A">
      <w:pPr>
        <w:keepNext w:val="0"/>
        <w:keepLines w:val="0"/>
        <w:pageBreakBefore w:val="0"/>
        <w:kinsoku/>
        <w:wordWrap/>
        <w:overflowPunct/>
        <w:topLinePunct w:val="0"/>
        <w:autoSpaceDE/>
        <w:autoSpaceDN/>
        <w:bidi w:val="0"/>
        <w:snapToGrid/>
        <w:spacing w:before="0" w:beforeAutospacing="0" w:after="0" w:afterAutospacing="0" w:line="440" w:lineRule="exact"/>
        <w:ind w:firstLine="480" w:firstLineChars="200"/>
        <w:jc w:val="both"/>
        <w:textAlignment w:val="baseline"/>
        <w:rPr>
          <w:rFonts w:hint="eastAsia" w:ascii="宋体" w:hAnsi="宋体" w:eastAsia="宋体" w:cs="宋体"/>
          <w:color w:val="auto"/>
          <w:highlight w:val="none"/>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评审小组根据评审办法前附表规定的评审因素和评审标准，对供应商的投标文件进行符合性检查。符合性检查不合格的供应商的响应文件作无效文件处理。</w:t>
      </w:r>
    </w:p>
    <w:tbl>
      <w:tblPr>
        <w:tblStyle w:val="38"/>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7"/>
        <w:gridCol w:w="750"/>
        <w:gridCol w:w="1988"/>
        <w:gridCol w:w="4878"/>
        <w:gridCol w:w="842"/>
        <w:gridCol w:w="843"/>
      </w:tblGrid>
      <w:tr w14:paraId="0675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47" w:type="dxa"/>
            <w:gridSpan w:val="2"/>
            <w:vMerge w:val="restart"/>
            <w:noWrap w:val="0"/>
            <w:vAlign w:val="center"/>
          </w:tcPr>
          <w:p w14:paraId="1CC7A352">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评分因素</w:t>
            </w:r>
          </w:p>
        </w:tc>
        <w:tc>
          <w:tcPr>
            <w:tcW w:w="1988" w:type="dxa"/>
            <w:vMerge w:val="restart"/>
            <w:noWrap w:val="0"/>
            <w:vAlign w:val="center"/>
          </w:tcPr>
          <w:p w14:paraId="7AFBB695">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评分点</w:t>
            </w:r>
          </w:p>
        </w:tc>
        <w:tc>
          <w:tcPr>
            <w:tcW w:w="4878" w:type="dxa"/>
            <w:vMerge w:val="restart"/>
            <w:noWrap w:val="0"/>
            <w:vAlign w:val="center"/>
          </w:tcPr>
          <w:p w14:paraId="506CF9CF">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评分标准</w:t>
            </w:r>
          </w:p>
        </w:tc>
        <w:tc>
          <w:tcPr>
            <w:tcW w:w="1685" w:type="dxa"/>
            <w:gridSpan w:val="2"/>
            <w:noWrap w:val="0"/>
            <w:vAlign w:val="center"/>
          </w:tcPr>
          <w:p w14:paraId="07C2F5E3">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评审意见</w:t>
            </w:r>
          </w:p>
        </w:tc>
      </w:tr>
      <w:tr w14:paraId="2C55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7" w:type="dxa"/>
            <w:gridSpan w:val="2"/>
            <w:vMerge w:val="continue"/>
            <w:noWrap w:val="0"/>
            <w:vAlign w:val="center"/>
          </w:tcPr>
          <w:p w14:paraId="15CF8656">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p>
        </w:tc>
        <w:tc>
          <w:tcPr>
            <w:tcW w:w="1988" w:type="dxa"/>
            <w:vMerge w:val="continue"/>
            <w:noWrap w:val="0"/>
            <w:vAlign w:val="center"/>
          </w:tcPr>
          <w:p w14:paraId="47E7D1EA">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p>
        </w:tc>
        <w:tc>
          <w:tcPr>
            <w:tcW w:w="4878" w:type="dxa"/>
            <w:vMerge w:val="continue"/>
            <w:noWrap w:val="0"/>
            <w:vAlign w:val="center"/>
          </w:tcPr>
          <w:p w14:paraId="3BC8ADB5">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p>
        </w:tc>
        <w:tc>
          <w:tcPr>
            <w:tcW w:w="842" w:type="dxa"/>
            <w:noWrap w:val="0"/>
            <w:vAlign w:val="center"/>
          </w:tcPr>
          <w:p w14:paraId="629FBEEF">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w:t>
            </w:r>
          </w:p>
        </w:tc>
        <w:tc>
          <w:tcPr>
            <w:tcW w:w="843" w:type="dxa"/>
            <w:noWrap w:val="0"/>
            <w:vAlign w:val="center"/>
          </w:tcPr>
          <w:p w14:paraId="0DA3A655">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否</w:t>
            </w:r>
          </w:p>
        </w:tc>
      </w:tr>
      <w:tr w14:paraId="0BCB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restart"/>
            <w:noWrap w:val="0"/>
            <w:vAlign w:val="center"/>
          </w:tcPr>
          <w:p w14:paraId="761EEB5B">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初步评审</w:t>
            </w:r>
          </w:p>
        </w:tc>
        <w:tc>
          <w:tcPr>
            <w:tcW w:w="750" w:type="dxa"/>
            <w:vMerge w:val="restart"/>
            <w:noWrap w:val="0"/>
            <w:vAlign w:val="center"/>
          </w:tcPr>
          <w:p w14:paraId="799A8269">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符合性检查</w:t>
            </w:r>
          </w:p>
        </w:tc>
        <w:tc>
          <w:tcPr>
            <w:tcW w:w="1988" w:type="dxa"/>
            <w:noWrap w:val="0"/>
            <w:vAlign w:val="center"/>
          </w:tcPr>
          <w:p w14:paraId="3B79749F">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color w:val="auto"/>
                <w:sz w:val="24"/>
                <w:highlight w:val="none"/>
              </w:rPr>
            </w:pPr>
            <w:r>
              <w:rPr>
                <w:rStyle w:val="53"/>
                <w:rFonts w:hint="eastAsia" w:ascii="宋体" w:hAnsi="宋体" w:eastAsia="宋体" w:cs="宋体"/>
                <w:b w:val="0"/>
                <w:bCs/>
                <w:i w:val="0"/>
                <w:caps w:val="0"/>
                <w:color w:val="auto"/>
                <w:spacing w:val="0"/>
                <w:w w:val="100"/>
                <w:position w:val="0"/>
                <w:sz w:val="24"/>
                <w:szCs w:val="24"/>
                <w:highlight w:val="none"/>
                <w:lang w:eastAsia="zh-CN" w:bidi="ar-SA"/>
              </w:rPr>
              <w:t>供应商</w:t>
            </w:r>
            <w:r>
              <w:rPr>
                <w:rStyle w:val="53"/>
                <w:rFonts w:hint="eastAsia" w:ascii="宋体" w:hAnsi="宋体" w:eastAsia="宋体" w:cs="宋体"/>
                <w:b w:val="0"/>
                <w:bCs/>
                <w:i w:val="0"/>
                <w:caps w:val="0"/>
                <w:color w:val="auto"/>
                <w:spacing w:val="0"/>
                <w:w w:val="100"/>
                <w:position w:val="0"/>
                <w:sz w:val="24"/>
                <w:szCs w:val="24"/>
                <w:highlight w:val="none"/>
                <w:lang w:bidi="ar-SA"/>
              </w:rPr>
              <w:t>名称</w:t>
            </w:r>
          </w:p>
        </w:tc>
        <w:tc>
          <w:tcPr>
            <w:tcW w:w="4878" w:type="dxa"/>
            <w:noWrap w:val="0"/>
            <w:vAlign w:val="center"/>
          </w:tcPr>
          <w:p w14:paraId="67202A23">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z w:val="24"/>
                <w:highlight w:val="none"/>
              </w:rPr>
            </w:pPr>
            <w:r>
              <w:rPr>
                <w:rStyle w:val="53"/>
                <w:rFonts w:hint="eastAsia" w:ascii="宋体" w:hAnsi="宋体" w:eastAsia="宋体" w:cs="宋体"/>
                <w:b w:val="0"/>
                <w:bCs/>
                <w:i w:val="0"/>
                <w:caps w:val="0"/>
                <w:color w:val="auto"/>
                <w:spacing w:val="0"/>
                <w:w w:val="100"/>
                <w:position w:val="0"/>
                <w:sz w:val="24"/>
                <w:szCs w:val="24"/>
                <w:highlight w:val="none"/>
                <w:lang w:bidi="ar-SA"/>
              </w:rPr>
              <w:t>是否与营业执照一致</w:t>
            </w:r>
          </w:p>
        </w:tc>
        <w:tc>
          <w:tcPr>
            <w:tcW w:w="842" w:type="dxa"/>
            <w:noWrap w:val="0"/>
            <w:vAlign w:val="top"/>
          </w:tcPr>
          <w:p w14:paraId="584B1C91">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843" w:type="dxa"/>
            <w:noWrap w:val="0"/>
            <w:vAlign w:val="center"/>
          </w:tcPr>
          <w:p w14:paraId="13CCF05D">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r>
      <w:tr w14:paraId="4B20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6EB5F809">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750" w:type="dxa"/>
            <w:vMerge w:val="continue"/>
            <w:noWrap w:val="0"/>
            <w:vAlign w:val="center"/>
          </w:tcPr>
          <w:p w14:paraId="65F50846">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1988" w:type="dxa"/>
            <w:noWrap w:val="0"/>
            <w:vAlign w:val="center"/>
          </w:tcPr>
          <w:p w14:paraId="058D1238">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z w:val="24"/>
                <w:highlight w:val="none"/>
              </w:rPr>
            </w:pPr>
            <w:r>
              <w:rPr>
                <w:rStyle w:val="53"/>
                <w:rFonts w:hint="eastAsia" w:ascii="宋体" w:hAnsi="宋体" w:eastAsia="宋体" w:cs="宋体"/>
                <w:b w:val="0"/>
                <w:bCs/>
                <w:i w:val="0"/>
                <w:caps w:val="0"/>
                <w:color w:val="auto"/>
                <w:spacing w:val="0"/>
                <w:w w:val="100"/>
                <w:position w:val="0"/>
                <w:sz w:val="24"/>
                <w:szCs w:val="24"/>
                <w:highlight w:val="none"/>
                <w:lang w:bidi="ar-SA"/>
              </w:rPr>
              <w:t>投标文件签章</w:t>
            </w:r>
          </w:p>
        </w:tc>
        <w:tc>
          <w:tcPr>
            <w:tcW w:w="4878" w:type="dxa"/>
            <w:noWrap w:val="0"/>
            <w:vAlign w:val="center"/>
          </w:tcPr>
          <w:p w14:paraId="227856E2">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z w:val="24"/>
                <w:highlight w:val="none"/>
              </w:rPr>
            </w:pPr>
            <w:r>
              <w:rPr>
                <w:rStyle w:val="53"/>
                <w:rFonts w:hint="eastAsia" w:ascii="宋体" w:hAnsi="宋体" w:eastAsia="宋体" w:cs="宋体"/>
                <w:b w:val="0"/>
                <w:bCs/>
                <w:i w:val="0"/>
                <w:caps w:val="0"/>
                <w:color w:val="auto"/>
                <w:spacing w:val="0"/>
                <w:w w:val="100"/>
                <w:position w:val="0"/>
                <w:sz w:val="24"/>
                <w:szCs w:val="24"/>
                <w:highlight w:val="none"/>
                <w:lang w:bidi="ar-SA"/>
              </w:rPr>
              <w:t>投标文件是否按照规定在应由企业法人或法人授权代表在所有规定签字处逐一签章及加盖单位公章</w:t>
            </w:r>
          </w:p>
        </w:tc>
        <w:tc>
          <w:tcPr>
            <w:tcW w:w="842" w:type="dxa"/>
            <w:noWrap w:val="0"/>
            <w:vAlign w:val="top"/>
          </w:tcPr>
          <w:p w14:paraId="56D24D77">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843" w:type="dxa"/>
            <w:noWrap w:val="0"/>
            <w:vAlign w:val="center"/>
          </w:tcPr>
          <w:p w14:paraId="7B34C6BF">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r>
      <w:tr w14:paraId="7B1B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17C1BB3C">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750" w:type="dxa"/>
            <w:vMerge w:val="continue"/>
            <w:noWrap w:val="0"/>
            <w:vAlign w:val="center"/>
          </w:tcPr>
          <w:p w14:paraId="23430805">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1988" w:type="dxa"/>
            <w:noWrap w:val="0"/>
            <w:vAlign w:val="center"/>
          </w:tcPr>
          <w:p w14:paraId="006828ED">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z w:val="24"/>
                <w:highlight w:val="none"/>
              </w:rPr>
            </w:pPr>
            <w:r>
              <w:rPr>
                <w:rStyle w:val="53"/>
                <w:rFonts w:hint="eastAsia" w:ascii="宋体" w:hAnsi="宋体" w:eastAsia="宋体" w:cs="宋体"/>
                <w:b w:val="0"/>
                <w:bCs/>
                <w:i w:val="0"/>
                <w:caps w:val="0"/>
                <w:color w:val="auto"/>
                <w:spacing w:val="0"/>
                <w:w w:val="100"/>
                <w:position w:val="0"/>
                <w:sz w:val="24"/>
                <w:szCs w:val="24"/>
                <w:highlight w:val="none"/>
                <w:lang w:bidi="ar-SA"/>
              </w:rPr>
              <w:t>投标报价</w:t>
            </w:r>
          </w:p>
        </w:tc>
        <w:tc>
          <w:tcPr>
            <w:tcW w:w="4878" w:type="dxa"/>
            <w:noWrap w:val="0"/>
            <w:vAlign w:val="center"/>
          </w:tcPr>
          <w:p w14:paraId="1BDADF43">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z w:val="24"/>
                <w:highlight w:val="none"/>
              </w:rPr>
            </w:pPr>
            <w:r>
              <w:rPr>
                <w:rStyle w:val="53"/>
                <w:rFonts w:hint="eastAsia" w:ascii="宋体" w:hAnsi="宋体" w:eastAsia="宋体" w:cs="宋体"/>
                <w:b w:val="0"/>
                <w:bCs/>
                <w:i w:val="0"/>
                <w:caps w:val="0"/>
                <w:color w:val="auto"/>
                <w:spacing w:val="0"/>
                <w:w w:val="100"/>
                <w:position w:val="0"/>
                <w:sz w:val="24"/>
                <w:szCs w:val="24"/>
                <w:highlight w:val="none"/>
                <w:lang w:bidi="ar-SA"/>
              </w:rPr>
              <w:t>投标文件针对同一种货物</w:t>
            </w:r>
            <w:r>
              <w:rPr>
                <w:rStyle w:val="53"/>
                <w:rFonts w:hint="eastAsia" w:ascii="宋体" w:hAnsi="宋体" w:eastAsia="宋体" w:cs="宋体"/>
                <w:b w:val="0"/>
                <w:bCs/>
                <w:i w:val="0"/>
                <w:caps w:val="0"/>
                <w:color w:val="auto"/>
                <w:spacing w:val="0"/>
                <w:w w:val="100"/>
                <w:position w:val="0"/>
                <w:sz w:val="24"/>
                <w:szCs w:val="24"/>
                <w:highlight w:val="none"/>
                <w:lang w:eastAsia="zh-CN" w:bidi="ar-SA"/>
              </w:rPr>
              <w:t>或服务</w:t>
            </w:r>
            <w:r>
              <w:rPr>
                <w:rStyle w:val="53"/>
                <w:rFonts w:hint="eastAsia" w:ascii="宋体" w:hAnsi="宋体" w:eastAsia="宋体" w:cs="宋体"/>
                <w:b w:val="0"/>
                <w:bCs/>
                <w:i w:val="0"/>
                <w:caps w:val="0"/>
                <w:color w:val="auto"/>
                <w:spacing w:val="0"/>
                <w:w w:val="100"/>
                <w:position w:val="0"/>
                <w:sz w:val="24"/>
                <w:szCs w:val="24"/>
                <w:highlight w:val="none"/>
                <w:lang w:bidi="ar-SA"/>
              </w:rPr>
              <w:t>出现了两个或两个以上的报价；报价超过项目/包预算或最高限价或经评标委员会认定低于成本的</w:t>
            </w:r>
          </w:p>
        </w:tc>
        <w:tc>
          <w:tcPr>
            <w:tcW w:w="842" w:type="dxa"/>
            <w:noWrap w:val="0"/>
            <w:vAlign w:val="top"/>
          </w:tcPr>
          <w:p w14:paraId="04D1FA25">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843" w:type="dxa"/>
            <w:noWrap w:val="0"/>
            <w:vAlign w:val="center"/>
          </w:tcPr>
          <w:p w14:paraId="637C7F9D">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r>
      <w:tr w14:paraId="22D6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0657D9AA">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750" w:type="dxa"/>
            <w:vMerge w:val="continue"/>
            <w:noWrap w:val="0"/>
            <w:vAlign w:val="center"/>
          </w:tcPr>
          <w:p w14:paraId="36AEE6D7">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1988" w:type="dxa"/>
            <w:noWrap w:val="0"/>
            <w:vAlign w:val="center"/>
          </w:tcPr>
          <w:p w14:paraId="24B03DB4">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z w:val="24"/>
                <w:highlight w:val="none"/>
              </w:rPr>
            </w:pPr>
            <w:r>
              <w:rPr>
                <w:rStyle w:val="53"/>
                <w:rFonts w:hint="eastAsia" w:ascii="宋体" w:hAnsi="宋体" w:eastAsia="宋体" w:cs="宋体"/>
                <w:b w:val="0"/>
                <w:bCs/>
                <w:i w:val="0"/>
                <w:caps w:val="0"/>
                <w:color w:val="auto"/>
                <w:spacing w:val="0"/>
                <w:w w:val="100"/>
                <w:position w:val="0"/>
                <w:sz w:val="24"/>
                <w:szCs w:val="24"/>
                <w:highlight w:val="none"/>
                <w:lang w:bidi="ar-SA"/>
              </w:rPr>
              <w:t>投标文件内容</w:t>
            </w:r>
          </w:p>
        </w:tc>
        <w:tc>
          <w:tcPr>
            <w:tcW w:w="4878" w:type="dxa"/>
            <w:noWrap w:val="0"/>
            <w:vAlign w:val="center"/>
          </w:tcPr>
          <w:p w14:paraId="541A5A90">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z w:val="24"/>
                <w:highlight w:val="none"/>
              </w:rPr>
            </w:pPr>
            <w:r>
              <w:rPr>
                <w:rStyle w:val="53"/>
                <w:rFonts w:hint="eastAsia" w:ascii="宋体" w:hAnsi="宋体" w:eastAsia="宋体" w:cs="宋体"/>
                <w:b w:val="0"/>
                <w:bCs/>
                <w:i w:val="0"/>
                <w:caps w:val="0"/>
                <w:color w:val="auto"/>
                <w:spacing w:val="0"/>
                <w:w w:val="100"/>
                <w:position w:val="0"/>
                <w:sz w:val="24"/>
                <w:szCs w:val="24"/>
                <w:highlight w:val="none"/>
                <w:lang w:bidi="ar-SA"/>
              </w:rPr>
              <w:t>投标文件按照招标文件规定的内容填写</w:t>
            </w:r>
          </w:p>
        </w:tc>
        <w:tc>
          <w:tcPr>
            <w:tcW w:w="842" w:type="dxa"/>
            <w:noWrap w:val="0"/>
            <w:vAlign w:val="top"/>
          </w:tcPr>
          <w:p w14:paraId="3AD032D6">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843" w:type="dxa"/>
            <w:noWrap w:val="0"/>
            <w:vAlign w:val="center"/>
          </w:tcPr>
          <w:p w14:paraId="17B4EE3B">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r>
      <w:tr w14:paraId="2CCA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27EFF096">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750" w:type="dxa"/>
            <w:vMerge w:val="continue"/>
            <w:noWrap w:val="0"/>
            <w:vAlign w:val="center"/>
          </w:tcPr>
          <w:p w14:paraId="2B5C5AF8">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1988" w:type="dxa"/>
            <w:noWrap w:val="0"/>
            <w:vAlign w:val="center"/>
          </w:tcPr>
          <w:p w14:paraId="5137079F">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color w:val="auto"/>
                <w:sz w:val="24"/>
                <w:szCs w:val="24"/>
                <w:highlight w:val="none"/>
                <w:lang w:val="en-US" w:bidi="ar-SA"/>
              </w:rPr>
            </w:pPr>
            <w:r>
              <w:rPr>
                <w:rStyle w:val="53"/>
                <w:rFonts w:hint="eastAsia" w:ascii="宋体" w:hAnsi="宋体" w:eastAsia="宋体" w:cs="宋体"/>
                <w:b w:val="0"/>
                <w:bCs/>
                <w:i w:val="0"/>
                <w:caps w:val="0"/>
                <w:color w:val="auto"/>
                <w:spacing w:val="0"/>
                <w:w w:val="100"/>
                <w:position w:val="0"/>
                <w:sz w:val="24"/>
                <w:szCs w:val="24"/>
                <w:highlight w:val="none"/>
                <w:lang w:bidi="ar-SA"/>
              </w:rPr>
              <w:t>投标有效期</w:t>
            </w:r>
          </w:p>
        </w:tc>
        <w:tc>
          <w:tcPr>
            <w:tcW w:w="4878" w:type="dxa"/>
            <w:noWrap w:val="0"/>
            <w:vAlign w:val="center"/>
          </w:tcPr>
          <w:p w14:paraId="4B3BB885">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color w:val="auto"/>
                <w:sz w:val="24"/>
                <w:szCs w:val="24"/>
                <w:highlight w:val="none"/>
                <w:lang w:val="en-US" w:bidi="ar-SA"/>
              </w:rPr>
            </w:pPr>
            <w:r>
              <w:rPr>
                <w:rStyle w:val="53"/>
                <w:rFonts w:hint="eastAsia" w:ascii="宋体" w:hAnsi="宋体" w:eastAsia="宋体" w:cs="宋体"/>
                <w:b w:val="0"/>
                <w:bCs/>
                <w:i w:val="0"/>
                <w:caps w:val="0"/>
                <w:color w:val="auto"/>
                <w:spacing w:val="0"/>
                <w:w w:val="100"/>
                <w:position w:val="0"/>
                <w:sz w:val="24"/>
                <w:szCs w:val="24"/>
                <w:highlight w:val="none"/>
                <w:lang w:bidi="ar-SA"/>
              </w:rPr>
              <w:t>投标有效期满足招标文件要求</w:t>
            </w:r>
          </w:p>
        </w:tc>
        <w:tc>
          <w:tcPr>
            <w:tcW w:w="842" w:type="dxa"/>
            <w:noWrap w:val="0"/>
            <w:vAlign w:val="top"/>
          </w:tcPr>
          <w:p w14:paraId="186D65DB">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843" w:type="dxa"/>
            <w:noWrap w:val="0"/>
            <w:vAlign w:val="center"/>
          </w:tcPr>
          <w:p w14:paraId="0D77B06C">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r>
      <w:tr w14:paraId="3B5B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3FF58F0F">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750" w:type="dxa"/>
            <w:vMerge w:val="continue"/>
            <w:noWrap w:val="0"/>
            <w:vAlign w:val="center"/>
          </w:tcPr>
          <w:p w14:paraId="40B7C397">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1988" w:type="dxa"/>
            <w:noWrap w:val="0"/>
            <w:vAlign w:val="center"/>
          </w:tcPr>
          <w:p w14:paraId="363E4944">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color w:val="auto"/>
                <w:sz w:val="24"/>
                <w:szCs w:val="24"/>
                <w:highlight w:val="none"/>
                <w:lang w:val="en-US" w:eastAsia="zh-CN" w:bidi="ar-SA"/>
              </w:rPr>
            </w:pPr>
            <w:r>
              <w:rPr>
                <w:rStyle w:val="53"/>
                <w:rFonts w:hint="eastAsia" w:ascii="宋体" w:hAnsi="宋体" w:eastAsia="宋体" w:cs="宋体"/>
                <w:b w:val="0"/>
                <w:bCs/>
                <w:i w:val="0"/>
                <w:caps w:val="0"/>
                <w:color w:val="auto"/>
                <w:spacing w:val="0"/>
                <w:w w:val="100"/>
                <w:position w:val="0"/>
                <w:sz w:val="24"/>
                <w:szCs w:val="24"/>
                <w:highlight w:val="none"/>
                <w:lang w:val="en-US" w:eastAsia="zh-CN" w:bidi="ar-SA"/>
              </w:rPr>
              <w:t>服务期限</w:t>
            </w:r>
          </w:p>
        </w:tc>
        <w:tc>
          <w:tcPr>
            <w:tcW w:w="4878" w:type="dxa"/>
            <w:noWrap w:val="0"/>
            <w:vAlign w:val="center"/>
          </w:tcPr>
          <w:p w14:paraId="011CF63B">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color w:val="auto"/>
                <w:sz w:val="24"/>
                <w:szCs w:val="24"/>
                <w:highlight w:val="none"/>
                <w:lang w:val="en-US" w:bidi="ar-SA"/>
              </w:rPr>
            </w:pPr>
            <w:r>
              <w:rPr>
                <w:rStyle w:val="53"/>
                <w:rFonts w:hint="eastAsia" w:ascii="宋体" w:hAnsi="宋体" w:eastAsia="宋体" w:cs="宋体"/>
                <w:b w:val="0"/>
                <w:bCs/>
                <w:i w:val="0"/>
                <w:caps w:val="0"/>
                <w:color w:val="auto"/>
                <w:spacing w:val="0"/>
                <w:w w:val="100"/>
                <w:position w:val="0"/>
                <w:sz w:val="24"/>
                <w:szCs w:val="24"/>
                <w:highlight w:val="none"/>
                <w:lang w:val="en-US" w:eastAsia="zh-CN" w:bidi="ar-SA"/>
              </w:rPr>
              <w:t>服务期限</w:t>
            </w:r>
            <w:r>
              <w:rPr>
                <w:rStyle w:val="53"/>
                <w:rFonts w:hint="eastAsia" w:ascii="宋体" w:hAnsi="宋体" w:eastAsia="宋体" w:cs="宋体"/>
                <w:b w:val="0"/>
                <w:bCs/>
                <w:i w:val="0"/>
                <w:caps w:val="0"/>
                <w:color w:val="auto"/>
                <w:spacing w:val="0"/>
                <w:w w:val="100"/>
                <w:position w:val="0"/>
                <w:sz w:val="24"/>
                <w:szCs w:val="24"/>
                <w:highlight w:val="none"/>
                <w:lang w:bidi="ar-SA"/>
              </w:rPr>
              <w:t>是否满足招标文件要求</w:t>
            </w:r>
          </w:p>
        </w:tc>
        <w:tc>
          <w:tcPr>
            <w:tcW w:w="842" w:type="dxa"/>
            <w:noWrap w:val="0"/>
            <w:vAlign w:val="top"/>
          </w:tcPr>
          <w:p w14:paraId="30A6CBF5">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843" w:type="dxa"/>
            <w:noWrap w:val="0"/>
            <w:vAlign w:val="center"/>
          </w:tcPr>
          <w:p w14:paraId="4F0BBB85">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r>
      <w:tr w14:paraId="21C0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1D3FABD3">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750" w:type="dxa"/>
            <w:vMerge w:val="continue"/>
            <w:noWrap w:val="0"/>
            <w:vAlign w:val="center"/>
          </w:tcPr>
          <w:p w14:paraId="2C8DC3EE">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1988" w:type="dxa"/>
            <w:noWrap w:val="0"/>
            <w:vAlign w:val="center"/>
          </w:tcPr>
          <w:p w14:paraId="72CFE482">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质保期</w:t>
            </w:r>
          </w:p>
        </w:tc>
        <w:tc>
          <w:tcPr>
            <w:tcW w:w="4878" w:type="dxa"/>
            <w:noWrap w:val="0"/>
            <w:vAlign w:val="center"/>
          </w:tcPr>
          <w:p w14:paraId="30324DB5">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val="0"/>
                <w:bCs/>
                <w:color w:val="auto"/>
                <w:sz w:val="24"/>
                <w:szCs w:val="24"/>
                <w:highlight w:val="none"/>
                <w:lang w:val="en-US" w:bidi="ar-SA"/>
              </w:rPr>
            </w:pPr>
            <w:r>
              <w:rPr>
                <w:rStyle w:val="53"/>
                <w:rFonts w:hint="eastAsia" w:ascii="宋体" w:hAnsi="宋体" w:eastAsia="宋体" w:cs="宋体"/>
                <w:b w:val="0"/>
                <w:bCs/>
                <w:i w:val="0"/>
                <w:caps w:val="0"/>
                <w:color w:val="auto"/>
                <w:spacing w:val="0"/>
                <w:w w:val="100"/>
                <w:position w:val="0"/>
                <w:sz w:val="24"/>
                <w:szCs w:val="24"/>
                <w:highlight w:val="none"/>
                <w:lang w:eastAsia="zh-CN" w:bidi="ar-SA"/>
              </w:rPr>
              <w:t>质保期</w:t>
            </w:r>
            <w:r>
              <w:rPr>
                <w:rStyle w:val="53"/>
                <w:rFonts w:hint="eastAsia" w:ascii="宋体" w:hAnsi="宋体" w:eastAsia="宋体" w:cs="宋体"/>
                <w:b w:val="0"/>
                <w:bCs/>
                <w:i w:val="0"/>
                <w:caps w:val="0"/>
                <w:color w:val="auto"/>
                <w:spacing w:val="0"/>
                <w:w w:val="100"/>
                <w:position w:val="0"/>
                <w:sz w:val="24"/>
                <w:szCs w:val="24"/>
                <w:highlight w:val="none"/>
                <w:lang w:bidi="ar-SA"/>
              </w:rPr>
              <w:t>是否满足招标文件要求</w:t>
            </w:r>
          </w:p>
        </w:tc>
        <w:tc>
          <w:tcPr>
            <w:tcW w:w="842" w:type="dxa"/>
            <w:noWrap w:val="0"/>
            <w:vAlign w:val="top"/>
          </w:tcPr>
          <w:p w14:paraId="4B3D40FE">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843" w:type="dxa"/>
            <w:noWrap w:val="0"/>
            <w:vAlign w:val="center"/>
          </w:tcPr>
          <w:p w14:paraId="6F45FF07">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r>
      <w:tr w14:paraId="128C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49A816EF">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750" w:type="dxa"/>
            <w:vMerge w:val="continue"/>
            <w:noWrap w:val="0"/>
            <w:vAlign w:val="center"/>
          </w:tcPr>
          <w:p w14:paraId="06D50251">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1988" w:type="dxa"/>
            <w:noWrap w:val="0"/>
            <w:vAlign w:val="center"/>
          </w:tcPr>
          <w:p w14:paraId="2BD4E0B9">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color w:val="auto"/>
                <w:sz w:val="24"/>
                <w:szCs w:val="24"/>
                <w:highlight w:val="none"/>
                <w:lang w:val="en-US" w:bidi="ar-SA"/>
              </w:rPr>
            </w:pPr>
            <w:r>
              <w:rPr>
                <w:rStyle w:val="53"/>
                <w:rFonts w:hint="eastAsia" w:ascii="宋体" w:hAnsi="宋体" w:eastAsia="宋体" w:cs="宋体"/>
                <w:b w:val="0"/>
                <w:bCs/>
                <w:i w:val="0"/>
                <w:caps w:val="0"/>
                <w:color w:val="auto"/>
                <w:spacing w:val="0"/>
                <w:w w:val="100"/>
                <w:position w:val="0"/>
                <w:sz w:val="24"/>
                <w:szCs w:val="24"/>
                <w:highlight w:val="none"/>
                <w:lang w:bidi="ar-SA"/>
              </w:rPr>
              <w:t>其他</w:t>
            </w:r>
          </w:p>
        </w:tc>
        <w:tc>
          <w:tcPr>
            <w:tcW w:w="4878" w:type="dxa"/>
            <w:noWrap w:val="0"/>
            <w:vAlign w:val="center"/>
          </w:tcPr>
          <w:p w14:paraId="024DFF9F">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color w:val="auto"/>
                <w:sz w:val="24"/>
                <w:szCs w:val="24"/>
                <w:highlight w:val="none"/>
                <w:lang w:val="en-US" w:bidi="ar-SA"/>
              </w:rPr>
            </w:pPr>
            <w:r>
              <w:rPr>
                <w:rStyle w:val="53"/>
                <w:rFonts w:hint="eastAsia" w:ascii="宋体" w:hAnsi="宋体" w:eastAsia="宋体" w:cs="宋体"/>
                <w:b w:val="0"/>
                <w:bCs/>
                <w:i w:val="0"/>
                <w:caps w:val="0"/>
                <w:color w:val="auto"/>
                <w:spacing w:val="0"/>
                <w:w w:val="100"/>
                <w:position w:val="0"/>
                <w:sz w:val="24"/>
                <w:szCs w:val="24"/>
                <w:highlight w:val="none"/>
                <w:lang w:bidi="ar-SA"/>
              </w:rPr>
              <w:t>违反国家法律、法规和招标文件规定的其他无效情形</w:t>
            </w:r>
          </w:p>
        </w:tc>
        <w:tc>
          <w:tcPr>
            <w:tcW w:w="842" w:type="dxa"/>
            <w:noWrap w:val="0"/>
            <w:vAlign w:val="top"/>
          </w:tcPr>
          <w:p w14:paraId="71C6EB5D">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843" w:type="dxa"/>
            <w:noWrap w:val="0"/>
            <w:vAlign w:val="center"/>
          </w:tcPr>
          <w:p w14:paraId="17D9F32F">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r>
    </w:tbl>
    <w:p w14:paraId="14820615">
      <w:pPr>
        <w:keepNext w:val="0"/>
        <w:keepLines w:val="0"/>
        <w:pageBreakBefore w:val="0"/>
        <w:kinsoku/>
        <w:wordWrap/>
        <w:overflowPunct/>
        <w:topLinePunct w:val="0"/>
        <w:autoSpaceDE/>
        <w:autoSpaceDN/>
        <w:bidi w:val="0"/>
        <w:snapToGrid/>
        <w:spacing w:before="0"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2、详细评审</w:t>
      </w:r>
    </w:p>
    <w:tbl>
      <w:tblPr>
        <w:tblStyle w:val="38"/>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208"/>
        <w:gridCol w:w="1271"/>
        <w:gridCol w:w="5621"/>
        <w:gridCol w:w="780"/>
      </w:tblGrid>
      <w:tr w14:paraId="69B0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10" w:type="dxa"/>
            <w:gridSpan w:val="2"/>
            <w:noWrap w:val="0"/>
            <w:vAlign w:val="center"/>
          </w:tcPr>
          <w:p w14:paraId="14A8F97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评分因素</w:t>
            </w:r>
          </w:p>
        </w:tc>
        <w:tc>
          <w:tcPr>
            <w:tcW w:w="1271" w:type="dxa"/>
            <w:noWrap w:val="0"/>
            <w:vAlign w:val="center"/>
          </w:tcPr>
          <w:p w14:paraId="5ECBFF9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评分点</w:t>
            </w:r>
          </w:p>
        </w:tc>
        <w:tc>
          <w:tcPr>
            <w:tcW w:w="5621" w:type="dxa"/>
            <w:noWrap w:val="0"/>
            <w:vAlign w:val="center"/>
          </w:tcPr>
          <w:p w14:paraId="3C57410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评分标准</w:t>
            </w:r>
          </w:p>
        </w:tc>
        <w:tc>
          <w:tcPr>
            <w:tcW w:w="780" w:type="dxa"/>
            <w:noWrap w:val="0"/>
            <w:vAlign w:val="center"/>
          </w:tcPr>
          <w:p w14:paraId="0DBD1F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分值</w:t>
            </w:r>
          </w:p>
        </w:tc>
      </w:tr>
      <w:tr w14:paraId="4060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restart"/>
            <w:noWrap w:val="0"/>
            <w:vAlign w:val="center"/>
          </w:tcPr>
          <w:p w14:paraId="65ED8B1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w:t>
            </w:r>
          </w:p>
        </w:tc>
        <w:tc>
          <w:tcPr>
            <w:tcW w:w="1208" w:type="dxa"/>
            <w:noWrap w:val="0"/>
            <w:vAlign w:val="center"/>
          </w:tcPr>
          <w:p w14:paraId="5D723D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价格评审</w:t>
            </w:r>
          </w:p>
        </w:tc>
        <w:tc>
          <w:tcPr>
            <w:tcW w:w="1271" w:type="dxa"/>
            <w:noWrap w:val="0"/>
            <w:vAlign w:val="center"/>
          </w:tcPr>
          <w:p w14:paraId="65C9F1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621" w:type="dxa"/>
            <w:noWrap w:val="0"/>
            <w:vAlign w:val="center"/>
          </w:tcPr>
          <w:p w14:paraId="41F9816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评标基准价=有效投标报价的最低值，有效投标报价等于基准值的得满分，投标报价得分=（评标基准价/投标报价）×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。有效投标报价为通过初步审查的供应商报价</w:t>
            </w:r>
          </w:p>
        </w:tc>
        <w:tc>
          <w:tcPr>
            <w:tcW w:w="780" w:type="dxa"/>
            <w:noWrap w:val="0"/>
            <w:vAlign w:val="center"/>
          </w:tcPr>
          <w:p w14:paraId="3B0CB972">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5680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7D829F7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restart"/>
            <w:noWrap w:val="0"/>
            <w:vAlign w:val="center"/>
          </w:tcPr>
          <w:p w14:paraId="0C9C051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商务标评审</w:t>
            </w:r>
          </w:p>
        </w:tc>
        <w:tc>
          <w:tcPr>
            <w:tcW w:w="1271" w:type="dxa"/>
            <w:noWrap w:val="0"/>
            <w:vAlign w:val="center"/>
          </w:tcPr>
          <w:p w14:paraId="161483E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承揽的同类业绩情况</w:t>
            </w:r>
          </w:p>
        </w:tc>
        <w:tc>
          <w:tcPr>
            <w:tcW w:w="5621" w:type="dxa"/>
            <w:noWrap w:val="0"/>
            <w:vAlign w:val="center"/>
          </w:tcPr>
          <w:p w14:paraId="7AC4DCA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2</w:t>
            </w:r>
            <w:bookmarkStart w:id="287" w:name="_GoBack"/>
            <w:bookmarkEnd w:id="287"/>
            <w:r>
              <w:rPr>
                <w:rFonts w:hint="eastAsia" w:ascii="宋体" w:hAnsi="宋体" w:eastAsia="宋体" w:cs="宋体"/>
                <w:color w:val="auto"/>
                <w:sz w:val="24"/>
                <w:szCs w:val="24"/>
                <w:highlight w:val="none"/>
              </w:rPr>
              <w:t>年1月1日至</w:t>
            </w:r>
            <w:r>
              <w:rPr>
                <w:rFonts w:hint="eastAsia" w:ascii="宋体" w:hAnsi="宋体" w:eastAsia="宋体" w:cs="宋体"/>
                <w:color w:val="auto"/>
                <w:sz w:val="24"/>
                <w:szCs w:val="24"/>
                <w:highlight w:val="none"/>
                <w:lang w:eastAsia="zh-CN"/>
              </w:rPr>
              <w:t>今</w:t>
            </w:r>
            <w:r>
              <w:rPr>
                <w:rFonts w:hint="eastAsia" w:ascii="宋体" w:hAnsi="宋体" w:eastAsia="宋体" w:cs="宋体"/>
                <w:color w:val="auto"/>
                <w:sz w:val="24"/>
                <w:szCs w:val="24"/>
                <w:highlight w:val="none"/>
              </w:rPr>
              <w:t>类似项目业绩，每提供1项有效的业绩得2分，满分10分。注：1.须提供业绩</w:t>
            </w:r>
            <w:r>
              <w:rPr>
                <w:rFonts w:hint="eastAsia" w:ascii="宋体" w:hAnsi="宋体" w:eastAsia="宋体" w:cs="宋体"/>
                <w:color w:val="auto"/>
                <w:sz w:val="24"/>
                <w:szCs w:val="24"/>
                <w:highlight w:val="none"/>
                <w:lang w:eastAsia="zh-CN"/>
              </w:rPr>
              <w:t>中标通知书或</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未按要求提供不得分。</w:t>
            </w:r>
            <w:r>
              <w:rPr>
                <w:rFonts w:hint="eastAsia" w:ascii="宋体" w:hAnsi="宋体" w:eastAsia="宋体" w:cs="宋体"/>
                <w:color w:val="auto"/>
                <w:sz w:val="24"/>
                <w:szCs w:val="24"/>
                <w:highlight w:val="none"/>
              </w:rPr>
              <w:t>2.供应商提供虚假合同的，按虚假投标处理。</w:t>
            </w:r>
          </w:p>
        </w:tc>
        <w:tc>
          <w:tcPr>
            <w:tcW w:w="780" w:type="dxa"/>
            <w:noWrap w:val="0"/>
            <w:vAlign w:val="center"/>
          </w:tcPr>
          <w:p w14:paraId="1C451347">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w:t>
            </w:r>
          </w:p>
        </w:tc>
      </w:tr>
      <w:tr w14:paraId="79EC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4CB5820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75EA750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10CB23F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认证证书</w:t>
            </w:r>
          </w:p>
        </w:tc>
        <w:tc>
          <w:tcPr>
            <w:tcW w:w="5621" w:type="dxa"/>
            <w:shd w:val="clear" w:color="auto" w:fill="auto"/>
            <w:noWrap w:val="0"/>
            <w:vAlign w:val="center"/>
          </w:tcPr>
          <w:p w14:paraId="328F6B2B">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有效期内的质量管理体系认证证书、职业健康安全管理体系认证证书、环境管理体系认证证书、信息技术服务管理体系认证证书的，每一项得1分，最高得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780" w:type="dxa"/>
            <w:shd w:val="clear" w:color="auto" w:fill="auto"/>
            <w:noWrap w:val="0"/>
            <w:vAlign w:val="center"/>
          </w:tcPr>
          <w:p w14:paraId="7BA38CAD">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r>
      <w:tr w14:paraId="2820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4642F6D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19324D9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vMerge w:val="restart"/>
            <w:shd w:val="clear" w:color="auto" w:fill="auto"/>
            <w:noWrap w:val="0"/>
            <w:vAlign w:val="center"/>
          </w:tcPr>
          <w:p w14:paraId="7075D83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投标人能力</w:t>
            </w:r>
          </w:p>
        </w:tc>
        <w:tc>
          <w:tcPr>
            <w:tcW w:w="5621" w:type="dxa"/>
            <w:shd w:val="clear" w:color="auto" w:fill="auto"/>
            <w:noWrap w:val="0"/>
            <w:vAlign w:val="center"/>
          </w:tcPr>
          <w:p w14:paraId="152B6E6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1.投标人具有软件开发CMMI5级得2分，其他级别的CMMI证书，得1分，没有不得分；</w:t>
            </w:r>
          </w:p>
          <w:p w14:paraId="1593C92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2.投标人具有CCRC-软件安全开发（一级）得1分，其他不得分；</w:t>
            </w:r>
          </w:p>
          <w:p w14:paraId="70493C7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3.投标人具有信息系统服务交付能力等级证书（一级）得1分，其他不得分。</w:t>
            </w:r>
          </w:p>
        </w:tc>
        <w:tc>
          <w:tcPr>
            <w:tcW w:w="780" w:type="dxa"/>
            <w:shd w:val="clear" w:color="auto" w:fill="auto"/>
            <w:noWrap w:val="0"/>
            <w:vAlign w:val="center"/>
          </w:tcPr>
          <w:p w14:paraId="73408D1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7CFC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43CB0D8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1ACF625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vMerge w:val="continue"/>
            <w:shd w:val="clear" w:color="auto" w:fill="auto"/>
            <w:noWrap w:val="0"/>
            <w:vAlign w:val="center"/>
          </w:tcPr>
          <w:p w14:paraId="7DE6449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5621" w:type="dxa"/>
            <w:shd w:val="clear" w:color="auto" w:fill="auto"/>
            <w:noWrap w:val="0"/>
            <w:vAlign w:val="center"/>
          </w:tcPr>
          <w:p w14:paraId="4905AF29">
            <w:pPr>
              <w:pStyle w:val="1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提供类似国产化政务协同智能办公、国产化公文管理系统、国产化移动办公管理平台、国产化智能工作流平台、国产化督查督办类计算机软件著作权登记证书，每一份得1分，最高得5分;本项累计最高得5分。</w:t>
            </w:r>
          </w:p>
        </w:tc>
        <w:tc>
          <w:tcPr>
            <w:tcW w:w="780" w:type="dxa"/>
            <w:shd w:val="clear" w:color="auto" w:fill="auto"/>
            <w:noWrap w:val="0"/>
            <w:vAlign w:val="center"/>
          </w:tcPr>
          <w:p w14:paraId="052FA472">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14:paraId="7611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62C6A08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357BBFB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303172E6">
            <w:pPr>
              <w:pStyle w:val="1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投标人服务</w:t>
            </w:r>
          </w:p>
          <w:p w14:paraId="68587905">
            <w:pPr>
              <w:pStyle w:val="1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团队实力</w:t>
            </w:r>
          </w:p>
        </w:tc>
        <w:tc>
          <w:tcPr>
            <w:tcW w:w="5621" w:type="dxa"/>
            <w:shd w:val="clear" w:color="auto" w:fill="auto"/>
            <w:noWrap w:val="0"/>
            <w:vAlign w:val="center"/>
          </w:tcPr>
          <w:p w14:paraId="6F17C430">
            <w:pPr>
              <w:pStyle w:val="1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1、项目负责人具有人力资源和社会保障部或工业和信息化部批准颁发的高级信息系统项目管理师证书得2分，中级系统集成项目工程师得1分，不满足不得分。共2分。</w:t>
            </w:r>
          </w:p>
          <w:p w14:paraId="5B19D096">
            <w:pPr>
              <w:pStyle w:val="1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注：提供项目负责人近6个月内连续6个月投标人为其缴纳社保的证明材料、身份证、毕业证、相关资质证书。少提供或未提供或不清晰无法辨认的，得0分。</w:t>
            </w:r>
          </w:p>
          <w:p w14:paraId="5986A2D5">
            <w:pPr>
              <w:pStyle w:val="1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2、技术负责人具有人力资源和社会保障部或工业和信息化部批准颁发的高级信息系统项目管理师证书得2分；中级系统集成项目工程师得1分。共2分。</w:t>
            </w:r>
          </w:p>
          <w:p w14:paraId="4BCDA4B7">
            <w:pPr>
              <w:pStyle w:val="1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注：提供技术负责人近6个月内连续6个月投标人为其缴纳社保的证明材料、身份证、毕业证、相关资质证书。少提供或未提供或不清晰无法辨认的，得0分。</w:t>
            </w:r>
          </w:p>
          <w:p w14:paraId="44F186F7">
            <w:pPr>
              <w:pStyle w:val="1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3、技术服务团队（4分）（不包含项目负责人及技术负责人）</w:t>
            </w:r>
          </w:p>
          <w:p w14:paraId="76EB6956">
            <w:pPr>
              <w:pStyle w:val="1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实施类：具备人力资源和社会保障或工业和信息化部批准颁发的信息系统项目管理师得1分，中级系统集成项目管理工程师或中级工程师证书得0.5分，满分1分；</w:t>
            </w:r>
          </w:p>
          <w:p w14:paraId="25E91201">
            <w:pPr>
              <w:pStyle w:val="1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网络类：具备人力资源和社会保障部或工业和信息化部批准颁发的网络规划师得1分，网络工程师得0.5分，满分1分；</w:t>
            </w:r>
          </w:p>
          <w:p w14:paraId="02E82B00">
            <w:pPr>
              <w:pStyle w:val="1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安全类：具有国家信息安全测评中心颁发的注册信息安全工程师证书人员证书得1分，满分1分；</w:t>
            </w:r>
          </w:p>
          <w:p w14:paraId="41793757">
            <w:pPr>
              <w:pStyle w:val="1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运维类：具备PMP项目管理工程师证书人员得1分，满分1分；</w:t>
            </w:r>
          </w:p>
          <w:p w14:paraId="2422D464">
            <w:pPr>
              <w:pStyle w:val="1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注：须提供上述人员近6个月内连续6个月投标人为其缴纳社保的证明材料、身份证、毕业证、相关资质证书；每1类中同一人具备多种资质证书的，只计取一次分值。</w:t>
            </w:r>
          </w:p>
        </w:tc>
        <w:tc>
          <w:tcPr>
            <w:tcW w:w="780" w:type="dxa"/>
            <w:shd w:val="clear" w:color="auto" w:fill="auto"/>
            <w:noWrap w:val="0"/>
            <w:vAlign w:val="center"/>
          </w:tcPr>
          <w:p w14:paraId="73BC1DF5">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14:paraId="41EB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22F0E34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restart"/>
            <w:noWrap w:val="0"/>
            <w:vAlign w:val="center"/>
          </w:tcPr>
          <w:p w14:paraId="519D904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技术标评审</w:t>
            </w:r>
          </w:p>
        </w:tc>
        <w:tc>
          <w:tcPr>
            <w:tcW w:w="1271" w:type="dxa"/>
            <w:noWrap w:val="0"/>
            <w:vAlign w:val="center"/>
          </w:tcPr>
          <w:p w14:paraId="7510E9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技术参数</w:t>
            </w:r>
          </w:p>
        </w:tc>
        <w:tc>
          <w:tcPr>
            <w:tcW w:w="5621" w:type="dxa"/>
            <w:noWrap w:val="0"/>
            <w:vAlign w:val="center"/>
          </w:tcPr>
          <w:p w14:paraId="2D2DF62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投标产品技术指标负偏离于采购要求的每一项扣1分，扣完为止；本项满分10分。</w:t>
            </w:r>
          </w:p>
        </w:tc>
        <w:tc>
          <w:tcPr>
            <w:tcW w:w="780" w:type="dxa"/>
            <w:noWrap w:val="0"/>
            <w:vAlign w:val="center"/>
          </w:tcPr>
          <w:p w14:paraId="34A6EE83">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r>
      <w:tr w14:paraId="7C78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7E568B5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3ABFEE2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3D5A81CF">
            <w:pPr>
              <w:pStyle w:val="14"/>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基础软硬件</w:t>
            </w:r>
            <w:r>
              <w:rPr>
                <w:rFonts w:hint="eastAsia" w:ascii="宋体" w:hAnsi="宋体" w:eastAsia="宋体" w:cs="宋体"/>
                <w:color w:val="auto"/>
                <w:sz w:val="24"/>
                <w:szCs w:val="24"/>
                <w:highlight w:val="none"/>
              </w:rPr>
              <w:t>总体</w:t>
            </w:r>
            <w:r>
              <w:rPr>
                <w:rFonts w:hint="eastAsia" w:ascii="宋体" w:hAnsi="宋体" w:eastAsia="宋体" w:cs="宋体"/>
                <w:color w:val="auto"/>
                <w:sz w:val="24"/>
                <w:szCs w:val="24"/>
                <w:highlight w:val="none"/>
                <w:lang w:val="en-US" w:eastAsia="zh-CN"/>
              </w:rPr>
              <w:t>建设</w:t>
            </w:r>
            <w:r>
              <w:rPr>
                <w:rFonts w:hint="eastAsia" w:ascii="宋体" w:hAnsi="宋体" w:eastAsia="宋体" w:cs="宋体"/>
                <w:color w:val="auto"/>
                <w:sz w:val="24"/>
                <w:szCs w:val="24"/>
                <w:highlight w:val="none"/>
              </w:rPr>
              <w:t>方案</w:t>
            </w:r>
          </w:p>
        </w:tc>
        <w:tc>
          <w:tcPr>
            <w:tcW w:w="5621" w:type="dxa"/>
            <w:shd w:val="clear" w:color="auto" w:fill="auto"/>
            <w:noWrap w:val="0"/>
            <w:vAlign w:val="center"/>
          </w:tcPr>
          <w:p w14:paraId="13492B6C">
            <w:pPr>
              <w:pStyle w:val="14"/>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根据投标人提供的基础软硬件总体建设方案，对项目的整体进行分析，</w:t>
            </w:r>
          </w:p>
          <w:p w14:paraId="36D7FA60">
            <w:pPr>
              <w:pStyle w:val="14"/>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包含：（1）建设方案完整性；（2）建设方案适用性；（3）建设方案优越性；（4）建设方案科学性（5）建设方案安全性。以上五项内容满分10分，缺一项内容扣2分，每有1项内容有缺陷（缺陷是指：只提供评分标准标题、内容不适用项目实际情况的情形、凭空编造、内容前后不一致、前后逻辑错误、涉及的规范及标准错误、地点区域错误、内容缺失不完整）的扣1分，未提供不得分。</w:t>
            </w:r>
          </w:p>
        </w:tc>
        <w:tc>
          <w:tcPr>
            <w:tcW w:w="780" w:type="dxa"/>
            <w:shd w:val="clear" w:color="auto" w:fill="auto"/>
            <w:noWrap w:val="0"/>
            <w:vAlign w:val="center"/>
          </w:tcPr>
          <w:p w14:paraId="70FF0045">
            <w:pPr>
              <w:pStyle w:val="14"/>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r>
      <w:tr w14:paraId="6D47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7AEB7B1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3823BDA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686F00BE">
            <w:pPr>
              <w:pStyle w:val="14"/>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运维服务</w:t>
            </w:r>
          </w:p>
          <w:p w14:paraId="6CEFCF16">
            <w:pPr>
              <w:pStyle w:val="14"/>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w:t>
            </w:r>
          </w:p>
        </w:tc>
        <w:tc>
          <w:tcPr>
            <w:tcW w:w="5621" w:type="dxa"/>
            <w:shd w:val="clear" w:color="auto" w:fill="auto"/>
            <w:noWrap w:val="0"/>
            <w:vAlign w:val="center"/>
          </w:tcPr>
          <w:p w14:paraId="303D11F6">
            <w:pPr>
              <w:pStyle w:val="14"/>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根据本项目采购需求拟定运维服务方案，内容包括但不限于： （1）运维服务工作流程及记录、报告方案； </w:t>
            </w:r>
          </w:p>
          <w:p w14:paraId="386B19DE">
            <w:pPr>
              <w:pStyle w:val="14"/>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（2）日常维护工作流程； （3）故障处理工作流程； （4）软硬件更换、更新、升级流程。 （5）软硬件安全防护工作流程。以上五项内容满分5分，缺一项内容扣1分，每1项有缺陷（缺陷是指：只提供评分标准标题、内容不适用项目实际情况的情形、凭空编造、内容前后不一致 、前后逻辑错误、涉及的规范及标准错误、地点区域错误、内容缺失）的扣1分，整体实施方案未提供不得分。</w:t>
            </w:r>
          </w:p>
        </w:tc>
        <w:tc>
          <w:tcPr>
            <w:tcW w:w="780" w:type="dxa"/>
            <w:shd w:val="clear" w:color="auto" w:fill="auto"/>
            <w:noWrap w:val="0"/>
            <w:vAlign w:val="center"/>
          </w:tcPr>
          <w:p w14:paraId="0C1C340E">
            <w:pPr>
              <w:pStyle w:val="14"/>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14:paraId="1944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1ECA05F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311B3F6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0E6619FC">
            <w:pPr>
              <w:pStyle w:val="14"/>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应急服务方案</w:t>
            </w:r>
          </w:p>
        </w:tc>
        <w:tc>
          <w:tcPr>
            <w:tcW w:w="5621" w:type="dxa"/>
            <w:shd w:val="clear" w:color="auto" w:fill="auto"/>
            <w:noWrap w:val="0"/>
            <w:vAlign w:val="center"/>
          </w:tcPr>
          <w:p w14:paraId="3AE071AF">
            <w:pPr>
              <w:pStyle w:val="14"/>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根据本项目采购需求拟定应急服务方案，内容包括但不限于：（1）售后巡检方案；（2）响应时间； （3）现场服务支持能力；（4）应急处理方案；（5）人为因素造成损害的售后服务及应急处理方式方案等。 </w:t>
            </w:r>
          </w:p>
          <w:p w14:paraId="70E3FF8C">
            <w:pPr>
              <w:pStyle w:val="14"/>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以上五项内容满分5分，缺一项内容扣1分，每一项有缺陷（缺陷是指：只提供评分标准标题、内容不适用项目实际情 况的情形、凭空编造、内容前后不一致 、前后逻辑错误、涉及的规范及标准错误、地点区域错误、内容缺失）的扣1分，整体实施方案未提供不得分。</w:t>
            </w:r>
          </w:p>
        </w:tc>
        <w:tc>
          <w:tcPr>
            <w:tcW w:w="780" w:type="dxa"/>
            <w:shd w:val="clear" w:color="auto" w:fill="auto"/>
            <w:noWrap w:val="0"/>
            <w:vAlign w:val="center"/>
          </w:tcPr>
          <w:p w14:paraId="28233011">
            <w:pPr>
              <w:pStyle w:val="14"/>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14:paraId="4B80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33A27AD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4BACB9D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5BEEA44C">
            <w:pPr>
              <w:pStyle w:val="14"/>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培训服务方案</w:t>
            </w:r>
          </w:p>
        </w:tc>
        <w:tc>
          <w:tcPr>
            <w:tcW w:w="5621" w:type="dxa"/>
            <w:shd w:val="clear" w:color="auto" w:fill="auto"/>
            <w:noWrap w:val="0"/>
            <w:vAlign w:val="center"/>
          </w:tcPr>
          <w:p w14:paraId="0F1D5834">
            <w:pPr>
              <w:pStyle w:val="14"/>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采购内容“培训要求”，提供培训服务方案，内容需明确但不限于：培训目的、培训方式、培训计划、培训时长、培训时间、培训次数、培训内容。方案包括：（1）培训目的、培训方式；（2）培训计划；（3）培训时长、培训时间、培训次数；（4）培训课程内容；（5）培训技术支持。</w:t>
            </w:r>
          </w:p>
          <w:p w14:paraId="15F1D3C1">
            <w:pPr>
              <w:pStyle w:val="14"/>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以上五项内容满分得5分。每缺少一项扣1分；以上五项中，每一项具有缺陷（缺陷是指：只提供评分标准标题、内容不适用项目实际情况的情形、凭空编造、内容前后不一致 、前后逻辑错误、涉及的规范及标准错误、地点区域错误、内容缺失）的扣1分，未提供培训方案不得分。</w:t>
            </w:r>
          </w:p>
        </w:tc>
        <w:tc>
          <w:tcPr>
            <w:tcW w:w="780" w:type="dxa"/>
            <w:shd w:val="clear" w:color="auto" w:fill="auto"/>
            <w:noWrap w:val="0"/>
            <w:vAlign w:val="center"/>
          </w:tcPr>
          <w:p w14:paraId="05025BBB">
            <w:pPr>
              <w:pStyle w:val="14"/>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14:paraId="0C4F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105F20E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04B5870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49C4E340">
            <w:pPr>
              <w:pStyle w:val="14"/>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验收方案</w:t>
            </w:r>
          </w:p>
        </w:tc>
        <w:tc>
          <w:tcPr>
            <w:tcW w:w="5621" w:type="dxa"/>
            <w:shd w:val="clear" w:color="auto" w:fill="auto"/>
            <w:noWrap w:val="0"/>
            <w:vAlign w:val="center"/>
          </w:tcPr>
          <w:p w14:paraId="444EB5ED">
            <w:pPr>
              <w:pStyle w:val="14"/>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根据“项目验收测试”要求，提供验收方案，验收方案包括但不限于项目验收方式、验收范围、验收计划、测试计划、验收总结报告等内容，完全满足招标文件要求，且方案科学完善、详细合理得5分；每缺少一项扣1分；验收方案存在有缺陷（缺陷是指：只提供评分标准标题、内容不适用项目实际情况的情形、凭空编造、内容前后不一致 、前后逻辑错误、涉及的规范及标准错误、地点区域错误、内容缺失）等缺陷得扣0.5分，未提供验收方案不得分。</w:t>
            </w:r>
          </w:p>
        </w:tc>
        <w:tc>
          <w:tcPr>
            <w:tcW w:w="780" w:type="dxa"/>
            <w:shd w:val="clear" w:color="auto" w:fill="auto"/>
            <w:noWrap w:val="0"/>
            <w:vAlign w:val="center"/>
          </w:tcPr>
          <w:p w14:paraId="26CD6265">
            <w:pPr>
              <w:pStyle w:val="14"/>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14:paraId="1A8E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5CFA7A9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58EBCA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60774802">
            <w:pPr>
              <w:pStyle w:val="14"/>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安全建设方案</w:t>
            </w:r>
          </w:p>
        </w:tc>
        <w:tc>
          <w:tcPr>
            <w:tcW w:w="5621" w:type="dxa"/>
            <w:shd w:val="clear" w:color="auto" w:fill="auto"/>
            <w:noWrap w:val="0"/>
            <w:vAlign w:val="center"/>
          </w:tcPr>
          <w:p w14:paraId="215DB4AE">
            <w:pPr>
              <w:pStyle w:val="14"/>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投标人针对本项目提供无纸化会议、移动办公的安全建设方案完全满足项目需求的得3分，否则不得分。</w:t>
            </w:r>
          </w:p>
        </w:tc>
        <w:tc>
          <w:tcPr>
            <w:tcW w:w="780" w:type="dxa"/>
            <w:shd w:val="clear" w:color="auto" w:fill="auto"/>
            <w:noWrap w:val="0"/>
            <w:vAlign w:val="center"/>
          </w:tcPr>
          <w:p w14:paraId="4E4BAD05">
            <w:pPr>
              <w:pStyle w:val="14"/>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14:paraId="7F3C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6FF8DFE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4C7128C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15C0563C">
            <w:pPr>
              <w:pStyle w:val="14"/>
              <w:keepNext w:val="0"/>
              <w:keepLines w:val="0"/>
              <w:pageBreakBefore w:val="0"/>
              <w:kinsoku/>
              <w:wordWrap/>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项目演示</w:t>
            </w:r>
          </w:p>
        </w:tc>
        <w:tc>
          <w:tcPr>
            <w:tcW w:w="5621" w:type="dxa"/>
            <w:shd w:val="clear" w:color="auto" w:fill="auto"/>
            <w:noWrap w:val="0"/>
            <w:vAlign w:val="center"/>
          </w:tcPr>
          <w:p w14:paraId="5CE8892C">
            <w:pPr>
              <w:pStyle w:val="14"/>
              <w:keepNext w:val="0"/>
              <w:keepLines w:val="0"/>
              <w:pageBreakBefore w:val="0"/>
              <w:kinsoku/>
              <w:wordWrap/>
              <w:overflowPunct/>
              <w:topLinePunct w:val="0"/>
              <w:autoSpaceDE/>
              <w:autoSpaceDN/>
              <w:bidi w:val="0"/>
              <w:spacing w:line="44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方现场产品演示和答疑（时长：不超过15分钟）：根据项目招标文件要求演示产品，产品功能齐全、界面友好、内部外相关系统间集成度高。现场陈述演示中涵盖本项目中所有要求满足的内容（所有子系统等）。满分16分，每项内容存在一处缺陷的扣1分，扣完为止，未提供不得分。（缺陷是指：与本项目采购标的无关、演示内容前后不一致、前后逻辑错误、涉及的相关规范及标准错误、内容缺失、只有简单界面无实质性内容）。</w:t>
            </w:r>
          </w:p>
        </w:tc>
        <w:tc>
          <w:tcPr>
            <w:tcW w:w="780" w:type="dxa"/>
            <w:shd w:val="clear" w:color="auto" w:fill="auto"/>
            <w:noWrap w:val="0"/>
            <w:vAlign w:val="center"/>
          </w:tcPr>
          <w:p w14:paraId="140AA8CF">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r>
      <w:tr w14:paraId="460E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restart"/>
            <w:noWrap w:val="0"/>
            <w:vAlign w:val="center"/>
          </w:tcPr>
          <w:p w14:paraId="69C670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noWrap w:val="0"/>
            <w:vAlign w:val="center"/>
          </w:tcPr>
          <w:p w14:paraId="08C48D0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7672" w:type="dxa"/>
            <w:gridSpan w:val="3"/>
            <w:noWrap w:val="0"/>
            <w:vAlign w:val="center"/>
          </w:tcPr>
          <w:p w14:paraId="2E331DB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100分</w:t>
            </w:r>
          </w:p>
        </w:tc>
      </w:tr>
      <w:tr w14:paraId="7752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3256385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8880" w:type="dxa"/>
            <w:gridSpan w:val="4"/>
            <w:noWrap w:val="0"/>
            <w:vAlign w:val="center"/>
          </w:tcPr>
          <w:p w14:paraId="2D5772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注：评分分值计算保留小数点后两位，小数点后第三位“四舍五入”</w:t>
            </w:r>
          </w:p>
        </w:tc>
      </w:tr>
    </w:tbl>
    <w:p w14:paraId="59901B82">
      <w:pPr>
        <w:pStyle w:val="17"/>
        <w:keepNext w:val="0"/>
        <w:keepLines w:val="0"/>
        <w:pageBreakBefore w:val="0"/>
        <w:widowControl w:val="0"/>
        <w:kinsoku/>
        <w:wordWrap/>
        <w:overflowPunct/>
        <w:topLinePunct w:val="0"/>
        <w:autoSpaceDE/>
        <w:autoSpaceDN/>
        <w:bidi w:val="0"/>
        <w:adjustRightInd/>
        <w:snapToGrid/>
        <w:spacing w:before="0" w:line="440" w:lineRule="exact"/>
        <w:ind w:firstLine="480" w:firstLineChars="200"/>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3、政府采购政策</w:t>
      </w:r>
    </w:p>
    <w:p w14:paraId="3CA87C70">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Fonts w:hint="eastAsia" w:ascii="宋体" w:hAnsi="宋体" w:eastAsia="宋体" w:cs="宋体"/>
          <w:color w:val="auto"/>
          <w:sz w:val="24"/>
          <w:szCs w:val="24"/>
          <w:highlight w:val="none"/>
          <w:lang w:val="en-US" w:eastAsia="zh-CN"/>
        </w:rPr>
        <w:t>本项目专门面向中小企业采购，供应商须按《政府采购促进中小企业发展管理办法》（财库〔2020〕46号）第四条的规定参与此次投标，并提供中小企业声明函。</w:t>
      </w:r>
    </w:p>
    <w:p w14:paraId="2E10886B">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4、评标原则</w:t>
      </w:r>
    </w:p>
    <w:p w14:paraId="4ADFC668">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4.1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40B84312">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4.2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4E15BC0C">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4.3、在任何评标环节中，需评标委员会就某项评审结论做出表决的，由评标委员会全体成员按照少数服从多数的原则，以记名投票方式表决。</w:t>
      </w:r>
    </w:p>
    <w:p w14:paraId="6AC0BCFF">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5、中标人的确定</w:t>
      </w:r>
    </w:p>
    <w:p w14:paraId="3505F9A4">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5.1、评标委员会按照招标文件的评标办法负责向采购人推荐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437DE518">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5.2、中标供应商拒绝与采购人签订合同的，采购人可以按照评审报告推荐的中标人名单排序，确定下一候选人为中标人，也可以重新开展政府采购活动。</w:t>
      </w:r>
    </w:p>
    <w:p w14:paraId="2E3EFA57">
      <w:pPr>
        <w:spacing w:line="360" w:lineRule="auto"/>
        <w:ind w:firstLine="480" w:firstLineChars="200"/>
        <w:rPr>
          <w:rFonts w:hint="eastAsia" w:ascii="宋体" w:hAnsi="宋体" w:eastAsia="宋体" w:cs="宋体"/>
          <w:color w:val="auto"/>
          <w:sz w:val="24"/>
          <w:highlight w:val="none"/>
        </w:rPr>
      </w:pPr>
    </w:p>
    <w:p w14:paraId="35BCC006">
      <w:pPr>
        <w:spacing w:line="360" w:lineRule="auto"/>
        <w:ind w:firstLine="480" w:firstLineChars="200"/>
        <w:rPr>
          <w:rFonts w:hint="eastAsia" w:ascii="宋体" w:hAnsi="宋体" w:eastAsia="宋体" w:cs="宋体"/>
          <w:color w:val="auto"/>
          <w:sz w:val="24"/>
          <w:highlight w:val="none"/>
        </w:rPr>
      </w:pPr>
    </w:p>
    <w:p w14:paraId="497AC860">
      <w:pPr>
        <w:spacing w:line="360" w:lineRule="auto"/>
        <w:ind w:firstLine="480" w:firstLineChars="200"/>
        <w:rPr>
          <w:rFonts w:hint="eastAsia" w:ascii="宋体" w:hAnsi="宋体" w:eastAsia="宋体" w:cs="宋体"/>
          <w:color w:val="auto"/>
          <w:sz w:val="24"/>
          <w:highlight w:val="none"/>
        </w:rPr>
      </w:pPr>
    </w:p>
    <w:p w14:paraId="13F0A51D">
      <w:pPr>
        <w:spacing w:line="360" w:lineRule="auto"/>
        <w:ind w:firstLine="480" w:firstLineChars="200"/>
        <w:rPr>
          <w:rFonts w:hint="eastAsia" w:ascii="宋体" w:hAnsi="宋体" w:eastAsia="宋体" w:cs="宋体"/>
          <w:color w:val="auto"/>
          <w:sz w:val="24"/>
          <w:highlight w:val="none"/>
        </w:rPr>
      </w:pPr>
    </w:p>
    <w:p w14:paraId="5ABD9A46">
      <w:pPr>
        <w:spacing w:line="360" w:lineRule="auto"/>
        <w:ind w:firstLine="480" w:firstLineChars="200"/>
        <w:rPr>
          <w:rFonts w:hint="eastAsia" w:ascii="宋体" w:hAnsi="宋体" w:eastAsia="宋体" w:cs="宋体"/>
          <w:color w:val="auto"/>
          <w:sz w:val="24"/>
          <w:highlight w:val="none"/>
        </w:rPr>
      </w:pPr>
    </w:p>
    <w:p w14:paraId="6BB1481C">
      <w:pPr>
        <w:spacing w:line="360" w:lineRule="auto"/>
        <w:ind w:firstLine="480" w:firstLineChars="200"/>
        <w:rPr>
          <w:rFonts w:hint="eastAsia" w:ascii="宋体" w:hAnsi="宋体" w:eastAsia="宋体" w:cs="宋体"/>
          <w:color w:val="auto"/>
          <w:sz w:val="24"/>
          <w:highlight w:val="none"/>
        </w:rPr>
      </w:pPr>
    </w:p>
    <w:p w14:paraId="67F3AB1A">
      <w:pPr>
        <w:spacing w:line="360" w:lineRule="auto"/>
        <w:ind w:firstLine="480" w:firstLineChars="200"/>
        <w:rPr>
          <w:rFonts w:hint="eastAsia" w:ascii="宋体" w:hAnsi="宋体" w:eastAsia="宋体" w:cs="宋体"/>
          <w:color w:val="auto"/>
          <w:sz w:val="24"/>
          <w:highlight w:val="none"/>
        </w:rPr>
      </w:pPr>
    </w:p>
    <w:p w14:paraId="430BCB26">
      <w:pPr>
        <w:pStyle w:val="45"/>
        <w:rPr>
          <w:rFonts w:hint="eastAsia" w:ascii="宋体" w:hAnsi="宋体" w:eastAsia="宋体" w:cs="宋体"/>
          <w:color w:val="auto"/>
          <w:sz w:val="24"/>
          <w:highlight w:val="none"/>
        </w:rPr>
      </w:pPr>
    </w:p>
    <w:p w14:paraId="1E9A9649">
      <w:pPr>
        <w:rPr>
          <w:rFonts w:hint="eastAsia" w:ascii="宋体" w:hAnsi="宋体" w:eastAsia="宋体" w:cs="宋体"/>
          <w:color w:val="auto"/>
          <w:sz w:val="24"/>
          <w:highlight w:val="none"/>
        </w:rPr>
      </w:pPr>
    </w:p>
    <w:p w14:paraId="5697AD25">
      <w:pPr>
        <w:pStyle w:val="45"/>
        <w:rPr>
          <w:rFonts w:hint="eastAsia" w:ascii="宋体" w:hAnsi="宋体" w:eastAsia="宋体" w:cs="宋体"/>
          <w:color w:val="auto"/>
          <w:sz w:val="24"/>
          <w:highlight w:val="none"/>
        </w:rPr>
      </w:pPr>
    </w:p>
    <w:p w14:paraId="710ABB3A">
      <w:pPr>
        <w:rPr>
          <w:rFonts w:hint="eastAsia" w:ascii="宋体" w:hAnsi="宋体" w:eastAsia="宋体" w:cs="宋体"/>
          <w:color w:val="auto"/>
          <w:sz w:val="24"/>
          <w:highlight w:val="none"/>
        </w:rPr>
      </w:pPr>
    </w:p>
    <w:p w14:paraId="59BA12D9">
      <w:pPr>
        <w:pStyle w:val="45"/>
        <w:rPr>
          <w:rFonts w:hint="eastAsia" w:ascii="宋体" w:hAnsi="宋体" w:eastAsia="宋体" w:cs="宋体"/>
          <w:color w:val="auto"/>
          <w:sz w:val="24"/>
          <w:highlight w:val="none"/>
        </w:rPr>
      </w:pPr>
    </w:p>
    <w:p w14:paraId="126E6A3E">
      <w:pPr>
        <w:rPr>
          <w:rFonts w:hint="eastAsia" w:ascii="宋体" w:hAnsi="宋体" w:eastAsia="宋体" w:cs="宋体"/>
          <w:color w:val="auto"/>
          <w:sz w:val="24"/>
          <w:highlight w:val="none"/>
        </w:rPr>
      </w:pPr>
    </w:p>
    <w:p w14:paraId="7271FD55">
      <w:pPr>
        <w:pStyle w:val="45"/>
        <w:rPr>
          <w:rFonts w:hint="eastAsia" w:ascii="宋体" w:hAnsi="宋体" w:eastAsia="宋体" w:cs="宋体"/>
          <w:color w:val="auto"/>
          <w:sz w:val="24"/>
          <w:highlight w:val="none"/>
        </w:rPr>
      </w:pPr>
    </w:p>
    <w:p w14:paraId="4DE24D75">
      <w:pPr>
        <w:rPr>
          <w:rFonts w:hint="eastAsia" w:ascii="宋体" w:hAnsi="宋体" w:eastAsia="宋体" w:cs="宋体"/>
          <w:color w:val="auto"/>
          <w:sz w:val="24"/>
          <w:highlight w:val="none"/>
        </w:rPr>
      </w:pPr>
    </w:p>
    <w:p w14:paraId="416F9D54">
      <w:pPr>
        <w:pStyle w:val="45"/>
        <w:rPr>
          <w:rFonts w:hint="eastAsia" w:ascii="宋体" w:hAnsi="宋体" w:eastAsia="宋体" w:cs="宋体"/>
          <w:color w:val="auto"/>
          <w:highlight w:val="none"/>
        </w:rPr>
      </w:pPr>
    </w:p>
    <w:p w14:paraId="5B930E52">
      <w:pPr>
        <w:spacing w:line="360" w:lineRule="auto"/>
        <w:rPr>
          <w:rFonts w:hint="eastAsia" w:ascii="宋体" w:hAnsi="宋体" w:eastAsia="宋体" w:cs="宋体"/>
          <w:color w:val="auto"/>
          <w:sz w:val="24"/>
          <w:highlight w:val="none"/>
        </w:rPr>
      </w:pPr>
    </w:p>
    <w:p w14:paraId="5C724617">
      <w:pPr>
        <w:spacing w:line="360" w:lineRule="auto"/>
        <w:rPr>
          <w:rFonts w:hint="eastAsia" w:ascii="宋体" w:hAnsi="宋体" w:eastAsia="宋体" w:cs="宋体"/>
          <w:color w:val="auto"/>
          <w:sz w:val="24"/>
          <w:highlight w:val="none"/>
        </w:rPr>
      </w:pPr>
    </w:p>
    <w:p w14:paraId="283D4B98">
      <w:pPr>
        <w:pStyle w:val="22"/>
        <w:tabs>
          <w:tab w:val="left" w:pos="0"/>
        </w:tabs>
        <w:spacing w:line="360" w:lineRule="auto"/>
        <w:ind w:left="0" w:leftChars="0" w:firstLine="0" w:firstLineChars="0"/>
        <w:jc w:val="center"/>
        <w:outlineLvl w:val="0"/>
        <w:rPr>
          <w:rFonts w:hint="eastAsia" w:ascii="宋体" w:hAnsi="宋体" w:eastAsia="宋体" w:cs="宋体"/>
          <w:b/>
          <w:color w:val="auto"/>
          <w:sz w:val="36"/>
          <w:highlight w:val="none"/>
        </w:rPr>
      </w:pPr>
      <w:bookmarkStart w:id="72" w:name="_Toc480368418"/>
      <w:bookmarkStart w:id="73" w:name="_Toc8152"/>
      <w:r>
        <w:rPr>
          <w:rFonts w:hint="eastAsia" w:ascii="宋体" w:hAnsi="宋体" w:eastAsia="宋体" w:cs="宋体"/>
          <w:b/>
          <w:color w:val="auto"/>
          <w:sz w:val="36"/>
          <w:highlight w:val="none"/>
        </w:rPr>
        <w:t>第五部分   政府采购合同</w:t>
      </w:r>
      <w:bookmarkEnd w:id="72"/>
      <w:bookmarkEnd w:id="73"/>
    </w:p>
    <w:p w14:paraId="49FA461D">
      <w:pPr>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合同编号：</w:t>
      </w:r>
      <w:r>
        <w:rPr>
          <w:rFonts w:hint="eastAsia" w:ascii="宋体" w:hAnsi="宋体" w:eastAsia="宋体" w:cs="宋体"/>
          <w:color w:val="auto"/>
          <w:spacing w:val="0"/>
          <w:position w:val="0"/>
          <w:sz w:val="24"/>
          <w:highlight w:val="none"/>
          <w:u w:val="single"/>
        </w:rPr>
        <w:t xml:space="preserve">           </w:t>
      </w:r>
    </w:p>
    <w:p w14:paraId="75DBEA84">
      <w:pPr>
        <w:spacing w:line="480" w:lineRule="auto"/>
        <w:jc w:val="center"/>
        <w:rPr>
          <w:rFonts w:hint="eastAsia" w:ascii="宋体" w:hAnsi="宋体" w:eastAsia="宋体" w:cs="宋体"/>
          <w:b/>
          <w:color w:val="auto"/>
          <w:spacing w:val="0"/>
          <w:position w:val="0"/>
          <w:sz w:val="28"/>
          <w:szCs w:val="28"/>
          <w:highlight w:val="none"/>
        </w:rPr>
      </w:pPr>
    </w:p>
    <w:p w14:paraId="5DB20146">
      <w:pPr>
        <w:spacing w:line="480" w:lineRule="auto"/>
        <w:jc w:val="center"/>
        <w:rPr>
          <w:rFonts w:hint="eastAsia" w:ascii="宋体" w:hAnsi="宋体" w:eastAsia="宋体" w:cs="宋体"/>
          <w:b/>
          <w:color w:val="auto"/>
          <w:spacing w:val="0"/>
          <w:position w:val="0"/>
          <w:sz w:val="28"/>
          <w:szCs w:val="28"/>
          <w:highlight w:val="none"/>
        </w:rPr>
      </w:pPr>
    </w:p>
    <w:p w14:paraId="692EAB8A">
      <w:pPr>
        <w:spacing w:line="480" w:lineRule="auto"/>
        <w:jc w:val="center"/>
        <w:rPr>
          <w:rFonts w:hint="eastAsia" w:ascii="宋体" w:hAnsi="宋体" w:eastAsia="宋体" w:cs="宋体"/>
          <w:b/>
          <w:color w:val="auto"/>
          <w:spacing w:val="0"/>
          <w:position w:val="0"/>
          <w:sz w:val="28"/>
          <w:szCs w:val="28"/>
          <w:highlight w:val="none"/>
        </w:rPr>
      </w:pPr>
    </w:p>
    <w:p w14:paraId="58AA8CFF">
      <w:pPr>
        <w:spacing w:line="480" w:lineRule="auto"/>
        <w:jc w:val="center"/>
        <w:rPr>
          <w:rFonts w:hint="eastAsia" w:ascii="宋体" w:hAnsi="宋体" w:eastAsia="宋体" w:cs="宋体"/>
          <w:b/>
          <w:color w:val="auto"/>
          <w:spacing w:val="0"/>
          <w:position w:val="0"/>
          <w:sz w:val="44"/>
          <w:szCs w:val="44"/>
          <w:highlight w:val="none"/>
        </w:rPr>
      </w:pPr>
      <w:r>
        <w:rPr>
          <w:rFonts w:hint="eastAsia" w:ascii="宋体" w:hAnsi="宋体" w:eastAsia="宋体" w:cs="宋体"/>
          <w:b/>
          <w:color w:val="auto"/>
          <w:spacing w:val="0"/>
          <w:position w:val="0"/>
          <w:sz w:val="44"/>
          <w:szCs w:val="44"/>
          <w:highlight w:val="none"/>
        </w:rPr>
        <w:t>政府采购合同参考范本</w:t>
      </w:r>
    </w:p>
    <w:p w14:paraId="2346FFA9">
      <w:pPr>
        <w:spacing w:line="480" w:lineRule="auto"/>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（服务类）</w:t>
      </w:r>
    </w:p>
    <w:p w14:paraId="07BBB284">
      <w:pPr>
        <w:pStyle w:val="106"/>
        <w:ind w:firstLine="0"/>
        <w:rPr>
          <w:rFonts w:hint="eastAsia" w:ascii="宋体" w:hAnsi="宋体" w:eastAsia="宋体" w:cs="宋体"/>
          <w:color w:val="auto"/>
          <w:spacing w:val="0"/>
          <w:position w:val="0"/>
          <w:szCs w:val="24"/>
          <w:highlight w:val="none"/>
        </w:rPr>
      </w:pPr>
    </w:p>
    <w:p w14:paraId="00F4BF8C">
      <w:pPr>
        <w:pStyle w:val="106"/>
        <w:ind w:firstLine="0"/>
        <w:rPr>
          <w:rFonts w:hint="eastAsia" w:ascii="宋体" w:hAnsi="宋体" w:eastAsia="宋体" w:cs="宋体"/>
          <w:color w:val="auto"/>
          <w:spacing w:val="0"/>
          <w:position w:val="0"/>
          <w:szCs w:val="24"/>
          <w:highlight w:val="none"/>
        </w:rPr>
      </w:pPr>
    </w:p>
    <w:p w14:paraId="67663768">
      <w:pPr>
        <w:pStyle w:val="106"/>
        <w:ind w:firstLine="0"/>
        <w:rPr>
          <w:rFonts w:hint="eastAsia" w:ascii="宋体" w:hAnsi="宋体" w:eastAsia="宋体" w:cs="宋体"/>
          <w:color w:val="auto"/>
          <w:spacing w:val="0"/>
          <w:position w:val="0"/>
          <w:szCs w:val="24"/>
          <w:highlight w:val="none"/>
        </w:rPr>
      </w:pPr>
    </w:p>
    <w:p w14:paraId="58103BC1">
      <w:pPr>
        <w:pStyle w:val="106"/>
        <w:ind w:firstLine="0"/>
        <w:jc w:val="center"/>
        <w:rPr>
          <w:rFonts w:hint="eastAsia" w:ascii="宋体" w:hAnsi="宋体" w:eastAsia="宋体" w:cs="宋体"/>
          <w:b/>
          <w:color w:val="auto"/>
          <w:spacing w:val="0"/>
          <w:position w:val="0"/>
          <w:szCs w:val="24"/>
          <w:highlight w:val="none"/>
        </w:rPr>
      </w:pPr>
      <w:r>
        <w:rPr>
          <w:rFonts w:hint="eastAsia" w:ascii="宋体" w:hAnsi="宋体" w:eastAsia="宋体" w:cs="宋体"/>
          <w:b/>
          <w:color w:val="auto"/>
          <w:spacing w:val="0"/>
          <w:position w:val="0"/>
          <w:szCs w:val="24"/>
          <w:highlight w:val="none"/>
        </w:rPr>
        <w:t>第一部分 合同书</w:t>
      </w:r>
    </w:p>
    <w:p w14:paraId="765C34E8">
      <w:pPr>
        <w:pStyle w:val="106"/>
        <w:ind w:firstLine="0"/>
        <w:rPr>
          <w:rFonts w:hint="eastAsia" w:ascii="宋体" w:hAnsi="宋体" w:eastAsia="宋体" w:cs="宋体"/>
          <w:color w:val="auto"/>
          <w:spacing w:val="0"/>
          <w:position w:val="0"/>
          <w:szCs w:val="24"/>
          <w:highlight w:val="none"/>
        </w:rPr>
      </w:pPr>
    </w:p>
    <w:p w14:paraId="444EDAFD">
      <w:pPr>
        <w:pStyle w:val="106"/>
        <w:ind w:firstLine="0"/>
        <w:rPr>
          <w:rFonts w:hint="eastAsia" w:ascii="宋体" w:hAnsi="宋体" w:eastAsia="宋体" w:cs="宋体"/>
          <w:color w:val="auto"/>
          <w:spacing w:val="0"/>
          <w:position w:val="0"/>
          <w:szCs w:val="24"/>
          <w:highlight w:val="none"/>
        </w:rPr>
      </w:pPr>
    </w:p>
    <w:p w14:paraId="1EA6CBB4">
      <w:pPr>
        <w:spacing w:before="120" w:line="22" w:lineRule="atLeast"/>
        <w:rPr>
          <w:rFonts w:hint="eastAsia" w:ascii="宋体" w:hAnsi="宋体" w:eastAsia="宋体" w:cs="宋体"/>
          <w:color w:val="auto"/>
          <w:spacing w:val="0"/>
          <w:position w:val="0"/>
          <w:sz w:val="24"/>
          <w:highlight w:val="none"/>
        </w:rPr>
      </w:pPr>
    </w:p>
    <w:p w14:paraId="3CD5416F">
      <w:pPr>
        <w:spacing w:before="120" w:line="22" w:lineRule="atLeast"/>
        <w:ind w:left="96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项目名称：</w:t>
      </w:r>
      <w:r>
        <w:rPr>
          <w:rFonts w:hint="eastAsia" w:ascii="宋体" w:hAnsi="宋体" w:eastAsia="宋体" w:cs="宋体"/>
          <w:color w:val="auto"/>
          <w:spacing w:val="0"/>
          <w:position w:val="0"/>
          <w:sz w:val="24"/>
          <w:highlight w:val="none"/>
          <w:u w:val="single"/>
        </w:rPr>
        <w:t xml:space="preserve">                                   </w:t>
      </w:r>
    </w:p>
    <w:p w14:paraId="7CAF6B60">
      <w:pPr>
        <w:pStyle w:val="107"/>
        <w:spacing w:before="120" w:line="22" w:lineRule="atLeast"/>
        <w:rPr>
          <w:rFonts w:hint="eastAsia" w:ascii="宋体" w:hAnsi="宋体" w:eastAsia="宋体" w:cs="宋体"/>
          <w:color w:val="auto"/>
          <w:spacing w:val="0"/>
          <w:position w:val="0"/>
          <w:szCs w:val="24"/>
          <w:highlight w:val="none"/>
        </w:rPr>
      </w:pPr>
    </w:p>
    <w:p w14:paraId="32F6B7A3">
      <w:pPr>
        <w:pStyle w:val="107"/>
        <w:spacing w:before="120" w:line="22" w:lineRule="atLeast"/>
        <w:rPr>
          <w:rFonts w:hint="eastAsia" w:ascii="宋体" w:hAnsi="宋体" w:eastAsia="宋体" w:cs="宋体"/>
          <w:color w:val="auto"/>
          <w:spacing w:val="0"/>
          <w:position w:val="0"/>
          <w:szCs w:val="24"/>
          <w:highlight w:val="none"/>
        </w:rPr>
      </w:pPr>
    </w:p>
    <w:p w14:paraId="39B9470B">
      <w:pPr>
        <w:rPr>
          <w:rFonts w:hint="eastAsia" w:ascii="宋体" w:hAnsi="宋体" w:eastAsia="宋体" w:cs="宋体"/>
          <w:color w:val="auto"/>
          <w:spacing w:val="0"/>
          <w:position w:val="0"/>
          <w:highlight w:val="none"/>
        </w:rPr>
      </w:pPr>
    </w:p>
    <w:p w14:paraId="4AB864EF">
      <w:pPr>
        <w:spacing w:before="120" w:line="22" w:lineRule="atLeast"/>
        <w:ind w:left="96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甲方：</w:t>
      </w:r>
      <w:r>
        <w:rPr>
          <w:rFonts w:hint="eastAsia" w:ascii="宋体" w:hAnsi="宋体" w:eastAsia="宋体" w:cs="宋体"/>
          <w:color w:val="auto"/>
          <w:spacing w:val="0"/>
          <w:position w:val="0"/>
          <w:sz w:val="24"/>
          <w:highlight w:val="none"/>
          <w:u w:val="single"/>
        </w:rPr>
        <w:t xml:space="preserve">                                       </w:t>
      </w:r>
    </w:p>
    <w:p w14:paraId="52BE2742">
      <w:pPr>
        <w:spacing w:before="120" w:line="22" w:lineRule="atLeast"/>
        <w:rPr>
          <w:rFonts w:hint="eastAsia" w:ascii="宋体" w:hAnsi="宋体" w:eastAsia="宋体" w:cs="宋体"/>
          <w:color w:val="auto"/>
          <w:spacing w:val="0"/>
          <w:position w:val="0"/>
          <w:sz w:val="24"/>
          <w:highlight w:val="none"/>
        </w:rPr>
      </w:pPr>
    </w:p>
    <w:p w14:paraId="69813A80">
      <w:pPr>
        <w:spacing w:before="120" w:line="22" w:lineRule="atLeast"/>
        <w:ind w:left="96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乙方：</w:t>
      </w:r>
      <w:r>
        <w:rPr>
          <w:rFonts w:hint="eastAsia" w:ascii="宋体" w:hAnsi="宋体" w:eastAsia="宋体" w:cs="宋体"/>
          <w:color w:val="auto"/>
          <w:spacing w:val="0"/>
          <w:position w:val="0"/>
          <w:sz w:val="24"/>
          <w:highlight w:val="none"/>
          <w:u w:val="single"/>
        </w:rPr>
        <w:t xml:space="preserve">                                       </w:t>
      </w:r>
    </w:p>
    <w:p w14:paraId="2A7D51D7">
      <w:pPr>
        <w:spacing w:before="120" w:line="22" w:lineRule="atLeast"/>
        <w:rPr>
          <w:rFonts w:hint="eastAsia" w:ascii="宋体" w:hAnsi="宋体" w:eastAsia="宋体" w:cs="宋体"/>
          <w:color w:val="auto"/>
          <w:spacing w:val="0"/>
          <w:position w:val="0"/>
          <w:sz w:val="24"/>
          <w:highlight w:val="none"/>
        </w:rPr>
      </w:pPr>
    </w:p>
    <w:p w14:paraId="1FC30BDA">
      <w:pPr>
        <w:spacing w:before="120" w:line="22" w:lineRule="atLeast"/>
        <w:ind w:firstLine="960" w:firstLineChars="40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签订地：</w:t>
      </w:r>
      <w:r>
        <w:rPr>
          <w:rFonts w:hint="eastAsia" w:ascii="宋体" w:hAnsi="宋体" w:eastAsia="宋体" w:cs="宋体"/>
          <w:color w:val="auto"/>
          <w:spacing w:val="0"/>
          <w:position w:val="0"/>
          <w:sz w:val="24"/>
          <w:highlight w:val="none"/>
          <w:u w:val="single"/>
        </w:rPr>
        <w:t xml:space="preserve">                                     </w:t>
      </w:r>
    </w:p>
    <w:p w14:paraId="6EC9B84C">
      <w:pPr>
        <w:spacing w:before="120" w:line="22" w:lineRule="atLeast"/>
        <w:rPr>
          <w:rFonts w:hint="eastAsia" w:ascii="宋体" w:hAnsi="宋体" w:eastAsia="宋体" w:cs="宋体"/>
          <w:color w:val="auto"/>
          <w:spacing w:val="0"/>
          <w:position w:val="0"/>
          <w:sz w:val="24"/>
          <w:highlight w:val="none"/>
        </w:rPr>
      </w:pPr>
    </w:p>
    <w:p w14:paraId="6A9A5D55">
      <w:pPr>
        <w:spacing w:before="120" w:line="22" w:lineRule="atLeast"/>
        <w:ind w:firstLine="960" w:firstLineChars="40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签订日期：</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年</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月</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日</w:t>
      </w:r>
    </w:p>
    <w:p w14:paraId="59A57F85">
      <w:pPr>
        <w:autoSpaceDE w:val="0"/>
        <w:autoSpaceDN w:val="0"/>
        <w:adjustRightInd w:val="0"/>
        <w:spacing w:line="600" w:lineRule="exact"/>
        <w:ind w:firstLine="640"/>
        <w:jc w:val="center"/>
        <w:rPr>
          <w:rFonts w:hint="eastAsia" w:ascii="宋体" w:hAnsi="宋体" w:eastAsia="宋体" w:cs="宋体"/>
          <w:color w:val="auto"/>
          <w:spacing w:val="0"/>
          <w:position w:val="0"/>
          <w:sz w:val="24"/>
          <w:highlight w:val="none"/>
        </w:rPr>
        <w:sectPr>
          <w:pgSz w:w="11905" w:h="16838"/>
          <w:pgMar w:top="1474" w:right="1814" w:bottom="1474" w:left="1814" w:header="850" w:footer="850" w:gutter="0"/>
          <w:cols w:space="0" w:num="1"/>
          <w:rtlGutter w:val="0"/>
          <w:docGrid w:linePitch="462" w:charSpace="0"/>
        </w:sectPr>
      </w:pPr>
    </w:p>
    <w:p w14:paraId="057BD965">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u w:val="single"/>
          <w:lang w:val="zh-CN"/>
        </w:rPr>
        <w:t xml:space="preserve">        </w:t>
      </w:r>
      <w:r>
        <w:rPr>
          <w:rFonts w:hint="eastAsia" w:ascii="宋体" w:hAnsi="宋体" w:eastAsia="宋体" w:cs="宋体"/>
          <w:color w:val="auto"/>
          <w:spacing w:val="0"/>
          <w:position w:val="0"/>
          <w:sz w:val="24"/>
          <w:highlight w:val="none"/>
          <w:lang w:val="zh-CN"/>
        </w:rPr>
        <w:t>年</w:t>
      </w:r>
      <w:r>
        <w:rPr>
          <w:rFonts w:hint="eastAsia" w:ascii="宋体" w:hAnsi="宋体" w:eastAsia="宋体" w:cs="宋体"/>
          <w:color w:val="auto"/>
          <w:spacing w:val="0"/>
          <w:position w:val="0"/>
          <w:sz w:val="24"/>
          <w:highlight w:val="none"/>
          <w:u w:val="single"/>
          <w:lang w:val="zh-CN"/>
        </w:rPr>
        <w:t xml:space="preserve">    </w:t>
      </w:r>
      <w:r>
        <w:rPr>
          <w:rFonts w:hint="eastAsia" w:ascii="宋体" w:hAnsi="宋体" w:eastAsia="宋体" w:cs="宋体"/>
          <w:color w:val="auto"/>
          <w:spacing w:val="0"/>
          <w:position w:val="0"/>
          <w:sz w:val="24"/>
          <w:highlight w:val="none"/>
          <w:lang w:val="zh-CN"/>
        </w:rPr>
        <w:t>月</w:t>
      </w:r>
      <w:r>
        <w:rPr>
          <w:rFonts w:hint="eastAsia" w:ascii="宋体" w:hAnsi="宋体" w:eastAsia="宋体" w:cs="宋体"/>
          <w:color w:val="auto"/>
          <w:spacing w:val="0"/>
          <w:position w:val="0"/>
          <w:sz w:val="24"/>
          <w:highlight w:val="none"/>
          <w:u w:val="single"/>
          <w:lang w:val="zh-CN"/>
        </w:rPr>
        <w:t xml:space="preserve">    </w:t>
      </w:r>
      <w:r>
        <w:rPr>
          <w:rFonts w:hint="eastAsia" w:ascii="宋体" w:hAnsi="宋体" w:eastAsia="宋体" w:cs="宋体"/>
          <w:color w:val="auto"/>
          <w:spacing w:val="0"/>
          <w:position w:val="0"/>
          <w:sz w:val="24"/>
          <w:highlight w:val="none"/>
          <w:lang w:val="zh-CN"/>
        </w:rPr>
        <w:t>日</w:t>
      </w:r>
      <w:r>
        <w:rPr>
          <w:rFonts w:hint="eastAsia" w:ascii="宋体" w:hAnsi="宋体" w:eastAsia="宋体" w:cs="宋体"/>
          <w:color w:val="auto"/>
          <w:spacing w:val="0"/>
          <w:position w:val="0"/>
          <w:sz w:val="24"/>
          <w:highlight w:val="none"/>
        </w:rPr>
        <w:t>，</w:t>
      </w:r>
      <w:r>
        <w:rPr>
          <w:rFonts w:hint="eastAsia" w:ascii="宋体" w:hAnsi="宋体" w:eastAsia="宋体" w:cs="宋体"/>
          <w:color w:val="auto"/>
          <w:spacing w:val="0"/>
          <w:position w:val="0"/>
          <w:sz w:val="24"/>
          <w:highlight w:val="none"/>
          <w:u w:val="single"/>
        </w:rPr>
        <w:t xml:space="preserve">   （采购人名称）   </w:t>
      </w:r>
      <w:r>
        <w:rPr>
          <w:rFonts w:hint="eastAsia" w:ascii="宋体" w:hAnsi="宋体" w:eastAsia="宋体" w:cs="宋体"/>
          <w:color w:val="auto"/>
          <w:spacing w:val="0"/>
          <w:position w:val="0"/>
          <w:sz w:val="24"/>
          <w:highlight w:val="none"/>
        </w:rPr>
        <w:t>以</w:t>
      </w:r>
      <w:r>
        <w:rPr>
          <w:rFonts w:hint="eastAsia" w:ascii="宋体" w:hAnsi="宋体" w:eastAsia="宋体" w:cs="宋体"/>
          <w:color w:val="auto"/>
          <w:spacing w:val="0"/>
          <w:position w:val="0"/>
          <w:sz w:val="24"/>
          <w:highlight w:val="none"/>
          <w:u w:val="single"/>
        </w:rPr>
        <w:t xml:space="preserve">   （政府采购方式）  </w:t>
      </w:r>
      <w:r>
        <w:rPr>
          <w:rFonts w:hint="eastAsia" w:ascii="宋体" w:hAnsi="宋体" w:eastAsia="宋体" w:cs="宋体"/>
          <w:color w:val="auto"/>
          <w:spacing w:val="0"/>
          <w:position w:val="0"/>
          <w:sz w:val="24"/>
          <w:highlight w:val="none"/>
        </w:rPr>
        <w:t>对</w:t>
      </w:r>
      <w:r>
        <w:rPr>
          <w:rFonts w:hint="eastAsia" w:ascii="宋体" w:hAnsi="宋体" w:eastAsia="宋体" w:cs="宋体"/>
          <w:color w:val="auto"/>
          <w:spacing w:val="0"/>
          <w:position w:val="0"/>
          <w:sz w:val="24"/>
          <w:highlight w:val="none"/>
          <w:u w:val="single"/>
        </w:rPr>
        <w:t xml:space="preserve">   （同前页项目名称）   </w:t>
      </w:r>
      <w:r>
        <w:rPr>
          <w:rFonts w:hint="eastAsia" w:ascii="宋体" w:hAnsi="宋体" w:eastAsia="宋体" w:cs="宋体"/>
          <w:color w:val="auto"/>
          <w:spacing w:val="0"/>
          <w:position w:val="0"/>
          <w:sz w:val="24"/>
          <w:highlight w:val="none"/>
        </w:rPr>
        <w:t>项目进行了采购。经</w:t>
      </w:r>
      <w:r>
        <w:rPr>
          <w:rFonts w:hint="eastAsia" w:ascii="宋体" w:hAnsi="宋体" w:eastAsia="宋体" w:cs="宋体"/>
          <w:color w:val="auto"/>
          <w:spacing w:val="0"/>
          <w:position w:val="0"/>
          <w:sz w:val="24"/>
          <w:highlight w:val="none"/>
          <w:u w:val="single"/>
        </w:rPr>
        <w:t xml:space="preserve">   （相关评定主体名称）   </w:t>
      </w:r>
      <w:r>
        <w:rPr>
          <w:rFonts w:hint="eastAsia" w:ascii="宋体" w:hAnsi="宋体" w:eastAsia="宋体" w:cs="宋体"/>
          <w:color w:val="auto"/>
          <w:spacing w:val="0"/>
          <w:position w:val="0"/>
          <w:sz w:val="24"/>
          <w:highlight w:val="none"/>
        </w:rPr>
        <w:t>评定，</w:t>
      </w:r>
      <w:r>
        <w:rPr>
          <w:rFonts w:hint="eastAsia" w:ascii="宋体" w:hAnsi="宋体" w:eastAsia="宋体" w:cs="宋体"/>
          <w:color w:val="auto"/>
          <w:spacing w:val="0"/>
          <w:position w:val="0"/>
          <w:sz w:val="24"/>
          <w:highlight w:val="none"/>
          <w:u w:val="single"/>
        </w:rPr>
        <w:t xml:space="preserve">   （中标供应商名称） </w:t>
      </w:r>
      <w:r>
        <w:rPr>
          <w:rFonts w:hint="eastAsia" w:ascii="宋体" w:hAnsi="宋体" w:eastAsia="宋体" w:cs="宋体"/>
          <w:color w:val="auto"/>
          <w:spacing w:val="0"/>
          <w:position w:val="0"/>
          <w:sz w:val="24"/>
          <w:highlight w:val="none"/>
        </w:rPr>
        <w:t>为该项目中标供应商。现于中标通知书发出之日起三十日内，按照采购文件确定的事项签订本合同。</w:t>
      </w:r>
    </w:p>
    <w:p w14:paraId="16481DBF">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pacing w:val="0"/>
          <w:position w:val="0"/>
          <w:sz w:val="24"/>
          <w:highlight w:val="none"/>
          <w:u w:val="single"/>
        </w:rPr>
        <w:t xml:space="preserve">   （采购人名称）   </w:t>
      </w:r>
      <w:r>
        <w:rPr>
          <w:rFonts w:hint="eastAsia" w:ascii="宋体" w:hAnsi="宋体" w:eastAsia="宋体" w:cs="宋体"/>
          <w:color w:val="auto"/>
          <w:spacing w:val="0"/>
          <w:position w:val="0"/>
          <w:sz w:val="24"/>
          <w:highlight w:val="none"/>
          <w:lang w:val="zh-CN"/>
        </w:rPr>
        <w:t>(以下简称：甲方)和</w:t>
      </w:r>
      <w:r>
        <w:rPr>
          <w:rFonts w:hint="eastAsia" w:ascii="宋体" w:hAnsi="宋体" w:eastAsia="宋体" w:cs="宋体"/>
          <w:color w:val="auto"/>
          <w:spacing w:val="0"/>
          <w:position w:val="0"/>
          <w:sz w:val="24"/>
          <w:highlight w:val="none"/>
          <w:u w:val="single"/>
        </w:rPr>
        <w:t xml:space="preserve">   （中标供应商名称）   </w:t>
      </w:r>
      <w:r>
        <w:rPr>
          <w:rFonts w:hint="eastAsia" w:ascii="宋体" w:hAnsi="宋体" w:eastAsia="宋体" w:cs="宋体"/>
          <w:color w:val="auto"/>
          <w:spacing w:val="0"/>
          <w:position w:val="0"/>
          <w:sz w:val="24"/>
          <w:highlight w:val="none"/>
          <w:lang w:val="zh-CN"/>
        </w:rPr>
        <w:t>(以下简称：乙方)协商一致，约定以下合同</w:t>
      </w:r>
      <w:r>
        <w:rPr>
          <w:rFonts w:hint="eastAsia" w:ascii="宋体" w:hAnsi="宋体" w:eastAsia="宋体" w:cs="宋体"/>
          <w:color w:val="auto"/>
          <w:spacing w:val="0"/>
          <w:position w:val="0"/>
          <w:sz w:val="24"/>
          <w:highlight w:val="none"/>
        </w:rPr>
        <w:t>条款，以兹共同遵守、全面履行。</w:t>
      </w:r>
    </w:p>
    <w:p w14:paraId="6D7DAAD0">
      <w:pPr>
        <w:spacing w:line="560" w:lineRule="exact"/>
        <w:ind w:firstLine="482" w:firstLineChars="200"/>
        <w:outlineLvl w:val="0"/>
        <w:rPr>
          <w:rFonts w:hint="eastAsia" w:ascii="宋体" w:hAnsi="宋体" w:eastAsia="宋体" w:cs="宋体"/>
          <w:color w:val="auto"/>
          <w:spacing w:val="0"/>
          <w:position w:val="0"/>
          <w:sz w:val="24"/>
          <w:highlight w:val="none"/>
        </w:rPr>
      </w:pPr>
      <w:bookmarkStart w:id="74" w:name="_Toc20421"/>
      <w:bookmarkStart w:id="75" w:name="_Toc28855"/>
      <w:bookmarkStart w:id="76" w:name="_Toc22967"/>
      <w:bookmarkStart w:id="77" w:name="_Toc15367"/>
      <w:bookmarkStart w:id="78" w:name="_Toc19273"/>
      <w:r>
        <w:rPr>
          <w:rFonts w:hint="eastAsia" w:ascii="宋体" w:hAnsi="宋体" w:eastAsia="宋体" w:cs="宋体"/>
          <w:b/>
          <w:color w:val="auto"/>
          <w:spacing w:val="0"/>
          <w:position w:val="0"/>
          <w:sz w:val="24"/>
          <w:highlight w:val="none"/>
        </w:rPr>
        <w:t>1.1 合同组成部分</w:t>
      </w:r>
      <w:bookmarkEnd w:id="74"/>
      <w:bookmarkEnd w:id="75"/>
      <w:bookmarkEnd w:id="76"/>
      <w:bookmarkEnd w:id="77"/>
      <w:bookmarkEnd w:id="78"/>
    </w:p>
    <w:p w14:paraId="3DA92587">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3096EB0">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1.1.1 本合同及其补充合同、变更协议；</w:t>
      </w:r>
    </w:p>
    <w:p w14:paraId="34F8F7F4">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1.1.2 中标通知书；</w:t>
      </w:r>
    </w:p>
    <w:p w14:paraId="5952940D">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1.1.3 投标文件（含澄清或者说明文件）；</w:t>
      </w:r>
    </w:p>
    <w:p w14:paraId="309EA91E">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1.1.4 </w:t>
      </w:r>
      <w:r>
        <w:rPr>
          <w:rFonts w:hint="eastAsia" w:ascii="宋体" w:hAnsi="宋体" w:eastAsia="宋体" w:cs="宋体"/>
          <w:color w:val="auto"/>
          <w:spacing w:val="0"/>
          <w:position w:val="0"/>
          <w:sz w:val="24"/>
          <w:highlight w:val="none"/>
          <w:lang w:eastAsia="zh-CN"/>
        </w:rPr>
        <w:t>竞争性磋商文件</w:t>
      </w:r>
      <w:r>
        <w:rPr>
          <w:rFonts w:hint="eastAsia" w:ascii="宋体" w:hAnsi="宋体" w:eastAsia="宋体" w:cs="宋体"/>
          <w:color w:val="auto"/>
          <w:spacing w:val="0"/>
          <w:position w:val="0"/>
          <w:sz w:val="24"/>
          <w:highlight w:val="none"/>
        </w:rPr>
        <w:t>（含澄清或者修改文件）；</w:t>
      </w:r>
    </w:p>
    <w:p w14:paraId="03BBBE2F">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1.1.5 其他相关采购文件。</w:t>
      </w:r>
    </w:p>
    <w:p w14:paraId="7D2AD257">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79" w:name="_Toc22185"/>
      <w:bookmarkStart w:id="80" w:name="_Toc6773"/>
      <w:bookmarkStart w:id="81" w:name="_Toc2918"/>
      <w:bookmarkStart w:id="82" w:name="_Toc6311"/>
      <w:bookmarkStart w:id="83" w:name="_Toc18585"/>
      <w:r>
        <w:rPr>
          <w:rFonts w:hint="eastAsia" w:ascii="宋体" w:hAnsi="宋体" w:eastAsia="宋体" w:cs="宋体"/>
          <w:b/>
          <w:color w:val="auto"/>
          <w:spacing w:val="0"/>
          <w:position w:val="0"/>
          <w:sz w:val="24"/>
          <w:highlight w:val="none"/>
        </w:rPr>
        <w:t>1.2 标的</w:t>
      </w:r>
      <w:bookmarkEnd w:id="79"/>
      <w:bookmarkEnd w:id="80"/>
      <w:bookmarkEnd w:id="81"/>
      <w:bookmarkEnd w:id="82"/>
      <w:bookmarkEnd w:id="83"/>
    </w:p>
    <w:p w14:paraId="77BF7EF8">
      <w:pPr>
        <w:spacing w:line="560" w:lineRule="exact"/>
        <w:ind w:firstLine="480" w:firstLineChars="20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1.2.1 标的名称：</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6253E649">
      <w:pPr>
        <w:spacing w:line="560" w:lineRule="exact"/>
        <w:ind w:firstLine="480" w:firstLineChars="20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1.2.2 标的数量：</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43ED17B8">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1.2.3 标的质量：</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70B69721">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84" w:name="_Toc5635"/>
      <w:bookmarkStart w:id="85" w:name="_Toc13918"/>
      <w:bookmarkStart w:id="86" w:name="_Toc4929"/>
      <w:bookmarkStart w:id="87" w:name="_Toc1386"/>
      <w:bookmarkStart w:id="88" w:name="_Toc21124"/>
      <w:r>
        <w:rPr>
          <w:rFonts w:hint="eastAsia" w:ascii="宋体" w:hAnsi="宋体" w:eastAsia="宋体" w:cs="宋体"/>
          <w:b/>
          <w:color w:val="auto"/>
          <w:spacing w:val="0"/>
          <w:position w:val="0"/>
          <w:sz w:val="24"/>
          <w:highlight w:val="none"/>
        </w:rPr>
        <w:t>1.3 价款</w:t>
      </w:r>
      <w:bookmarkEnd w:id="84"/>
      <w:bookmarkEnd w:id="85"/>
      <w:bookmarkEnd w:id="86"/>
      <w:bookmarkEnd w:id="87"/>
      <w:bookmarkEnd w:id="88"/>
    </w:p>
    <w:p w14:paraId="572A3288">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本合同总价为：￥</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元（大写：</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元人民币）。</w:t>
      </w:r>
    </w:p>
    <w:p w14:paraId="3536D378">
      <w:pPr>
        <w:spacing w:line="560" w:lineRule="exact"/>
        <w:ind w:firstLine="480" w:firstLineChars="20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分项价格：</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CF9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C4C7DC3">
            <w:pPr>
              <w:pStyle w:val="108"/>
              <w:spacing w:line="56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序号</w:t>
            </w:r>
          </w:p>
        </w:tc>
        <w:tc>
          <w:tcPr>
            <w:tcW w:w="3402" w:type="dxa"/>
            <w:noWrap w:val="0"/>
            <w:vAlign w:val="center"/>
          </w:tcPr>
          <w:p w14:paraId="2F34A666">
            <w:pPr>
              <w:pStyle w:val="108"/>
              <w:spacing w:line="560" w:lineRule="exact"/>
              <w:ind w:firstLine="20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分项名称</w:t>
            </w:r>
          </w:p>
        </w:tc>
        <w:tc>
          <w:tcPr>
            <w:tcW w:w="2552" w:type="dxa"/>
            <w:noWrap w:val="0"/>
            <w:vAlign w:val="center"/>
          </w:tcPr>
          <w:p w14:paraId="683FDF11">
            <w:pPr>
              <w:pStyle w:val="108"/>
              <w:spacing w:line="56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分项价格</w:t>
            </w:r>
          </w:p>
        </w:tc>
      </w:tr>
      <w:tr w14:paraId="2D56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FB2977B">
            <w:pPr>
              <w:pStyle w:val="108"/>
              <w:spacing w:line="56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3402" w:type="dxa"/>
            <w:noWrap w:val="0"/>
            <w:vAlign w:val="center"/>
          </w:tcPr>
          <w:p w14:paraId="7DC7AA40">
            <w:pPr>
              <w:pStyle w:val="108"/>
              <w:spacing w:line="56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2552" w:type="dxa"/>
            <w:noWrap w:val="0"/>
            <w:vAlign w:val="center"/>
          </w:tcPr>
          <w:p w14:paraId="5C300DA6">
            <w:pPr>
              <w:pStyle w:val="108"/>
              <w:spacing w:line="560" w:lineRule="exact"/>
              <w:ind w:firstLine="200"/>
              <w:jc w:val="center"/>
              <w:rPr>
                <w:rFonts w:hint="eastAsia" w:ascii="宋体" w:hAnsi="宋体" w:eastAsia="宋体" w:cs="宋体"/>
                <w:color w:val="auto"/>
                <w:spacing w:val="0"/>
                <w:position w:val="0"/>
                <w:sz w:val="24"/>
                <w:szCs w:val="24"/>
                <w:highlight w:val="none"/>
                <w:lang w:val="en-US" w:eastAsia="zh-CN"/>
              </w:rPr>
            </w:pPr>
          </w:p>
        </w:tc>
      </w:tr>
      <w:tr w14:paraId="6595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9BEFFEB">
            <w:pPr>
              <w:pStyle w:val="108"/>
              <w:spacing w:line="56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3402" w:type="dxa"/>
            <w:noWrap w:val="0"/>
            <w:vAlign w:val="center"/>
          </w:tcPr>
          <w:p w14:paraId="65DD9DE9">
            <w:pPr>
              <w:pStyle w:val="108"/>
              <w:spacing w:line="56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2552" w:type="dxa"/>
            <w:noWrap w:val="0"/>
            <w:vAlign w:val="center"/>
          </w:tcPr>
          <w:p w14:paraId="53543B2D">
            <w:pPr>
              <w:pStyle w:val="108"/>
              <w:spacing w:line="560" w:lineRule="exact"/>
              <w:ind w:firstLine="200"/>
              <w:jc w:val="center"/>
              <w:rPr>
                <w:rFonts w:hint="eastAsia" w:ascii="宋体" w:hAnsi="宋体" w:eastAsia="宋体" w:cs="宋体"/>
                <w:color w:val="auto"/>
                <w:spacing w:val="0"/>
                <w:position w:val="0"/>
                <w:sz w:val="24"/>
                <w:szCs w:val="24"/>
                <w:highlight w:val="none"/>
                <w:lang w:val="en-US" w:eastAsia="zh-CN"/>
              </w:rPr>
            </w:pPr>
          </w:p>
        </w:tc>
      </w:tr>
      <w:tr w14:paraId="5EC4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65DE29">
            <w:pPr>
              <w:pStyle w:val="108"/>
              <w:spacing w:line="56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3402" w:type="dxa"/>
            <w:noWrap w:val="0"/>
            <w:vAlign w:val="center"/>
          </w:tcPr>
          <w:p w14:paraId="76DA5F22">
            <w:pPr>
              <w:pStyle w:val="108"/>
              <w:spacing w:line="56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2552" w:type="dxa"/>
            <w:noWrap w:val="0"/>
            <w:vAlign w:val="center"/>
          </w:tcPr>
          <w:p w14:paraId="6D5E319C">
            <w:pPr>
              <w:pStyle w:val="108"/>
              <w:spacing w:line="560" w:lineRule="exact"/>
              <w:ind w:firstLine="200"/>
              <w:jc w:val="center"/>
              <w:rPr>
                <w:rFonts w:hint="eastAsia" w:ascii="宋体" w:hAnsi="宋体" w:eastAsia="宋体" w:cs="宋体"/>
                <w:color w:val="auto"/>
                <w:spacing w:val="0"/>
                <w:position w:val="0"/>
                <w:sz w:val="24"/>
                <w:szCs w:val="24"/>
                <w:highlight w:val="none"/>
                <w:lang w:val="en-US" w:eastAsia="zh-CN"/>
              </w:rPr>
            </w:pPr>
          </w:p>
        </w:tc>
      </w:tr>
      <w:tr w14:paraId="699E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11630D1">
            <w:pPr>
              <w:pStyle w:val="108"/>
              <w:spacing w:line="56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3402" w:type="dxa"/>
            <w:noWrap w:val="0"/>
            <w:vAlign w:val="center"/>
          </w:tcPr>
          <w:p w14:paraId="5DF72DC7">
            <w:pPr>
              <w:pStyle w:val="108"/>
              <w:spacing w:line="56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2552" w:type="dxa"/>
            <w:noWrap w:val="0"/>
            <w:vAlign w:val="center"/>
          </w:tcPr>
          <w:p w14:paraId="51081AAC">
            <w:pPr>
              <w:pStyle w:val="108"/>
              <w:spacing w:line="560" w:lineRule="exact"/>
              <w:ind w:firstLine="200"/>
              <w:jc w:val="center"/>
              <w:rPr>
                <w:rFonts w:hint="eastAsia" w:ascii="宋体" w:hAnsi="宋体" w:eastAsia="宋体" w:cs="宋体"/>
                <w:color w:val="auto"/>
                <w:spacing w:val="0"/>
                <w:position w:val="0"/>
                <w:sz w:val="24"/>
                <w:szCs w:val="24"/>
                <w:highlight w:val="none"/>
                <w:lang w:val="en-US" w:eastAsia="zh-CN"/>
              </w:rPr>
            </w:pPr>
          </w:p>
        </w:tc>
      </w:tr>
      <w:tr w14:paraId="66AD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8647EC0">
            <w:pPr>
              <w:pStyle w:val="108"/>
              <w:spacing w:line="560" w:lineRule="exact"/>
              <w:ind w:firstLine="20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总价</w:t>
            </w:r>
          </w:p>
        </w:tc>
        <w:tc>
          <w:tcPr>
            <w:tcW w:w="2552" w:type="dxa"/>
            <w:noWrap w:val="0"/>
            <w:vAlign w:val="center"/>
          </w:tcPr>
          <w:p w14:paraId="6CE4D76D">
            <w:pPr>
              <w:pStyle w:val="108"/>
              <w:spacing w:line="560" w:lineRule="exact"/>
              <w:ind w:firstLine="200"/>
              <w:jc w:val="center"/>
              <w:rPr>
                <w:rFonts w:hint="eastAsia" w:ascii="宋体" w:hAnsi="宋体" w:eastAsia="宋体" w:cs="宋体"/>
                <w:color w:val="auto"/>
                <w:spacing w:val="0"/>
                <w:position w:val="0"/>
                <w:sz w:val="24"/>
                <w:szCs w:val="24"/>
                <w:highlight w:val="none"/>
                <w:lang w:val="en-US" w:eastAsia="zh-CN"/>
              </w:rPr>
            </w:pPr>
          </w:p>
        </w:tc>
      </w:tr>
    </w:tbl>
    <w:p w14:paraId="16F55C9A">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89" w:name="_Toc3654"/>
      <w:bookmarkStart w:id="90" w:name="_Toc30506"/>
      <w:bookmarkStart w:id="91" w:name="_Toc26916"/>
      <w:bookmarkStart w:id="92" w:name="_Toc30158"/>
      <w:bookmarkStart w:id="93" w:name="_Toc14993"/>
      <w:r>
        <w:rPr>
          <w:rFonts w:hint="eastAsia" w:ascii="宋体" w:hAnsi="宋体" w:eastAsia="宋体" w:cs="宋体"/>
          <w:b/>
          <w:color w:val="auto"/>
          <w:spacing w:val="0"/>
          <w:position w:val="0"/>
          <w:sz w:val="24"/>
          <w:highlight w:val="none"/>
        </w:rPr>
        <w:t>1.4 付款方式和发票开具方式</w:t>
      </w:r>
      <w:bookmarkEnd w:id="89"/>
      <w:bookmarkEnd w:id="90"/>
      <w:bookmarkEnd w:id="91"/>
      <w:bookmarkEnd w:id="92"/>
      <w:bookmarkEnd w:id="93"/>
    </w:p>
    <w:p w14:paraId="7F70490B">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1.4.1付款方式：</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1567BADE">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1.4.2 发票开具方式：</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0AFC1DC6">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94" w:name="_Toc11108"/>
      <w:bookmarkStart w:id="95" w:name="_Toc31421"/>
      <w:bookmarkStart w:id="96" w:name="_Toc4760"/>
      <w:bookmarkStart w:id="97" w:name="_Toc3625"/>
      <w:bookmarkStart w:id="98" w:name="_Toc8772"/>
      <w:r>
        <w:rPr>
          <w:rFonts w:hint="eastAsia" w:ascii="宋体" w:hAnsi="宋体" w:eastAsia="宋体" w:cs="宋体"/>
          <w:b/>
          <w:color w:val="auto"/>
          <w:spacing w:val="0"/>
          <w:position w:val="0"/>
          <w:sz w:val="24"/>
          <w:highlight w:val="none"/>
        </w:rPr>
        <w:t>1.5 履行期限、地点和方式</w:t>
      </w:r>
      <w:bookmarkEnd w:id="94"/>
      <w:bookmarkEnd w:id="95"/>
      <w:bookmarkEnd w:id="96"/>
      <w:bookmarkEnd w:id="97"/>
      <w:bookmarkEnd w:id="98"/>
    </w:p>
    <w:p w14:paraId="46362489">
      <w:pPr>
        <w:spacing w:line="560" w:lineRule="exact"/>
        <w:ind w:firstLine="480" w:firstLineChars="20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1.5.1 履行期限：</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3D2F419A">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1.5.2 履行地点：</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01424A08">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1.5.3 履行方式：</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08AB1631">
      <w:pPr>
        <w:spacing w:line="560" w:lineRule="exact"/>
        <w:ind w:firstLine="482" w:firstLineChars="200"/>
        <w:outlineLvl w:val="0"/>
        <w:rPr>
          <w:rFonts w:hint="eastAsia" w:ascii="宋体" w:hAnsi="宋体" w:eastAsia="宋体" w:cs="宋体"/>
          <w:color w:val="auto"/>
          <w:spacing w:val="0"/>
          <w:position w:val="0"/>
          <w:sz w:val="24"/>
          <w:highlight w:val="none"/>
          <w:u w:val="single"/>
        </w:rPr>
      </w:pPr>
      <w:bookmarkStart w:id="99" w:name="_Toc24662"/>
      <w:bookmarkStart w:id="100" w:name="_Toc3079"/>
      <w:bookmarkStart w:id="101" w:name="_Toc5698"/>
      <w:bookmarkStart w:id="102" w:name="_Toc2375"/>
      <w:bookmarkStart w:id="103" w:name="_Toc8586"/>
      <w:r>
        <w:rPr>
          <w:rFonts w:hint="eastAsia" w:ascii="宋体" w:hAnsi="宋体" w:eastAsia="宋体" w:cs="宋体"/>
          <w:b/>
          <w:color w:val="auto"/>
          <w:spacing w:val="0"/>
          <w:position w:val="0"/>
          <w:sz w:val="24"/>
          <w:highlight w:val="none"/>
        </w:rPr>
        <w:t>1.6 违约责任</w:t>
      </w:r>
      <w:bookmarkEnd w:id="99"/>
      <w:bookmarkEnd w:id="100"/>
      <w:bookmarkEnd w:id="101"/>
      <w:bookmarkEnd w:id="102"/>
      <w:bookmarkEnd w:id="103"/>
    </w:p>
    <w:p w14:paraId="3BD4CFEC">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%计算，最高限额为本合同总价的</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%；迟延履行的违约金计算数额达到前述最高限额之日起，甲方有权在要求乙方支付违约金的同时，书面通知乙方解除本合同；</w:t>
      </w:r>
    </w:p>
    <w:p w14:paraId="65EF0B65">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%计算，最高限额为本合同总价的</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%；迟延付款的违约金计算数额达到前述最高限额之日起，乙方有权在要求甲方支付违约金的同时，书面通知甲方解除本合同；</w:t>
      </w:r>
    </w:p>
    <w:p w14:paraId="66246E7A">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37FE1FF">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5014C76">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8484ECB">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519164D5">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104" w:name="_Toc18683"/>
      <w:bookmarkStart w:id="105" w:name="_Toc9497"/>
      <w:bookmarkStart w:id="106" w:name="_Toc30329"/>
      <w:bookmarkStart w:id="107" w:name="_Toc32454"/>
      <w:bookmarkStart w:id="108" w:name="_Toc26807"/>
      <w:r>
        <w:rPr>
          <w:rFonts w:hint="eastAsia" w:ascii="宋体" w:hAnsi="宋体" w:eastAsia="宋体" w:cs="宋体"/>
          <w:b/>
          <w:color w:val="auto"/>
          <w:spacing w:val="0"/>
          <w:position w:val="0"/>
          <w:sz w:val="24"/>
          <w:highlight w:val="none"/>
        </w:rPr>
        <w:t>1.7 合同争议的解决</w:t>
      </w:r>
      <w:bookmarkEnd w:id="104"/>
      <w:bookmarkEnd w:id="105"/>
      <w:bookmarkEnd w:id="106"/>
      <w:bookmarkEnd w:id="107"/>
      <w:bookmarkEnd w:id="108"/>
    </w:p>
    <w:p w14:paraId="023292C1">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种方式解决：</w:t>
      </w:r>
    </w:p>
    <w:p w14:paraId="172C5F3E">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1.7.1 将争议提交</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仲裁委员会依申请仲裁时其现行有效的仲裁规则裁决；</w:t>
      </w:r>
    </w:p>
    <w:p w14:paraId="165DE689">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1.7.2 向</w:t>
      </w:r>
      <w:r>
        <w:rPr>
          <w:rFonts w:hint="eastAsia" w:ascii="宋体" w:hAnsi="宋体" w:eastAsia="宋体" w:cs="宋体"/>
          <w:color w:val="auto"/>
          <w:spacing w:val="0"/>
          <w:position w:val="0"/>
          <w:sz w:val="24"/>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pacing w:val="0"/>
          <w:position w:val="0"/>
          <w:sz w:val="24"/>
          <w:highlight w:val="none"/>
        </w:rPr>
        <w:t>人民法院起诉。</w:t>
      </w:r>
    </w:p>
    <w:p w14:paraId="0D9931A7">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109" w:name="_Toc15827"/>
      <w:bookmarkStart w:id="110" w:name="_Toc26227"/>
      <w:bookmarkStart w:id="111" w:name="_Toc16417"/>
      <w:bookmarkStart w:id="112" w:name="_Toc12273"/>
      <w:bookmarkStart w:id="113" w:name="_Toc23784"/>
      <w:r>
        <w:rPr>
          <w:rFonts w:hint="eastAsia" w:ascii="宋体" w:hAnsi="宋体" w:eastAsia="宋体" w:cs="宋体"/>
          <w:b/>
          <w:color w:val="auto"/>
          <w:spacing w:val="0"/>
          <w:position w:val="0"/>
          <w:sz w:val="24"/>
          <w:highlight w:val="none"/>
        </w:rPr>
        <w:t>1.8 合同生效</w:t>
      </w:r>
      <w:bookmarkEnd w:id="109"/>
      <w:bookmarkEnd w:id="110"/>
      <w:bookmarkEnd w:id="111"/>
      <w:bookmarkEnd w:id="112"/>
      <w:bookmarkEnd w:id="113"/>
    </w:p>
    <w:p w14:paraId="7A6F5E6D">
      <w:pPr>
        <w:spacing w:line="560" w:lineRule="exact"/>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本合同自双方当事人盖章或者签字时生效。</w:t>
      </w:r>
    </w:p>
    <w:p w14:paraId="35EF09B0">
      <w:pPr>
        <w:autoSpaceDE w:val="0"/>
        <w:autoSpaceDN w:val="0"/>
        <w:adjustRightInd w:val="0"/>
        <w:spacing w:line="560" w:lineRule="exact"/>
        <w:rPr>
          <w:rFonts w:hint="eastAsia" w:ascii="宋体" w:hAnsi="宋体" w:eastAsia="宋体" w:cs="宋体"/>
          <w:color w:val="auto"/>
          <w:spacing w:val="0"/>
          <w:position w:val="0"/>
          <w:sz w:val="24"/>
          <w:highlight w:val="none"/>
          <w:lang w:val="zh-CN"/>
        </w:rPr>
      </w:pPr>
    </w:p>
    <w:p w14:paraId="1D0A56A0">
      <w:pPr>
        <w:autoSpaceDE w:val="0"/>
        <w:autoSpaceDN w:val="0"/>
        <w:adjustRightInd w:val="0"/>
        <w:spacing w:line="560" w:lineRule="exact"/>
        <w:rPr>
          <w:rFonts w:hint="eastAsia" w:ascii="宋体" w:hAnsi="宋体" w:eastAsia="宋体" w:cs="宋体"/>
          <w:color w:val="auto"/>
          <w:spacing w:val="0"/>
          <w:position w:val="0"/>
          <w:sz w:val="24"/>
          <w:highlight w:val="none"/>
          <w:lang w:val="zh-CN"/>
        </w:rPr>
      </w:pPr>
      <w:r>
        <w:rPr>
          <w:rFonts w:hint="eastAsia" w:ascii="宋体" w:hAnsi="宋体" w:eastAsia="宋体" w:cs="宋体"/>
          <w:b/>
          <w:color w:val="auto"/>
          <w:spacing w:val="0"/>
          <w:position w:val="0"/>
          <w:sz w:val="24"/>
          <w:highlight w:val="none"/>
          <w:lang w:val="zh-CN"/>
        </w:rPr>
        <w:t>甲方</w:t>
      </w:r>
      <w:r>
        <w:rPr>
          <w:rFonts w:hint="eastAsia" w:ascii="宋体" w:hAnsi="宋体" w:eastAsia="宋体" w:cs="宋体"/>
          <w:color w:val="auto"/>
          <w:spacing w:val="0"/>
          <w:position w:val="0"/>
          <w:sz w:val="24"/>
          <w:highlight w:val="none"/>
          <w:lang w:val="zh-CN"/>
        </w:rPr>
        <w:t xml:space="preserve">：                             </w:t>
      </w:r>
      <w:r>
        <w:rPr>
          <w:rFonts w:hint="eastAsia" w:ascii="宋体" w:hAnsi="宋体" w:eastAsia="宋体" w:cs="宋体"/>
          <w:b/>
          <w:color w:val="auto"/>
          <w:spacing w:val="0"/>
          <w:position w:val="0"/>
          <w:sz w:val="24"/>
          <w:highlight w:val="none"/>
          <w:lang w:val="zh-CN"/>
        </w:rPr>
        <w:t xml:space="preserve">      乙方</w:t>
      </w:r>
      <w:r>
        <w:rPr>
          <w:rFonts w:hint="eastAsia" w:ascii="宋体" w:hAnsi="宋体" w:eastAsia="宋体" w:cs="宋体"/>
          <w:color w:val="auto"/>
          <w:spacing w:val="0"/>
          <w:position w:val="0"/>
          <w:sz w:val="24"/>
          <w:highlight w:val="none"/>
          <w:lang w:val="zh-CN"/>
        </w:rPr>
        <w:t>：</w:t>
      </w:r>
    </w:p>
    <w:p w14:paraId="6F1C9BAA">
      <w:pPr>
        <w:autoSpaceDE w:val="0"/>
        <w:autoSpaceDN w:val="0"/>
        <w:adjustRightInd w:val="0"/>
        <w:spacing w:line="560" w:lineRule="exact"/>
        <w:rPr>
          <w:rFonts w:hint="eastAsia" w:ascii="宋体" w:hAnsi="宋体" w:eastAsia="宋体" w:cs="宋体"/>
          <w:color w:val="auto"/>
          <w:spacing w:val="0"/>
          <w:position w:val="0"/>
          <w:sz w:val="24"/>
          <w:highlight w:val="none"/>
          <w:lang w:val="zh-CN"/>
        </w:rPr>
      </w:pPr>
      <w:r>
        <w:rPr>
          <w:rFonts w:hint="eastAsia" w:ascii="宋体" w:hAnsi="宋体" w:eastAsia="宋体" w:cs="宋体"/>
          <w:color w:val="auto"/>
          <w:spacing w:val="0"/>
          <w:position w:val="0"/>
          <w:sz w:val="24"/>
          <w:highlight w:val="none"/>
          <w:lang w:val="zh-CN"/>
        </w:rPr>
        <w:t>统一社会信用代码：                        统一社会信用代码或身份证号码：</w:t>
      </w:r>
    </w:p>
    <w:p w14:paraId="14D488A3">
      <w:pPr>
        <w:autoSpaceDE w:val="0"/>
        <w:autoSpaceDN w:val="0"/>
        <w:adjustRightInd w:val="0"/>
        <w:spacing w:line="560" w:lineRule="exact"/>
        <w:rPr>
          <w:rFonts w:hint="eastAsia" w:ascii="宋体" w:hAnsi="宋体" w:eastAsia="宋体" w:cs="宋体"/>
          <w:color w:val="auto"/>
          <w:spacing w:val="0"/>
          <w:position w:val="0"/>
          <w:sz w:val="24"/>
          <w:highlight w:val="none"/>
          <w:lang w:val="zh-CN"/>
        </w:rPr>
      </w:pPr>
    </w:p>
    <w:p w14:paraId="2385388E">
      <w:pPr>
        <w:autoSpaceDE w:val="0"/>
        <w:autoSpaceDN w:val="0"/>
        <w:adjustRightInd w:val="0"/>
        <w:spacing w:line="560" w:lineRule="exact"/>
        <w:rPr>
          <w:rFonts w:hint="eastAsia" w:ascii="宋体" w:hAnsi="宋体" w:eastAsia="宋体" w:cs="宋体"/>
          <w:color w:val="auto"/>
          <w:spacing w:val="0"/>
          <w:position w:val="0"/>
          <w:sz w:val="24"/>
          <w:highlight w:val="none"/>
          <w:lang w:val="zh-CN"/>
        </w:rPr>
      </w:pPr>
      <w:r>
        <w:rPr>
          <w:rFonts w:hint="eastAsia" w:ascii="宋体" w:hAnsi="宋体" w:eastAsia="宋体" w:cs="宋体"/>
          <w:color w:val="auto"/>
          <w:spacing w:val="0"/>
          <w:position w:val="0"/>
          <w:sz w:val="24"/>
          <w:highlight w:val="none"/>
          <w:lang w:val="zh-CN"/>
        </w:rPr>
        <w:t>住所：                                   住所：</w:t>
      </w:r>
    </w:p>
    <w:p w14:paraId="186A2095">
      <w:pPr>
        <w:autoSpaceDE w:val="0"/>
        <w:autoSpaceDN w:val="0"/>
        <w:adjustRightInd w:val="0"/>
        <w:spacing w:line="560" w:lineRule="exact"/>
        <w:rPr>
          <w:rFonts w:hint="eastAsia" w:ascii="宋体" w:hAnsi="宋体" w:eastAsia="宋体" w:cs="宋体"/>
          <w:color w:val="auto"/>
          <w:spacing w:val="0"/>
          <w:position w:val="0"/>
          <w:sz w:val="24"/>
          <w:highlight w:val="none"/>
          <w:lang w:val="zh-CN"/>
        </w:rPr>
      </w:pPr>
      <w:r>
        <w:rPr>
          <w:rFonts w:hint="eastAsia" w:ascii="宋体" w:hAnsi="宋体" w:eastAsia="宋体" w:cs="宋体"/>
          <w:color w:val="auto"/>
          <w:spacing w:val="0"/>
          <w:position w:val="0"/>
          <w:sz w:val="24"/>
          <w:highlight w:val="none"/>
          <w:lang w:val="zh-CN"/>
        </w:rPr>
        <w:t>法定代表人或                             法定代表人</w:t>
      </w:r>
    </w:p>
    <w:p w14:paraId="50656B5B">
      <w:pPr>
        <w:autoSpaceDE w:val="0"/>
        <w:autoSpaceDN w:val="0"/>
        <w:adjustRightInd w:val="0"/>
        <w:spacing w:line="560" w:lineRule="exact"/>
        <w:rPr>
          <w:rFonts w:hint="eastAsia" w:ascii="宋体" w:hAnsi="宋体" w:eastAsia="宋体" w:cs="宋体"/>
          <w:color w:val="auto"/>
          <w:spacing w:val="0"/>
          <w:position w:val="0"/>
          <w:sz w:val="24"/>
          <w:highlight w:val="none"/>
          <w:lang w:val="zh-CN"/>
        </w:rPr>
      </w:pPr>
      <w:r>
        <w:rPr>
          <w:rFonts w:hint="eastAsia" w:ascii="宋体" w:hAnsi="宋体" w:eastAsia="宋体" w:cs="宋体"/>
          <w:color w:val="auto"/>
          <w:spacing w:val="0"/>
          <w:position w:val="0"/>
          <w:sz w:val="24"/>
          <w:highlight w:val="none"/>
          <w:lang w:val="zh-CN"/>
        </w:rPr>
        <w:t xml:space="preserve">授权代表（签字）：                        或授权代表（签字）: </w:t>
      </w:r>
    </w:p>
    <w:p w14:paraId="00C0232B">
      <w:pPr>
        <w:autoSpaceDE w:val="0"/>
        <w:autoSpaceDN w:val="0"/>
        <w:adjustRightInd w:val="0"/>
        <w:spacing w:line="560" w:lineRule="exact"/>
        <w:rPr>
          <w:rFonts w:hint="eastAsia" w:ascii="宋体" w:hAnsi="宋体" w:eastAsia="宋体" w:cs="宋体"/>
          <w:color w:val="auto"/>
          <w:spacing w:val="0"/>
          <w:position w:val="0"/>
          <w:sz w:val="24"/>
          <w:highlight w:val="none"/>
          <w:lang w:val="zh-CN"/>
        </w:rPr>
      </w:pPr>
      <w:r>
        <w:rPr>
          <w:rFonts w:hint="eastAsia" w:ascii="宋体" w:hAnsi="宋体" w:eastAsia="宋体" w:cs="宋体"/>
          <w:color w:val="auto"/>
          <w:spacing w:val="0"/>
          <w:position w:val="0"/>
          <w:sz w:val="24"/>
          <w:highlight w:val="none"/>
          <w:lang w:val="zh-CN"/>
        </w:rPr>
        <w:t>联系人：                                 联系人：</w:t>
      </w:r>
    </w:p>
    <w:p w14:paraId="6591EB0C">
      <w:pPr>
        <w:autoSpaceDE w:val="0"/>
        <w:autoSpaceDN w:val="0"/>
        <w:adjustRightInd w:val="0"/>
        <w:spacing w:line="560" w:lineRule="exact"/>
        <w:rPr>
          <w:rFonts w:hint="eastAsia" w:ascii="宋体" w:hAnsi="宋体" w:eastAsia="宋体" w:cs="宋体"/>
          <w:color w:val="auto"/>
          <w:spacing w:val="0"/>
          <w:position w:val="0"/>
          <w:sz w:val="24"/>
          <w:highlight w:val="none"/>
          <w:lang w:val="zh-CN"/>
        </w:rPr>
      </w:pPr>
      <w:r>
        <w:rPr>
          <w:rFonts w:hint="eastAsia" w:ascii="宋体" w:hAnsi="宋体" w:eastAsia="宋体" w:cs="宋体"/>
          <w:color w:val="auto"/>
          <w:spacing w:val="0"/>
          <w:position w:val="0"/>
          <w:sz w:val="24"/>
          <w:highlight w:val="none"/>
          <w:lang w:val="zh-CN"/>
        </w:rPr>
        <w:t>约定送达地址：                           约定送达地址：</w:t>
      </w:r>
    </w:p>
    <w:p w14:paraId="792A9D89">
      <w:pPr>
        <w:autoSpaceDE w:val="0"/>
        <w:autoSpaceDN w:val="0"/>
        <w:adjustRightInd w:val="0"/>
        <w:spacing w:line="560" w:lineRule="exact"/>
        <w:rPr>
          <w:rFonts w:hint="eastAsia" w:ascii="宋体" w:hAnsi="宋体" w:eastAsia="宋体" w:cs="宋体"/>
          <w:color w:val="auto"/>
          <w:spacing w:val="0"/>
          <w:position w:val="0"/>
          <w:sz w:val="24"/>
          <w:highlight w:val="none"/>
          <w:lang w:val="zh-CN"/>
        </w:rPr>
      </w:pPr>
      <w:r>
        <w:rPr>
          <w:rFonts w:hint="eastAsia" w:ascii="宋体" w:hAnsi="宋体" w:eastAsia="宋体" w:cs="宋体"/>
          <w:color w:val="auto"/>
          <w:spacing w:val="0"/>
          <w:position w:val="0"/>
          <w:sz w:val="24"/>
          <w:highlight w:val="none"/>
          <w:lang w:val="zh-CN"/>
        </w:rPr>
        <w:t>邮政编码：                               邮政编码：</w:t>
      </w:r>
    </w:p>
    <w:p w14:paraId="30B12125">
      <w:pPr>
        <w:autoSpaceDE w:val="0"/>
        <w:autoSpaceDN w:val="0"/>
        <w:adjustRightInd w:val="0"/>
        <w:spacing w:line="560" w:lineRule="exact"/>
        <w:rPr>
          <w:rFonts w:hint="eastAsia" w:ascii="宋体" w:hAnsi="宋体" w:eastAsia="宋体" w:cs="宋体"/>
          <w:color w:val="auto"/>
          <w:spacing w:val="0"/>
          <w:position w:val="0"/>
          <w:sz w:val="24"/>
          <w:highlight w:val="none"/>
          <w:lang w:val="zh-CN"/>
        </w:rPr>
      </w:pPr>
      <w:r>
        <w:rPr>
          <w:rFonts w:hint="eastAsia" w:ascii="宋体" w:hAnsi="宋体" w:eastAsia="宋体" w:cs="宋体"/>
          <w:color w:val="auto"/>
          <w:spacing w:val="0"/>
          <w:position w:val="0"/>
          <w:sz w:val="24"/>
          <w:highlight w:val="none"/>
          <w:lang w:val="zh-CN"/>
        </w:rPr>
        <w:t xml:space="preserve">电话:                                    电话: </w:t>
      </w:r>
    </w:p>
    <w:p w14:paraId="17535B4C">
      <w:pPr>
        <w:autoSpaceDE w:val="0"/>
        <w:autoSpaceDN w:val="0"/>
        <w:adjustRightInd w:val="0"/>
        <w:spacing w:line="560" w:lineRule="exact"/>
        <w:rPr>
          <w:rFonts w:hint="eastAsia" w:ascii="宋体" w:hAnsi="宋体" w:eastAsia="宋体" w:cs="宋体"/>
          <w:color w:val="auto"/>
          <w:spacing w:val="0"/>
          <w:position w:val="0"/>
          <w:sz w:val="24"/>
          <w:highlight w:val="none"/>
          <w:lang w:val="zh-CN"/>
        </w:rPr>
      </w:pPr>
      <w:r>
        <w:rPr>
          <w:rFonts w:hint="eastAsia" w:ascii="宋体" w:hAnsi="宋体" w:eastAsia="宋体" w:cs="宋体"/>
          <w:color w:val="auto"/>
          <w:spacing w:val="0"/>
          <w:position w:val="0"/>
          <w:sz w:val="24"/>
          <w:highlight w:val="none"/>
          <w:lang w:val="zh-CN"/>
        </w:rPr>
        <w:t>传真:                                    传真:</w:t>
      </w:r>
    </w:p>
    <w:p w14:paraId="72FE6A2F">
      <w:pPr>
        <w:autoSpaceDE w:val="0"/>
        <w:autoSpaceDN w:val="0"/>
        <w:adjustRightInd w:val="0"/>
        <w:spacing w:line="560" w:lineRule="exac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val="zh-CN"/>
        </w:rPr>
        <w:t>电子邮箱：                               电子邮箱：</w:t>
      </w:r>
    </w:p>
    <w:p w14:paraId="2B8B3D67">
      <w:pPr>
        <w:autoSpaceDE w:val="0"/>
        <w:autoSpaceDN w:val="0"/>
        <w:adjustRightInd w:val="0"/>
        <w:spacing w:line="560" w:lineRule="exac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开户银行：                               开户银行： </w:t>
      </w:r>
    </w:p>
    <w:p w14:paraId="0D531862">
      <w:pPr>
        <w:autoSpaceDE w:val="0"/>
        <w:autoSpaceDN w:val="0"/>
        <w:adjustRightInd w:val="0"/>
        <w:spacing w:line="560" w:lineRule="exac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开户名称：                               开户名称： </w:t>
      </w:r>
    </w:p>
    <w:p w14:paraId="04AFDDB7">
      <w:pPr>
        <w:autoSpaceDE w:val="0"/>
        <w:autoSpaceDN w:val="0"/>
        <w:adjustRightInd w:val="0"/>
        <w:spacing w:line="560" w:lineRule="exac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开户账号：</w:t>
      </w:r>
      <w:r>
        <w:rPr>
          <w:rFonts w:hint="eastAsia" w:ascii="宋体" w:hAnsi="宋体" w:eastAsia="宋体" w:cs="宋体"/>
          <w:color w:val="auto"/>
          <w:spacing w:val="0"/>
          <w:position w:val="0"/>
          <w:sz w:val="24"/>
          <w:highlight w:val="none"/>
          <w:lang w:val="zh-CN"/>
        </w:rPr>
        <w:t xml:space="preserve">                               </w:t>
      </w:r>
      <w:r>
        <w:rPr>
          <w:rFonts w:hint="eastAsia" w:ascii="宋体" w:hAnsi="宋体" w:eastAsia="宋体" w:cs="宋体"/>
          <w:color w:val="auto"/>
          <w:spacing w:val="0"/>
          <w:position w:val="0"/>
          <w:sz w:val="24"/>
          <w:highlight w:val="none"/>
        </w:rPr>
        <w:t>开户账号：</w:t>
      </w:r>
    </w:p>
    <w:p w14:paraId="281F611C">
      <w:pPr>
        <w:pStyle w:val="37"/>
        <w:ind w:left="0" w:leftChars="0" w:firstLine="0" w:firstLineChars="0"/>
        <w:rPr>
          <w:rFonts w:hint="eastAsia" w:ascii="宋体" w:hAnsi="宋体" w:eastAsia="宋体" w:cs="宋体"/>
          <w:b/>
          <w:color w:val="auto"/>
          <w:spacing w:val="0"/>
          <w:kern w:val="0"/>
          <w:position w:val="0"/>
          <w:sz w:val="24"/>
          <w:highlight w:val="none"/>
        </w:rPr>
      </w:pPr>
      <w:bookmarkStart w:id="114" w:name="_Toc331685783"/>
    </w:p>
    <w:p w14:paraId="36B220D2">
      <w:pPr>
        <w:pStyle w:val="37"/>
        <w:ind w:left="0" w:leftChars="0" w:firstLine="0" w:firstLineChars="0"/>
        <w:rPr>
          <w:rFonts w:hint="eastAsia" w:ascii="宋体" w:hAnsi="宋体" w:eastAsia="宋体" w:cs="宋体"/>
          <w:b/>
          <w:color w:val="auto"/>
          <w:spacing w:val="0"/>
          <w:kern w:val="0"/>
          <w:position w:val="0"/>
          <w:sz w:val="24"/>
          <w:highlight w:val="none"/>
        </w:rPr>
      </w:pPr>
    </w:p>
    <w:p w14:paraId="369DE388">
      <w:pPr>
        <w:pStyle w:val="17"/>
        <w:rPr>
          <w:rFonts w:hint="eastAsia" w:ascii="宋体" w:hAnsi="宋体" w:eastAsia="宋体" w:cs="宋体"/>
          <w:color w:val="auto"/>
          <w:spacing w:val="0"/>
          <w:position w:val="0"/>
          <w:highlight w:val="none"/>
        </w:rPr>
      </w:pPr>
    </w:p>
    <w:p w14:paraId="6F5C9493">
      <w:pPr>
        <w:pStyle w:val="106"/>
        <w:spacing w:line="560" w:lineRule="exact"/>
        <w:ind w:firstLine="200"/>
        <w:jc w:val="center"/>
        <w:rPr>
          <w:rFonts w:hint="eastAsia" w:ascii="宋体" w:hAnsi="宋体" w:eastAsia="宋体" w:cs="宋体"/>
          <w:b/>
          <w:color w:val="auto"/>
          <w:spacing w:val="0"/>
          <w:position w:val="0"/>
          <w:szCs w:val="24"/>
          <w:highlight w:val="none"/>
        </w:rPr>
      </w:pPr>
      <w:r>
        <w:rPr>
          <w:rFonts w:hint="eastAsia" w:ascii="宋体" w:hAnsi="宋体" w:eastAsia="宋体" w:cs="宋体"/>
          <w:b/>
          <w:color w:val="auto"/>
          <w:spacing w:val="0"/>
          <w:position w:val="0"/>
          <w:szCs w:val="24"/>
          <w:highlight w:val="none"/>
        </w:rPr>
        <w:t>第二部分 合同一般条款</w:t>
      </w:r>
      <w:bookmarkEnd w:id="114"/>
    </w:p>
    <w:p w14:paraId="40875BF6">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115" w:name="_Ref467379094"/>
      <w:bookmarkStart w:id="116" w:name="_Toc5228"/>
      <w:bookmarkStart w:id="117" w:name="_Ref467379109"/>
      <w:bookmarkStart w:id="118" w:name="_Ref467379225"/>
      <w:bookmarkStart w:id="119" w:name="_Ref467378463"/>
      <w:bookmarkStart w:id="120" w:name="_Toc31297"/>
      <w:bookmarkStart w:id="121" w:name="_Toc487900349"/>
      <w:bookmarkStart w:id="122" w:name="_Ref467378404"/>
      <w:bookmarkStart w:id="123" w:name="_Toc259093669"/>
      <w:bookmarkStart w:id="124" w:name="_Toc25079"/>
      <w:bookmarkStart w:id="125" w:name="_Toc14021"/>
      <w:bookmarkStart w:id="126" w:name="_Toc279701240"/>
      <w:bookmarkStart w:id="127" w:name="_Ref467379205"/>
      <w:bookmarkStart w:id="128" w:name="_Ref467378499"/>
      <w:bookmarkStart w:id="129" w:name="_Toc19680"/>
      <w:bookmarkStart w:id="130" w:name="_Ref467379195"/>
      <w:bookmarkStart w:id="131" w:name="_Ref467379214"/>
      <w:bookmarkStart w:id="132" w:name="_Ref467379101"/>
      <w:r>
        <w:rPr>
          <w:rFonts w:hint="eastAsia" w:ascii="宋体" w:hAnsi="宋体" w:eastAsia="宋体" w:cs="宋体"/>
          <w:b/>
          <w:color w:val="auto"/>
          <w:spacing w:val="0"/>
          <w:position w:val="0"/>
          <w:sz w:val="24"/>
          <w:highlight w:val="none"/>
        </w:rPr>
        <w:t>2.1 定义</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F491BB4">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本合同中的下列词语应按以下内容进行解释：</w:t>
      </w:r>
    </w:p>
    <w:p w14:paraId="6CC5B4B4">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 “合同”系指采购人和中标供应商签订的载明双方当事人所达成的协议，并包括所有的附件、附录和构成合同的其他文件。</w:t>
      </w:r>
    </w:p>
    <w:p w14:paraId="215C3762">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2.1.2 “合同价”系指根据合同约定，中标供应商在完全履行合同义务后，采购人应支付给中标供应商的价格。</w:t>
      </w:r>
    </w:p>
    <w:p w14:paraId="0F96B122">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2.1.3 “服务”系指中标供应商根据合同约定应向采购人履行的除货物和工程以外的其他政府采购对象，包括采购人自身需要的服务和向社会公众提供的公共服务。</w:t>
      </w:r>
    </w:p>
    <w:p w14:paraId="1087D7F9">
      <w:pPr>
        <w:spacing w:line="560" w:lineRule="exact"/>
        <w:ind w:firstLine="480" w:firstLineChars="200"/>
        <w:rPr>
          <w:rFonts w:hint="eastAsia" w:ascii="宋体" w:hAnsi="宋体" w:eastAsia="宋体" w:cs="宋体"/>
          <w:color w:val="auto"/>
          <w:spacing w:val="0"/>
          <w:position w:val="0"/>
          <w:sz w:val="24"/>
          <w:highlight w:val="none"/>
        </w:rPr>
      </w:pPr>
      <w:bookmarkStart w:id="133" w:name="_Ref467378840"/>
      <w:r>
        <w:rPr>
          <w:rFonts w:hint="eastAsia" w:ascii="宋体" w:hAnsi="宋体" w:eastAsia="宋体" w:cs="宋体"/>
          <w:color w:val="auto"/>
          <w:spacing w:val="0"/>
          <w:position w:val="0"/>
          <w:sz w:val="24"/>
          <w:highlight w:val="none"/>
        </w:rPr>
        <w:t>2.1.4 “甲方”系指与中标供应商签署合同的采购人</w:t>
      </w:r>
      <w:bookmarkEnd w:id="133"/>
      <w:r>
        <w:rPr>
          <w:rFonts w:hint="eastAsia" w:ascii="宋体" w:hAnsi="宋体" w:eastAsia="宋体" w:cs="宋体"/>
          <w:color w:val="auto"/>
          <w:spacing w:val="0"/>
          <w:position w:val="0"/>
          <w:sz w:val="24"/>
          <w:highlight w:val="none"/>
        </w:rPr>
        <w:t>；采购人委托采购代理机构代表其与乙方签订合同的，采购人的授权委托书作为合同附件。</w:t>
      </w:r>
    </w:p>
    <w:p w14:paraId="11F2CD2F">
      <w:pPr>
        <w:spacing w:line="560" w:lineRule="exact"/>
        <w:ind w:firstLine="480" w:firstLineChars="200"/>
        <w:rPr>
          <w:rFonts w:hint="eastAsia" w:ascii="宋体" w:hAnsi="宋体" w:eastAsia="宋体" w:cs="宋体"/>
          <w:color w:val="auto"/>
          <w:spacing w:val="0"/>
          <w:position w:val="0"/>
          <w:sz w:val="24"/>
          <w:highlight w:val="none"/>
        </w:rPr>
      </w:pPr>
      <w:bookmarkStart w:id="134" w:name="_Ref467379400"/>
      <w:r>
        <w:rPr>
          <w:rFonts w:hint="eastAsia" w:ascii="宋体" w:hAnsi="宋体" w:eastAsia="宋体" w:cs="宋体"/>
          <w:color w:val="auto"/>
          <w:spacing w:val="0"/>
          <w:position w:val="0"/>
          <w:sz w:val="24"/>
          <w:highlight w:val="none"/>
        </w:rPr>
        <w:t>2.1.5 “乙方”系指根据合同约定提供服务的中标供应商</w:t>
      </w:r>
      <w:bookmarkEnd w:id="134"/>
      <w:r>
        <w:rPr>
          <w:rFonts w:hint="eastAsia" w:ascii="宋体" w:hAnsi="宋体" w:eastAsia="宋体" w:cs="宋体"/>
          <w:color w:val="auto"/>
          <w:spacing w:val="0"/>
          <w:position w:val="0"/>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62EA4B6">
      <w:pPr>
        <w:spacing w:line="560" w:lineRule="exact"/>
        <w:ind w:firstLine="480" w:firstLineChars="200"/>
        <w:rPr>
          <w:rFonts w:hint="eastAsia" w:ascii="宋体" w:hAnsi="宋体" w:eastAsia="宋体" w:cs="宋体"/>
          <w:color w:val="auto"/>
          <w:spacing w:val="0"/>
          <w:position w:val="0"/>
          <w:sz w:val="24"/>
          <w:highlight w:val="none"/>
        </w:rPr>
      </w:pPr>
      <w:bookmarkStart w:id="135" w:name="_Ref467379436"/>
      <w:r>
        <w:rPr>
          <w:rFonts w:hint="eastAsia" w:ascii="宋体" w:hAnsi="宋体" w:eastAsia="宋体" w:cs="宋体"/>
          <w:color w:val="auto"/>
          <w:spacing w:val="0"/>
          <w:position w:val="0"/>
          <w:sz w:val="24"/>
          <w:highlight w:val="none"/>
        </w:rPr>
        <w:t>2.1.6 “现场”系指合同约定提供服务的地点。</w:t>
      </w:r>
      <w:bookmarkEnd w:id="135"/>
    </w:p>
    <w:p w14:paraId="392ACB40">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136" w:name="_Toc19539"/>
      <w:bookmarkStart w:id="137" w:name="_Toc16752"/>
      <w:bookmarkStart w:id="138" w:name="_Toc259093670"/>
      <w:bookmarkStart w:id="139" w:name="_Toc487900350"/>
      <w:bookmarkStart w:id="140" w:name="_Toc23289"/>
      <w:bookmarkStart w:id="141" w:name="_Toc31402"/>
      <w:bookmarkStart w:id="142" w:name="_Toc279701241"/>
      <w:bookmarkStart w:id="143" w:name="_Toc3769"/>
      <w:r>
        <w:rPr>
          <w:rFonts w:hint="eastAsia" w:ascii="宋体" w:hAnsi="宋体" w:eastAsia="宋体" w:cs="宋体"/>
          <w:b/>
          <w:color w:val="auto"/>
          <w:spacing w:val="0"/>
          <w:position w:val="0"/>
          <w:sz w:val="24"/>
          <w:highlight w:val="none"/>
        </w:rPr>
        <w:t>2.2 技术规范</w:t>
      </w:r>
      <w:bookmarkEnd w:id="136"/>
      <w:bookmarkEnd w:id="137"/>
      <w:bookmarkEnd w:id="138"/>
      <w:bookmarkEnd w:id="139"/>
      <w:bookmarkEnd w:id="140"/>
      <w:bookmarkEnd w:id="141"/>
      <w:bookmarkEnd w:id="142"/>
      <w:bookmarkEnd w:id="143"/>
    </w:p>
    <w:p w14:paraId="62A47B8A">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85B8CFE">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144" w:name="_Toc487900351"/>
      <w:bookmarkStart w:id="145" w:name="_Toc259093671"/>
      <w:bookmarkStart w:id="146" w:name="_Toc9161"/>
      <w:bookmarkStart w:id="147" w:name="_Toc27945"/>
      <w:bookmarkStart w:id="148" w:name="_Toc13673"/>
      <w:bookmarkStart w:id="149" w:name="_Toc4133"/>
      <w:bookmarkStart w:id="150" w:name="_Toc279701242"/>
      <w:bookmarkStart w:id="151" w:name="_Toc12412"/>
      <w:r>
        <w:rPr>
          <w:rFonts w:hint="eastAsia" w:ascii="宋体" w:hAnsi="宋体" w:eastAsia="宋体" w:cs="宋体"/>
          <w:b/>
          <w:color w:val="auto"/>
          <w:spacing w:val="0"/>
          <w:position w:val="0"/>
          <w:sz w:val="24"/>
          <w:highlight w:val="none"/>
        </w:rPr>
        <w:t>2.3 知识产权</w:t>
      </w:r>
      <w:bookmarkEnd w:id="144"/>
      <w:bookmarkEnd w:id="145"/>
      <w:bookmarkEnd w:id="146"/>
      <w:bookmarkEnd w:id="147"/>
      <w:bookmarkEnd w:id="148"/>
      <w:bookmarkEnd w:id="149"/>
      <w:bookmarkEnd w:id="150"/>
      <w:bookmarkEnd w:id="151"/>
    </w:p>
    <w:p w14:paraId="2CD1F17D">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9E5DE3C">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2.3.2 合同涉及技术成果的归属和收益的分成办法的，详见</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i w:val="0"/>
          <w:iCs/>
          <w:color w:val="auto"/>
          <w:spacing w:val="0"/>
          <w:position w:val="0"/>
          <w:sz w:val="24"/>
          <w:highlight w:val="none"/>
        </w:rPr>
        <w:t>。</w:t>
      </w:r>
    </w:p>
    <w:p w14:paraId="4FF11606">
      <w:pPr>
        <w:spacing w:line="560" w:lineRule="exact"/>
        <w:ind w:firstLine="482" w:firstLineChars="200"/>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2.4 履约检查和问题反馈</w:t>
      </w:r>
    </w:p>
    <w:p w14:paraId="5E40ACBB">
      <w:pPr>
        <w:spacing w:line="560" w:lineRule="exact"/>
        <w:ind w:firstLine="480" w:firstLineChars="200"/>
        <w:rPr>
          <w:rFonts w:hint="eastAsia" w:ascii="宋体" w:hAnsi="宋体" w:eastAsia="宋体" w:cs="宋体"/>
          <w:color w:val="auto"/>
          <w:spacing w:val="0"/>
          <w:position w:val="0"/>
          <w:sz w:val="24"/>
          <w:highlight w:val="none"/>
        </w:rPr>
      </w:pPr>
      <w:bookmarkStart w:id="152" w:name="_Ref467379657"/>
      <w:r>
        <w:rPr>
          <w:rFonts w:hint="eastAsia" w:ascii="宋体" w:hAnsi="宋体" w:eastAsia="宋体" w:cs="宋体"/>
          <w:color w:val="auto"/>
          <w:spacing w:val="0"/>
          <w:position w:val="0"/>
          <w:sz w:val="24"/>
          <w:highlight w:val="none"/>
        </w:rPr>
        <w:t>2.4.1</w:t>
      </w:r>
      <w:bookmarkEnd w:id="152"/>
      <w:bookmarkStart w:id="153" w:name="_Toc186431854"/>
      <w:bookmarkStart w:id="154" w:name="_Toc487900357"/>
      <w:bookmarkStart w:id="155" w:name="_Ref467379807"/>
      <w:bookmarkStart w:id="156" w:name="_Toc279701247"/>
      <w:bookmarkStart w:id="157" w:name="_Toc259093676"/>
      <w:bookmarkStart w:id="158" w:name="_Ref467379793"/>
      <w:r>
        <w:rPr>
          <w:rFonts w:hint="eastAsia" w:ascii="宋体" w:hAnsi="宋体" w:eastAsia="宋体" w:cs="宋体"/>
          <w:color w:val="auto"/>
          <w:spacing w:val="0"/>
          <w:position w:val="0"/>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55100EE3">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2.4.2 合同履行期间，甲方有权将履行过程中出现的问题反馈给乙方，双方当事人应以书面形式约定需要完善和改进的内容</w:t>
      </w:r>
      <w:bookmarkEnd w:id="153"/>
      <w:bookmarkStart w:id="159" w:name="_Toc186431855"/>
      <w:r>
        <w:rPr>
          <w:rFonts w:hint="eastAsia" w:ascii="宋体" w:hAnsi="宋体" w:eastAsia="宋体" w:cs="宋体"/>
          <w:color w:val="auto"/>
          <w:spacing w:val="0"/>
          <w:position w:val="0"/>
          <w:sz w:val="24"/>
          <w:highlight w:val="none"/>
        </w:rPr>
        <w:t>。</w:t>
      </w:r>
    </w:p>
    <w:bookmarkEnd w:id="159"/>
    <w:p w14:paraId="1E3C6B67">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160" w:name="_Toc26555"/>
      <w:bookmarkStart w:id="161" w:name="_Toc15447"/>
      <w:bookmarkStart w:id="162" w:name="_Toc31233"/>
      <w:bookmarkStart w:id="163" w:name="_Toc22011"/>
      <w:bookmarkStart w:id="164" w:name="_Toc32670"/>
      <w:r>
        <w:rPr>
          <w:rFonts w:hint="eastAsia" w:ascii="宋体" w:hAnsi="宋体" w:eastAsia="宋体" w:cs="宋体"/>
          <w:b/>
          <w:color w:val="auto"/>
          <w:spacing w:val="0"/>
          <w:position w:val="0"/>
          <w:sz w:val="24"/>
          <w:highlight w:val="none"/>
        </w:rPr>
        <w:t>2.5 结算方式和付款条件</w:t>
      </w:r>
      <w:bookmarkEnd w:id="154"/>
      <w:bookmarkEnd w:id="155"/>
      <w:bookmarkEnd w:id="156"/>
      <w:bookmarkEnd w:id="157"/>
      <w:bookmarkEnd w:id="158"/>
      <w:bookmarkEnd w:id="160"/>
      <w:bookmarkEnd w:id="161"/>
      <w:bookmarkEnd w:id="162"/>
      <w:bookmarkEnd w:id="163"/>
      <w:bookmarkEnd w:id="164"/>
    </w:p>
    <w:p w14:paraId="57F43848">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详见</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i w:val="0"/>
          <w:iCs/>
          <w:color w:val="auto"/>
          <w:spacing w:val="0"/>
          <w:position w:val="0"/>
          <w:sz w:val="24"/>
          <w:highlight w:val="none"/>
        </w:rPr>
        <w:t>。</w:t>
      </w:r>
    </w:p>
    <w:p w14:paraId="6F207A6F">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165" w:name="_Ref467379863"/>
      <w:bookmarkStart w:id="166" w:name="_Toc487900358"/>
      <w:bookmarkStart w:id="167" w:name="_Toc259093677"/>
      <w:bookmarkStart w:id="168" w:name="_Ref467379852"/>
      <w:bookmarkStart w:id="169" w:name="_Toc279701248"/>
      <w:bookmarkStart w:id="170" w:name="_Ref467379923"/>
      <w:bookmarkStart w:id="171" w:name="_Toc18990"/>
      <w:bookmarkStart w:id="172" w:name="_Toc13467"/>
      <w:bookmarkStart w:id="173" w:name="_Toc30507"/>
      <w:bookmarkStart w:id="174" w:name="_Toc16163"/>
      <w:bookmarkStart w:id="175" w:name="_Toc13154"/>
      <w:r>
        <w:rPr>
          <w:rFonts w:hint="eastAsia" w:ascii="宋体" w:hAnsi="宋体" w:eastAsia="宋体" w:cs="宋体"/>
          <w:b/>
          <w:color w:val="auto"/>
          <w:spacing w:val="0"/>
          <w:position w:val="0"/>
          <w:sz w:val="24"/>
          <w:highlight w:val="none"/>
        </w:rPr>
        <w:t>2.6 技术资料</w:t>
      </w:r>
      <w:bookmarkEnd w:id="165"/>
      <w:bookmarkEnd w:id="166"/>
      <w:bookmarkEnd w:id="167"/>
      <w:bookmarkEnd w:id="168"/>
      <w:bookmarkEnd w:id="169"/>
      <w:bookmarkEnd w:id="170"/>
      <w:r>
        <w:rPr>
          <w:rFonts w:hint="eastAsia" w:ascii="宋体" w:hAnsi="宋体" w:eastAsia="宋体" w:cs="宋体"/>
          <w:b/>
          <w:color w:val="auto"/>
          <w:spacing w:val="0"/>
          <w:position w:val="0"/>
          <w:sz w:val="24"/>
          <w:highlight w:val="none"/>
        </w:rPr>
        <w:t>和保密义务</w:t>
      </w:r>
      <w:bookmarkEnd w:id="171"/>
      <w:bookmarkEnd w:id="172"/>
      <w:bookmarkEnd w:id="173"/>
      <w:bookmarkEnd w:id="174"/>
      <w:bookmarkEnd w:id="175"/>
    </w:p>
    <w:p w14:paraId="3D5D68E0">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2.6.1 乙方有权依据合同约定和项目需要，向甲方了解有关情况，调阅有关资料等，甲方应予积极配合；</w:t>
      </w:r>
    </w:p>
    <w:p w14:paraId="2AD880E6">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2.6.2 乙方有义务妥善保管和保护由甲方提供的前款信息和资料等；</w:t>
      </w:r>
    </w:p>
    <w:p w14:paraId="4BE72F0E">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7446626">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176" w:name="_Toc19069"/>
      <w:bookmarkStart w:id="177" w:name="_Toc259093681"/>
      <w:bookmarkStart w:id="178" w:name="_Toc279701252"/>
      <w:bookmarkStart w:id="179" w:name="_Toc487900362"/>
      <w:r>
        <w:rPr>
          <w:rFonts w:hint="eastAsia" w:ascii="宋体" w:hAnsi="宋体" w:eastAsia="宋体" w:cs="宋体"/>
          <w:b/>
          <w:color w:val="auto"/>
          <w:spacing w:val="0"/>
          <w:position w:val="0"/>
          <w:sz w:val="24"/>
          <w:highlight w:val="none"/>
        </w:rPr>
        <w:t>2.7 质量保证</w:t>
      </w:r>
      <w:bookmarkEnd w:id="176"/>
    </w:p>
    <w:p w14:paraId="3503A3B1">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2.7.1 乙方应建立和完善履行合同的内部质量保证体系，并提供相关内部规章制度给甲方，以便甲方进行监督检查；</w:t>
      </w:r>
    </w:p>
    <w:p w14:paraId="102D4063">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2.7.2 乙方应保证履行合同的人员数量和素质、软件和硬件设备的配置、场地、环境和设施等满足全面履行合同的要求，并应接受甲方的监督检查。</w:t>
      </w:r>
    </w:p>
    <w:p w14:paraId="69BE0434">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180" w:name="_Toc22267"/>
      <w:r>
        <w:rPr>
          <w:rFonts w:hint="eastAsia" w:ascii="宋体" w:hAnsi="宋体" w:eastAsia="宋体" w:cs="宋体"/>
          <w:b/>
          <w:color w:val="auto"/>
          <w:spacing w:val="0"/>
          <w:position w:val="0"/>
          <w:sz w:val="24"/>
          <w:highlight w:val="none"/>
        </w:rPr>
        <w:t>2.8 延迟</w:t>
      </w:r>
      <w:bookmarkEnd w:id="177"/>
      <w:bookmarkEnd w:id="178"/>
      <w:bookmarkEnd w:id="179"/>
      <w:r>
        <w:rPr>
          <w:rFonts w:hint="eastAsia" w:ascii="宋体" w:hAnsi="宋体" w:eastAsia="宋体" w:cs="宋体"/>
          <w:b/>
          <w:color w:val="auto"/>
          <w:spacing w:val="0"/>
          <w:position w:val="0"/>
          <w:sz w:val="24"/>
          <w:highlight w:val="none"/>
        </w:rPr>
        <w:t>履行</w:t>
      </w:r>
      <w:bookmarkEnd w:id="180"/>
    </w:p>
    <w:p w14:paraId="42C6CD7C">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9F00289">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181" w:name="_Toc10611"/>
      <w:bookmarkStart w:id="182" w:name="_Toc279701254"/>
      <w:bookmarkStart w:id="183" w:name="_Toc259093683"/>
      <w:bookmarkStart w:id="184" w:name="_Ref467378121"/>
      <w:bookmarkStart w:id="185" w:name="_Toc487900364"/>
      <w:r>
        <w:rPr>
          <w:rFonts w:hint="eastAsia" w:ascii="宋体" w:hAnsi="宋体" w:eastAsia="宋体" w:cs="宋体"/>
          <w:b/>
          <w:color w:val="auto"/>
          <w:spacing w:val="0"/>
          <w:position w:val="0"/>
          <w:sz w:val="24"/>
          <w:highlight w:val="none"/>
        </w:rPr>
        <w:t>2.9 合同变更</w:t>
      </w:r>
      <w:bookmarkEnd w:id="181"/>
    </w:p>
    <w:p w14:paraId="6F095A2F">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4FADAE07">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2.9.2 合同继续履行将损害国家利益和社会公共利益的，双方当事人应当以书面形式变更合同。有过错的一方应当承担赔偿责任，双方当事人都有过错的，各自承担相应的责任。</w:t>
      </w:r>
      <w:bookmarkStart w:id="186" w:name="_Toc487900369"/>
      <w:bookmarkStart w:id="187" w:name="_Toc259093688"/>
      <w:bookmarkStart w:id="188" w:name="_Toc279701259"/>
    </w:p>
    <w:p w14:paraId="03DC6C95">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189" w:name="_Toc26689"/>
      <w:bookmarkStart w:id="190" w:name="_Toc10663"/>
      <w:bookmarkStart w:id="191" w:name="_Toc42"/>
      <w:bookmarkStart w:id="192" w:name="_Toc23368"/>
      <w:bookmarkStart w:id="193" w:name="_Toc21830"/>
      <w:r>
        <w:rPr>
          <w:rFonts w:hint="eastAsia" w:ascii="宋体" w:hAnsi="宋体" w:eastAsia="宋体" w:cs="宋体"/>
          <w:b/>
          <w:color w:val="auto"/>
          <w:spacing w:val="0"/>
          <w:position w:val="0"/>
          <w:sz w:val="24"/>
          <w:highlight w:val="none"/>
        </w:rPr>
        <w:t>2.10 合同转让</w:t>
      </w:r>
      <w:bookmarkEnd w:id="186"/>
      <w:bookmarkEnd w:id="187"/>
      <w:bookmarkEnd w:id="188"/>
      <w:r>
        <w:rPr>
          <w:rFonts w:hint="eastAsia" w:ascii="宋体" w:hAnsi="宋体" w:eastAsia="宋体" w:cs="宋体"/>
          <w:b/>
          <w:color w:val="auto"/>
          <w:spacing w:val="0"/>
          <w:position w:val="0"/>
          <w:sz w:val="24"/>
          <w:highlight w:val="none"/>
        </w:rPr>
        <w:t>和分包</w:t>
      </w:r>
      <w:bookmarkEnd w:id="189"/>
      <w:bookmarkEnd w:id="190"/>
      <w:bookmarkEnd w:id="191"/>
      <w:bookmarkEnd w:id="192"/>
      <w:bookmarkEnd w:id="193"/>
    </w:p>
    <w:p w14:paraId="7A3577C4">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950FF85">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194" w:name="_Toc32494"/>
      <w:bookmarkStart w:id="195" w:name="_Toc25571"/>
      <w:bookmarkStart w:id="196" w:name="_Toc26633"/>
      <w:bookmarkStart w:id="197" w:name="_Toc4720"/>
      <w:bookmarkStart w:id="198" w:name="_Toc14371"/>
      <w:r>
        <w:rPr>
          <w:rFonts w:hint="eastAsia" w:ascii="宋体" w:hAnsi="宋体" w:eastAsia="宋体" w:cs="宋体"/>
          <w:b/>
          <w:color w:val="auto"/>
          <w:spacing w:val="0"/>
          <w:position w:val="0"/>
          <w:sz w:val="24"/>
          <w:highlight w:val="none"/>
        </w:rPr>
        <w:t>2.11 不可抗力</w:t>
      </w:r>
      <w:bookmarkEnd w:id="194"/>
      <w:bookmarkEnd w:id="195"/>
      <w:bookmarkEnd w:id="196"/>
      <w:bookmarkEnd w:id="197"/>
      <w:bookmarkEnd w:id="198"/>
    </w:p>
    <w:p w14:paraId="03ADD4B3">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2.11.1如果任何一方遭遇法律规定的不可抗力，致使合同履行受阻时，履行合同的期限应予延长，延长的期限应相当于不可抗力所影响的时间；</w:t>
      </w:r>
    </w:p>
    <w:p w14:paraId="5BD53DA3">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2.11.2 因不可抗力致使不能实现合同目的的，当事人可以解除合同；</w:t>
      </w:r>
    </w:p>
    <w:p w14:paraId="0A371473">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2.11.3 因不可抗力致使合同有变更必要的，双方当事人应在</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color w:val="auto"/>
          <w:spacing w:val="0"/>
          <w:position w:val="0"/>
          <w:sz w:val="24"/>
          <w:highlight w:val="none"/>
        </w:rPr>
        <w:t>约定时间内以书面形式变更合同；</w:t>
      </w:r>
    </w:p>
    <w:p w14:paraId="5385F761">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2.11.4受不可抗力影响的一方在不可抗力发生后，应在</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i w:val="0"/>
          <w:iCs/>
          <w:color w:val="auto"/>
          <w:spacing w:val="0"/>
          <w:position w:val="0"/>
          <w:sz w:val="24"/>
          <w:highlight w:val="none"/>
        </w:rPr>
        <w:t>约</w:t>
      </w:r>
      <w:r>
        <w:rPr>
          <w:rFonts w:hint="eastAsia" w:ascii="宋体" w:hAnsi="宋体" w:eastAsia="宋体" w:cs="宋体"/>
          <w:color w:val="auto"/>
          <w:spacing w:val="0"/>
          <w:position w:val="0"/>
          <w:sz w:val="24"/>
          <w:highlight w:val="none"/>
        </w:rPr>
        <w:t>定时间内以书面形式通知对方当事人，并在</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color w:val="auto"/>
          <w:spacing w:val="0"/>
          <w:position w:val="0"/>
          <w:sz w:val="24"/>
          <w:highlight w:val="none"/>
        </w:rPr>
        <w:t>约定时间内，将有关部门出具的证明文件送达对方当事人。</w:t>
      </w:r>
    </w:p>
    <w:p w14:paraId="0AECDA53">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199" w:name="_Toc14115"/>
      <w:bookmarkStart w:id="200" w:name="_Toc23854"/>
      <w:bookmarkStart w:id="201" w:name="_Toc279701255"/>
      <w:bookmarkStart w:id="202" w:name="_Toc25783"/>
      <w:bookmarkStart w:id="203" w:name="_Toc3638"/>
      <w:bookmarkStart w:id="204" w:name="_Toc24465"/>
      <w:bookmarkStart w:id="205" w:name="_Toc259093684"/>
      <w:bookmarkStart w:id="206" w:name="_Toc487900365"/>
      <w:r>
        <w:rPr>
          <w:rFonts w:hint="eastAsia" w:ascii="宋体" w:hAnsi="宋体" w:eastAsia="宋体" w:cs="宋体"/>
          <w:b/>
          <w:color w:val="auto"/>
          <w:spacing w:val="0"/>
          <w:position w:val="0"/>
          <w:sz w:val="24"/>
          <w:highlight w:val="none"/>
        </w:rPr>
        <w:t>2.12 税费</w:t>
      </w:r>
      <w:bookmarkEnd w:id="199"/>
      <w:bookmarkEnd w:id="200"/>
      <w:bookmarkEnd w:id="201"/>
      <w:bookmarkEnd w:id="202"/>
      <w:bookmarkEnd w:id="203"/>
      <w:bookmarkEnd w:id="204"/>
      <w:bookmarkEnd w:id="205"/>
      <w:bookmarkEnd w:id="206"/>
    </w:p>
    <w:p w14:paraId="5E4FEBC8">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与合同有关的一切税费，均按照中华人民共和国法律的相关规定缴纳。</w:t>
      </w:r>
    </w:p>
    <w:p w14:paraId="14E5F9CA">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207" w:name="_Toc279701258"/>
      <w:bookmarkStart w:id="208" w:name="_Toc7315"/>
      <w:bookmarkStart w:id="209" w:name="_Toc25525"/>
      <w:bookmarkStart w:id="210" w:name="_Toc259093687"/>
      <w:bookmarkStart w:id="211" w:name="_Toc30105"/>
      <w:bookmarkStart w:id="212" w:name="_Toc487900368"/>
      <w:bookmarkStart w:id="213" w:name="_Toc26883"/>
      <w:bookmarkStart w:id="214" w:name="_Toc14814"/>
      <w:r>
        <w:rPr>
          <w:rFonts w:hint="eastAsia" w:ascii="宋体" w:hAnsi="宋体" w:eastAsia="宋体" w:cs="宋体"/>
          <w:b/>
          <w:color w:val="auto"/>
          <w:spacing w:val="0"/>
          <w:position w:val="0"/>
          <w:sz w:val="24"/>
          <w:highlight w:val="none"/>
        </w:rPr>
        <w:t>2.13 乙方破产</w:t>
      </w:r>
      <w:bookmarkEnd w:id="207"/>
      <w:bookmarkEnd w:id="208"/>
      <w:bookmarkEnd w:id="209"/>
      <w:bookmarkEnd w:id="210"/>
      <w:bookmarkEnd w:id="211"/>
      <w:bookmarkEnd w:id="212"/>
      <w:bookmarkEnd w:id="213"/>
      <w:bookmarkEnd w:id="214"/>
    </w:p>
    <w:p w14:paraId="3835FAE7">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269C41B">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215" w:name="_Toc2016"/>
      <w:bookmarkStart w:id="216" w:name="_Toc1123"/>
      <w:bookmarkStart w:id="217" w:name="_Toc23323"/>
      <w:r>
        <w:rPr>
          <w:rFonts w:hint="eastAsia" w:ascii="宋体" w:hAnsi="宋体" w:eastAsia="宋体" w:cs="宋体"/>
          <w:b/>
          <w:color w:val="auto"/>
          <w:spacing w:val="0"/>
          <w:position w:val="0"/>
          <w:sz w:val="24"/>
          <w:highlight w:val="none"/>
        </w:rPr>
        <w:t>2.14 合同中止、终止</w:t>
      </w:r>
      <w:bookmarkEnd w:id="215"/>
      <w:bookmarkEnd w:id="216"/>
      <w:bookmarkEnd w:id="217"/>
    </w:p>
    <w:p w14:paraId="098286A7">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2.14.1 双方当事人不得擅自中止或者终止合同；</w:t>
      </w:r>
    </w:p>
    <w:p w14:paraId="3A90EBAA">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2.14.2合同继续履行将损害国家利益和社会公共利益的，双方当事人应当中止或者终止合同。有过错的一方应当承担赔偿责任，双方当事人都有过错的，各自承担相应的责任。</w:t>
      </w:r>
    </w:p>
    <w:p w14:paraId="4275A20D">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218" w:name="_Toc14525"/>
      <w:bookmarkStart w:id="219" w:name="_Toc1969"/>
      <w:bookmarkStart w:id="220" w:name="_Toc17363"/>
      <w:r>
        <w:rPr>
          <w:rFonts w:hint="eastAsia" w:ascii="宋体" w:hAnsi="宋体" w:eastAsia="宋体" w:cs="宋体"/>
          <w:b/>
          <w:color w:val="auto"/>
          <w:spacing w:val="0"/>
          <w:position w:val="0"/>
          <w:sz w:val="24"/>
          <w:highlight w:val="none"/>
        </w:rPr>
        <w:t>2.15 检验和验收</w:t>
      </w:r>
      <w:bookmarkEnd w:id="218"/>
      <w:bookmarkEnd w:id="219"/>
      <w:bookmarkEnd w:id="220"/>
    </w:p>
    <w:p w14:paraId="40D6A241">
      <w:pPr>
        <w:tabs>
          <w:tab w:val="left" w:pos="360"/>
          <w:tab w:val="left" w:pos="540"/>
          <w:tab w:val="left" w:pos="1080"/>
        </w:tabs>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2.15.1 乙方按照</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color w:val="auto"/>
          <w:spacing w:val="0"/>
          <w:position w:val="0"/>
          <w:sz w:val="24"/>
          <w:highlight w:val="none"/>
        </w:rPr>
        <w:t>的约定，定期提交服务报告，甲方按照</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i w:val="0"/>
          <w:iCs/>
          <w:color w:val="auto"/>
          <w:spacing w:val="0"/>
          <w:position w:val="0"/>
          <w:sz w:val="24"/>
          <w:highlight w:val="none"/>
        </w:rPr>
        <w:t>的</w:t>
      </w:r>
      <w:r>
        <w:rPr>
          <w:rFonts w:hint="eastAsia" w:ascii="宋体" w:hAnsi="宋体" w:eastAsia="宋体" w:cs="宋体"/>
          <w:color w:val="auto"/>
          <w:spacing w:val="0"/>
          <w:position w:val="0"/>
          <w:sz w:val="24"/>
          <w:highlight w:val="none"/>
        </w:rPr>
        <w:t>约定进行定期验收；</w:t>
      </w:r>
    </w:p>
    <w:p w14:paraId="5B4C7FC9">
      <w:pPr>
        <w:tabs>
          <w:tab w:val="left" w:pos="360"/>
          <w:tab w:val="left" w:pos="540"/>
          <w:tab w:val="left" w:pos="1080"/>
        </w:tabs>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918C4AB">
      <w:pPr>
        <w:tabs>
          <w:tab w:val="left" w:pos="360"/>
          <w:tab w:val="left" w:pos="540"/>
          <w:tab w:val="left" w:pos="1080"/>
        </w:tabs>
        <w:spacing w:line="560" w:lineRule="exact"/>
        <w:ind w:firstLine="480" w:firstLineChars="200"/>
        <w:rPr>
          <w:rFonts w:hint="eastAsia" w:ascii="宋体" w:hAnsi="宋体" w:eastAsia="宋体" w:cs="宋体"/>
          <w:i w:val="0"/>
          <w:iCs/>
          <w:color w:val="auto"/>
          <w:spacing w:val="0"/>
          <w:position w:val="0"/>
          <w:sz w:val="24"/>
          <w:highlight w:val="none"/>
        </w:rPr>
      </w:pPr>
      <w:r>
        <w:rPr>
          <w:rFonts w:hint="eastAsia" w:ascii="宋体" w:hAnsi="宋体" w:eastAsia="宋体" w:cs="宋体"/>
          <w:color w:val="auto"/>
          <w:spacing w:val="0"/>
          <w:position w:val="0"/>
          <w:sz w:val="24"/>
          <w:highlight w:val="none"/>
        </w:rPr>
        <w:t>2.15.3 检验和验收标准、程序等具体内容以及前述验收书的效力详见</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i w:val="0"/>
          <w:iCs/>
          <w:color w:val="auto"/>
          <w:spacing w:val="0"/>
          <w:position w:val="0"/>
          <w:sz w:val="24"/>
          <w:highlight w:val="none"/>
        </w:rPr>
        <w:t>。</w:t>
      </w:r>
    </w:p>
    <w:bookmarkEnd w:id="182"/>
    <w:bookmarkEnd w:id="183"/>
    <w:bookmarkEnd w:id="184"/>
    <w:bookmarkEnd w:id="185"/>
    <w:p w14:paraId="7DA49DA3">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221" w:name="_Toc487900371"/>
      <w:bookmarkStart w:id="222" w:name="_Toc259093690"/>
      <w:bookmarkStart w:id="223" w:name="_Toc279701261"/>
      <w:bookmarkStart w:id="224" w:name="_Toc9808"/>
      <w:bookmarkStart w:id="225" w:name="_Toc25198"/>
      <w:bookmarkStart w:id="226" w:name="_Toc31892"/>
      <w:bookmarkStart w:id="227" w:name="_Toc12666"/>
      <w:bookmarkStart w:id="228" w:name="_Toc2308"/>
      <w:r>
        <w:rPr>
          <w:rFonts w:hint="eastAsia" w:ascii="宋体" w:hAnsi="宋体" w:eastAsia="宋体" w:cs="宋体"/>
          <w:b/>
          <w:color w:val="auto"/>
          <w:spacing w:val="0"/>
          <w:position w:val="0"/>
          <w:sz w:val="24"/>
          <w:highlight w:val="none"/>
        </w:rPr>
        <w:t>2.16 通知</w:t>
      </w:r>
      <w:bookmarkEnd w:id="221"/>
      <w:bookmarkEnd w:id="222"/>
      <w:bookmarkEnd w:id="223"/>
      <w:r>
        <w:rPr>
          <w:rFonts w:hint="eastAsia" w:ascii="宋体" w:hAnsi="宋体" w:eastAsia="宋体" w:cs="宋体"/>
          <w:b/>
          <w:color w:val="auto"/>
          <w:spacing w:val="0"/>
          <w:position w:val="0"/>
          <w:sz w:val="24"/>
          <w:highlight w:val="none"/>
        </w:rPr>
        <w:t>和送达</w:t>
      </w:r>
      <w:bookmarkEnd w:id="224"/>
      <w:bookmarkEnd w:id="225"/>
      <w:bookmarkEnd w:id="226"/>
      <w:bookmarkEnd w:id="227"/>
      <w:bookmarkEnd w:id="228"/>
    </w:p>
    <w:p w14:paraId="143FDC2B">
      <w:pPr>
        <w:spacing w:line="560" w:lineRule="exact"/>
        <w:ind w:firstLine="480" w:firstLineChars="200"/>
        <w:rPr>
          <w:rFonts w:hint="eastAsia" w:ascii="宋体" w:hAnsi="宋体" w:eastAsia="宋体" w:cs="宋体"/>
          <w:color w:val="auto"/>
          <w:spacing w:val="0"/>
          <w:position w:val="0"/>
          <w:sz w:val="24"/>
          <w:highlight w:val="none"/>
        </w:rPr>
      </w:pPr>
      <w:bookmarkStart w:id="229" w:name="_Toc7073"/>
      <w:bookmarkStart w:id="230" w:name="_Toc29220"/>
      <w:bookmarkStart w:id="231" w:name="_Toc279701262"/>
      <w:bookmarkStart w:id="232" w:name="_Toc259093691"/>
      <w:bookmarkStart w:id="233" w:name="_Toc487900372"/>
      <w:r>
        <w:rPr>
          <w:rFonts w:hint="eastAsia" w:ascii="宋体" w:hAnsi="宋体" w:eastAsia="宋体" w:cs="宋体"/>
          <w:color w:val="auto"/>
          <w:spacing w:val="0"/>
          <w:position w:val="0"/>
          <w:sz w:val="24"/>
          <w:highlight w:val="none"/>
        </w:rPr>
        <w:t>2.16.1 任何一方因履行合同而以合同第一部分尾部所列明的</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发出的所有通知、文件、材料，均视为已向对方当事人送达；任何一方变更上述送达方式或者地址的，应于</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个工作日内书面通知对方当事人，在对方当事人收到有关变更通知之前，变更前的约定送达方式或者地址仍视为有效。</w:t>
      </w:r>
      <w:bookmarkEnd w:id="229"/>
      <w:bookmarkEnd w:id="230"/>
    </w:p>
    <w:p w14:paraId="5CF3E08B">
      <w:pPr>
        <w:spacing w:line="560" w:lineRule="exact"/>
        <w:ind w:firstLine="480" w:firstLineChars="200"/>
        <w:rPr>
          <w:rFonts w:hint="eastAsia" w:ascii="宋体" w:hAnsi="宋体" w:eastAsia="宋体" w:cs="宋体"/>
          <w:color w:val="auto"/>
          <w:spacing w:val="0"/>
          <w:position w:val="0"/>
          <w:sz w:val="24"/>
          <w:highlight w:val="none"/>
        </w:rPr>
      </w:pPr>
      <w:bookmarkStart w:id="234" w:name="_Toc27674"/>
      <w:bookmarkStart w:id="235" w:name="_Toc18401"/>
      <w:r>
        <w:rPr>
          <w:rFonts w:hint="eastAsia" w:ascii="宋体" w:hAnsi="宋体" w:eastAsia="宋体" w:cs="宋体"/>
          <w:color w:val="auto"/>
          <w:spacing w:val="0"/>
          <w:position w:val="0"/>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4"/>
      <w:bookmarkEnd w:id="235"/>
    </w:p>
    <w:bookmarkEnd w:id="231"/>
    <w:bookmarkEnd w:id="232"/>
    <w:bookmarkEnd w:id="233"/>
    <w:p w14:paraId="14BA6D3B">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236" w:name="_Toc27644"/>
      <w:bookmarkStart w:id="237" w:name="_Toc259093692"/>
      <w:bookmarkStart w:id="238" w:name="_Toc20808"/>
      <w:bookmarkStart w:id="239" w:name="_Toc5063"/>
      <w:bookmarkStart w:id="240" w:name="_Toc279701263"/>
      <w:bookmarkStart w:id="241" w:name="_Toc12254"/>
      <w:bookmarkStart w:id="242" w:name="_Toc28906"/>
      <w:bookmarkStart w:id="243" w:name="_Toc487900373"/>
      <w:r>
        <w:rPr>
          <w:rFonts w:hint="eastAsia" w:ascii="宋体" w:hAnsi="宋体" w:eastAsia="宋体" w:cs="宋体"/>
          <w:b/>
          <w:color w:val="auto"/>
          <w:spacing w:val="0"/>
          <w:position w:val="0"/>
          <w:sz w:val="24"/>
          <w:highlight w:val="none"/>
        </w:rPr>
        <w:t>2.17 合同使用的文字和适用的法律</w:t>
      </w:r>
      <w:bookmarkEnd w:id="236"/>
      <w:bookmarkEnd w:id="237"/>
      <w:bookmarkEnd w:id="238"/>
      <w:bookmarkEnd w:id="239"/>
      <w:bookmarkEnd w:id="240"/>
      <w:bookmarkEnd w:id="241"/>
      <w:bookmarkEnd w:id="242"/>
      <w:bookmarkEnd w:id="243"/>
    </w:p>
    <w:p w14:paraId="2B1059C2">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2.17.1 合同使用汉语书就、变更和解释；</w:t>
      </w:r>
    </w:p>
    <w:p w14:paraId="196BA8E3">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2.17.2 合同适用中华人民共和国法律。</w:t>
      </w:r>
    </w:p>
    <w:p w14:paraId="0F9A63B1">
      <w:pPr>
        <w:spacing w:line="560" w:lineRule="exact"/>
        <w:ind w:firstLine="482" w:firstLineChars="200"/>
        <w:outlineLvl w:val="0"/>
        <w:rPr>
          <w:rFonts w:hint="eastAsia" w:ascii="宋体" w:hAnsi="宋体" w:eastAsia="宋体" w:cs="宋体"/>
          <w:b/>
          <w:color w:val="auto"/>
          <w:spacing w:val="0"/>
          <w:position w:val="0"/>
          <w:sz w:val="24"/>
          <w:highlight w:val="none"/>
        </w:rPr>
      </w:pPr>
      <w:bookmarkStart w:id="244" w:name="_Toc279701264"/>
      <w:bookmarkStart w:id="245" w:name="_Toc30096"/>
      <w:bookmarkStart w:id="246" w:name="_Toc259093693"/>
      <w:bookmarkStart w:id="247" w:name="_Toc27403"/>
      <w:bookmarkStart w:id="248" w:name="_Toc27127"/>
      <w:bookmarkStart w:id="249" w:name="_Toc1492"/>
      <w:bookmarkStart w:id="250" w:name="_Toc22266"/>
      <w:bookmarkStart w:id="251" w:name="_Toc487900374"/>
      <w:r>
        <w:rPr>
          <w:rFonts w:hint="eastAsia" w:ascii="宋体" w:hAnsi="宋体" w:eastAsia="宋体" w:cs="宋体"/>
          <w:b/>
          <w:color w:val="auto"/>
          <w:spacing w:val="0"/>
          <w:position w:val="0"/>
          <w:sz w:val="24"/>
          <w:highlight w:val="none"/>
        </w:rPr>
        <w:t>2.18 履约保证金</w:t>
      </w:r>
      <w:bookmarkEnd w:id="244"/>
      <w:bookmarkEnd w:id="245"/>
      <w:bookmarkEnd w:id="246"/>
      <w:bookmarkEnd w:id="247"/>
      <w:bookmarkEnd w:id="248"/>
      <w:bookmarkEnd w:id="249"/>
      <w:bookmarkEnd w:id="250"/>
    </w:p>
    <w:p w14:paraId="085AB5FC">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2.18.1 采购文件要求乙方提交履约保证金的，乙方应按</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i w:val="0"/>
          <w:iCs/>
          <w:color w:val="auto"/>
          <w:spacing w:val="0"/>
          <w:position w:val="0"/>
          <w:sz w:val="24"/>
          <w:highlight w:val="none"/>
        </w:rPr>
        <w:t>约</w:t>
      </w:r>
      <w:r>
        <w:rPr>
          <w:rFonts w:hint="eastAsia" w:ascii="宋体" w:hAnsi="宋体" w:eastAsia="宋体" w:cs="宋体"/>
          <w:color w:val="auto"/>
          <w:spacing w:val="0"/>
          <w:position w:val="0"/>
          <w:sz w:val="24"/>
          <w:highlight w:val="none"/>
        </w:rPr>
        <w:t>定的方式，以支票、汇票、本票或者金融机构、担保机构出具的保函等非现金形式，提交不超过合同价10%的履约保证金；</w:t>
      </w:r>
    </w:p>
    <w:p w14:paraId="22138E7F">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2.18.2 履约保证金在</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color w:val="auto"/>
          <w:spacing w:val="0"/>
          <w:position w:val="0"/>
          <w:sz w:val="24"/>
          <w:highlight w:val="none"/>
        </w:rPr>
        <w:t>约定期间内不予退还或者应完全有效，前述约定期间届满之日起</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个工作日内，甲方应将履约保证金退还乙方；</w:t>
      </w:r>
    </w:p>
    <w:p w14:paraId="6F82A69F">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1"/>
    <w:p w14:paraId="3A33B6ED">
      <w:pPr>
        <w:spacing w:line="560" w:lineRule="exact"/>
        <w:ind w:firstLine="482" w:firstLineChars="200"/>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2.19 合同份数</w:t>
      </w:r>
    </w:p>
    <w:p w14:paraId="5ACE0E28">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合同份数按</w:t>
      </w:r>
      <w:r>
        <w:rPr>
          <w:rFonts w:hint="eastAsia" w:ascii="宋体" w:hAnsi="宋体" w:eastAsia="宋体" w:cs="宋体"/>
          <w:b/>
          <w:i w:val="0"/>
          <w:iCs/>
          <w:color w:val="auto"/>
          <w:spacing w:val="0"/>
          <w:position w:val="0"/>
          <w:sz w:val="24"/>
          <w:highlight w:val="none"/>
          <w:u w:val="single"/>
        </w:rPr>
        <w:t>合同专用条款</w:t>
      </w:r>
      <w:r>
        <w:rPr>
          <w:rFonts w:hint="eastAsia" w:ascii="宋体" w:hAnsi="宋体" w:eastAsia="宋体" w:cs="宋体"/>
          <w:color w:val="auto"/>
          <w:spacing w:val="0"/>
          <w:position w:val="0"/>
          <w:sz w:val="24"/>
          <w:highlight w:val="none"/>
        </w:rPr>
        <w:t>规定，每份均具有同等法律效力。</w:t>
      </w:r>
    </w:p>
    <w:p w14:paraId="22F6B491">
      <w:pPr>
        <w:pStyle w:val="106"/>
        <w:spacing w:line="560" w:lineRule="exact"/>
        <w:ind w:firstLine="0"/>
        <w:jc w:val="center"/>
        <w:rPr>
          <w:rFonts w:hint="eastAsia" w:ascii="宋体" w:hAnsi="宋体" w:eastAsia="宋体" w:cs="宋体"/>
          <w:b/>
          <w:color w:val="auto"/>
          <w:spacing w:val="0"/>
          <w:position w:val="0"/>
          <w:szCs w:val="24"/>
          <w:highlight w:val="none"/>
        </w:rPr>
      </w:pPr>
      <w:r>
        <w:rPr>
          <w:rFonts w:hint="eastAsia" w:ascii="宋体" w:hAnsi="宋体" w:eastAsia="宋体" w:cs="宋体"/>
          <w:color w:val="auto"/>
          <w:spacing w:val="0"/>
          <w:position w:val="0"/>
          <w:szCs w:val="24"/>
          <w:highlight w:val="none"/>
        </w:rPr>
        <w:br w:type="page"/>
      </w:r>
      <w:bookmarkStart w:id="252" w:name="_Toc331685784"/>
      <w:r>
        <w:rPr>
          <w:rFonts w:hint="eastAsia" w:ascii="宋体" w:hAnsi="宋体" w:eastAsia="宋体" w:cs="宋体"/>
          <w:b/>
          <w:color w:val="auto"/>
          <w:spacing w:val="0"/>
          <w:position w:val="0"/>
          <w:szCs w:val="24"/>
          <w:highlight w:val="none"/>
        </w:rPr>
        <w:t>第三部分  合同专用条款</w:t>
      </w:r>
      <w:bookmarkEnd w:id="252"/>
    </w:p>
    <w:p w14:paraId="1A863ABF">
      <w:pPr>
        <w:spacing w:line="56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65EA8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574F08F2">
            <w:pPr>
              <w:spacing w:line="560" w:lineRule="exact"/>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条款号</w:t>
            </w:r>
          </w:p>
        </w:tc>
        <w:tc>
          <w:tcPr>
            <w:tcW w:w="7633" w:type="dxa"/>
            <w:noWrap w:val="0"/>
            <w:vAlign w:val="center"/>
          </w:tcPr>
          <w:p w14:paraId="122F03C8">
            <w:pPr>
              <w:spacing w:line="560" w:lineRule="exact"/>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约定内容</w:t>
            </w:r>
          </w:p>
        </w:tc>
      </w:tr>
      <w:tr w14:paraId="4C122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320B4F9C">
            <w:pPr>
              <w:spacing w:line="560" w:lineRule="exact"/>
              <w:rPr>
                <w:rFonts w:hint="eastAsia" w:ascii="宋体" w:hAnsi="宋体" w:eastAsia="宋体" w:cs="宋体"/>
                <w:color w:val="auto"/>
                <w:spacing w:val="0"/>
                <w:position w:val="0"/>
                <w:sz w:val="24"/>
                <w:highlight w:val="none"/>
              </w:rPr>
            </w:pPr>
          </w:p>
        </w:tc>
        <w:tc>
          <w:tcPr>
            <w:tcW w:w="7633" w:type="dxa"/>
            <w:noWrap w:val="0"/>
            <w:vAlign w:val="center"/>
          </w:tcPr>
          <w:p w14:paraId="056C4744">
            <w:pPr>
              <w:spacing w:line="560" w:lineRule="exact"/>
              <w:rPr>
                <w:rFonts w:hint="eastAsia" w:ascii="宋体" w:hAnsi="宋体" w:eastAsia="宋体" w:cs="宋体"/>
                <w:color w:val="auto"/>
                <w:spacing w:val="0"/>
                <w:position w:val="0"/>
                <w:sz w:val="24"/>
                <w:highlight w:val="none"/>
              </w:rPr>
            </w:pPr>
          </w:p>
        </w:tc>
      </w:tr>
      <w:tr w14:paraId="785A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834398C">
            <w:pPr>
              <w:spacing w:line="560" w:lineRule="exact"/>
              <w:rPr>
                <w:rFonts w:hint="eastAsia" w:ascii="宋体" w:hAnsi="宋体" w:eastAsia="宋体" w:cs="宋体"/>
                <w:color w:val="auto"/>
                <w:spacing w:val="0"/>
                <w:position w:val="0"/>
                <w:sz w:val="24"/>
                <w:highlight w:val="none"/>
              </w:rPr>
            </w:pPr>
          </w:p>
        </w:tc>
        <w:tc>
          <w:tcPr>
            <w:tcW w:w="7633" w:type="dxa"/>
            <w:noWrap w:val="0"/>
            <w:vAlign w:val="center"/>
          </w:tcPr>
          <w:p w14:paraId="65393989">
            <w:pPr>
              <w:spacing w:line="560" w:lineRule="exact"/>
              <w:rPr>
                <w:rFonts w:hint="eastAsia" w:ascii="宋体" w:hAnsi="宋体" w:eastAsia="宋体" w:cs="宋体"/>
                <w:color w:val="auto"/>
                <w:spacing w:val="0"/>
                <w:position w:val="0"/>
                <w:sz w:val="24"/>
                <w:highlight w:val="none"/>
              </w:rPr>
            </w:pPr>
          </w:p>
        </w:tc>
      </w:tr>
      <w:tr w14:paraId="40A73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66467A3">
            <w:pPr>
              <w:spacing w:line="560" w:lineRule="exact"/>
              <w:rPr>
                <w:rFonts w:hint="eastAsia" w:ascii="宋体" w:hAnsi="宋体" w:eastAsia="宋体" w:cs="宋体"/>
                <w:color w:val="auto"/>
                <w:spacing w:val="0"/>
                <w:position w:val="0"/>
                <w:sz w:val="24"/>
                <w:highlight w:val="none"/>
              </w:rPr>
            </w:pPr>
          </w:p>
        </w:tc>
        <w:tc>
          <w:tcPr>
            <w:tcW w:w="7633" w:type="dxa"/>
            <w:noWrap w:val="0"/>
            <w:vAlign w:val="center"/>
          </w:tcPr>
          <w:p w14:paraId="24C00524">
            <w:pPr>
              <w:spacing w:line="560" w:lineRule="exact"/>
              <w:rPr>
                <w:rFonts w:hint="eastAsia" w:ascii="宋体" w:hAnsi="宋体" w:eastAsia="宋体" w:cs="宋体"/>
                <w:color w:val="auto"/>
                <w:spacing w:val="0"/>
                <w:position w:val="0"/>
                <w:sz w:val="24"/>
                <w:highlight w:val="none"/>
              </w:rPr>
            </w:pPr>
          </w:p>
        </w:tc>
      </w:tr>
      <w:tr w14:paraId="56123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9180212">
            <w:pPr>
              <w:spacing w:line="560" w:lineRule="exact"/>
              <w:rPr>
                <w:rFonts w:hint="eastAsia" w:ascii="宋体" w:hAnsi="宋体" w:eastAsia="宋体" w:cs="宋体"/>
                <w:color w:val="auto"/>
                <w:spacing w:val="0"/>
                <w:position w:val="0"/>
                <w:sz w:val="24"/>
                <w:highlight w:val="none"/>
              </w:rPr>
            </w:pPr>
          </w:p>
        </w:tc>
        <w:tc>
          <w:tcPr>
            <w:tcW w:w="7633" w:type="dxa"/>
            <w:noWrap w:val="0"/>
            <w:vAlign w:val="center"/>
          </w:tcPr>
          <w:p w14:paraId="00682F7F">
            <w:pPr>
              <w:spacing w:line="560" w:lineRule="exact"/>
              <w:rPr>
                <w:rFonts w:hint="eastAsia" w:ascii="宋体" w:hAnsi="宋体" w:eastAsia="宋体" w:cs="宋体"/>
                <w:color w:val="auto"/>
                <w:spacing w:val="0"/>
                <w:position w:val="0"/>
                <w:sz w:val="24"/>
                <w:highlight w:val="none"/>
              </w:rPr>
            </w:pPr>
          </w:p>
        </w:tc>
      </w:tr>
      <w:tr w14:paraId="3BF65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2A4B89A">
            <w:pPr>
              <w:spacing w:line="560" w:lineRule="exact"/>
              <w:rPr>
                <w:rFonts w:hint="eastAsia" w:ascii="宋体" w:hAnsi="宋体" w:eastAsia="宋体" w:cs="宋体"/>
                <w:color w:val="auto"/>
                <w:spacing w:val="0"/>
                <w:position w:val="0"/>
                <w:sz w:val="24"/>
                <w:highlight w:val="none"/>
              </w:rPr>
            </w:pPr>
          </w:p>
        </w:tc>
        <w:tc>
          <w:tcPr>
            <w:tcW w:w="7633" w:type="dxa"/>
            <w:noWrap w:val="0"/>
            <w:vAlign w:val="center"/>
          </w:tcPr>
          <w:p w14:paraId="2FBADC50">
            <w:pPr>
              <w:spacing w:line="560" w:lineRule="exact"/>
              <w:rPr>
                <w:rFonts w:hint="eastAsia" w:ascii="宋体" w:hAnsi="宋体" w:eastAsia="宋体" w:cs="宋体"/>
                <w:color w:val="auto"/>
                <w:spacing w:val="0"/>
                <w:position w:val="0"/>
                <w:sz w:val="24"/>
                <w:highlight w:val="none"/>
                <w:u w:val="single"/>
              </w:rPr>
            </w:pPr>
          </w:p>
        </w:tc>
      </w:tr>
      <w:tr w14:paraId="3765C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CE617B7">
            <w:pPr>
              <w:spacing w:line="560" w:lineRule="exact"/>
              <w:rPr>
                <w:rFonts w:hint="eastAsia" w:ascii="宋体" w:hAnsi="宋体" w:eastAsia="宋体" w:cs="宋体"/>
                <w:color w:val="auto"/>
                <w:spacing w:val="0"/>
                <w:position w:val="0"/>
                <w:sz w:val="24"/>
                <w:highlight w:val="none"/>
              </w:rPr>
            </w:pPr>
          </w:p>
        </w:tc>
        <w:tc>
          <w:tcPr>
            <w:tcW w:w="7633" w:type="dxa"/>
            <w:noWrap w:val="0"/>
            <w:vAlign w:val="center"/>
          </w:tcPr>
          <w:p w14:paraId="7C39C68F">
            <w:pPr>
              <w:spacing w:line="560" w:lineRule="exact"/>
              <w:rPr>
                <w:rFonts w:hint="eastAsia" w:ascii="宋体" w:hAnsi="宋体" w:eastAsia="宋体" w:cs="宋体"/>
                <w:color w:val="auto"/>
                <w:spacing w:val="0"/>
                <w:position w:val="0"/>
                <w:sz w:val="24"/>
                <w:highlight w:val="none"/>
              </w:rPr>
            </w:pPr>
          </w:p>
        </w:tc>
      </w:tr>
      <w:tr w14:paraId="7DC91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9D73E43">
            <w:pPr>
              <w:spacing w:line="560" w:lineRule="exact"/>
              <w:rPr>
                <w:rFonts w:hint="eastAsia" w:ascii="宋体" w:hAnsi="宋体" w:eastAsia="宋体" w:cs="宋体"/>
                <w:color w:val="auto"/>
                <w:spacing w:val="0"/>
                <w:position w:val="0"/>
                <w:sz w:val="24"/>
                <w:highlight w:val="none"/>
              </w:rPr>
            </w:pPr>
          </w:p>
        </w:tc>
        <w:tc>
          <w:tcPr>
            <w:tcW w:w="7633" w:type="dxa"/>
            <w:noWrap w:val="0"/>
            <w:vAlign w:val="center"/>
          </w:tcPr>
          <w:p w14:paraId="74680920">
            <w:pPr>
              <w:spacing w:line="560" w:lineRule="exact"/>
              <w:rPr>
                <w:rFonts w:hint="eastAsia" w:ascii="宋体" w:hAnsi="宋体" w:eastAsia="宋体" w:cs="宋体"/>
                <w:color w:val="auto"/>
                <w:spacing w:val="0"/>
                <w:position w:val="0"/>
                <w:sz w:val="24"/>
                <w:highlight w:val="none"/>
                <w:u w:val="single"/>
              </w:rPr>
            </w:pPr>
          </w:p>
        </w:tc>
      </w:tr>
      <w:tr w14:paraId="345DB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B514F3E">
            <w:pPr>
              <w:spacing w:line="560" w:lineRule="exact"/>
              <w:rPr>
                <w:rFonts w:hint="eastAsia" w:ascii="宋体" w:hAnsi="宋体" w:eastAsia="宋体" w:cs="宋体"/>
                <w:color w:val="auto"/>
                <w:spacing w:val="0"/>
                <w:position w:val="0"/>
                <w:sz w:val="24"/>
                <w:highlight w:val="none"/>
              </w:rPr>
            </w:pPr>
          </w:p>
        </w:tc>
        <w:tc>
          <w:tcPr>
            <w:tcW w:w="7633" w:type="dxa"/>
            <w:noWrap w:val="0"/>
            <w:vAlign w:val="center"/>
          </w:tcPr>
          <w:p w14:paraId="502A4FF0">
            <w:pPr>
              <w:spacing w:line="560" w:lineRule="exact"/>
              <w:rPr>
                <w:rFonts w:hint="eastAsia" w:ascii="宋体" w:hAnsi="宋体" w:eastAsia="宋体" w:cs="宋体"/>
                <w:color w:val="auto"/>
                <w:spacing w:val="0"/>
                <w:position w:val="0"/>
                <w:sz w:val="24"/>
                <w:highlight w:val="none"/>
              </w:rPr>
            </w:pPr>
          </w:p>
        </w:tc>
      </w:tr>
      <w:tr w14:paraId="422D0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544D812">
            <w:pPr>
              <w:spacing w:line="560" w:lineRule="exact"/>
              <w:rPr>
                <w:rFonts w:hint="eastAsia" w:ascii="宋体" w:hAnsi="宋体" w:eastAsia="宋体" w:cs="宋体"/>
                <w:color w:val="auto"/>
                <w:spacing w:val="0"/>
                <w:position w:val="0"/>
                <w:sz w:val="24"/>
                <w:highlight w:val="none"/>
              </w:rPr>
            </w:pPr>
          </w:p>
        </w:tc>
        <w:tc>
          <w:tcPr>
            <w:tcW w:w="7633" w:type="dxa"/>
            <w:noWrap w:val="0"/>
            <w:vAlign w:val="center"/>
          </w:tcPr>
          <w:p w14:paraId="51A5924F">
            <w:pPr>
              <w:spacing w:line="560" w:lineRule="exact"/>
              <w:rPr>
                <w:rFonts w:hint="eastAsia" w:ascii="宋体" w:hAnsi="宋体" w:eastAsia="宋体" w:cs="宋体"/>
                <w:color w:val="auto"/>
                <w:spacing w:val="0"/>
                <w:position w:val="0"/>
                <w:sz w:val="24"/>
                <w:highlight w:val="none"/>
              </w:rPr>
            </w:pPr>
          </w:p>
        </w:tc>
      </w:tr>
      <w:tr w14:paraId="45FB1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E00BC1D">
            <w:pPr>
              <w:spacing w:line="560" w:lineRule="exact"/>
              <w:rPr>
                <w:rFonts w:hint="eastAsia" w:ascii="宋体" w:hAnsi="宋体" w:eastAsia="宋体" w:cs="宋体"/>
                <w:color w:val="auto"/>
                <w:spacing w:val="0"/>
                <w:position w:val="0"/>
                <w:sz w:val="24"/>
                <w:highlight w:val="none"/>
              </w:rPr>
            </w:pPr>
          </w:p>
        </w:tc>
        <w:tc>
          <w:tcPr>
            <w:tcW w:w="7633" w:type="dxa"/>
            <w:noWrap w:val="0"/>
            <w:vAlign w:val="center"/>
          </w:tcPr>
          <w:p w14:paraId="10860501">
            <w:pPr>
              <w:spacing w:line="560" w:lineRule="exact"/>
              <w:rPr>
                <w:rFonts w:hint="eastAsia" w:ascii="宋体" w:hAnsi="宋体" w:eastAsia="宋体" w:cs="宋体"/>
                <w:color w:val="auto"/>
                <w:spacing w:val="0"/>
                <w:position w:val="0"/>
                <w:sz w:val="24"/>
                <w:highlight w:val="none"/>
              </w:rPr>
            </w:pPr>
          </w:p>
        </w:tc>
      </w:tr>
      <w:tr w14:paraId="4FAC3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2A83EE6E">
            <w:pPr>
              <w:spacing w:line="560" w:lineRule="exact"/>
              <w:rPr>
                <w:rFonts w:hint="eastAsia" w:ascii="宋体" w:hAnsi="宋体" w:eastAsia="宋体" w:cs="宋体"/>
                <w:color w:val="auto"/>
                <w:spacing w:val="0"/>
                <w:position w:val="0"/>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7F5D1914">
            <w:pPr>
              <w:spacing w:line="560" w:lineRule="exact"/>
              <w:rPr>
                <w:rFonts w:hint="eastAsia" w:ascii="宋体" w:hAnsi="宋体" w:eastAsia="宋体" w:cs="宋体"/>
                <w:color w:val="auto"/>
                <w:spacing w:val="0"/>
                <w:position w:val="0"/>
                <w:sz w:val="24"/>
                <w:highlight w:val="none"/>
              </w:rPr>
            </w:pPr>
          </w:p>
        </w:tc>
      </w:tr>
      <w:tr w14:paraId="3CBB6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628FA758">
            <w:pPr>
              <w:spacing w:line="560" w:lineRule="exact"/>
              <w:rPr>
                <w:rFonts w:hint="eastAsia" w:ascii="宋体" w:hAnsi="宋体" w:eastAsia="宋体" w:cs="宋体"/>
                <w:color w:val="auto"/>
                <w:spacing w:val="0"/>
                <w:position w:val="0"/>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2F4636BF">
            <w:pPr>
              <w:spacing w:line="560" w:lineRule="exact"/>
              <w:rPr>
                <w:rFonts w:hint="eastAsia" w:ascii="宋体" w:hAnsi="宋体" w:eastAsia="宋体" w:cs="宋体"/>
                <w:color w:val="auto"/>
                <w:spacing w:val="0"/>
                <w:position w:val="0"/>
                <w:sz w:val="24"/>
                <w:highlight w:val="none"/>
              </w:rPr>
            </w:pPr>
          </w:p>
        </w:tc>
      </w:tr>
    </w:tbl>
    <w:p w14:paraId="4CC8FD2A">
      <w:pPr>
        <w:pStyle w:val="14"/>
        <w:spacing w:line="360" w:lineRule="auto"/>
        <w:ind w:left="540" w:leftChars="257" w:hanging="540"/>
        <w:rPr>
          <w:rFonts w:hint="eastAsia" w:ascii="宋体" w:hAnsi="宋体" w:eastAsia="宋体" w:cs="宋体"/>
          <w:color w:val="auto"/>
          <w:spacing w:val="0"/>
          <w:position w:val="0"/>
          <w:sz w:val="28"/>
          <w:highlight w:val="none"/>
          <w:lang w:val="en-US" w:eastAsia="zh-CN"/>
        </w:rPr>
      </w:pPr>
    </w:p>
    <w:p w14:paraId="28AB085B">
      <w:pPr>
        <w:pageBreakBefore w:val="0"/>
        <w:kinsoku/>
        <w:overflowPunct/>
        <w:bidi w:val="0"/>
        <w:rPr>
          <w:rFonts w:hint="eastAsia" w:ascii="宋体" w:hAnsi="宋体" w:eastAsia="宋体" w:cs="宋体"/>
          <w:color w:val="auto"/>
          <w:spacing w:val="0"/>
          <w:position w:val="0"/>
          <w:sz w:val="28"/>
          <w:szCs w:val="28"/>
          <w:highlight w:val="none"/>
        </w:rPr>
      </w:pPr>
    </w:p>
    <w:p w14:paraId="7C057F34">
      <w:pPr>
        <w:rPr>
          <w:rFonts w:hint="eastAsia" w:ascii="宋体" w:hAnsi="宋体" w:eastAsia="宋体" w:cs="宋体"/>
          <w:color w:val="auto"/>
          <w:sz w:val="28"/>
          <w:szCs w:val="28"/>
          <w:highlight w:val="none"/>
        </w:rPr>
      </w:pPr>
    </w:p>
    <w:p w14:paraId="4496A87F">
      <w:pPr>
        <w:pStyle w:val="2"/>
        <w:jc w:val="center"/>
        <w:rPr>
          <w:rFonts w:hint="eastAsia" w:ascii="宋体" w:hAnsi="宋体" w:eastAsia="宋体" w:cs="宋体"/>
          <w:color w:val="auto"/>
          <w:sz w:val="36"/>
          <w:szCs w:val="36"/>
          <w:highlight w:val="none"/>
        </w:rPr>
      </w:pPr>
      <w:r>
        <w:rPr>
          <w:rFonts w:hint="eastAsia" w:ascii="宋体" w:hAnsi="宋体" w:eastAsia="宋体" w:cs="宋体"/>
          <w:color w:val="auto"/>
          <w:highlight w:val="none"/>
        </w:rPr>
        <w:br w:type="page"/>
      </w:r>
      <w:bookmarkStart w:id="253" w:name="_Toc480368419"/>
      <w:bookmarkStart w:id="254" w:name="_Toc4203"/>
      <w:r>
        <w:rPr>
          <w:rFonts w:hint="eastAsia" w:ascii="宋体" w:hAnsi="宋体" w:eastAsia="宋体" w:cs="宋体"/>
          <w:color w:val="auto"/>
          <w:sz w:val="36"/>
          <w:szCs w:val="36"/>
          <w:highlight w:val="none"/>
        </w:rPr>
        <w:t>第六部分   投标文件格式</w:t>
      </w:r>
      <w:bookmarkEnd w:id="253"/>
      <w:bookmarkEnd w:id="254"/>
      <w:bookmarkStart w:id="255" w:name="_Toc480368420"/>
    </w:p>
    <w:p w14:paraId="12C839E6">
      <w:pPr>
        <w:pStyle w:val="2"/>
        <w:rPr>
          <w:rFonts w:hint="eastAsia" w:ascii="宋体" w:hAnsi="宋体" w:eastAsia="宋体" w:cs="宋体"/>
          <w:color w:val="auto"/>
          <w:sz w:val="24"/>
          <w:highlight w:val="none"/>
        </w:rPr>
      </w:pPr>
      <w:bookmarkStart w:id="256" w:name="_Toc30702"/>
      <w:r>
        <w:rPr>
          <w:rFonts w:hint="eastAsia" w:ascii="宋体" w:hAnsi="宋体" w:eastAsia="宋体" w:cs="宋体"/>
          <w:color w:val="auto"/>
          <w:sz w:val="24"/>
          <w:highlight w:val="none"/>
        </w:rPr>
        <w:t>投标文件封面</w:t>
      </w:r>
      <w:bookmarkEnd w:id="255"/>
      <w:bookmarkEnd w:id="256"/>
    </w:p>
    <w:p w14:paraId="7F951CE3">
      <w:pPr>
        <w:spacing w:line="360" w:lineRule="auto"/>
        <w:rPr>
          <w:rFonts w:hint="eastAsia" w:ascii="宋体" w:hAnsi="宋体" w:eastAsia="宋体" w:cs="宋体"/>
          <w:b/>
          <w:color w:val="auto"/>
          <w:sz w:val="24"/>
          <w:highlight w:val="none"/>
        </w:rPr>
      </w:pPr>
    </w:p>
    <w:p w14:paraId="302B248C">
      <w:pPr>
        <w:spacing w:line="360" w:lineRule="auto"/>
        <w:jc w:val="center"/>
        <w:rPr>
          <w:rFonts w:hint="eastAsia" w:ascii="宋体" w:hAnsi="宋体" w:eastAsia="宋体" w:cs="宋体"/>
          <w:color w:val="auto"/>
          <w:sz w:val="24"/>
          <w:highlight w:val="none"/>
        </w:rPr>
      </w:pPr>
    </w:p>
    <w:p w14:paraId="043ADAA1">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37BAFDC7">
      <w:pPr>
        <w:spacing w:line="360" w:lineRule="auto"/>
        <w:jc w:val="center"/>
        <w:rPr>
          <w:rFonts w:hint="eastAsia" w:ascii="宋体" w:hAnsi="宋体" w:eastAsia="宋体" w:cs="宋体"/>
          <w:color w:val="auto"/>
          <w:sz w:val="28"/>
          <w:szCs w:val="28"/>
          <w:highlight w:val="none"/>
        </w:rPr>
      </w:pPr>
    </w:p>
    <w:p w14:paraId="0A722C08">
      <w:pPr>
        <w:spacing w:line="360" w:lineRule="auto"/>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（项目编号）</w:t>
      </w:r>
    </w:p>
    <w:p w14:paraId="0ECEE0D2">
      <w:pPr>
        <w:spacing w:line="360" w:lineRule="auto"/>
        <w:jc w:val="center"/>
        <w:rPr>
          <w:rFonts w:hint="eastAsia" w:ascii="宋体" w:hAnsi="宋体" w:eastAsia="宋体" w:cs="宋体"/>
          <w:color w:val="auto"/>
          <w:sz w:val="24"/>
          <w:highlight w:val="none"/>
        </w:rPr>
      </w:pPr>
    </w:p>
    <w:p w14:paraId="5555E5CD">
      <w:pPr>
        <w:spacing w:line="360" w:lineRule="auto"/>
        <w:jc w:val="center"/>
        <w:rPr>
          <w:rFonts w:hint="eastAsia" w:ascii="宋体" w:hAnsi="宋体" w:eastAsia="宋体" w:cs="宋体"/>
          <w:color w:val="auto"/>
          <w:sz w:val="24"/>
          <w:highlight w:val="none"/>
        </w:rPr>
      </w:pPr>
    </w:p>
    <w:p w14:paraId="67D6057B">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14:paraId="4A3F2D52">
      <w:pPr>
        <w:spacing w:line="360" w:lineRule="auto"/>
        <w:jc w:val="center"/>
        <w:rPr>
          <w:rFonts w:hint="eastAsia" w:ascii="宋体" w:hAnsi="宋体" w:eastAsia="宋体" w:cs="宋体"/>
          <w:color w:val="auto"/>
          <w:sz w:val="24"/>
          <w:highlight w:val="none"/>
        </w:rPr>
      </w:pPr>
    </w:p>
    <w:p w14:paraId="3335DA13">
      <w:pPr>
        <w:spacing w:line="360" w:lineRule="auto"/>
        <w:jc w:val="center"/>
        <w:rPr>
          <w:rFonts w:hint="eastAsia" w:ascii="宋体" w:hAnsi="宋体" w:eastAsia="宋体" w:cs="宋体"/>
          <w:color w:val="auto"/>
          <w:sz w:val="24"/>
          <w:highlight w:val="none"/>
        </w:rPr>
      </w:pPr>
    </w:p>
    <w:p w14:paraId="484763FB">
      <w:pPr>
        <w:spacing w:line="360" w:lineRule="auto"/>
        <w:jc w:val="center"/>
        <w:rPr>
          <w:rFonts w:hint="eastAsia" w:ascii="宋体" w:hAnsi="宋体" w:eastAsia="宋体" w:cs="宋体"/>
          <w:b/>
          <w:color w:val="auto"/>
          <w:sz w:val="24"/>
          <w:highlight w:val="none"/>
        </w:rPr>
      </w:pPr>
    </w:p>
    <w:p w14:paraId="200A2C05">
      <w:pPr>
        <w:spacing w:line="360" w:lineRule="auto"/>
        <w:jc w:val="center"/>
        <w:rPr>
          <w:rFonts w:hint="eastAsia" w:ascii="宋体" w:hAnsi="宋体" w:eastAsia="宋体" w:cs="宋体"/>
          <w:b/>
          <w:color w:val="auto"/>
          <w:sz w:val="24"/>
          <w:highlight w:val="none"/>
        </w:rPr>
      </w:pPr>
    </w:p>
    <w:p w14:paraId="13C3E8BA">
      <w:pPr>
        <w:spacing w:line="360" w:lineRule="auto"/>
        <w:jc w:val="center"/>
        <w:rPr>
          <w:rFonts w:hint="eastAsia" w:ascii="宋体" w:hAnsi="宋体" w:eastAsia="宋体" w:cs="宋体"/>
          <w:b/>
          <w:color w:val="auto"/>
          <w:sz w:val="24"/>
          <w:highlight w:val="none"/>
        </w:rPr>
      </w:pPr>
    </w:p>
    <w:p w14:paraId="00F11DB2">
      <w:pPr>
        <w:spacing w:line="360" w:lineRule="auto"/>
        <w:jc w:val="center"/>
        <w:rPr>
          <w:rFonts w:hint="eastAsia" w:ascii="宋体" w:hAnsi="宋体" w:eastAsia="宋体" w:cs="宋体"/>
          <w:b/>
          <w:color w:val="auto"/>
          <w:sz w:val="24"/>
          <w:highlight w:val="none"/>
        </w:rPr>
      </w:pPr>
    </w:p>
    <w:p w14:paraId="51232A3E">
      <w:pPr>
        <w:spacing w:line="360" w:lineRule="auto"/>
        <w:jc w:val="center"/>
        <w:rPr>
          <w:rFonts w:hint="eastAsia" w:ascii="宋体" w:hAnsi="宋体" w:eastAsia="宋体" w:cs="宋体"/>
          <w:b/>
          <w:color w:val="auto"/>
          <w:sz w:val="24"/>
          <w:highlight w:val="none"/>
        </w:rPr>
      </w:pPr>
    </w:p>
    <w:p w14:paraId="557F3F5A">
      <w:pPr>
        <w:spacing w:line="360" w:lineRule="auto"/>
        <w:jc w:val="center"/>
        <w:rPr>
          <w:rFonts w:hint="eastAsia" w:ascii="宋体" w:hAnsi="宋体" w:eastAsia="宋体" w:cs="宋体"/>
          <w:b/>
          <w:color w:val="auto"/>
          <w:sz w:val="24"/>
          <w:highlight w:val="none"/>
        </w:rPr>
      </w:pPr>
    </w:p>
    <w:p w14:paraId="3E663BDF">
      <w:pPr>
        <w:pStyle w:val="97"/>
        <w:pageBreakBefore w:val="0"/>
        <w:kinsoku/>
        <w:wordWrap/>
        <w:overflowPunct/>
        <w:topLinePunct w:val="0"/>
        <w:bidi w:val="0"/>
        <w:snapToGrid/>
        <w:spacing w:before="0" w:beforeAutospacing="0" w:after="0" w:afterAutospacing="0" w:line="360" w:lineRule="auto"/>
        <w:ind w:firstLine="560" w:firstLineChars="200"/>
        <w:jc w:val="both"/>
        <w:textAlignment w:val="baseline"/>
        <w:rPr>
          <w:rStyle w:val="53"/>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pPr>
      <w:r>
        <w:rPr>
          <w:rStyle w:val="53"/>
          <w:rFonts w:hint="eastAsia" w:ascii="宋体" w:hAnsi="宋体" w:eastAsia="宋体" w:cs="宋体"/>
          <w:b w:val="0"/>
          <w:i w:val="0"/>
          <w:caps w:val="0"/>
          <w:color w:val="auto"/>
          <w:spacing w:val="0"/>
          <w:w w:val="100"/>
          <w:kern w:val="2"/>
          <w:position w:val="0"/>
          <w:sz w:val="28"/>
          <w:szCs w:val="28"/>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t xml:space="preserve">                     </w:t>
      </w:r>
      <w:r>
        <w:rPr>
          <w:rStyle w:val="53"/>
          <w:rFonts w:hint="eastAsia" w:ascii="宋体" w:hAnsi="宋体" w:eastAsia="宋体" w:cs="宋体"/>
          <w:b w:val="0"/>
          <w:i w:val="0"/>
          <w:caps w:val="0"/>
          <w:color w:val="auto"/>
          <w:spacing w:val="0"/>
          <w:w w:val="100"/>
          <w:kern w:val="2"/>
          <w:position w:val="0"/>
          <w:sz w:val="28"/>
          <w:szCs w:val="28"/>
          <w:highlight w:val="none"/>
          <w:lang w:val="en-US" w:eastAsia="zh-CN" w:bidi="ar-SA"/>
        </w:rPr>
        <w:t>（盖章）</w:t>
      </w:r>
    </w:p>
    <w:p w14:paraId="0D70C193">
      <w:pPr>
        <w:pStyle w:val="98"/>
        <w:pageBreakBefore w:val="0"/>
        <w:kinsoku/>
        <w:wordWrap/>
        <w:overflowPunct/>
        <w:topLinePunct w:val="0"/>
        <w:bidi w:val="0"/>
        <w:spacing w:line="360" w:lineRule="auto"/>
        <w:ind w:firstLine="560" w:firstLineChars="200"/>
        <w:jc w:val="both"/>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（签字或盖章）</w:t>
      </w:r>
    </w:p>
    <w:p w14:paraId="65779EE9">
      <w:pPr>
        <w:pStyle w:val="98"/>
        <w:pageBreakBefore w:val="0"/>
        <w:kinsoku/>
        <w:wordWrap/>
        <w:overflowPunct/>
        <w:topLinePunct w:val="0"/>
        <w:bidi w:val="0"/>
        <w:spacing w:line="360" w:lineRule="auto"/>
        <w:ind w:firstLine="560" w:firstLineChars="200"/>
        <w:jc w:val="both"/>
        <w:rPr>
          <w:rFonts w:hint="eastAsia" w:ascii="宋体" w:hAnsi="宋体" w:eastAsia="宋体" w:cs="宋体"/>
          <w:color w:val="auto"/>
          <w:spacing w:val="0"/>
          <w:position w:val="0"/>
          <w:sz w:val="28"/>
          <w:szCs w:val="28"/>
          <w:highlight w:val="none"/>
          <w:u w:val="none" w:color="auto"/>
          <w:lang w:val="en-US" w:eastAsia="zh-CN"/>
        </w:rPr>
      </w:pPr>
      <w:r>
        <w:rPr>
          <w:rFonts w:hint="eastAsia" w:ascii="宋体" w:hAnsi="宋体" w:eastAsia="宋体" w:cs="宋体"/>
          <w:color w:val="auto"/>
          <w:spacing w:val="0"/>
          <w:position w:val="0"/>
          <w:sz w:val="28"/>
          <w:szCs w:val="28"/>
          <w:highlight w:val="none"/>
          <w:lang w:val="en-US" w:eastAsia="zh-CN"/>
        </w:rPr>
        <w:t>联系人：</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u w:val="single"/>
          <w:lang w:val="en-US" w:eastAsia="zh-CN"/>
        </w:rPr>
        <w:t xml:space="preserve">     </w:t>
      </w:r>
      <w:r>
        <w:rPr>
          <w:rFonts w:hint="eastAsia" w:ascii="宋体" w:hAnsi="宋体" w:eastAsia="宋体" w:cs="宋体"/>
          <w:color w:val="auto"/>
          <w:spacing w:val="0"/>
          <w:position w:val="0"/>
          <w:sz w:val="28"/>
          <w:szCs w:val="28"/>
          <w:highlight w:val="none"/>
          <w:u w:val="single"/>
        </w:rPr>
        <w:t xml:space="preserve">  </w:t>
      </w:r>
      <w:r>
        <w:rPr>
          <w:rStyle w:val="53"/>
          <w:rFonts w:hint="eastAsia" w:ascii="宋体" w:hAnsi="宋体" w:eastAsia="宋体" w:cs="宋体"/>
          <w:b w:val="0"/>
          <w:i w:val="0"/>
          <w:caps w:val="0"/>
          <w:color w:val="auto"/>
          <w:spacing w:val="0"/>
          <w:w w:val="100"/>
          <w:kern w:val="2"/>
          <w:position w:val="0"/>
          <w:sz w:val="28"/>
          <w:szCs w:val="28"/>
          <w:highlight w:val="none"/>
          <w:u w:val="none" w:color="auto"/>
          <w:lang w:val="en-US" w:eastAsia="zh-CN" w:bidi="ar-SA"/>
        </w:rPr>
        <w:t xml:space="preserve">                     </w:t>
      </w:r>
    </w:p>
    <w:p w14:paraId="42F76264">
      <w:pPr>
        <w:pStyle w:val="98"/>
        <w:pageBreakBefore w:val="0"/>
        <w:kinsoku/>
        <w:wordWrap/>
        <w:overflowPunct/>
        <w:topLinePunct w:val="0"/>
        <w:bidi w:val="0"/>
        <w:spacing w:line="360" w:lineRule="auto"/>
        <w:ind w:firstLine="560" w:firstLineChars="200"/>
        <w:jc w:val="both"/>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联系电话：</w:t>
      </w:r>
      <w:r>
        <w:rPr>
          <w:rStyle w:val="53"/>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t xml:space="preserve">                       </w:t>
      </w:r>
    </w:p>
    <w:p w14:paraId="134BE3D2">
      <w:pPr>
        <w:spacing w:line="360" w:lineRule="auto"/>
        <w:ind w:firstLine="560" w:firstLineChars="200"/>
        <w:jc w:val="both"/>
        <w:rPr>
          <w:rFonts w:hint="eastAsia" w:ascii="宋体" w:hAnsi="宋体" w:eastAsia="宋体" w:cs="宋体"/>
          <w:color w:val="auto"/>
          <w:sz w:val="28"/>
          <w:szCs w:val="28"/>
          <w:highlight w:val="none"/>
          <w:u w:val="single"/>
        </w:rPr>
      </w:pPr>
      <w:r>
        <w:rPr>
          <w:rStyle w:val="53"/>
          <w:rFonts w:hint="eastAsia" w:ascii="宋体" w:hAnsi="宋体" w:eastAsia="宋体" w:cs="宋体"/>
          <w:b w:val="0"/>
          <w:i w:val="0"/>
          <w:caps w:val="0"/>
          <w:color w:val="auto"/>
          <w:spacing w:val="0"/>
          <w:w w:val="100"/>
          <w:kern w:val="2"/>
          <w:position w:val="0"/>
          <w:sz w:val="28"/>
          <w:szCs w:val="28"/>
          <w:highlight w:val="none"/>
          <w:lang w:val="en-US" w:eastAsia="zh-CN" w:bidi="ar-SA"/>
        </w:rPr>
        <w:t>日期：</w:t>
      </w:r>
      <w:r>
        <w:rPr>
          <w:rFonts w:hint="eastAsia" w:ascii="宋体" w:hAnsi="宋体" w:eastAsia="宋体" w:cs="宋体"/>
          <w:color w:val="auto"/>
          <w:spacing w:val="0"/>
          <w:position w:val="0"/>
          <w:sz w:val="28"/>
          <w:szCs w:val="28"/>
          <w:highlight w:val="none"/>
          <w:u w:val="single"/>
        </w:rPr>
        <w:t xml:space="preserve">                    </w:t>
      </w:r>
      <w:r>
        <w:rPr>
          <w:rStyle w:val="53"/>
          <w:rFonts w:hint="eastAsia" w:ascii="宋体" w:hAnsi="宋体" w:eastAsia="宋体" w:cs="宋体"/>
          <w:b w:val="0"/>
          <w:i w:val="0"/>
          <w:caps w:val="0"/>
          <w:color w:val="auto"/>
          <w:spacing w:val="0"/>
          <w:w w:val="100"/>
          <w:kern w:val="2"/>
          <w:position w:val="0"/>
          <w:sz w:val="28"/>
          <w:szCs w:val="28"/>
          <w:highlight w:val="none"/>
          <w:lang w:val="en-US" w:eastAsia="zh-CN" w:bidi="ar-SA"/>
        </w:rPr>
        <w:t>（年/月/日）</w:t>
      </w:r>
    </w:p>
    <w:p w14:paraId="28DCAA71">
      <w:pPr>
        <w:pStyle w:val="22"/>
        <w:tabs>
          <w:tab w:val="left" w:pos="0"/>
        </w:tabs>
        <w:spacing w:line="360" w:lineRule="auto"/>
        <w:ind w:left="0" w:leftChars="0" w:firstLine="0" w:firstLineChars="0"/>
        <w:rPr>
          <w:rFonts w:hint="eastAsia" w:ascii="宋体" w:hAnsi="宋体" w:eastAsia="宋体" w:cs="宋体"/>
          <w:b/>
          <w:color w:val="auto"/>
          <w:sz w:val="36"/>
          <w:highlight w:val="none"/>
        </w:rPr>
      </w:pPr>
    </w:p>
    <w:p w14:paraId="7B906880">
      <w:pPr>
        <w:pStyle w:val="20"/>
        <w:tabs>
          <w:tab w:val="left" w:pos="8786"/>
        </w:tabs>
        <w:spacing w:after="0" w:line="360" w:lineRule="auto"/>
        <w:jc w:val="center"/>
        <w:outlineLvl w:val="1"/>
        <w:rPr>
          <w:rFonts w:hint="eastAsia" w:ascii="宋体" w:hAnsi="宋体" w:eastAsia="宋体" w:cs="宋体"/>
          <w:b/>
          <w:color w:val="auto"/>
          <w:sz w:val="28"/>
          <w:szCs w:val="28"/>
          <w:highlight w:val="none"/>
        </w:rPr>
      </w:pPr>
      <w:bookmarkStart w:id="257" w:name="_Toc480368421"/>
      <w:bookmarkStart w:id="258" w:name="_Toc6116"/>
      <w:r>
        <w:rPr>
          <w:rFonts w:hint="eastAsia" w:ascii="宋体" w:hAnsi="宋体" w:eastAsia="宋体" w:cs="宋体"/>
          <w:b/>
          <w:color w:val="auto"/>
          <w:sz w:val="28"/>
          <w:szCs w:val="28"/>
          <w:highlight w:val="none"/>
          <w:lang w:eastAsia="zh-CN"/>
        </w:rPr>
        <w:t>一</w:t>
      </w:r>
      <w:r>
        <w:rPr>
          <w:rFonts w:hint="eastAsia" w:ascii="宋体" w:hAnsi="宋体" w:eastAsia="宋体" w:cs="宋体"/>
          <w:b/>
          <w:color w:val="auto"/>
          <w:sz w:val="28"/>
          <w:szCs w:val="28"/>
          <w:highlight w:val="none"/>
        </w:rPr>
        <w:t>、资格审查</w:t>
      </w:r>
      <w:bookmarkEnd w:id="257"/>
      <w:bookmarkEnd w:id="258"/>
    </w:p>
    <w:p w14:paraId="7286CEA1">
      <w:pPr>
        <w:pStyle w:val="20"/>
        <w:tabs>
          <w:tab w:val="left" w:pos="8786"/>
        </w:tabs>
        <w:spacing w:after="0" w:line="360" w:lineRule="auto"/>
        <w:outlineLvl w:val="2"/>
        <w:rPr>
          <w:rFonts w:hint="eastAsia" w:ascii="宋体" w:hAnsi="宋体" w:eastAsia="宋体" w:cs="宋体"/>
          <w:b/>
          <w:color w:val="auto"/>
          <w:sz w:val="24"/>
          <w:highlight w:val="none"/>
          <w:lang w:val="en-US" w:eastAsia="zh-CN"/>
        </w:rPr>
      </w:pPr>
      <w:bookmarkStart w:id="259" w:name="_Toc28146"/>
      <w:r>
        <w:rPr>
          <w:rFonts w:hint="eastAsia" w:ascii="宋体" w:hAnsi="宋体" w:eastAsia="宋体" w:cs="宋体"/>
          <w:b/>
          <w:color w:val="auto"/>
          <w:sz w:val="24"/>
          <w:highlight w:val="none"/>
          <w:lang w:val="en-US" w:eastAsia="zh-CN"/>
        </w:rPr>
        <w:t>1.1《中华人民共和国政府采购法》第二十二条应当具备的条件；</w:t>
      </w:r>
      <w:bookmarkEnd w:id="259"/>
    </w:p>
    <w:p w14:paraId="4660A784">
      <w:pPr>
        <w:pStyle w:val="83"/>
        <w:pageBreakBefore w:val="0"/>
        <w:kinsoku/>
        <w:wordWrap/>
        <w:overflowPunct/>
        <w:topLinePunct w:val="0"/>
        <w:bidi w:val="0"/>
        <w:snapToGrid/>
        <w:spacing w:before="0" w:beforeAutospacing="0" w:after="0" w:afterAutospacing="0" w:line="360" w:lineRule="auto"/>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①具有独立承担民事责任的能力；</w:t>
      </w:r>
    </w:p>
    <w:p w14:paraId="00F69F1B">
      <w:pPr>
        <w:pStyle w:val="83"/>
        <w:pageBreakBefore w:val="0"/>
        <w:kinsoku/>
        <w:wordWrap/>
        <w:overflowPunct/>
        <w:topLinePunct w:val="0"/>
        <w:bidi w:val="0"/>
        <w:snapToGrid/>
        <w:spacing w:before="0" w:beforeAutospacing="0" w:after="0" w:afterAutospacing="0" w:line="360" w:lineRule="auto"/>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②具有良好的商业信誉和健全的财务会计制度；</w:t>
      </w:r>
    </w:p>
    <w:p w14:paraId="237DAF75">
      <w:pPr>
        <w:pStyle w:val="83"/>
        <w:pageBreakBefore w:val="0"/>
        <w:kinsoku/>
        <w:wordWrap/>
        <w:overflowPunct/>
        <w:topLinePunct w:val="0"/>
        <w:bidi w:val="0"/>
        <w:snapToGrid/>
        <w:spacing w:before="0" w:beforeAutospacing="0" w:after="0" w:afterAutospacing="0" w:line="360" w:lineRule="auto"/>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③具有履行合同所必需的设备和专业技术能力；</w:t>
      </w:r>
    </w:p>
    <w:p w14:paraId="640ACF05">
      <w:pPr>
        <w:pStyle w:val="83"/>
        <w:pageBreakBefore w:val="0"/>
        <w:kinsoku/>
        <w:wordWrap/>
        <w:overflowPunct/>
        <w:topLinePunct w:val="0"/>
        <w:bidi w:val="0"/>
        <w:snapToGrid/>
        <w:spacing w:before="0" w:beforeAutospacing="0" w:after="0" w:afterAutospacing="0" w:line="360" w:lineRule="auto"/>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④有依法缴纳税收和社会保障资金的良好记录；</w:t>
      </w:r>
    </w:p>
    <w:p w14:paraId="09E918FA">
      <w:pPr>
        <w:pStyle w:val="83"/>
        <w:pageBreakBefore w:val="0"/>
        <w:kinsoku/>
        <w:wordWrap/>
        <w:overflowPunct/>
        <w:topLinePunct w:val="0"/>
        <w:bidi w:val="0"/>
        <w:snapToGrid/>
        <w:spacing w:before="0" w:beforeAutospacing="0" w:after="0" w:afterAutospacing="0" w:line="360" w:lineRule="auto"/>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39E79B31">
      <w:pPr>
        <w:pStyle w:val="83"/>
        <w:pageBreakBefore w:val="0"/>
        <w:kinsoku/>
        <w:wordWrap/>
        <w:overflowPunct/>
        <w:topLinePunct w:val="0"/>
        <w:bidi w:val="0"/>
        <w:snapToGrid/>
        <w:spacing w:before="0" w:beforeAutospacing="0" w:after="0" w:afterAutospacing="0" w:line="360" w:lineRule="auto"/>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⑥</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法律、行政法规规定的其他条件;</w:t>
      </w:r>
    </w:p>
    <w:p w14:paraId="1BF54A81">
      <w:pPr>
        <w:pStyle w:val="85"/>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t>须提供以下资料：</w:t>
      </w:r>
    </w:p>
    <w:p w14:paraId="07D27E76">
      <w:pPr>
        <w:pStyle w:val="86"/>
        <w:pageBreakBefore w:val="0"/>
        <w:widowControl/>
        <w:kinsoku/>
        <w:wordWrap/>
        <w:overflowPunct/>
        <w:topLinePunct w:val="0"/>
        <w:bidi w:val="0"/>
        <w:snapToGrid/>
        <w:spacing w:before="0" w:beforeAutospacing="0" w:after="0" w:afterAutospacing="0" w:line="440" w:lineRule="exact"/>
        <w:jc w:val="both"/>
        <w:textAlignment w:val="baseline"/>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1.1.1、具有独立承担民事责任的能力；须提供相关证明材料，其中：</w:t>
      </w:r>
    </w:p>
    <w:p w14:paraId="78410F1E">
      <w:pPr>
        <w:pStyle w:val="87"/>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供应商是企业（包括合伙企业）的，</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5DF5C6FD">
      <w:pPr>
        <w:pStyle w:val="87"/>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供应商是事业单位的</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，须提供其有效的“事业单位法人证书”复印件；</w:t>
      </w:r>
    </w:p>
    <w:p w14:paraId="094EAC48">
      <w:pPr>
        <w:pStyle w:val="87"/>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供应商是非企业专业服务机构的，</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须提供其有效的执业许可证复印件；</w:t>
      </w:r>
    </w:p>
    <w:p w14:paraId="07180CB1">
      <w:pPr>
        <w:pStyle w:val="87"/>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供应商是个体工商户的，</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须提供其有效的“个体工商户营业执照” 复印件；</w:t>
      </w:r>
    </w:p>
    <w:p w14:paraId="784AA99F">
      <w:pPr>
        <w:pStyle w:val="87"/>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以上复印件须加盖供应商公章。</w:t>
      </w:r>
    </w:p>
    <w:p w14:paraId="557DF30A">
      <w:pPr>
        <w:pStyle w:val="87"/>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供应商是自然人的，</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应提供其有效的自然人身份证明；</w:t>
      </w:r>
    </w:p>
    <w:p w14:paraId="2804AD17">
      <w:pPr>
        <w:pStyle w:val="86"/>
        <w:pageBreakBefore w:val="0"/>
        <w:widowControl/>
        <w:kinsoku/>
        <w:wordWrap/>
        <w:overflowPunct/>
        <w:topLinePunct w:val="0"/>
        <w:bidi w:val="0"/>
        <w:snapToGrid/>
        <w:spacing w:before="0" w:beforeAutospacing="0" w:after="0" w:afterAutospacing="0" w:line="440" w:lineRule="exact"/>
        <w:jc w:val="both"/>
        <w:textAlignment w:val="baseline"/>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1.1.2、具有良好的商业信誉和健全的财务会计制度；须提供相关证明材料，其中：</w:t>
      </w:r>
    </w:p>
    <w:p w14:paraId="301A5093">
      <w:pPr>
        <w:pStyle w:val="87"/>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供应商是法人的，</w:t>
      </w:r>
      <w:r>
        <w:rPr>
          <w:rStyle w:val="53"/>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543CBD62">
      <w:pPr>
        <w:pStyle w:val="87"/>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供应商是其他组织或自然人的，</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须提供银行出具的资信证明原件；</w:t>
      </w:r>
    </w:p>
    <w:p w14:paraId="0C404ADD">
      <w:pPr>
        <w:pStyle w:val="86"/>
        <w:pageBreakBefore w:val="0"/>
        <w:widowControl/>
        <w:kinsoku/>
        <w:wordWrap/>
        <w:overflowPunct/>
        <w:topLinePunct w:val="0"/>
        <w:bidi w:val="0"/>
        <w:snapToGrid/>
        <w:spacing w:before="0" w:beforeAutospacing="0" w:after="0" w:afterAutospacing="0" w:line="440" w:lineRule="exact"/>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03995CD7">
      <w:pPr>
        <w:pStyle w:val="87"/>
        <w:pageBreakBefore w:val="0"/>
        <w:widowControl/>
        <w:kinsoku/>
        <w:wordWrap/>
        <w:overflowPunct/>
        <w:topLinePunct w:val="0"/>
        <w:bidi w:val="0"/>
        <w:snapToGrid w:val="0"/>
        <w:spacing w:before="0" w:beforeAutospacing="0" w:after="0" w:afterAutospacing="0" w:line="240" w:lineRule="auto"/>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2457DB4C">
      <w:pPr>
        <w:pStyle w:val="87"/>
        <w:pageBreakBefore w:val="0"/>
        <w:widowControl/>
        <w:kinsoku/>
        <w:wordWrap/>
        <w:overflowPunct/>
        <w:topLinePunct w:val="0"/>
        <w:bidi w:val="0"/>
        <w:snapToGrid w:val="0"/>
        <w:spacing w:before="0" w:beforeAutospacing="0" w:after="0" w:afterAutospacing="0" w:line="240" w:lineRule="auto"/>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1.1.3、具有履行合同所必需的设备和专业技术能力；须附相关证明材料或书面声明</w:t>
      </w:r>
    </w:p>
    <w:p w14:paraId="6D502015">
      <w:pPr>
        <w:pStyle w:val="85"/>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4BCAD96E">
      <w:pPr>
        <w:pStyle w:val="85"/>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t>书面声明格式：</w:t>
      </w:r>
    </w:p>
    <w:p w14:paraId="41695D57">
      <w:pPr>
        <w:pStyle w:val="88"/>
        <w:pageBreakBefore w:val="0"/>
        <w:kinsoku/>
        <w:wordWrap/>
        <w:overflowPunct/>
        <w:topLinePunct w:val="0"/>
        <w:bidi w:val="0"/>
        <w:snapToGrid/>
        <w:spacing w:before="0" w:beforeAutospacing="0" w:after="0" w:afterAutospacing="0" w:line="240" w:lineRule="auto"/>
        <w:jc w:val="both"/>
        <w:textAlignment w:val="baseline"/>
        <w:rPr>
          <w:rStyle w:val="53"/>
          <w:rFonts w:hint="eastAsia" w:ascii="宋体" w:hAnsi="宋体" w:eastAsia="宋体" w:cs="宋体"/>
          <w:b w:val="0"/>
          <w:i w:val="0"/>
          <w:caps w:val="0"/>
          <w:color w:val="auto"/>
          <w:spacing w:val="0"/>
          <w:w w:val="100"/>
          <w:kern w:val="2"/>
          <w:position w:val="0"/>
          <w:sz w:val="21"/>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1"/>
          <w:szCs w:val="22"/>
          <w:highlight w:val="none"/>
          <w:lang w:val="en-US" w:eastAsia="zh-CN" w:bidi="ar-SA"/>
        </w:rPr>
        <w:t xml:space="preserve"> </w:t>
      </w:r>
    </w:p>
    <w:p w14:paraId="277D1C48">
      <w:pPr>
        <w:pStyle w:val="85"/>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t>本供应商郑重声明：</w:t>
      </w:r>
    </w:p>
    <w:p w14:paraId="1EFF8A33">
      <w:pPr>
        <w:pStyle w:val="85"/>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0B706F03">
      <w:pPr>
        <w:pStyle w:val="86"/>
        <w:pageBreakBefore w:val="0"/>
        <w:widowControl/>
        <w:kinsoku/>
        <w:wordWrap/>
        <w:overflowPunct/>
        <w:topLinePunct w:val="0"/>
        <w:bidi w:val="0"/>
        <w:snapToGrid w:val="0"/>
        <w:spacing w:before="0" w:beforeAutospacing="0" w:after="0" w:afterAutospacing="0" w:line="440" w:lineRule="exact"/>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p>
    <w:p w14:paraId="0BE2E8BB">
      <w:pPr>
        <w:pStyle w:val="86"/>
        <w:pageBreakBefore w:val="0"/>
        <w:widowControl/>
        <w:kinsoku/>
        <w:wordWrap/>
        <w:overflowPunct/>
        <w:topLinePunct w:val="0"/>
        <w:bidi w:val="0"/>
        <w:snapToGrid w:val="0"/>
        <w:spacing w:before="0" w:beforeAutospacing="0" w:after="0" w:afterAutospacing="0" w:line="440" w:lineRule="exact"/>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1A05CD27">
      <w:pPr>
        <w:pStyle w:val="87"/>
        <w:pageBreakBefore w:val="0"/>
        <w:widowControl/>
        <w:kinsoku/>
        <w:wordWrap/>
        <w:overflowPunct/>
        <w:topLinePunct w:val="0"/>
        <w:bidi w:val="0"/>
        <w:snapToGrid w:val="0"/>
        <w:spacing w:before="0" w:beforeAutospacing="0" w:after="0" w:afterAutospacing="0" w:line="440" w:lineRule="exact"/>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41362048">
      <w:pPr>
        <w:pStyle w:val="85"/>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00043BE4">
      <w:pPr>
        <w:pStyle w:val="87"/>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1.1.4、有依法缴纳税收和社会保障资金的良好记录；须提供</w:t>
      </w:r>
      <w:r>
        <w:rPr>
          <w:rStyle w:val="53"/>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53"/>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55B020A3">
      <w:pPr>
        <w:pStyle w:val="85"/>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590187D4">
      <w:pPr>
        <w:pStyle w:val="85"/>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3E74E53F">
      <w:pPr>
        <w:pStyle w:val="85"/>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5CF06335">
      <w:pPr>
        <w:pStyle w:val="85"/>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t xml:space="preserve"> </w:t>
      </w:r>
    </w:p>
    <w:p w14:paraId="040BD6C7">
      <w:pPr>
        <w:pStyle w:val="86"/>
        <w:pageBreakBefore w:val="0"/>
        <w:widowControl/>
        <w:kinsoku/>
        <w:wordWrap/>
        <w:overflowPunct/>
        <w:topLinePunct w:val="0"/>
        <w:bidi w:val="0"/>
        <w:snapToGrid/>
        <w:spacing w:before="0" w:beforeAutospacing="0" w:after="0" w:afterAutospacing="0" w:line="360" w:lineRule="auto"/>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我单位郑重声明： </w:t>
      </w:r>
    </w:p>
    <w:p w14:paraId="1B1C5CE8">
      <w:pPr>
        <w:pStyle w:val="86"/>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62362EE9">
      <w:pPr>
        <w:pStyle w:val="86"/>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76D5A33D">
      <w:pPr>
        <w:pStyle w:val="87"/>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23009B34">
      <w:pPr>
        <w:pStyle w:val="86"/>
        <w:pageBreakBefore w:val="0"/>
        <w:widowControl/>
        <w:kinsoku/>
        <w:wordWrap/>
        <w:overflowPunct/>
        <w:topLinePunct w:val="0"/>
        <w:bidi w:val="0"/>
        <w:snapToGrid w:val="0"/>
        <w:spacing w:before="0" w:beforeAutospacing="0" w:after="0" w:afterAutospacing="0" w:line="440" w:lineRule="exact"/>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p>
    <w:p w14:paraId="17DF673A">
      <w:pPr>
        <w:pStyle w:val="86"/>
        <w:pageBreakBefore w:val="0"/>
        <w:widowControl/>
        <w:kinsoku/>
        <w:wordWrap/>
        <w:overflowPunct/>
        <w:topLinePunct w:val="0"/>
        <w:bidi w:val="0"/>
        <w:snapToGrid w:val="0"/>
        <w:spacing w:before="0" w:beforeAutospacing="0" w:after="0" w:afterAutospacing="0" w:line="440" w:lineRule="exact"/>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7E144C9C">
      <w:pPr>
        <w:pStyle w:val="87"/>
        <w:pageBreakBefore w:val="0"/>
        <w:widowControl/>
        <w:kinsoku/>
        <w:wordWrap/>
        <w:overflowPunct/>
        <w:topLinePunct w:val="0"/>
        <w:bidi w:val="0"/>
        <w:snapToGrid w:val="0"/>
        <w:spacing w:before="0" w:beforeAutospacing="0" w:after="0" w:afterAutospacing="0" w:line="440" w:lineRule="exact"/>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485DE9CC">
      <w:pPr>
        <w:pStyle w:val="89"/>
        <w:pageBreakBefore w:val="0"/>
        <w:widowControl/>
        <w:kinsoku/>
        <w:wordWrap/>
        <w:overflowPunct/>
        <w:topLinePunct w:val="0"/>
        <w:bidi w:val="0"/>
        <w:snapToGrid/>
        <w:spacing w:before="0" w:beforeAutospacing="0" w:after="0" w:afterAutospacing="0" w:line="440" w:lineRule="exact"/>
        <w:jc w:val="both"/>
        <w:textAlignment w:val="baseline"/>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64717FD1">
      <w:pPr>
        <w:pStyle w:val="89"/>
        <w:pageBreakBefore w:val="0"/>
        <w:widowControl/>
        <w:kinsoku/>
        <w:wordWrap/>
        <w:overflowPunct/>
        <w:topLinePunct w:val="0"/>
        <w:bidi w:val="0"/>
        <w:snapToGrid/>
        <w:spacing w:before="0" w:beforeAutospacing="0" w:after="0" w:afterAutospacing="0" w:line="440" w:lineRule="exact"/>
        <w:jc w:val="both"/>
        <w:textAlignment w:val="baseline"/>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t>6、法律、行政法规规定的其他条件;</w:t>
      </w:r>
    </w:p>
    <w:p w14:paraId="1679E7DC">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14:paraId="05B353ED">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14:paraId="1683705E">
      <w:pPr>
        <w:pStyle w:val="82"/>
        <w:pageBreakBefore w:val="0"/>
        <w:widowControl/>
        <w:kinsoku/>
        <w:wordWrap/>
        <w:overflowPunct/>
        <w:topLinePunct w:val="0"/>
        <w:bidi w:val="0"/>
        <w:snapToGrid/>
        <w:spacing w:before="0" w:beforeAutospacing="0" w:after="0" w:afterAutospacing="0" w:line="240" w:lineRule="auto"/>
        <w:jc w:val="both"/>
        <w:textAlignment w:val="baseline"/>
        <w:rPr>
          <w:rStyle w:val="53"/>
          <w:rFonts w:hint="eastAsia" w:ascii="宋体" w:hAnsi="宋体" w:eastAsia="宋体" w:cs="宋体"/>
          <w:b/>
          <w:i w:val="0"/>
          <w:caps w:val="0"/>
          <w:color w:val="auto"/>
          <w:spacing w:val="0"/>
          <w:w w:val="100"/>
          <w:position w:val="0"/>
          <w:sz w:val="32"/>
          <w:szCs w:val="24"/>
          <w:highlight w:val="none"/>
          <w:lang w:bidi="ar-SA"/>
        </w:rPr>
      </w:pPr>
      <w:r>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10CE699F">
      <w:pPr>
        <w:pStyle w:val="59"/>
        <w:rPr>
          <w:rFonts w:hint="eastAsia" w:ascii="宋体" w:hAnsi="宋体" w:eastAsia="宋体" w:cs="宋体"/>
          <w:color w:val="auto"/>
          <w:highlight w:val="none"/>
        </w:rPr>
      </w:pPr>
    </w:p>
    <w:p w14:paraId="60226F65">
      <w:pPr>
        <w:pStyle w:val="20"/>
        <w:tabs>
          <w:tab w:val="left" w:pos="8786"/>
        </w:tabs>
        <w:spacing w:after="0" w:line="360" w:lineRule="auto"/>
        <w:outlineLvl w:val="2"/>
        <w:rPr>
          <w:rFonts w:hint="eastAsia" w:ascii="宋体" w:hAnsi="宋体" w:eastAsia="宋体" w:cs="宋体"/>
          <w:b/>
          <w:color w:val="auto"/>
          <w:sz w:val="24"/>
          <w:highlight w:val="none"/>
        </w:rPr>
      </w:pPr>
      <w:bookmarkStart w:id="260" w:name="_Toc23974"/>
      <w:bookmarkStart w:id="261" w:name="_Toc480368426"/>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rPr>
        <w:t>投标保证金</w:t>
      </w:r>
      <w:bookmarkEnd w:id="260"/>
      <w:bookmarkEnd w:id="261"/>
    </w:p>
    <w:p w14:paraId="1C1EDC1F">
      <w:pPr>
        <w:pStyle w:val="20"/>
        <w:tabs>
          <w:tab w:val="left" w:pos="8786"/>
        </w:tabs>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说明：此处</w:t>
      </w:r>
      <w:r>
        <w:rPr>
          <w:rFonts w:hint="eastAsia" w:ascii="宋体" w:hAnsi="宋体" w:eastAsia="宋体" w:cs="宋体"/>
          <w:color w:val="auto"/>
          <w:sz w:val="24"/>
          <w:highlight w:val="none"/>
          <w:lang w:eastAsia="zh-CN"/>
        </w:rPr>
        <w:t>附</w:t>
      </w:r>
      <w:r>
        <w:rPr>
          <w:rFonts w:hint="eastAsia" w:ascii="宋体" w:hAnsi="宋体" w:eastAsia="宋体" w:cs="宋体"/>
          <w:color w:val="auto"/>
          <w:sz w:val="24"/>
          <w:highlight w:val="none"/>
        </w:rPr>
        <w:t>投标保证金缴纳证明文件；</w:t>
      </w:r>
    </w:p>
    <w:p w14:paraId="443B0CFF">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1146A0D0">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6E8398B3">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0E29D35C">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500F3633">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313CC424">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72453434">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490402D1">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0B1100CC">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6E6E95E4">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6D139FCF">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6535ABD4">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08366302">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381FDB2B">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03747CFC">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429BF584">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5855CBE5">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58448F4A">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48B1F556">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1A241744">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4C05B185">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614ADE20">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65C758C5">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559DE553">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49A8F584">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6E4B9082">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6F055D0E">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3223E26A">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1E796713">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p>
    <w:p w14:paraId="066B6B66">
      <w:pPr>
        <w:pStyle w:val="20"/>
        <w:tabs>
          <w:tab w:val="left" w:pos="8786"/>
        </w:tabs>
        <w:spacing w:after="0" w:line="360" w:lineRule="auto"/>
        <w:jc w:val="center"/>
        <w:outlineLvl w:val="1"/>
        <w:rPr>
          <w:rFonts w:hint="eastAsia" w:ascii="宋体" w:hAnsi="宋体" w:eastAsia="宋体" w:cs="宋体"/>
          <w:b/>
          <w:color w:val="auto"/>
          <w:sz w:val="24"/>
          <w:szCs w:val="24"/>
          <w:highlight w:val="none"/>
        </w:rPr>
      </w:pPr>
      <w:bookmarkStart w:id="262" w:name="_Toc15844"/>
      <w:bookmarkStart w:id="263" w:name="_Toc480368432"/>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、商务文件</w:t>
      </w:r>
      <w:bookmarkEnd w:id="262"/>
      <w:bookmarkEnd w:id="263"/>
    </w:p>
    <w:p w14:paraId="5EE19137">
      <w:pPr>
        <w:pStyle w:val="20"/>
        <w:keepNext w:val="0"/>
        <w:keepLines w:val="0"/>
        <w:pageBreakBefore w:val="0"/>
        <w:tabs>
          <w:tab w:val="left" w:pos="8786"/>
        </w:tabs>
        <w:kinsoku/>
        <w:wordWrap/>
        <w:overflowPunct/>
        <w:topLinePunct w:val="0"/>
        <w:autoSpaceDE/>
        <w:autoSpaceDN/>
        <w:bidi w:val="0"/>
        <w:adjustRightInd/>
        <w:snapToGrid/>
        <w:spacing w:after="0" w:line="440" w:lineRule="exact"/>
        <w:ind w:left="0" w:leftChars="0"/>
        <w:textAlignment w:val="auto"/>
        <w:outlineLvl w:val="2"/>
        <w:rPr>
          <w:rFonts w:hint="eastAsia" w:ascii="宋体" w:hAnsi="宋体" w:eastAsia="宋体" w:cs="宋体"/>
          <w:b/>
          <w:color w:val="auto"/>
          <w:sz w:val="24"/>
          <w:szCs w:val="24"/>
          <w:highlight w:val="none"/>
        </w:rPr>
      </w:pPr>
      <w:bookmarkStart w:id="264" w:name="_Toc480368433"/>
      <w:bookmarkStart w:id="265" w:name="_Toc16458"/>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rPr>
        <w:t>投标函</w:t>
      </w:r>
      <w:bookmarkEnd w:id="264"/>
      <w:bookmarkEnd w:id="265"/>
    </w:p>
    <w:p w14:paraId="73A08788">
      <w:pPr>
        <w:pStyle w:val="26"/>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D72E869">
      <w:pPr>
        <w:pStyle w:val="26"/>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授权代理人姓名)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(职务、职称)为我方代表，参加贵方组织的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(项目名称、项目编号)招标的有关活动，并对此项目进行投标。为此：</w:t>
      </w:r>
    </w:p>
    <w:p w14:paraId="6DAAF53F">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1、我方同意在本项目招标文件中规定的投标有效期内遵守本投标文件中的承诺且在此期限期满之前均具有约束力。</w:t>
      </w:r>
    </w:p>
    <w:p w14:paraId="25E51FB3">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2、我方承诺已经具备《中华人民共和国政府采购法》中规定的参加政府采购活动的供应商应当具备的条件：</w:t>
      </w:r>
    </w:p>
    <w:p w14:paraId="6D49D994">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467CCE31">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286E1DD1">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4B22CC34">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4FD4704F">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5）参加此项采购活动前三年内，在经营活动中没有重大违法记录；</w:t>
      </w:r>
    </w:p>
    <w:p w14:paraId="1AFC8D6D">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107CEEE4">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须知规定的全部投标文件，包括在平台上传加密电子投标文件。</w:t>
      </w:r>
    </w:p>
    <w:p w14:paraId="340AE9AD">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4、按招标文件要求提供和交付的货物及相关服务的投标报价详见开标一览表。</w:t>
      </w:r>
    </w:p>
    <w:p w14:paraId="50C0E4BA">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5、保证忠实地执行双方所签订的合同，并承担合同规定的责任和义务。</w:t>
      </w:r>
    </w:p>
    <w:p w14:paraId="014B4D74">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6、我方承诺完全满足和响应招标文件中的各项技术和服务要求，若有偏差，已在投标文件偏离表中予以明确特别说明。</w:t>
      </w:r>
    </w:p>
    <w:p w14:paraId="70F0F9DE">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7、我方承诺：完全理解投标报价若超过项目预算时，投标将被拒绝。</w:t>
      </w:r>
    </w:p>
    <w:p w14:paraId="0DAF5441">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8、我方承诺：与在本项目中设计编制技术规格的机构及其附属机构无任何直接隶属关系和利益关联。</w:t>
      </w:r>
    </w:p>
    <w:p w14:paraId="69949551">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9、如果在开标后规定的投标有效期内撤回投标，我方的投标保证金可被贵方没收。</w:t>
      </w:r>
    </w:p>
    <w:p w14:paraId="3A3B856F">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10、我方完全理解贵方不一定接受最低价的投标或收到的任何投标。</w:t>
      </w:r>
    </w:p>
    <w:p w14:paraId="21F3AB80">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4EE59A46">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12、我方已详细审核全部投标文件，包括投标文件修改书（如有的话）、参考资料及有关附件，确认无误。</w:t>
      </w:r>
    </w:p>
    <w:p w14:paraId="400291F4">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13、我方承诺：采购人若需追加采购本项目招标文件所列货物及相关服务的，在不改变合同其他实质性条款的前提下，按相同或更优惠的折扣率保证供货。</w:t>
      </w:r>
    </w:p>
    <w:p w14:paraId="6DFB8DBE">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14、我方承诺：如所报货物属国家强制认证产品的，均已通过认证且在有效期内，否则，由此产生的一切法律责任由我方承担。</w:t>
      </w:r>
    </w:p>
    <w:p w14:paraId="57AB9079">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15、我方承诺：接受招标文件中的全部条款且无任何异议，保证遵守招标文件的规定。</w:t>
      </w:r>
    </w:p>
    <w:p w14:paraId="2EA4E432">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C712B9">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1）提供虚假材料谋取中标、成交的；</w:t>
      </w:r>
    </w:p>
    <w:p w14:paraId="6EF30666">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2）采取不正当手段诋毁、排挤其他供应商的；</w:t>
      </w:r>
    </w:p>
    <w:p w14:paraId="49ABB845">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3）与采购人、其他供应商或者采购代理机构工作人员恶意串通的；</w:t>
      </w:r>
    </w:p>
    <w:p w14:paraId="3D96061C">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4）向采购人、采购代理机构工作人员行贿或者提供其他不正当利益的；</w:t>
      </w:r>
    </w:p>
    <w:p w14:paraId="14C78733">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5）在采购过程中与采购人进行协商谈判的；</w:t>
      </w:r>
    </w:p>
    <w:p w14:paraId="0F4AFE5A">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6）拒绝有关部门监督检查或提供虚假情况的。</w:t>
      </w:r>
    </w:p>
    <w:p w14:paraId="5EDF42AB">
      <w:pPr>
        <w:keepNext w:val="0"/>
        <w:keepLines w:val="0"/>
        <w:pageBreakBefore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w:t>
      </w:r>
    </w:p>
    <w:p w14:paraId="5511334D">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与本投标有关的一切往来通讯请寄：</w:t>
      </w:r>
    </w:p>
    <w:p w14:paraId="65F28B87">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地址：____________________________________________________</w:t>
      </w:r>
    </w:p>
    <w:p w14:paraId="46D19615">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邮编：____________　</w:t>
      </w:r>
    </w:p>
    <w:p w14:paraId="23CB0A70">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法定代表人或授权代理人联系电话：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43B160A">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w:t>
      </w:r>
    </w:p>
    <w:p w14:paraId="4780239D">
      <w:pPr>
        <w:keepNext w:val="0"/>
        <w:keepLines w:val="0"/>
        <w:pageBreakBefore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法定代表人电子签章：</w:t>
      </w:r>
    </w:p>
    <w:p w14:paraId="7B55768A">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EF24026">
      <w:pPr>
        <w:pStyle w:val="26"/>
        <w:widowControl/>
        <w:spacing w:line="240" w:lineRule="auto"/>
        <w:ind w:left="0" w:leftChars="0"/>
        <w:rPr>
          <w:rFonts w:hint="eastAsia" w:ascii="宋体" w:hAnsi="宋体" w:eastAsia="宋体" w:cs="宋体"/>
          <w:color w:val="auto"/>
          <w:sz w:val="24"/>
          <w:highlight w:val="none"/>
        </w:rPr>
      </w:pPr>
    </w:p>
    <w:p w14:paraId="4447C64C">
      <w:pPr>
        <w:bidi w:val="0"/>
        <w:rPr>
          <w:rFonts w:hint="eastAsia" w:ascii="宋体" w:hAnsi="宋体" w:eastAsia="宋体" w:cs="宋体"/>
          <w:color w:val="auto"/>
          <w:highlight w:val="none"/>
          <w:lang w:val="en-US" w:eastAsia="zh-CN"/>
        </w:rPr>
      </w:pPr>
      <w:bookmarkStart w:id="266" w:name="_Toc31784"/>
      <w:bookmarkStart w:id="267" w:name="_Toc480368423"/>
      <w:bookmarkStart w:id="268" w:name="_Toc480368434"/>
    </w:p>
    <w:p w14:paraId="4A87960D">
      <w:pPr>
        <w:pStyle w:val="20"/>
        <w:tabs>
          <w:tab w:val="left" w:pos="8786"/>
        </w:tabs>
        <w:spacing w:after="0" w:line="360" w:lineRule="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2.2</w:t>
      </w:r>
      <w:r>
        <w:rPr>
          <w:rFonts w:hint="eastAsia" w:ascii="宋体" w:hAnsi="宋体" w:eastAsia="宋体" w:cs="宋体"/>
          <w:b/>
          <w:color w:val="auto"/>
          <w:sz w:val="24"/>
          <w:highlight w:val="none"/>
        </w:rPr>
        <w:t>法定代表人身份证明及授权委托书</w:t>
      </w:r>
      <w:bookmarkEnd w:id="266"/>
      <w:bookmarkEnd w:id="267"/>
    </w:p>
    <w:p w14:paraId="563D3830">
      <w:pPr>
        <w:pStyle w:val="59"/>
        <w:adjustRightInd w:val="0"/>
        <w:snapToGrid w:val="0"/>
        <w:spacing w:line="500" w:lineRule="exact"/>
        <w:jc w:val="center"/>
        <w:rPr>
          <w:rFonts w:hint="eastAsia" w:ascii="宋体" w:hAnsi="宋体" w:eastAsia="宋体" w:cs="宋体"/>
          <w:color w:val="auto"/>
          <w:sz w:val="24"/>
          <w:szCs w:val="24"/>
          <w:highlight w:val="none"/>
        </w:rPr>
      </w:pPr>
      <w:bookmarkStart w:id="269" w:name="_Toc487101376"/>
      <w:bookmarkEnd w:id="269"/>
      <w:bookmarkStart w:id="270" w:name="_Toc480371721"/>
      <w:bookmarkEnd w:id="270"/>
      <w:bookmarkStart w:id="271" w:name="_Toc480368424"/>
      <w:bookmarkEnd w:id="271"/>
      <w:bookmarkStart w:id="272" w:name="_Toc480368653"/>
      <w:bookmarkEnd w:id="272"/>
      <w:bookmarkStart w:id="273" w:name="_Toc480368595"/>
      <w:bookmarkEnd w:id="273"/>
      <w:bookmarkStart w:id="274" w:name="_Toc468535482"/>
      <w:bookmarkEnd w:id="274"/>
      <w:bookmarkStart w:id="275" w:name="_Toc487101447"/>
      <w:bookmarkEnd w:id="275"/>
      <w:bookmarkStart w:id="276" w:name="_Toc487101305"/>
      <w:bookmarkEnd w:id="276"/>
      <w:r>
        <w:rPr>
          <w:rFonts w:hint="eastAsia" w:ascii="宋体" w:hAnsi="宋体" w:eastAsia="宋体" w:cs="宋体"/>
          <w:color w:val="auto"/>
          <w:sz w:val="24"/>
          <w:szCs w:val="24"/>
          <w:highlight w:val="none"/>
        </w:rPr>
        <w:t>法定代表人资格证明文件</w:t>
      </w:r>
    </w:p>
    <w:p w14:paraId="508614E2">
      <w:pPr>
        <w:pStyle w:val="5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63690E69">
      <w:pPr>
        <w:pStyle w:val="59"/>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公司法定代表人，代表我公司办理一切社会公务事宜，具有法律效力。 </w:t>
      </w:r>
    </w:p>
    <w:p w14:paraId="2EE1310B">
      <w:pPr>
        <w:pStyle w:val="59"/>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附法定代表人基本情况： </w:t>
      </w:r>
    </w:p>
    <w:p w14:paraId="5B55FFA8">
      <w:pPr>
        <w:pStyle w:val="59"/>
        <w:adjustRightInd w:val="0"/>
        <w:snapToGrid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26FF4DB8">
      <w:pPr>
        <w:pStyle w:val="59"/>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BA5520C">
      <w:pPr>
        <w:pStyle w:val="59"/>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14:paraId="63535D5C">
      <w:pPr>
        <w:pStyle w:val="59"/>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188FD8D4">
      <w:pPr>
        <w:pStyle w:val="5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38"/>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398C4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6FCD7907">
            <w:pPr>
              <w:pStyle w:val="100"/>
              <w:pageBreakBefore w:val="0"/>
              <w:kinsoku/>
              <w:wordWrap/>
              <w:overflowPunct/>
              <w:topLinePunct w:val="0"/>
              <w:bidi w:val="0"/>
              <w:snapToGrid w:val="0"/>
              <w:spacing w:before="0" w:beforeAutospacing="0" w:after="0" w:afterAutospacing="0" w:line="500" w:lineRule="exact"/>
              <w:jc w:val="center"/>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60834157">
            <w:pPr>
              <w:pStyle w:val="100"/>
              <w:pageBreakBefore w:val="0"/>
              <w:kinsoku/>
              <w:wordWrap/>
              <w:overflowPunct/>
              <w:topLinePunct w:val="0"/>
              <w:bidi w:val="0"/>
              <w:snapToGrid w:val="0"/>
              <w:spacing w:before="0" w:beforeAutospacing="0" w:after="0" w:afterAutospacing="0" w:line="500" w:lineRule="exact"/>
              <w:jc w:val="center"/>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35C9109A">
            <w:pPr>
              <w:pStyle w:val="100"/>
              <w:pageBreakBefore w:val="0"/>
              <w:kinsoku/>
              <w:wordWrap/>
              <w:overflowPunct/>
              <w:topLinePunct w:val="0"/>
              <w:bidi w:val="0"/>
              <w:snapToGrid w:val="0"/>
              <w:spacing w:before="0" w:beforeAutospacing="0" w:after="0" w:afterAutospacing="0" w:line="500" w:lineRule="exact"/>
              <w:jc w:val="center"/>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4B01EB72">
      <w:pPr>
        <w:pStyle w:val="59"/>
        <w:adjustRightInd w:val="0"/>
        <w:snapToGrid w:val="0"/>
        <w:spacing w:line="500" w:lineRule="exact"/>
        <w:rPr>
          <w:rFonts w:hint="eastAsia" w:ascii="宋体" w:hAnsi="宋体" w:eastAsia="宋体" w:cs="宋体"/>
          <w:color w:val="auto"/>
          <w:sz w:val="24"/>
          <w:szCs w:val="24"/>
          <w:highlight w:val="none"/>
        </w:rPr>
      </w:pPr>
    </w:p>
    <w:p w14:paraId="3D8F71AC">
      <w:pPr>
        <w:pStyle w:val="59"/>
        <w:tabs>
          <w:tab w:val="left" w:pos="750"/>
        </w:tabs>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名称（签章）：</w:t>
      </w:r>
      <w:r>
        <w:rPr>
          <w:rFonts w:hint="eastAsia" w:ascii="宋体" w:hAnsi="宋体" w:eastAsia="宋体" w:cs="宋体"/>
          <w:color w:val="auto"/>
          <w:sz w:val="24"/>
          <w:szCs w:val="24"/>
          <w:highlight w:val="none"/>
          <w:u w:val="single"/>
        </w:rPr>
        <w:t xml:space="preserve">           </w:t>
      </w:r>
    </w:p>
    <w:p w14:paraId="0444E7C9">
      <w:pPr>
        <w:pStyle w:val="59"/>
        <w:tabs>
          <w:tab w:val="left" w:pos="750"/>
        </w:tabs>
        <w:adjustRightInd w:val="0"/>
        <w:snapToGrid w:val="0"/>
        <w:spacing w:line="500" w:lineRule="exact"/>
        <w:rPr>
          <w:rFonts w:hint="eastAsia" w:ascii="宋体" w:hAnsi="宋体" w:eastAsia="宋体" w:cs="宋体"/>
          <w:color w:val="auto"/>
          <w:sz w:val="24"/>
          <w:szCs w:val="24"/>
          <w:highlight w:val="none"/>
        </w:rPr>
      </w:pPr>
    </w:p>
    <w:p w14:paraId="69B8899B">
      <w:pPr>
        <w:pStyle w:val="59"/>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 ：</w:t>
      </w:r>
      <w:r>
        <w:rPr>
          <w:rFonts w:hint="eastAsia" w:ascii="宋体" w:hAnsi="宋体" w:eastAsia="宋体" w:cs="宋体"/>
          <w:color w:val="auto"/>
          <w:sz w:val="24"/>
          <w:szCs w:val="24"/>
          <w:highlight w:val="none"/>
          <w:u w:val="single"/>
        </w:rPr>
        <w:t xml:space="preserve">           </w:t>
      </w:r>
    </w:p>
    <w:p w14:paraId="70BD2815">
      <w:pPr>
        <w:pStyle w:val="59"/>
        <w:tabs>
          <w:tab w:val="left" w:pos="750"/>
        </w:tabs>
        <w:adjustRightInd w:val="0"/>
        <w:snapToGrid w:val="0"/>
        <w:spacing w:line="500" w:lineRule="exact"/>
        <w:rPr>
          <w:rFonts w:hint="eastAsia" w:ascii="宋体" w:hAnsi="宋体" w:eastAsia="宋体" w:cs="宋体"/>
          <w:color w:val="auto"/>
          <w:sz w:val="24"/>
          <w:szCs w:val="24"/>
          <w:highlight w:val="none"/>
        </w:rPr>
      </w:pPr>
    </w:p>
    <w:p w14:paraId="2A2FF982">
      <w:pPr>
        <w:pStyle w:val="59"/>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40C3F48">
      <w:pPr>
        <w:pStyle w:val="58"/>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bookmarkStart w:id="277" w:name="_Toc468535483"/>
    </w:p>
    <w:p w14:paraId="1D0C7AB0">
      <w:pPr>
        <w:pStyle w:val="58"/>
        <w:outlineLvl w:val="9"/>
        <w:rPr>
          <w:rFonts w:hint="eastAsia" w:ascii="宋体" w:hAnsi="宋体" w:eastAsia="宋体" w:cs="宋体"/>
          <w:color w:val="auto"/>
          <w:highlight w:val="none"/>
          <w:lang w:eastAsia="zh-CN"/>
        </w:rPr>
      </w:pPr>
    </w:p>
    <w:p w14:paraId="779B6F27">
      <w:pPr>
        <w:pStyle w:val="58"/>
        <w:outlineLvl w:val="9"/>
        <w:rPr>
          <w:rFonts w:hint="eastAsia" w:ascii="宋体" w:hAnsi="宋体" w:eastAsia="宋体" w:cs="宋体"/>
          <w:color w:val="auto"/>
          <w:highlight w:val="none"/>
          <w:lang w:eastAsia="zh-CN"/>
        </w:rPr>
      </w:pPr>
    </w:p>
    <w:p w14:paraId="3DAF3E21">
      <w:pPr>
        <w:pStyle w:val="59"/>
        <w:rPr>
          <w:rFonts w:hint="eastAsia" w:ascii="宋体" w:hAnsi="宋体" w:eastAsia="宋体" w:cs="宋体"/>
          <w:color w:val="auto"/>
          <w:highlight w:val="none"/>
          <w:lang w:eastAsia="zh-CN"/>
        </w:rPr>
      </w:pPr>
    </w:p>
    <w:p w14:paraId="0063AE43">
      <w:pPr>
        <w:pStyle w:val="59"/>
        <w:rPr>
          <w:rFonts w:hint="eastAsia" w:ascii="宋体" w:hAnsi="宋体" w:eastAsia="宋体" w:cs="宋体"/>
          <w:color w:val="auto"/>
          <w:highlight w:val="none"/>
          <w:lang w:eastAsia="zh-CN"/>
        </w:rPr>
      </w:pPr>
    </w:p>
    <w:bookmarkEnd w:id="277"/>
    <w:p w14:paraId="16AD6C2C">
      <w:pPr>
        <w:pStyle w:val="59"/>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法定代表人授权书</w:t>
      </w:r>
    </w:p>
    <w:p w14:paraId="717F9A20">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3FE7DEBD">
      <w:pPr>
        <w:pStyle w:val="59"/>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同志为我公司参加贵单位组织的编号为</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 目 名 称）</w:t>
      </w:r>
      <w:r>
        <w:rPr>
          <w:rFonts w:hint="eastAsia" w:ascii="宋体" w:hAnsi="宋体" w:eastAsia="宋体" w:cs="宋体"/>
          <w:color w:val="auto"/>
          <w:sz w:val="24"/>
          <w:szCs w:val="24"/>
          <w:highlight w:val="none"/>
        </w:rPr>
        <w:t>采购活动的投标代表人，全权代表我公司处理在该项目采购活动中的一切事宜。代理期限从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日止。 </w:t>
      </w:r>
    </w:p>
    <w:p w14:paraId="59A18398">
      <w:pPr>
        <w:pStyle w:val="59"/>
        <w:spacing w:line="500" w:lineRule="exact"/>
        <w:rPr>
          <w:rFonts w:hint="eastAsia" w:ascii="宋体" w:hAnsi="宋体" w:eastAsia="宋体" w:cs="宋体"/>
          <w:color w:val="auto"/>
          <w:sz w:val="24"/>
          <w:szCs w:val="24"/>
          <w:highlight w:val="none"/>
        </w:rPr>
      </w:pPr>
    </w:p>
    <w:p w14:paraId="6D33C9A9">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（签章）：</w:t>
      </w:r>
      <w:r>
        <w:rPr>
          <w:rFonts w:hint="eastAsia" w:ascii="宋体" w:hAnsi="宋体" w:eastAsia="宋体" w:cs="宋体"/>
          <w:color w:val="auto"/>
          <w:sz w:val="24"/>
          <w:szCs w:val="24"/>
          <w:highlight w:val="none"/>
          <w:u w:val="single"/>
        </w:rPr>
        <w:t xml:space="preserve">               </w:t>
      </w:r>
    </w:p>
    <w:p w14:paraId="40BE0F09">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r>
        <w:rPr>
          <w:rFonts w:hint="eastAsia" w:ascii="宋体" w:hAnsi="宋体" w:eastAsia="宋体" w:cs="宋体"/>
          <w:color w:val="auto"/>
          <w:sz w:val="24"/>
          <w:szCs w:val="24"/>
          <w:highlight w:val="none"/>
          <w:u w:val="single"/>
        </w:rPr>
        <w:t xml:space="preserve">       </w:t>
      </w:r>
    </w:p>
    <w:p w14:paraId="66FE5EE4">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D7EDE43">
      <w:pPr>
        <w:pStyle w:val="59"/>
        <w:spacing w:line="500" w:lineRule="exact"/>
        <w:rPr>
          <w:rFonts w:hint="eastAsia" w:ascii="宋体" w:hAnsi="宋体" w:eastAsia="宋体" w:cs="宋体"/>
          <w:color w:val="auto"/>
          <w:sz w:val="24"/>
          <w:szCs w:val="24"/>
          <w:highlight w:val="none"/>
        </w:rPr>
      </w:pPr>
    </w:p>
    <w:p w14:paraId="73A8E765">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19F07E52">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代理人工作单位：</w:t>
      </w:r>
      <w:r>
        <w:rPr>
          <w:rFonts w:hint="eastAsia" w:ascii="宋体" w:hAnsi="宋体" w:eastAsia="宋体" w:cs="宋体"/>
          <w:color w:val="auto"/>
          <w:sz w:val="24"/>
          <w:szCs w:val="24"/>
          <w:highlight w:val="none"/>
          <w:u w:val="single"/>
        </w:rPr>
        <w:t xml:space="preserve">                          </w:t>
      </w:r>
    </w:p>
    <w:p w14:paraId="36A85C17">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p>
    <w:p w14:paraId="3449FCB6">
      <w:pPr>
        <w:pStyle w:val="5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217CC80F">
      <w:pPr>
        <w:pStyle w:val="59"/>
        <w:adjustRightInd w:val="0"/>
        <w:snapToGrid w:val="0"/>
        <w:spacing w:line="500" w:lineRule="exact"/>
        <w:ind w:left="-88" w:leftChars="-42" w:firstLine="600" w:firstLineChars="250"/>
        <w:rPr>
          <w:rFonts w:hint="eastAsia" w:ascii="宋体" w:hAnsi="宋体" w:eastAsia="宋体" w:cs="宋体"/>
          <w:color w:val="auto"/>
          <w:sz w:val="24"/>
          <w:szCs w:val="24"/>
          <w:highlight w:val="none"/>
          <w:u w:val="single"/>
        </w:rPr>
      </w:pPr>
    </w:p>
    <w:tbl>
      <w:tblPr>
        <w:tblStyle w:val="38"/>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03666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5165D44F">
            <w:pPr>
              <w:pStyle w:val="100"/>
              <w:pageBreakBefore w:val="0"/>
              <w:kinsoku/>
              <w:wordWrap/>
              <w:overflowPunct/>
              <w:topLinePunct w:val="0"/>
              <w:bidi w:val="0"/>
              <w:snapToGrid w:val="0"/>
              <w:spacing w:before="0" w:beforeAutospacing="0" w:after="0" w:afterAutospacing="0" w:line="500" w:lineRule="exact"/>
              <w:jc w:val="center"/>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5431A962">
            <w:pPr>
              <w:pStyle w:val="100"/>
              <w:pageBreakBefore w:val="0"/>
              <w:kinsoku/>
              <w:wordWrap/>
              <w:overflowPunct/>
              <w:topLinePunct w:val="0"/>
              <w:bidi w:val="0"/>
              <w:snapToGrid w:val="0"/>
              <w:spacing w:before="0" w:beforeAutospacing="0" w:after="0" w:afterAutospacing="0" w:line="500" w:lineRule="exact"/>
              <w:jc w:val="center"/>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0269644F">
            <w:pPr>
              <w:pStyle w:val="100"/>
              <w:pageBreakBefore w:val="0"/>
              <w:kinsoku/>
              <w:wordWrap/>
              <w:overflowPunct/>
              <w:topLinePunct w:val="0"/>
              <w:bidi w:val="0"/>
              <w:snapToGrid w:val="0"/>
              <w:spacing w:before="0" w:beforeAutospacing="0" w:after="0" w:afterAutospacing="0" w:line="500" w:lineRule="exact"/>
              <w:jc w:val="center"/>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41E1830D">
      <w:pPr>
        <w:pStyle w:val="100"/>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p>
    <w:tbl>
      <w:tblPr>
        <w:tblStyle w:val="38"/>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0F63C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77B40C49">
            <w:pPr>
              <w:pStyle w:val="100"/>
              <w:pageBreakBefore w:val="0"/>
              <w:kinsoku/>
              <w:wordWrap/>
              <w:overflowPunct/>
              <w:topLinePunct w:val="0"/>
              <w:bidi w:val="0"/>
              <w:snapToGrid/>
              <w:spacing w:before="0" w:beforeAutospacing="0" w:after="0" w:afterAutospacing="0" w:line="500" w:lineRule="exact"/>
              <w:jc w:val="center"/>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被授权人《居民身份证》正反面</w:t>
            </w:r>
          </w:p>
        </w:tc>
      </w:tr>
    </w:tbl>
    <w:p w14:paraId="5986D3AE">
      <w:pPr>
        <w:pStyle w:val="20"/>
        <w:spacing w:after="0" w:line="360" w:lineRule="auto"/>
        <w:ind w:left="479" w:hanging="479" w:hangingChars="199"/>
        <w:outlineLvl w:val="2"/>
        <w:rPr>
          <w:rFonts w:hint="eastAsia" w:ascii="宋体" w:hAnsi="宋体" w:eastAsia="宋体" w:cs="宋体"/>
          <w:b/>
          <w:color w:val="auto"/>
          <w:sz w:val="24"/>
          <w:highlight w:val="none"/>
          <w:lang w:val="en-US" w:eastAsia="zh-CN"/>
        </w:rPr>
      </w:pPr>
      <w:bookmarkStart w:id="278" w:name="_Toc14866"/>
      <w:r>
        <w:rPr>
          <w:rFonts w:hint="eastAsia" w:ascii="宋体" w:hAnsi="宋体" w:eastAsia="宋体" w:cs="宋体"/>
          <w:b/>
          <w:color w:val="auto"/>
          <w:sz w:val="24"/>
          <w:highlight w:val="none"/>
          <w:lang w:val="en-US" w:eastAsia="zh-CN"/>
        </w:rPr>
        <w:t>2.3开标一览表</w:t>
      </w:r>
      <w:bookmarkEnd w:id="268"/>
      <w:bookmarkEnd w:id="278"/>
    </w:p>
    <w:p w14:paraId="14D6F4A5">
      <w:pPr>
        <w:pStyle w:val="2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开标一览表</w:t>
      </w:r>
    </w:p>
    <w:p w14:paraId="1AEA796D">
      <w:pPr>
        <w:pStyle w:val="22"/>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p w14:paraId="5EBBEDFE">
      <w:pPr>
        <w:pStyle w:val="22"/>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bl>
      <w:tblPr>
        <w:tblStyle w:val="38"/>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520"/>
      </w:tblGrid>
      <w:tr w14:paraId="45F6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119" w:type="dxa"/>
            <w:noWrap w:val="0"/>
            <w:vAlign w:val="center"/>
          </w:tcPr>
          <w:p w14:paraId="5A75EA34">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标题</w:t>
            </w:r>
          </w:p>
        </w:tc>
        <w:tc>
          <w:tcPr>
            <w:tcW w:w="6520" w:type="dxa"/>
            <w:noWrap w:val="0"/>
            <w:vAlign w:val="center"/>
          </w:tcPr>
          <w:p w14:paraId="1EB68F2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r>
      <w:tr w14:paraId="556B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119" w:type="dxa"/>
            <w:noWrap w:val="0"/>
            <w:vAlign w:val="center"/>
          </w:tcPr>
          <w:p w14:paraId="5490D72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投标总价</w:t>
            </w:r>
          </w:p>
        </w:tc>
        <w:tc>
          <w:tcPr>
            <w:tcW w:w="6520" w:type="dxa"/>
            <w:noWrap w:val="0"/>
            <w:vAlign w:val="top"/>
          </w:tcPr>
          <w:p w14:paraId="1584E331">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3C0E81FA">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tc>
      </w:tr>
      <w:tr w14:paraId="0187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119" w:type="dxa"/>
            <w:noWrap w:val="0"/>
            <w:vAlign w:val="center"/>
          </w:tcPr>
          <w:p w14:paraId="343A6AC7">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6520" w:type="dxa"/>
            <w:noWrap w:val="0"/>
            <w:vAlign w:val="top"/>
          </w:tcPr>
          <w:p w14:paraId="1600460A">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r>
      <w:tr w14:paraId="1E6D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119" w:type="dxa"/>
            <w:noWrap w:val="0"/>
            <w:vAlign w:val="center"/>
          </w:tcPr>
          <w:p w14:paraId="33E655DE">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质保期</w:t>
            </w:r>
          </w:p>
        </w:tc>
        <w:tc>
          <w:tcPr>
            <w:tcW w:w="6520" w:type="dxa"/>
            <w:noWrap w:val="0"/>
            <w:vAlign w:val="top"/>
          </w:tcPr>
          <w:p w14:paraId="6EF28295">
            <w:pPr>
              <w:spacing w:line="240" w:lineRule="auto"/>
              <w:rPr>
                <w:rFonts w:hint="eastAsia" w:ascii="宋体" w:hAnsi="宋体" w:eastAsia="宋体" w:cs="宋体"/>
                <w:color w:val="auto"/>
                <w:sz w:val="24"/>
                <w:highlight w:val="none"/>
              </w:rPr>
            </w:pPr>
          </w:p>
        </w:tc>
      </w:tr>
      <w:tr w14:paraId="1236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119" w:type="dxa"/>
            <w:noWrap w:val="0"/>
            <w:vAlign w:val="center"/>
          </w:tcPr>
          <w:p w14:paraId="6D31761F">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6520" w:type="dxa"/>
            <w:noWrap w:val="0"/>
            <w:vAlign w:val="top"/>
          </w:tcPr>
          <w:p w14:paraId="3077F514">
            <w:pPr>
              <w:spacing w:line="240" w:lineRule="auto"/>
              <w:rPr>
                <w:rFonts w:hint="eastAsia" w:ascii="宋体" w:hAnsi="宋体" w:eastAsia="宋体" w:cs="宋体"/>
                <w:color w:val="auto"/>
                <w:sz w:val="24"/>
                <w:highlight w:val="none"/>
              </w:rPr>
            </w:pPr>
          </w:p>
        </w:tc>
      </w:tr>
    </w:tbl>
    <w:p w14:paraId="05847B3F">
      <w:pPr>
        <w:spacing w:line="360" w:lineRule="auto"/>
        <w:rPr>
          <w:rFonts w:hint="eastAsia" w:ascii="宋体" w:hAnsi="宋体" w:eastAsia="宋体" w:cs="宋体"/>
          <w:color w:val="auto"/>
          <w:sz w:val="24"/>
          <w:highlight w:val="none"/>
        </w:rPr>
      </w:pPr>
    </w:p>
    <w:p w14:paraId="12CF46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严格按照规定的格式填写。投标总价为优惠后报价，并作为评审及定标的依据。</w:t>
      </w:r>
    </w:p>
    <w:p w14:paraId="5EB748A9">
      <w:pPr>
        <w:numPr>
          <w:ilvl w:val="0"/>
          <w:numId w:val="5"/>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任何有选择或有条件的投标总价或表中某一包填写多个报价，均将导致投标被拒绝。</w:t>
      </w:r>
    </w:p>
    <w:p w14:paraId="178FE7D3">
      <w:pPr>
        <w:pStyle w:val="59"/>
        <w:adjustRightInd w:val="0"/>
        <w:snapToGrid w:val="0"/>
        <w:spacing w:line="500" w:lineRule="exact"/>
        <w:rPr>
          <w:rFonts w:hint="eastAsia" w:ascii="宋体" w:hAnsi="宋体" w:eastAsia="宋体" w:cs="宋体"/>
          <w:color w:val="auto"/>
          <w:sz w:val="24"/>
          <w:szCs w:val="24"/>
          <w:highlight w:val="none"/>
        </w:rPr>
      </w:pPr>
    </w:p>
    <w:p w14:paraId="08F7F0DC">
      <w:pPr>
        <w:pStyle w:val="5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法定代表人（签章）：</w:t>
      </w:r>
      <w:r>
        <w:rPr>
          <w:rFonts w:hint="eastAsia" w:ascii="宋体" w:hAnsi="宋体" w:eastAsia="宋体" w:cs="宋体"/>
          <w:color w:val="auto"/>
          <w:sz w:val="24"/>
          <w:szCs w:val="24"/>
          <w:highlight w:val="none"/>
          <w:u w:val="single"/>
        </w:rPr>
        <w:t xml:space="preserve">                  </w:t>
      </w:r>
    </w:p>
    <w:p w14:paraId="0529683E">
      <w:pPr>
        <w:pStyle w:val="59"/>
        <w:adjustRightInd w:val="0"/>
        <w:snapToGrid w:val="0"/>
        <w:spacing w:line="500" w:lineRule="exact"/>
        <w:rPr>
          <w:rFonts w:hint="eastAsia" w:ascii="宋体" w:hAnsi="宋体" w:eastAsia="宋体" w:cs="宋体"/>
          <w:color w:val="auto"/>
          <w:sz w:val="24"/>
          <w:szCs w:val="24"/>
          <w:highlight w:val="none"/>
        </w:rPr>
      </w:pPr>
    </w:p>
    <w:p w14:paraId="666CA6C8">
      <w:pPr>
        <w:pStyle w:val="5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名称（签章）：</w:t>
      </w:r>
      <w:r>
        <w:rPr>
          <w:rFonts w:hint="eastAsia" w:ascii="宋体" w:hAnsi="宋体" w:eastAsia="宋体" w:cs="宋体"/>
          <w:color w:val="auto"/>
          <w:sz w:val="24"/>
          <w:szCs w:val="24"/>
          <w:highlight w:val="none"/>
          <w:u w:val="single"/>
        </w:rPr>
        <w:t xml:space="preserve">                       </w:t>
      </w:r>
    </w:p>
    <w:p w14:paraId="263CFE37">
      <w:pPr>
        <w:spacing w:line="360" w:lineRule="auto"/>
        <w:ind w:right="480"/>
        <w:rPr>
          <w:rFonts w:hint="eastAsia" w:ascii="宋体" w:hAnsi="宋体" w:eastAsia="宋体" w:cs="宋体"/>
          <w:color w:val="auto"/>
          <w:sz w:val="24"/>
          <w:szCs w:val="24"/>
          <w:highlight w:val="none"/>
        </w:rPr>
      </w:pPr>
    </w:p>
    <w:p w14:paraId="0EE6E98D">
      <w:pPr>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3FE4A52E">
      <w:pPr>
        <w:spacing w:line="360" w:lineRule="auto"/>
        <w:rPr>
          <w:rFonts w:hint="eastAsia" w:ascii="宋体" w:hAnsi="宋体" w:eastAsia="宋体" w:cs="宋体"/>
          <w:b/>
          <w:bCs/>
          <w:color w:val="auto"/>
          <w:sz w:val="24"/>
          <w:highlight w:val="none"/>
        </w:rPr>
      </w:pPr>
    </w:p>
    <w:p w14:paraId="1967D1A3">
      <w:pPr>
        <w:spacing w:line="360" w:lineRule="auto"/>
        <w:rPr>
          <w:rFonts w:hint="eastAsia" w:ascii="宋体" w:hAnsi="宋体" w:eastAsia="宋体" w:cs="宋体"/>
          <w:color w:val="auto"/>
          <w:sz w:val="24"/>
          <w:highlight w:val="none"/>
        </w:rPr>
      </w:pPr>
    </w:p>
    <w:p w14:paraId="16FC8061">
      <w:pPr>
        <w:spacing w:line="360" w:lineRule="auto"/>
        <w:rPr>
          <w:rFonts w:hint="eastAsia" w:ascii="宋体" w:hAnsi="宋体" w:eastAsia="宋体" w:cs="宋体"/>
          <w:color w:val="auto"/>
          <w:sz w:val="24"/>
          <w:highlight w:val="none"/>
        </w:rPr>
      </w:pPr>
    </w:p>
    <w:p w14:paraId="5A7BE1C9">
      <w:pPr>
        <w:spacing w:line="360" w:lineRule="auto"/>
        <w:rPr>
          <w:rFonts w:hint="eastAsia" w:ascii="宋体" w:hAnsi="宋体" w:eastAsia="宋体" w:cs="宋体"/>
          <w:color w:val="auto"/>
          <w:sz w:val="24"/>
          <w:highlight w:val="none"/>
        </w:rPr>
      </w:pPr>
    </w:p>
    <w:p w14:paraId="7381620E">
      <w:pPr>
        <w:spacing w:line="360" w:lineRule="auto"/>
        <w:rPr>
          <w:rFonts w:hint="eastAsia" w:ascii="宋体" w:hAnsi="宋体" w:eastAsia="宋体" w:cs="宋体"/>
          <w:color w:val="auto"/>
          <w:sz w:val="24"/>
          <w:highlight w:val="none"/>
        </w:rPr>
      </w:pPr>
    </w:p>
    <w:p w14:paraId="20A42B23">
      <w:pPr>
        <w:pStyle w:val="21"/>
        <w:rPr>
          <w:rFonts w:hint="eastAsia" w:ascii="宋体" w:hAnsi="宋体" w:eastAsia="宋体" w:cs="宋体"/>
          <w:color w:val="auto"/>
          <w:highlight w:val="none"/>
        </w:rPr>
      </w:pPr>
    </w:p>
    <w:p w14:paraId="3D79B382">
      <w:pPr>
        <w:pStyle w:val="20"/>
        <w:spacing w:after="0" w:line="360" w:lineRule="auto"/>
        <w:ind w:left="479" w:hanging="479" w:hangingChars="199"/>
        <w:outlineLvl w:val="2"/>
        <w:rPr>
          <w:rFonts w:hint="eastAsia" w:ascii="宋体" w:hAnsi="宋体" w:eastAsia="宋体" w:cs="宋体"/>
          <w:b/>
          <w:color w:val="auto"/>
          <w:sz w:val="24"/>
          <w:highlight w:val="none"/>
        </w:rPr>
      </w:pPr>
      <w:bookmarkStart w:id="279" w:name="_Toc15289"/>
      <w:bookmarkStart w:id="280" w:name="_Toc480368435"/>
      <w:r>
        <w:rPr>
          <w:rFonts w:hint="eastAsia" w:ascii="宋体" w:hAnsi="宋体" w:eastAsia="宋体" w:cs="宋体"/>
          <w:b/>
          <w:color w:val="auto"/>
          <w:sz w:val="24"/>
          <w:highlight w:val="none"/>
          <w:lang w:val="en-US" w:eastAsia="zh-CN"/>
        </w:rPr>
        <w:t>2.4</w:t>
      </w:r>
      <w:r>
        <w:rPr>
          <w:rFonts w:hint="eastAsia" w:ascii="宋体" w:hAnsi="宋体" w:eastAsia="宋体" w:cs="宋体"/>
          <w:b/>
          <w:color w:val="auto"/>
          <w:sz w:val="24"/>
          <w:highlight w:val="none"/>
        </w:rPr>
        <w:t>报价明细表</w:t>
      </w:r>
      <w:bookmarkEnd w:id="279"/>
      <w:bookmarkEnd w:id="280"/>
    </w:p>
    <w:p w14:paraId="1F28606D">
      <w:pPr>
        <w:pStyle w:val="22"/>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价格单位：元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516"/>
        <w:gridCol w:w="1515"/>
        <w:gridCol w:w="925"/>
        <w:gridCol w:w="1186"/>
        <w:gridCol w:w="944"/>
        <w:gridCol w:w="1804"/>
        <w:gridCol w:w="819"/>
      </w:tblGrid>
      <w:tr w14:paraId="24F2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88" w:type="dxa"/>
            <w:noWrap w:val="0"/>
            <w:vAlign w:val="center"/>
          </w:tcPr>
          <w:p w14:paraId="75302D2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516" w:type="dxa"/>
            <w:noWrap w:val="0"/>
            <w:vAlign w:val="center"/>
          </w:tcPr>
          <w:p w14:paraId="0017EF0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报价项目</w:t>
            </w:r>
          </w:p>
        </w:tc>
        <w:tc>
          <w:tcPr>
            <w:tcW w:w="1515" w:type="dxa"/>
            <w:noWrap w:val="0"/>
            <w:vAlign w:val="center"/>
          </w:tcPr>
          <w:p w14:paraId="0DB4D2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925" w:type="dxa"/>
            <w:noWrap w:val="0"/>
            <w:vAlign w:val="center"/>
          </w:tcPr>
          <w:p w14:paraId="4B475CF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186" w:type="dxa"/>
            <w:noWrap w:val="0"/>
            <w:vAlign w:val="center"/>
          </w:tcPr>
          <w:p w14:paraId="6D352A27">
            <w:pPr>
              <w:spacing w:line="360" w:lineRule="auto"/>
              <w:ind w:firstLine="120" w:firstLine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944" w:type="dxa"/>
            <w:noWrap w:val="0"/>
            <w:vAlign w:val="center"/>
          </w:tcPr>
          <w:p w14:paraId="71A1CD5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1804" w:type="dxa"/>
            <w:noWrap w:val="0"/>
            <w:vAlign w:val="center"/>
          </w:tcPr>
          <w:p w14:paraId="3F828B1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取费标准</w:t>
            </w:r>
          </w:p>
          <w:p w14:paraId="0298858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c>
          <w:tcPr>
            <w:tcW w:w="819" w:type="dxa"/>
            <w:noWrap w:val="0"/>
            <w:vAlign w:val="center"/>
          </w:tcPr>
          <w:p w14:paraId="1BF920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3196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noWrap w:val="0"/>
            <w:vAlign w:val="top"/>
          </w:tcPr>
          <w:p w14:paraId="70501FEB">
            <w:pPr>
              <w:spacing w:line="360" w:lineRule="auto"/>
              <w:rPr>
                <w:rFonts w:hint="eastAsia" w:ascii="宋体" w:hAnsi="宋体" w:eastAsia="宋体" w:cs="宋体"/>
                <w:b/>
                <w:color w:val="auto"/>
                <w:sz w:val="24"/>
                <w:highlight w:val="none"/>
              </w:rPr>
            </w:pPr>
          </w:p>
        </w:tc>
        <w:tc>
          <w:tcPr>
            <w:tcW w:w="1516" w:type="dxa"/>
            <w:noWrap w:val="0"/>
            <w:vAlign w:val="top"/>
          </w:tcPr>
          <w:p w14:paraId="7C4B1666">
            <w:pPr>
              <w:spacing w:line="360" w:lineRule="auto"/>
              <w:rPr>
                <w:rFonts w:hint="eastAsia" w:ascii="宋体" w:hAnsi="宋体" w:eastAsia="宋体" w:cs="宋体"/>
                <w:b/>
                <w:color w:val="auto"/>
                <w:sz w:val="24"/>
                <w:highlight w:val="none"/>
              </w:rPr>
            </w:pPr>
          </w:p>
        </w:tc>
        <w:tc>
          <w:tcPr>
            <w:tcW w:w="1515" w:type="dxa"/>
            <w:noWrap w:val="0"/>
            <w:vAlign w:val="top"/>
          </w:tcPr>
          <w:p w14:paraId="42F49E4A">
            <w:pPr>
              <w:spacing w:line="360" w:lineRule="auto"/>
              <w:rPr>
                <w:rFonts w:hint="eastAsia" w:ascii="宋体" w:hAnsi="宋体" w:eastAsia="宋体" w:cs="宋体"/>
                <w:b/>
                <w:color w:val="auto"/>
                <w:sz w:val="24"/>
                <w:highlight w:val="none"/>
              </w:rPr>
            </w:pPr>
          </w:p>
        </w:tc>
        <w:tc>
          <w:tcPr>
            <w:tcW w:w="925" w:type="dxa"/>
            <w:noWrap w:val="0"/>
            <w:vAlign w:val="top"/>
          </w:tcPr>
          <w:p w14:paraId="5E8A8DCA">
            <w:pPr>
              <w:spacing w:line="360" w:lineRule="auto"/>
              <w:rPr>
                <w:rFonts w:hint="eastAsia" w:ascii="宋体" w:hAnsi="宋体" w:eastAsia="宋体" w:cs="宋体"/>
                <w:b/>
                <w:color w:val="auto"/>
                <w:sz w:val="24"/>
                <w:highlight w:val="none"/>
              </w:rPr>
            </w:pPr>
          </w:p>
        </w:tc>
        <w:tc>
          <w:tcPr>
            <w:tcW w:w="1186" w:type="dxa"/>
            <w:noWrap w:val="0"/>
            <w:vAlign w:val="top"/>
          </w:tcPr>
          <w:p w14:paraId="2B719CB9">
            <w:pPr>
              <w:spacing w:line="360" w:lineRule="auto"/>
              <w:rPr>
                <w:rFonts w:hint="eastAsia" w:ascii="宋体" w:hAnsi="宋体" w:eastAsia="宋体" w:cs="宋体"/>
                <w:b/>
                <w:color w:val="auto"/>
                <w:sz w:val="24"/>
                <w:highlight w:val="none"/>
              </w:rPr>
            </w:pPr>
          </w:p>
        </w:tc>
        <w:tc>
          <w:tcPr>
            <w:tcW w:w="944" w:type="dxa"/>
            <w:noWrap w:val="0"/>
            <w:vAlign w:val="top"/>
          </w:tcPr>
          <w:p w14:paraId="27EE7AAC">
            <w:pPr>
              <w:spacing w:line="360" w:lineRule="auto"/>
              <w:rPr>
                <w:rFonts w:hint="eastAsia" w:ascii="宋体" w:hAnsi="宋体" w:eastAsia="宋体" w:cs="宋体"/>
                <w:b/>
                <w:color w:val="auto"/>
                <w:sz w:val="24"/>
                <w:highlight w:val="none"/>
              </w:rPr>
            </w:pPr>
          </w:p>
        </w:tc>
        <w:tc>
          <w:tcPr>
            <w:tcW w:w="1804" w:type="dxa"/>
            <w:noWrap w:val="0"/>
            <w:vAlign w:val="top"/>
          </w:tcPr>
          <w:p w14:paraId="1AAE9DB6">
            <w:pPr>
              <w:spacing w:line="360" w:lineRule="auto"/>
              <w:rPr>
                <w:rFonts w:hint="eastAsia" w:ascii="宋体" w:hAnsi="宋体" w:eastAsia="宋体" w:cs="宋体"/>
                <w:b/>
                <w:color w:val="auto"/>
                <w:sz w:val="24"/>
                <w:highlight w:val="none"/>
              </w:rPr>
            </w:pPr>
          </w:p>
        </w:tc>
        <w:tc>
          <w:tcPr>
            <w:tcW w:w="819" w:type="dxa"/>
            <w:noWrap w:val="0"/>
            <w:vAlign w:val="top"/>
          </w:tcPr>
          <w:p w14:paraId="5D4F7893">
            <w:pPr>
              <w:spacing w:line="360" w:lineRule="auto"/>
              <w:rPr>
                <w:rFonts w:hint="eastAsia" w:ascii="宋体" w:hAnsi="宋体" w:eastAsia="宋体" w:cs="宋体"/>
                <w:b/>
                <w:color w:val="auto"/>
                <w:sz w:val="24"/>
                <w:highlight w:val="none"/>
              </w:rPr>
            </w:pPr>
          </w:p>
        </w:tc>
      </w:tr>
      <w:tr w14:paraId="5490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noWrap w:val="0"/>
            <w:vAlign w:val="top"/>
          </w:tcPr>
          <w:p w14:paraId="0AC774C6">
            <w:pPr>
              <w:spacing w:line="360" w:lineRule="auto"/>
              <w:rPr>
                <w:rFonts w:hint="eastAsia" w:ascii="宋体" w:hAnsi="宋体" w:eastAsia="宋体" w:cs="宋体"/>
                <w:b/>
                <w:color w:val="auto"/>
                <w:sz w:val="24"/>
                <w:highlight w:val="none"/>
              </w:rPr>
            </w:pPr>
          </w:p>
        </w:tc>
        <w:tc>
          <w:tcPr>
            <w:tcW w:w="1516" w:type="dxa"/>
            <w:noWrap w:val="0"/>
            <w:vAlign w:val="top"/>
          </w:tcPr>
          <w:p w14:paraId="78FADD32">
            <w:pPr>
              <w:spacing w:line="360" w:lineRule="auto"/>
              <w:rPr>
                <w:rFonts w:hint="eastAsia" w:ascii="宋体" w:hAnsi="宋体" w:eastAsia="宋体" w:cs="宋体"/>
                <w:b/>
                <w:color w:val="auto"/>
                <w:sz w:val="24"/>
                <w:highlight w:val="none"/>
              </w:rPr>
            </w:pPr>
          </w:p>
        </w:tc>
        <w:tc>
          <w:tcPr>
            <w:tcW w:w="1515" w:type="dxa"/>
            <w:noWrap w:val="0"/>
            <w:vAlign w:val="top"/>
          </w:tcPr>
          <w:p w14:paraId="6EF2C712">
            <w:pPr>
              <w:spacing w:line="360" w:lineRule="auto"/>
              <w:rPr>
                <w:rFonts w:hint="eastAsia" w:ascii="宋体" w:hAnsi="宋体" w:eastAsia="宋体" w:cs="宋体"/>
                <w:b/>
                <w:color w:val="auto"/>
                <w:sz w:val="24"/>
                <w:highlight w:val="none"/>
              </w:rPr>
            </w:pPr>
          </w:p>
        </w:tc>
        <w:tc>
          <w:tcPr>
            <w:tcW w:w="925" w:type="dxa"/>
            <w:noWrap w:val="0"/>
            <w:vAlign w:val="top"/>
          </w:tcPr>
          <w:p w14:paraId="78B7B7EE">
            <w:pPr>
              <w:spacing w:line="360" w:lineRule="auto"/>
              <w:rPr>
                <w:rFonts w:hint="eastAsia" w:ascii="宋体" w:hAnsi="宋体" w:eastAsia="宋体" w:cs="宋体"/>
                <w:b/>
                <w:color w:val="auto"/>
                <w:sz w:val="24"/>
                <w:highlight w:val="none"/>
              </w:rPr>
            </w:pPr>
          </w:p>
        </w:tc>
        <w:tc>
          <w:tcPr>
            <w:tcW w:w="1186" w:type="dxa"/>
            <w:noWrap w:val="0"/>
            <w:vAlign w:val="top"/>
          </w:tcPr>
          <w:p w14:paraId="18856C21">
            <w:pPr>
              <w:spacing w:line="360" w:lineRule="auto"/>
              <w:rPr>
                <w:rFonts w:hint="eastAsia" w:ascii="宋体" w:hAnsi="宋体" w:eastAsia="宋体" w:cs="宋体"/>
                <w:b/>
                <w:color w:val="auto"/>
                <w:sz w:val="24"/>
                <w:highlight w:val="none"/>
              </w:rPr>
            </w:pPr>
          </w:p>
        </w:tc>
        <w:tc>
          <w:tcPr>
            <w:tcW w:w="944" w:type="dxa"/>
            <w:noWrap w:val="0"/>
            <w:vAlign w:val="top"/>
          </w:tcPr>
          <w:p w14:paraId="0A38F0E4">
            <w:pPr>
              <w:spacing w:line="360" w:lineRule="auto"/>
              <w:rPr>
                <w:rFonts w:hint="eastAsia" w:ascii="宋体" w:hAnsi="宋体" w:eastAsia="宋体" w:cs="宋体"/>
                <w:b/>
                <w:color w:val="auto"/>
                <w:sz w:val="24"/>
                <w:highlight w:val="none"/>
              </w:rPr>
            </w:pPr>
          </w:p>
        </w:tc>
        <w:tc>
          <w:tcPr>
            <w:tcW w:w="1804" w:type="dxa"/>
            <w:noWrap w:val="0"/>
            <w:vAlign w:val="top"/>
          </w:tcPr>
          <w:p w14:paraId="04913B59">
            <w:pPr>
              <w:spacing w:line="360" w:lineRule="auto"/>
              <w:rPr>
                <w:rFonts w:hint="eastAsia" w:ascii="宋体" w:hAnsi="宋体" w:eastAsia="宋体" w:cs="宋体"/>
                <w:b/>
                <w:color w:val="auto"/>
                <w:sz w:val="24"/>
                <w:highlight w:val="none"/>
              </w:rPr>
            </w:pPr>
          </w:p>
        </w:tc>
        <w:tc>
          <w:tcPr>
            <w:tcW w:w="819" w:type="dxa"/>
            <w:noWrap w:val="0"/>
            <w:vAlign w:val="top"/>
          </w:tcPr>
          <w:p w14:paraId="0E5242BF">
            <w:pPr>
              <w:spacing w:line="360" w:lineRule="auto"/>
              <w:rPr>
                <w:rFonts w:hint="eastAsia" w:ascii="宋体" w:hAnsi="宋体" w:eastAsia="宋体" w:cs="宋体"/>
                <w:b/>
                <w:color w:val="auto"/>
                <w:sz w:val="24"/>
                <w:highlight w:val="none"/>
              </w:rPr>
            </w:pPr>
          </w:p>
        </w:tc>
      </w:tr>
      <w:tr w14:paraId="086C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noWrap w:val="0"/>
            <w:vAlign w:val="top"/>
          </w:tcPr>
          <w:p w14:paraId="1476C148">
            <w:pPr>
              <w:spacing w:line="360" w:lineRule="auto"/>
              <w:rPr>
                <w:rFonts w:hint="eastAsia" w:ascii="宋体" w:hAnsi="宋体" w:eastAsia="宋体" w:cs="宋体"/>
                <w:b/>
                <w:color w:val="auto"/>
                <w:sz w:val="24"/>
                <w:highlight w:val="none"/>
              </w:rPr>
            </w:pPr>
          </w:p>
        </w:tc>
        <w:tc>
          <w:tcPr>
            <w:tcW w:w="1516" w:type="dxa"/>
            <w:noWrap w:val="0"/>
            <w:vAlign w:val="top"/>
          </w:tcPr>
          <w:p w14:paraId="7608DE22">
            <w:pPr>
              <w:spacing w:line="360" w:lineRule="auto"/>
              <w:rPr>
                <w:rFonts w:hint="eastAsia" w:ascii="宋体" w:hAnsi="宋体" w:eastAsia="宋体" w:cs="宋体"/>
                <w:b/>
                <w:color w:val="auto"/>
                <w:sz w:val="24"/>
                <w:highlight w:val="none"/>
              </w:rPr>
            </w:pPr>
          </w:p>
        </w:tc>
        <w:tc>
          <w:tcPr>
            <w:tcW w:w="1515" w:type="dxa"/>
            <w:noWrap w:val="0"/>
            <w:vAlign w:val="top"/>
          </w:tcPr>
          <w:p w14:paraId="7441A86C">
            <w:pPr>
              <w:spacing w:line="360" w:lineRule="auto"/>
              <w:rPr>
                <w:rFonts w:hint="eastAsia" w:ascii="宋体" w:hAnsi="宋体" w:eastAsia="宋体" w:cs="宋体"/>
                <w:b/>
                <w:color w:val="auto"/>
                <w:sz w:val="24"/>
                <w:highlight w:val="none"/>
              </w:rPr>
            </w:pPr>
          </w:p>
        </w:tc>
        <w:tc>
          <w:tcPr>
            <w:tcW w:w="925" w:type="dxa"/>
            <w:noWrap w:val="0"/>
            <w:vAlign w:val="top"/>
          </w:tcPr>
          <w:p w14:paraId="3E88CE40">
            <w:pPr>
              <w:spacing w:line="360" w:lineRule="auto"/>
              <w:rPr>
                <w:rFonts w:hint="eastAsia" w:ascii="宋体" w:hAnsi="宋体" w:eastAsia="宋体" w:cs="宋体"/>
                <w:b/>
                <w:color w:val="auto"/>
                <w:sz w:val="24"/>
                <w:highlight w:val="none"/>
              </w:rPr>
            </w:pPr>
          </w:p>
        </w:tc>
        <w:tc>
          <w:tcPr>
            <w:tcW w:w="1186" w:type="dxa"/>
            <w:noWrap w:val="0"/>
            <w:vAlign w:val="top"/>
          </w:tcPr>
          <w:p w14:paraId="5B927EB9">
            <w:pPr>
              <w:spacing w:line="360" w:lineRule="auto"/>
              <w:rPr>
                <w:rFonts w:hint="eastAsia" w:ascii="宋体" w:hAnsi="宋体" w:eastAsia="宋体" w:cs="宋体"/>
                <w:b/>
                <w:color w:val="auto"/>
                <w:sz w:val="24"/>
                <w:highlight w:val="none"/>
              </w:rPr>
            </w:pPr>
          </w:p>
        </w:tc>
        <w:tc>
          <w:tcPr>
            <w:tcW w:w="944" w:type="dxa"/>
            <w:noWrap w:val="0"/>
            <w:vAlign w:val="top"/>
          </w:tcPr>
          <w:p w14:paraId="3CF3DAB3">
            <w:pPr>
              <w:spacing w:line="360" w:lineRule="auto"/>
              <w:rPr>
                <w:rFonts w:hint="eastAsia" w:ascii="宋体" w:hAnsi="宋体" w:eastAsia="宋体" w:cs="宋体"/>
                <w:b/>
                <w:color w:val="auto"/>
                <w:sz w:val="24"/>
                <w:highlight w:val="none"/>
              </w:rPr>
            </w:pPr>
          </w:p>
        </w:tc>
        <w:tc>
          <w:tcPr>
            <w:tcW w:w="1804" w:type="dxa"/>
            <w:noWrap w:val="0"/>
            <w:vAlign w:val="top"/>
          </w:tcPr>
          <w:p w14:paraId="286CBDB7">
            <w:pPr>
              <w:spacing w:line="360" w:lineRule="auto"/>
              <w:rPr>
                <w:rFonts w:hint="eastAsia" w:ascii="宋体" w:hAnsi="宋体" w:eastAsia="宋体" w:cs="宋体"/>
                <w:b/>
                <w:color w:val="auto"/>
                <w:sz w:val="24"/>
                <w:highlight w:val="none"/>
              </w:rPr>
            </w:pPr>
          </w:p>
        </w:tc>
        <w:tc>
          <w:tcPr>
            <w:tcW w:w="819" w:type="dxa"/>
            <w:noWrap w:val="0"/>
            <w:vAlign w:val="top"/>
          </w:tcPr>
          <w:p w14:paraId="370932C4">
            <w:pPr>
              <w:spacing w:line="360" w:lineRule="auto"/>
              <w:rPr>
                <w:rFonts w:hint="eastAsia" w:ascii="宋体" w:hAnsi="宋体" w:eastAsia="宋体" w:cs="宋体"/>
                <w:b/>
                <w:color w:val="auto"/>
                <w:sz w:val="24"/>
                <w:highlight w:val="none"/>
              </w:rPr>
            </w:pPr>
          </w:p>
        </w:tc>
      </w:tr>
      <w:tr w14:paraId="5AAB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noWrap w:val="0"/>
            <w:vAlign w:val="top"/>
          </w:tcPr>
          <w:p w14:paraId="33ACAE1A">
            <w:pPr>
              <w:spacing w:line="360" w:lineRule="auto"/>
              <w:rPr>
                <w:rFonts w:hint="eastAsia" w:ascii="宋体" w:hAnsi="宋体" w:eastAsia="宋体" w:cs="宋体"/>
                <w:b/>
                <w:color w:val="auto"/>
                <w:sz w:val="24"/>
                <w:highlight w:val="none"/>
              </w:rPr>
            </w:pPr>
          </w:p>
        </w:tc>
        <w:tc>
          <w:tcPr>
            <w:tcW w:w="1516" w:type="dxa"/>
            <w:noWrap w:val="0"/>
            <w:vAlign w:val="top"/>
          </w:tcPr>
          <w:p w14:paraId="42E0BFF4">
            <w:pPr>
              <w:spacing w:line="360" w:lineRule="auto"/>
              <w:rPr>
                <w:rFonts w:hint="eastAsia" w:ascii="宋体" w:hAnsi="宋体" w:eastAsia="宋体" w:cs="宋体"/>
                <w:b/>
                <w:color w:val="auto"/>
                <w:sz w:val="24"/>
                <w:highlight w:val="none"/>
              </w:rPr>
            </w:pPr>
          </w:p>
        </w:tc>
        <w:tc>
          <w:tcPr>
            <w:tcW w:w="1515" w:type="dxa"/>
            <w:noWrap w:val="0"/>
            <w:vAlign w:val="top"/>
          </w:tcPr>
          <w:p w14:paraId="5F176CBD">
            <w:pPr>
              <w:spacing w:line="360" w:lineRule="auto"/>
              <w:rPr>
                <w:rFonts w:hint="eastAsia" w:ascii="宋体" w:hAnsi="宋体" w:eastAsia="宋体" w:cs="宋体"/>
                <w:b/>
                <w:color w:val="auto"/>
                <w:sz w:val="24"/>
                <w:highlight w:val="none"/>
              </w:rPr>
            </w:pPr>
          </w:p>
        </w:tc>
        <w:tc>
          <w:tcPr>
            <w:tcW w:w="925" w:type="dxa"/>
            <w:noWrap w:val="0"/>
            <w:vAlign w:val="top"/>
          </w:tcPr>
          <w:p w14:paraId="1D822235">
            <w:pPr>
              <w:spacing w:line="360" w:lineRule="auto"/>
              <w:rPr>
                <w:rFonts w:hint="eastAsia" w:ascii="宋体" w:hAnsi="宋体" w:eastAsia="宋体" w:cs="宋体"/>
                <w:b/>
                <w:color w:val="auto"/>
                <w:sz w:val="24"/>
                <w:highlight w:val="none"/>
              </w:rPr>
            </w:pPr>
          </w:p>
        </w:tc>
        <w:tc>
          <w:tcPr>
            <w:tcW w:w="1186" w:type="dxa"/>
            <w:noWrap w:val="0"/>
            <w:vAlign w:val="top"/>
          </w:tcPr>
          <w:p w14:paraId="1E2C812D">
            <w:pPr>
              <w:spacing w:line="360" w:lineRule="auto"/>
              <w:rPr>
                <w:rFonts w:hint="eastAsia" w:ascii="宋体" w:hAnsi="宋体" w:eastAsia="宋体" w:cs="宋体"/>
                <w:b/>
                <w:color w:val="auto"/>
                <w:sz w:val="24"/>
                <w:highlight w:val="none"/>
              </w:rPr>
            </w:pPr>
          </w:p>
        </w:tc>
        <w:tc>
          <w:tcPr>
            <w:tcW w:w="944" w:type="dxa"/>
            <w:noWrap w:val="0"/>
            <w:vAlign w:val="top"/>
          </w:tcPr>
          <w:p w14:paraId="26651773">
            <w:pPr>
              <w:spacing w:line="360" w:lineRule="auto"/>
              <w:rPr>
                <w:rFonts w:hint="eastAsia" w:ascii="宋体" w:hAnsi="宋体" w:eastAsia="宋体" w:cs="宋体"/>
                <w:b/>
                <w:color w:val="auto"/>
                <w:sz w:val="24"/>
                <w:highlight w:val="none"/>
              </w:rPr>
            </w:pPr>
          </w:p>
        </w:tc>
        <w:tc>
          <w:tcPr>
            <w:tcW w:w="1804" w:type="dxa"/>
            <w:noWrap w:val="0"/>
            <w:vAlign w:val="top"/>
          </w:tcPr>
          <w:p w14:paraId="61B94D5C">
            <w:pPr>
              <w:spacing w:line="360" w:lineRule="auto"/>
              <w:rPr>
                <w:rFonts w:hint="eastAsia" w:ascii="宋体" w:hAnsi="宋体" w:eastAsia="宋体" w:cs="宋体"/>
                <w:b/>
                <w:color w:val="auto"/>
                <w:sz w:val="24"/>
                <w:highlight w:val="none"/>
              </w:rPr>
            </w:pPr>
          </w:p>
        </w:tc>
        <w:tc>
          <w:tcPr>
            <w:tcW w:w="819" w:type="dxa"/>
            <w:noWrap w:val="0"/>
            <w:vAlign w:val="top"/>
          </w:tcPr>
          <w:p w14:paraId="2D2B5C76">
            <w:pPr>
              <w:spacing w:line="360" w:lineRule="auto"/>
              <w:rPr>
                <w:rFonts w:hint="eastAsia" w:ascii="宋体" w:hAnsi="宋体" w:eastAsia="宋体" w:cs="宋体"/>
                <w:b/>
                <w:color w:val="auto"/>
                <w:sz w:val="24"/>
                <w:highlight w:val="none"/>
              </w:rPr>
            </w:pPr>
          </w:p>
        </w:tc>
      </w:tr>
      <w:tr w14:paraId="22F0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noWrap w:val="0"/>
            <w:vAlign w:val="top"/>
          </w:tcPr>
          <w:p w14:paraId="3E29D543">
            <w:pPr>
              <w:spacing w:line="360" w:lineRule="auto"/>
              <w:rPr>
                <w:rFonts w:hint="eastAsia" w:ascii="宋体" w:hAnsi="宋体" w:eastAsia="宋体" w:cs="宋体"/>
                <w:b/>
                <w:color w:val="auto"/>
                <w:sz w:val="24"/>
                <w:highlight w:val="none"/>
              </w:rPr>
            </w:pPr>
          </w:p>
        </w:tc>
        <w:tc>
          <w:tcPr>
            <w:tcW w:w="1516" w:type="dxa"/>
            <w:noWrap w:val="0"/>
            <w:vAlign w:val="top"/>
          </w:tcPr>
          <w:p w14:paraId="02DF5C27">
            <w:pPr>
              <w:spacing w:line="360" w:lineRule="auto"/>
              <w:rPr>
                <w:rFonts w:hint="eastAsia" w:ascii="宋体" w:hAnsi="宋体" w:eastAsia="宋体" w:cs="宋体"/>
                <w:b/>
                <w:color w:val="auto"/>
                <w:sz w:val="24"/>
                <w:highlight w:val="none"/>
              </w:rPr>
            </w:pPr>
          </w:p>
        </w:tc>
        <w:tc>
          <w:tcPr>
            <w:tcW w:w="1515" w:type="dxa"/>
            <w:noWrap w:val="0"/>
            <w:vAlign w:val="top"/>
          </w:tcPr>
          <w:p w14:paraId="13D67555">
            <w:pPr>
              <w:spacing w:line="360" w:lineRule="auto"/>
              <w:rPr>
                <w:rFonts w:hint="eastAsia" w:ascii="宋体" w:hAnsi="宋体" w:eastAsia="宋体" w:cs="宋体"/>
                <w:b/>
                <w:color w:val="auto"/>
                <w:sz w:val="24"/>
                <w:highlight w:val="none"/>
              </w:rPr>
            </w:pPr>
          </w:p>
        </w:tc>
        <w:tc>
          <w:tcPr>
            <w:tcW w:w="925" w:type="dxa"/>
            <w:noWrap w:val="0"/>
            <w:vAlign w:val="top"/>
          </w:tcPr>
          <w:p w14:paraId="13D4E24E">
            <w:pPr>
              <w:spacing w:line="360" w:lineRule="auto"/>
              <w:rPr>
                <w:rFonts w:hint="eastAsia" w:ascii="宋体" w:hAnsi="宋体" w:eastAsia="宋体" w:cs="宋体"/>
                <w:b/>
                <w:color w:val="auto"/>
                <w:sz w:val="24"/>
                <w:highlight w:val="none"/>
              </w:rPr>
            </w:pPr>
          </w:p>
        </w:tc>
        <w:tc>
          <w:tcPr>
            <w:tcW w:w="1186" w:type="dxa"/>
            <w:noWrap w:val="0"/>
            <w:vAlign w:val="top"/>
          </w:tcPr>
          <w:p w14:paraId="73D505F7">
            <w:pPr>
              <w:spacing w:line="360" w:lineRule="auto"/>
              <w:rPr>
                <w:rFonts w:hint="eastAsia" w:ascii="宋体" w:hAnsi="宋体" w:eastAsia="宋体" w:cs="宋体"/>
                <w:b/>
                <w:color w:val="auto"/>
                <w:sz w:val="24"/>
                <w:highlight w:val="none"/>
              </w:rPr>
            </w:pPr>
          </w:p>
        </w:tc>
        <w:tc>
          <w:tcPr>
            <w:tcW w:w="944" w:type="dxa"/>
            <w:noWrap w:val="0"/>
            <w:vAlign w:val="top"/>
          </w:tcPr>
          <w:p w14:paraId="48F50743">
            <w:pPr>
              <w:spacing w:line="360" w:lineRule="auto"/>
              <w:rPr>
                <w:rFonts w:hint="eastAsia" w:ascii="宋体" w:hAnsi="宋体" w:eastAsia="宋体" w:cs="宋体"/>
                <w:b/>
                <w:color w:val="auto"/>
                <w:sz w:val="24"/>
                <w:highlight w:val="none"/>
              </w:rPr>
            </w:pPr>
          </w:p>
        </w:tc>
        <w:tc>
          <w:tcPr>
            <w:tcW w:w="1804" w:type="dxa"/>
            <w:noWrap w:val="0"/>
            <w:vAlign w:val="top"/>
          </w:tcPr>
          <w:p w14:paraId="68F9B6D0">
            <w:pPr>
              <w:spacing w:line="360" w:lineRule="auto"/>
              <w:rPr>
                <w:rFonts w:hint="eastAsia" w:ascii="宋体" w:hAnsi="宋体" w:eastAsia="宋体" w:cs="宋体"/>
                <w:b/>
                <w:color w:val="auto"/>
                <w:sz w:val="24"/>
                <w:highlight w:val="none"/>
              </w:rPr>
            </w:pPr>
          </w:p>
        </w:tc>
        <w:tc>
          <w:tcPr>
            <w:tcW w:w="819" w:type="dxa"/>
            <w:noWrap w:val="0"/>
            <w:vAlign w:val="top"/>
          </w:tcPr>
          <w:p w14:paraId="1BE82DEE">
            <w:pPr>
              <w:spacing w:line="360" w:lineRule="auto"/>
              <w:rPr>
                <w:rFonts w:hint="eastAsia" w:ascii="宋体" w:hAnsi="宋体" w:eastAsia="宋体" w:cs="宋体"/>
                <w:b/>
                <w:color w:val="auto"/>
                <w:sz w:val="24"/>
                <w:highlight w:val="none"/>
              </w:rPr>
            </w:pPr>
          </w:p>
        </w:tc>
      </w:tr>
      <w:tr w14:paraId="092C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noWrap w:val="0"/>
            <w:vAlign w:val="top"/>
          </w:tcPr>
          <w:p w14:paraId="69860AE7">
            <w:pPr>
              <w:spacing w:line="360" w:lineRule="auto"/>
              <w:rPr>
                <w:rFonts w:hint="eastAsia" w:ascii="宋体" w:hAnsi="宋体" w:eastAsia="宋体" w:cs="宋体"/>
                <w:b/>
                <w:color w:val="auto"/>
                <w:sz w:val="24"/>
                <w:highlight w:val="none"/>
              </w:rPr>
            </w:pPr>
          </w:p>
        </w:tc>
        <w:tc>
          <w:tcPr>
            <w:tcW w:w="1516" w:type="dxa"/>
            <w:noWrap w:val="0"/>
            <w:vAlign w:val="top"/>
          </w:tcPr>
          <w:p w14:paraId="0A8D6800">
            <w:pPr>
              <w:spacing w:line="360" w:lineRule="auto"/>
              <w:rPr>
                <w:rFonts w:hint="eastAsia" w:ascii="宋体" w:hAnsi="宋体" w:eastAsia="宋体" w:cs="宋体"/>
                <w:b/>
                <w:color w:val="auto"/>
                <w:sz w:val="24"/>
                <w:highlight w:val="none"/>
              </w:rPr>
            </w:pPr>
          </w:p>
        </w:tc>
        <w:tc>
          <w:tcPr>
            <w:tcW w:w="1515" w:type="dxa"/>
            <w:noWrap w:val="0"/>
            <w:vAlign w:val="top"/>
          </w:tcPr>
          <w:p w14:paraId="69BD10AF">
            <w:pPr>
              <w:spacing w:line="360" w:lineRule="auto"/>
              <w:rPr>
                <w:rFonts w:hint="eastAsia" w:ascii="宋体" w:hAnsi="宋体" w:eastAsia="宋体" w:cs="宋体"/>
                <w:b/>
                <w:color w:val="auto"/>
                <w:sz w:val="24"/>
                <w:highlight w:val="none"/>
              </w:rPr>
            </w:pPr>
          </w:p>
        </w:tc>
        <w:tc>
          <w:tcPr>
            <w:tcW w:w="925" w:type="dxa"/>
            <w:noWrap w:val="0"/>
            <w:vAlign w:val="top"/>
          </w:tcPr>
          <w:p w14:paraId="76994EC4">
            <w:pPr>
              <w:spacing w:line="360" w:lineRule="auto"/>
              <w:rPr>
                <w:rFonts w:hint="eastAsia" w:ascii="宋体" w:hAnsi="宋体" w:eastAsia="宋体" w:cs="宋体"/>
                <w:b/>
                <w:color w:val="auto"/>
                <w:sz w:val="24"/>
                <w:highlight w:val="none"/>
              </w:rPr>
            </w:pPr>
          </w:p>
        </w:tc>
        <w:tc>
          <w:tcPr>
            <w:tcW w:w="1186" w:type="dxa"/>
            <w:noWrap w:val="0"/>
            <w:vAlign w:val="top"/>
          </w:tcPr>
          <w:p w14:paraId="39633814">
            <w:pPr>
              <w:spacing w:line="360" w:lineRule="auto"/>
              <w:rPr>
                <w:rFonts w:hint="eastAsia" w:ascii="宋体" w:hAnsi="宋体" w:eastAsia="宋体" w:cs="宋体"/>
                <w:b/>
                <w:color w:val="auto"/>
                <w:sz w:val="24"/>
                <w:highlight w:val="none"/>
              </w:rPr>
            </w:pPr>
          </w:p>
        </w:tc>
        <w:tc>
          <w:tcPr>
            <w:tcW w:w="944" w:type="dxa"/>
            <w:noWrap w:val="0"/>
            <w:vAlign w:val="top"/>
          </w:tcPr>
          <w:p w14:paraId="5E4684E0">
            <w:pPr>
              <w:spacing w:line="360" w:lineRule="auto"/>
              <w:rPr>
                <w:rFonts w:hint="eastAsia" w:ascii="宋体" w:hAnsi="宋体" w:eastAsia="宋体" w:cs="宋体"/>
                <w:b/>
                <w:color w:val="auto"/>
                <w:sz w:val="24"/>
                <w:highlight w:val="none"/>
              </w:rPr>
            </w:pPr>
          </w:p>
        </w:tc>
        <w:tc>
          <w:tcPr>
            <w:tcW w:w="1804" w:type="dxa"/>
            <w:noWrap w:val="0"/>
            <w:vAlign w:val="top"/>
          </w:tcPr>
          <w:p w14:paraId="2DAF3C57">
            <w:pPr>
              <w:spacing w:line="360" w:lineRule="auto"/>
              <w:rPr>
                <w:rFonts w:hint="eastAsia" w:ascii="宋体" w:hAnsi="宋体" w:eastAsia="宋体" w:cs="宋体"/>
                <w:b/>
                <w:color w:val="auto"/>
                <w:sz w:val="24"/>
                <w:highlight w:val="none"/>
              </w:rPr>
            </w:pPr>
          </w:p>
        </w:tc>
        <w:tc>
          <w:tcPr>
            <w:tcW w:w="819" w:type="dxa"/>
            <w:noWrap w:val="0"/>
            <w:vAlign w:val="top"/>
          </w:tcPr>
          <w:p w14:paraId="7B91954D">
            <w:pPr>
              <w:spacing w:line="360" w:lineRule="auto"/>
              <w:rPr>
                <w:rFonts w:hint="eastAsia" w:ascii="宋体" w:hAnsi="宋体" w:eastAsia="宋体" w:cs="宋体"/>
                <w:b/>
                <w:color w:val="auto"/>
                <w:sz w:val="24"/>
                <w:highlight w:val="none"/>
              </w:rPr>
            </w:pPr>
          </w:p>
        </w:tc>
      </w:tr>
      <w:tr w14:paraId="7CC9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noWrap w:val="0"/>
            <w:vAlign w:val="top"/>
          </w:tcPr>
          <w:p w14:paraId="2522E6C4">
            <w:pPr>
              <w:spacing w:line="360" w:lineRule="auto"/>
              <w:rPr>
                <w:rFonts w:hint="eastAsia" w:ascii="宋体" w:hAnsi="宋体" w:eastAsia="宋体" w:cs="宋体"/>
                <w:b/>
                <w:color w:val="auto"/>
                <w:sz w:val="24"/>
                <w:highlight w:val="none"/>
              </w:rPr>
            </w:pPr>
          </w:p>
        </w:tc>
        <w:tc>
          <w:tcPr>
            <w:tcW w:w="1516" w:type="dxa"/>
            <w:noWrap w:val="0"/>
            <w:vAlign w:val="top"/>
          </w:tcPr>
          <w:p w14:paraId="36C5CDBB">
            <w:pPr>
              <w:spacing w:line="360" w:lineRule="auto"/>
              <w:rPr>
                <w:rFonts w:hint="eastAsia" w:ascii="宋体" w:hAnsi="宋体" w:eastAsia="宋体" w:cs="宋体"/>
                <w:b/>
                <w:color w:val="auto"/>
                <w:sz w:val="24"/>
                <w:highlight w:val="none"/>
              </w:rPr>
            </w:pPr>
          </w:p>
        </w:tc>
        <w:tc>
          <w:tcPr>
            <w:tcW w:w="1515" w:type="dxa"/>
            <w:noWrap w:val="0"/>
            <w:vAlign w:val="top"/>
          </w:tcPr>
          <w:p w14:paraId="2497FF18">
            <w:pPr>
              <w:spacing w:line="360" w:lineRule="auto"/>
              <w:rPr>
                <w:rFonts w:hint="eastAsia" w:ascii="宋体" w:hAnsi="宋体" w:eastAsia="宋体" w:cs="宋体"/>
                <w:b/>
                <w:color w:val="auto"/>
                <w:sz w:val="24"/>
                <w:highlight w:val="none"/>
              </w:rPr>
            </w:pPr>
          </w:p>
        </w:tc>
        <w:tc>
          <w:tcPr>
            <w:tcW w:w="925" w:type="dxa"/>
            <w:noWrap w:val="0"/>
            <w:vAlign w:val="top"/>
          </w:tcPr>
          <w:p w14:paraId="298EC335">
            <w:pPr>
              <w:spacing w:line="360" w:lineRule="auto"/>
              <w:rPr>
                <w:rFonts w:hint="eastAsia" w:ascii="宋体" w:hAnsi="宋体" w:eastAsia="宋体" w:cs="宋体"/>
                <w:b/>
                <w:color w:val="auto"/>
                <w:sz w:val="24"/>
                <w:highlight w:val="none"/>
              </w:rPr>
            </w:pPr>
          </w:p>
        </w:tc>
        <w:tc>
          <w:tcPr>
            <w:tcW w:w="1186" w:type="dxa"/>
            <w:noWrap w:val="0"/>
            <w:vAlign w:val="top"/>
          </w:tcPr>
          <w:p w14:paraId="6A23F6B6">
            <w:pPr>
              <w:spacing w:line="360" w:lineRule="auto"/>
              <w:rPr>
                <w:rFonts w:hint="eastAsia" w:ascii="宋体" w:hAnsi="宋体" w:eastAsia="宋体" w:cs="宋体"/>
                <w:b/>
                <w:color w:val="auto"/>
                <w:sz w:val="24"/>
                <w:highlight w:val="none"/>
              </w:rPr>
            </w:pPr>
          </w:p>
        </w:tc>
        <w:tc>
          <w:tcPr>
            <w:tcW w:w="944" w:type="dxa"/>
            <w:noWrap w:val="0"/>
            <w:vAlign w:val="top"/>
          </w:tcPr>
          <w:p w14:paraId="75265329">
            <w:pPr>
              <w:spacing w:line="360" w:lineRule="auto"/>
              <w:rPr>
                <w:rFonts w:hint="eastAsia" w:ascii="宋体" w:hAnsi="宋体" w:eastAsia="宋体" w:cs="宋体"/>
                <w:b/>
                <w:color w:val="auto"/>
                <w:sz w:val="24"/>
                <w:highlight w:val="none"/>
              </w:rPr>
            </w:pPr>
          </w:p>
        </w:tc>
        <w:tc>
          <w:tcPr>
            <w:tcW w:w="1804" w:type="dxa"/>
            <w:noWrap w:val="0"/>
            <w:vAlign w:val="top"/>
          </w:tcPr>
          <w:p w14:paraId="7D54FAB7">
            <w:pPr>
              <w:spacing w:line="360" w:lineRule="auto"/>
              <w:rPr>
                <w:rFonts w:hint="eastAsia" w:ascii="宋体" w:hAnsi="宋体" w:eastAsia="宋体" w:cs="宋体"/>
                <w:b/>
                <w:color w:val="auto"/>
                <w:sz w:val="24"/>
                <w:highlight w:val="none"/>
              </w:rPr>
            </w:pPr>
          </w:p>
        </w:tc>
        <w:tc>
          <w:tcPr>
            <w:tcW w:w="819" w:type="dxa"/>
            <w:noWrap w:val="0"/>
            <w:vAlign w:val="top"/>
          </w:tcPr>
          <w:p w14:paraId="57BDCD92">
            <w:pPr>
              <w:spacing w:line="360" w:lineRule="auto"/>
              <w:rPr>
                <w:rFonts w:hint="eastAsia" w:ascii="宋体" w:hAnsi="宋体" w:eastAsia="宋体" w:cs="宋体"/>
                <w:b/>
                <w:color w:val="auto"/>
                <w:sz w:val="24"/>
                <w:highlight w:val="none"/>
              </w:rPr>
            </w:pPr>
          </w:p>
        </w:tc>
      </w:tr>
      <w:tr w14:paraId="3026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noWrap w:val="0"/>
            <w:vAlign w:val="top"/>
          </w:tcPr>
          <w:p w14:paraId="209DD744">
            <w:pPr>
              <w:spacing w:line="360" w:lineRule="auto"/>
              <w:rPr>
                <w:rFonts w:hint="eastAsia" w:ascii="宋体" w:hAnsi="宋体" w:eastAsia="宋体" w:cs="宋体"/>
                <w:b/>
                <w:color w:val="auto"/>
                <w:sz w:val="24"/>
                <w:highlight w:val="none"/>
              </w:rPr>
            </w:pPr>
          </w:p>
        </w:tc>
        <w:tc>
          <w:tcPr>
            <w:tcW w:w="1516" w:type="dxa"/>
            <w:noWrap w:val="0"/>
            <w:vAlign w:val="top"/>
          </w:tcPr>
          <w:p w14:paraId="59BCF4D0">
            <w:pPr>
              <w:spacing w:line="360" w:lineRule="auto"/>
              <w:rPr>
                <w:rFonts w:hint="eastAsia" w:ascii="宋体" w:hAnsi="宋体" w:eastAsia="宋体" w:cs="宋体"/>
                <w:b/>
                <w:color w:val="auto"/>
                <w:sz w:val="24"/>
                <w:highlight w:val="none"/>
              </w:rPr>
            </w:pPr>
          </w:p>
        </w:tc>
        <w:tc>
          <w:tcPr>
            <w:tcW w:w="1515" w:type="dxa"/>
            <w:noWrap w:val="0"/>
            <w:vAlign w:val="top"/>
          </w:tcPr>
          <w:p w14:paraId="398BD1BC">
            <w:pPr>
              <w:spacing w:line="360" w:lineRule="auto"/>
              <w:rPr>
                <w:rFonts w:hint="eastAsia" w:ascii="宋体" w:hAnsi="宋体" w:eastAsia="宋体" w:cs="宋体"/>
                <w:b/>
                <w:color w:val="auto"/>
                <w:sz w:val="24"/>
                <w:highlight w:val="none"/>
              </w:rPr>
            </w:pPr>
          </w:p>
        </w:tc>
        <w:tc>
          <w:tcPr>
            <w:tcW w:w="925" w:type="dxa"/>
            <w:noWrap w:val="0"/>
            <w:vAlign w:val="top"/>
          </w:tcPr>
          <w:p w14:paraId="242D9D40">
            <w:pPr>
              <w:spacing w:line="360" w:lineRule="auto"/>
              <w:rPr>
                <w:rFonts w:hint="eastAsia" w:ascii="宋体" w:hAnsi="宋体" w:eastAsia="宋体" w:cs="宋体"/>
                <w:b/>
                <w:color w:val="auto"/>
                <w:sz w:val="24"/>
                <w:highlight w:val="none"/>
              </w:rPr>
            </w:pPr>
          </w:p>
        </w:tc>
        <w:tc>
          <w:tcPr>
            <w:tcW w:w="1186" w:type="dxa"/>
            <w:noWrap w:val="0"/>
            <w:vAlign w:val="top"/>
          </w:tcPr>
          <w:p w14:paraId="7BFBEE24">
            <w:pPr>
              <w:spacing w:line="360" w:lineRule="auto"/>
              <w:rPr>
                <w:rFonts w:hint="eastAsia" w:ascii="宋体" w:hAnsi="宋体" w:eastAsia="宋体" w:cs="宋体"/>
                <w:b/>
                <w:color w:val="auto"/>
                <w:sz w:val="24"/>
                <w:highlight w:val="none"/>
              </w:rPr>
            </w:pPr>
          </w:p>
        </w:tc>
        <w:tc>
          <w:tcPr>
            <w:tcW w:w="944" w:type="dxa"/>
            <w:noWrap w:val="0"/>
            <w:vAlign w:val="top"/>
          </w:tcPr>
          <w:p w14:paraId="5321EC1D">
            <w:pPr>
              <w:spacing w:line="360" w:lineRule="auto"/>
              <w:rPr>
                <w:rFonts w:hint="eastAsia" w:ascii="宋体" w:hAnsi="宋体" w:eastAsia="宋体" w:cs="宋体"/>
                <w:b/>
                <w:color w:val="auto"/>
                <w:sz w:val="24"/>
                <w:highlight w:val="none"/>
              </w:rPr>
            </w:pPr>
          </w:p>
        </w:tc>
        <w:tc>
          <w:tcPr>
            <w:tcW w:w="1804" w:type="dxa"/>
            <w:noWrap w:val="0"/>
            <w:vAlign w:val="top"/>
          </w:tcPr>
          <w:p w14:paraId="2ABA5C9F">
            <w:pPr>
              <w:spacing w:line="360" w:lineRule="auto"/>
              <w:rPr>
                <w:rFonts w:hint="eastAsia" w:ascii="宋体" w:hAnsi="宋体" w:eastAsia="宋体" w:cs="宋体"/>
                <w:b/>
                <w:color w:val="auto"/>
                <w:sz w:val="24"/>
                <w:highlight w:val="none"/>
              </w:rPr>
            </w:pPr>
          </w:p>
        </w:tc>
        <w:tc>
          <w:tcPr>
            <w:tcW w:w="819" w:type="dxa"/>
            <w:noWrap w:val="0"/>
            <w:vAlign w:val="top"/>
          </w:tcPr>
          <w:p w14:paraId="2BC21333">
            <w:pPr>
              <w:spacing w:line="360" w:lineRule="auto"/>
              <w:rPr>
                <w:rFonts w:hint="eastAsia" w:ascii="宋体" w:hAnsi="宋体" w:eastAsia="宋体" w:cs="宋体"/>
                <w:b/>
                <w:color w:val="auto"/>
                <w:sz w:val="24"/>
                <w:highlight w:val="none"/>
              </w:rPr>
            </w:pPr>
          </w:p>
        </w:tc>
      </w:tr>
      <w:tr w14:paraId="0BD2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04" w:type="dxa"/>
            <w:gridSpan w:val="2"/>
            <w:noWrap w:val="0"/>
            <w:vAlign w:val="center"/>
          </w:tcPr>
          <w:p w14:paraId="5059AF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总计</w:t>
            </w:r>
          </w:p>
        </w:tc>
        <w:tc>
          <w:tcPr>
            <w:tcW w:w="7193" w:type="dxa"/>
            <w:gridSpan w:val="6"/>
            <w:noWrap w:val="0"/>
            <w:vAlign w:val="top"/>
          </w:tcPr>
          <w:p w14:paraId="260FF9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                  </w:t>
            </w:r>
          </w:p>
          <w:p w14:paraId="1841E0E0">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tc>
      </w:tr>
      <w:tr w14:paraId="1639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404" w:type="dxa"/>
            <w:gridSpan w:val="2"/>
            <w:noWrap w:val="0"/>
            <w:vAlign w:val="center"/>
          </w:tcPr>
          <w:p w14:paraId="020202D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193" w:type="dxa"/>
            <w:gridSpan w:val="6"/>
            <w:noWrap w:val="0"/>
            <w:vAlign w:val="top"/>
          </w:tcPr>
          <w:p w14:paraId="65BE533D">
            <w:pPr>
              <w:spacing w:line="360" w:lineRule="auto"/>
              <w:rPr>
                <w:rFonts w:hint="eastAsia" w:ascii="宋体" w:hAnsi="宋体" w:eastAsia="宋体" w:cs="宋体"/>
                <w:b/>
                <w:color w:val="auto"/>
                <w:sz w:val="24"/>
                <w:highlight w:val="none"/>
              </w:rPr>
            </w:pPr>
          </w:p>
        </w:tc>
      </w:tr>
    </w:tbl>
    <w:p w14:paraId="1D8174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必须填写</w:t>
      </w:r>
      <w:r>
        <w:rPr>
          <w:rFonts w:hint="eastAsia" w:ascii="宋体" w:hAnsi="宋体" w:eastAsia="宋体" w:cs="宋体"/>
          <w:color w:val="auto"/>
          <w:sz w:val="24"/>
          <w:highlight w:val="none"/>
        </w:rPr>
        <w:t>报价明细表</w:t>
      </w:r>
      <w:r>
        <w:rPr>
          <w:rFonts w:hint="eastAsia" w:ascii="宋体" w:hAnsi="宋体" w:eastAsia="宋体" w:cs="宋体"/>
          <w:bCs/>
          <w:color w:val="auto"/>
          <w:sz w:val="24"/>
          <w:highlight w:val="none"/>
        </w:rPr>
        <w:t>，否则将导致投标被拒绝。</w:t>
      </w:r>
    </w:p>
    <w:p w14:paraId="1DF5D993">
      <w:pPr>
        <w:spacing w:line="360" w:lineRule="auto"/>
        <w:ind w:left="72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2、报价分析表中的“投标总价”应等于“开标一览表”中的“投标总价”。</w:t>
      </w:r>
    </w:p>
    <w:p w14:paraId="6FA46663">
      <w:pPr>
        <w:spacing w:line="360" w:lineRule="auto"/>
        <w:ind w:left="720"/>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3、报价项目填报不下的，可自行照扩展。</w:t>
      </w:r>
    </w:p>
    <w:p w14:paraId="558472E5">
      <w:pPr>
        <w:pStyle w:val="59"/>
        <w:adjustRightInd w:val="0"/>
        <w:snapToGrid w:val="0"/>
        <w:spacing w:line="500" w:lineRule="exact"/>
        <w:rPr>
          <w:rFonts w:hint="eastAsia" w:ascii="宋体" w:hAnsi="宋体" w:eastAsia="宋体" w:cs="宋体"/>
          <w:color w:val="auto"/>
          <w:sz w:val="24"/>
          <w:szCs w:val="24"/>
          <w:highlight w:val="none"/>
        </w:rPr>
      </w:pPr>
    </w:p>
    <w:p w14:paraId="0AD8676E">
      <w:pPr>
        <w:pStyle w:val="5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法定代表人（签章）：</w:t>
      </w:r>
      <w:r>
        <w:rPr>
          <w:rFonts w:hint="eastAsia" w:ascii="宋体" w:hAnsi="宋体" w:eastAsia="宋体" w:cs="宋体"/>
          <w:color w:val="auto"/>
          <w:sz w:val="24"/>
          <w:szCs w:val="24"/>
          <w:highlight w:val="none"/>
          <w:u w:val="single"/>
        </w:rPr>
        <w:t xml:space="preserve">                  </w:t>
      </w:r>
    </w:p>
    <w:p w14:paraId="27C06DBA">
      <w:pPr>
        <w:pStyle w:val="5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名称（签章）：</w:t>
      </w:r>
      <w:r>
        <w:rPr>
          <w:rFonts w:hint="eastAsia" w:ascii="宋体" w:hAnsi="宋体" w:eastAsia="宋体" w:cs="宋体"/>
          <w:color w:val="auto"/>
          <w:sz w:val="24"/>
          <w:szCs w:val="24"/>
          <w:highlight w:val="none"/>
          <w:u w:val="single"/>
        </w:rPr>
        <w:t xml:space="preserve">                       </w:t>
      </w:r>
    </w:p>
    <w:p w14:paraId="424FD11F">
      <w:pPr>
        <w:spacing w:line="360" w:lineRule="auto"/>
        <w:ind w:right="480"/>
        <w:rPr>
          <w:rFonts w:hint="eastAsia" w:ascii="宋体" w:hAnsi="宋体" w:eastAsia="宋体" w:cs="宋体"/>
          <w:color w:val="auto"/>
          <w:sz w:val="24"/>
          <w:szCs w:val="24"/>
          <w:highlight w:val="none"/>
        </w:rPr>
      </w:pPr>
    </w:p>
    <w:p w14:paraId="4C4EE92F">
      <w:pPr>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2A5B8BE1">
      <w:pPr>
        <w:pStyle w:val="21"/>
        <w:rPr>
          <w:rFonts w:hint="eastAsia" w:ascii="宋体" w:hAnsi="宋体" w:eastAsia="宋体" w:cs="宋体"/>
          <w:color w:val="auto"/>
          <w:sz w:val="24"/>
          <w:szCs w:val="24"/>
          <w:highlight w:val="none"/>
        </w:rPr>
      </w:pPr>
    </w:p>
    <w:p w14:paraId="0BB1736B">
      <w:pPr>
        <w:rPr>
          <w:rFonts w:hint="eastAsia" w:ascii="宋体" w:hAnsi="宋体" w:eastAsia="宋体" w:cs="宋体"/>
          <w:color w:val="auto"/>
          <w:sz w:val="24"/>
          <w:szCs w:val="24"/>
          <w:highlight w:val="none"/>
        </w:rPr>
      </w:pPr>
    </w:p>
    <w:p w14:paraId="4FEA1693">
      <w:pPr>
        <w:pStyle w:val="21"/>
        <w:rPr>
          <w:rFonts w:hint="eastAsia" w:ascii="宋体" w:hAnsi="宋体" w:eastAsia="宋体" w:cs="宋体"/>
          <w:color w:val="auto"/>
          <w:sz w:val="24"/>
          <w:szCs w:val="24"/>
          <w:highlight w:val="none"/>
        </w:rPr>
      </w:pPr>
    </w:p>
    <w:p w14:paraId="273E38E3">
      <w:pPr>
        <w:rPr>
          <w:rFonts w:hint="eastAsia" w:ascii="宋体" w:hAnsi="宋体" w:eastAsia="宋体" w:cs="宋体"/>
          <w:color w:val="auto"/>
          <w:sz w:val="24"/>
          <w:szCs w:val="24"/>
          <w:highlight w:val="none"/>
        </w:rPr>
      </w:pPr>
    </w:p>
    <w:p w14:paraId="7A5621A2">
      <w:pPr>
        <w:pStyle w:val="21"/>
        <w:rPr>
          <w:rFonts w:hint="eastAsia" w:ascii="宋体" w:hAnsi="宋体" w:eastAsia="宋体" w:cs="宋体"/>
          <w:color w:val="auto"/>
          <w:sz w:val="24"/>
          <w:szCs w:val="24"/>
          <w:highlight w:val="none"/>
        </w:rPr>
      </w:pPr>
    </w:p>
    <w:p w14:paraId="1CD1CC17">
      <w:pPr>
        <w:rPr>
          <w:rFonts w:hint="eastAsia" w:ascii="宋体" w:hAnsi="宋体" w:eastAsia="宋体" w:cs="宋体"/>
          <w:color w:val="auto"/>
          <w:sz w:val="24"/>
          <w:szCs w:val="24"/>
          <w:highlight w:val="none"/>
        </w:rPr>
      </w:pPr>
    </w:p>
    <w:p w14:paraId="10E04157">
      <w:pPr>
        <w:spacing w:line="440" w:lineRule="exact"/>
        <w:jc w:val="left"/>
        <w:rPr>
          <w:rFonts w:hint="eastAsia" w:ascii="宋体" w:hAnsi="宋体" w:eastAsia="宋体" w:cs="宋体"/>
          <w:b/>
          <w:bCs/>
          <w:color w:val="auto"/>
          <w:sz w:val="24"/>
          <w:szCs w:val="24"/>
          <w:highlight w:val="none"/>
        </w:rPr>
      </w:pPr>
      <w:bookmarkStart w:id="281" w:name="_Toc480368437"/>
      <w:r>
        <w:rPr>
          <w:rFonts w:hint="eastAsia" w:ascii="宋体" w:hAnsi="宋体" w:eastAsia="宋体" w:cs="宋体"/>
          <w:b/>
          <w:bCs/>
          <w:color w:val="auto"/>
          <w:position w:val="-2"/>
          <w:sz w:val="24"/>
          <w:szCs w:val="24"/>
          <w:highlight w:val="none"/>
          <w:lang w:val="en-US" w:eastAsia="zh-CN"/>
        </w:rPr>
        <w:t>2.5</w:t>
      </w:r>
      <w:r>
        <w:rPr>
          <w:rFonts w:hint="eastAsia" w:ascii="宋体" w:hAnsi="宋体" w:eastAsia="宋体" w:cs="宋体"/>
          <w:b/>
          <w:bCs/>
          <w:color w:val="auto"/>
          <w:position w:val="-2"/>
          <w:sz w:val="24"/>
          <w:szCs w:val="24"/>
          <w:highlight w:val="none"/>
        </w:rPr>
        <w:t>项</w:t>
      </w:r>
      <w:r>
        <w:rPr>
          <w:rFonts w:hint="eastAsia" w:ascii="宋体" w:hAnsi="宋体" w:eastAsia="宋体" w:cs="宋体"/>
          <w:b/>
          <w:bCs/>
          <w:color w:val="auto"/>
          <w:spacing w:val="2"/>
          <w:position w:val="-2"/>
          <w:sz w:val="24"/>
          <w:szCs w:val="24"/>
          <w:highlight w:val="none"/>
        </w:rPr>
        <w:t>目管</w:t>
      </w:r>
      <w:r>
        <w:rPr>
          <w:rFonts w:hint="eastAsia" w:ascii="宋体" w:hAnsi="宋体" w:eastAsia="宋体" w:cs="宋体"/>
          <w:b/>
          <w:bCs/>
          <w:color w:val="auto"/>
          <w:position w:val="-2"/>
          <w:sz w:val="24"/>
          <w:szCs w:val="24"/>
          <w:highlight w:val="none"/>
        </w:rPr>
        <w:t>理机</w:t>
      </w:r>
      <w:r>
        <w:rPr>
          <w:rFonts w:hint="eastAsia" w:ascii="宋体" w:hAnsi="宋体" w:eastAsia="宋体" w:cs="宋体"/>
          <w:b/>
          <w:bCs/>
          <w:color w:val="auto"/>
          <w:spacing w:val="2"/>
          <w:position w:val="-2"/>
          <w:sz w:val="24"/>
          <w:szCs w:val="24"/>
          <w:highlight w:val="none"/>
        </w:rPr>
        <w:t>构配</w:t>
      </w:r>
      <w:r>
        <w:rPr>
          <w:rFonts w:hint="eastAsia" w:ascii="宋体" w:hAnsi="宋体" w:eastAsia="宋体" w:cs="宋体"/>
          <w:b/>
          <w:bCs/>
          <w:color w:val="auto"/>
          <w:position w:val="-2"/>
          <w:sz w:val="24"/>
          <w:szCs w:val="24"/>
          <w:highlight w:val="none"/>
        </w:rPr>
        <w:t>备</w:t>
      </w:r>
      <w:r>
        <w:rPr>
          <w:rFonts w:hint="eastAsia" w:ascii="宋体" w:hAnsi="宋体" w:eastAsia="宋体" w:cs="宋体"/>
          <w:b/>
          <w:bCs/>
          <w:color w:val="auto"/>
          <w:spacing w:val="2"/>
          <w:position w:val="-2"/>
          <w:sz w:val="24"/>
          <w:szCs w:val="24"/>
          <w:highlight w:val="none"/>
        </w:rPr>
        <w:t>情</w:t>
      </w:r>
      <w:r>
        <w:rPr>
          <w:rFonts w:hint="eastAsia" w:ascii="宋体" w:hAnsi="宋体" w:eastAsia="宋体" w:cs="宋体"/>
          <w:b/>
          <w:bCs/>
          <w:color w:val="auto"/>
          <w:position w:val="-2"/>
          <w:sz w:val="24"/>
          <w:szCs w:val="24"/>
          <w:highlight w:val="none"/>
        </w:rPr>
        <w:t>况</w:t>
      </w:r>
    </w:p>
    <w:p w14:paraId="6A186B7C">
      <w:pPr>
        <w:spacing w:line="364" w:lineRule="exact"/>
        <w:ind w:left="219" w:right="-20"/>
        <w:jc w:val="center"/>
        <w:rPr>
          <w:rFonts w:hint="eastAsia" w:ascii="宋体" w:hAnsi="宋体" w:eastAsia="宋体" w:cs="宋体"/>
          <w:color w:val="auto"/>
          <w:sz w:val="24"/>
          <w:szCs w:val="24"/>
          <w:highlight w:val="none"/>
        </w:rPr>
      </w:pPr>
      <w:r>
        <w:rPr>
          <w:rFonts w:hint="eastAsia" w:ascii="宋体" w:hAnsi="宋体" w:eastAsia="宋体" w:cs="宋体"/>
          <w:color w:val="auto"/>
          <w:spacing w:val="2"/>
          <w:position w:val="-2"/>
          <w:sz w:val="24"/>
          <w:szCs w:val="24"/>
          <w:highlight w:val="none"/>
        </w:rPr>
        <w:t>（</w:t>
      </w:r>
      <w:r>
        <w:rPr>
          <w:rFonts w:hint="eastAsia" w:ascii="宋体" w:hAnsi="宋体" w:eastAsia="宋体" w:cs="宋体"/>
          <w:color w:val="auto"/>
          <w:position w:val="-2"/>
          <w:sz w:val="24"/>
          <w:szCs w:val="24"/>
          <w:highlight w:val="none"/>
          <w:lang w:val="en-US" w:eastAsia="zh-CN"/>
        </w:rPr>
        <w:t>1</w:t>
      </w:r>
      <w:r>
        <w:rPr>
          <w:rFonts w:hint="eastAsia" w:ascii="宋体" w:hAnsi="宋体" w:eastAsia="宋体" w:cs="宋体"/>
          <w:color w:val="auto"/>
          <w:position w:val="-2"/>
          <w:sz w:val="24"/>
          <w:szCs w:val="24"/>
          <w:highlight w:val="none"/>
        </w:rPr>
        <w:t>）项</w:t>
      </w:r>
      <w:r>
        <w:rPr>
          <w:rFonts w:hint="eastAsia" w:ascii="宋体" w:hAnsi="宋体" w:eastAsia="宋体" w:cs="宋体"/>
          <w:color w:val="auto"/>
          <w:spacing w:val="2"/>
          <w:position w:val="-2"/>
          <w:sz w:val="24"/>
          <w:szCs w:val="24"/>
          <w:highlight w:val="none"/>
        </w:rPr>
        <w:t>目</w:t>
      </w:r>
      <w:r>
        <w:rPr>
          <w:rFonts w:hint="eastAsia" w:ascii="宋体" w:hAnsi="宋体" w:eastAsia="宋体" w:cs="宋体"/>
          <w:color w:val="auto"/>
          <w:position w:val="-2"/>
          <w:sz w:val="24"/>
          <w:szCs w:val="24"/>
          <w:highlight w:val="none"/>
          <w:lang w:val="en-US" w:eastAsia="zh-CN"/>
        </w:rPr>
        <w:t>负责人</w:t>
      </w:r>
      <w:r>
        <w:rPr>
          <w:rFonts w:hint="eastAsia" w:ascii="宋体" w:hAnsi="宋体" w:eastAsia="宋体" w:cs="宋体"/>
          <w:color w:val="auto"/>
          <w:spacing w:val="2"/>
          <w:position w:val="-2"/>
          <w:sz w:val="24"/>
          <w:szCs w:val="24"/>
          <w:highlight w:val="none"/>
        </w:rPr>
        <w:t>简</w:t>
      </w:r>
      <w:r>
        <w:rPr>
          <w:rFonts w:hint="eastAsia" w:ascii="宋体" w:hAnsi="宋体" w:eastAsia="宋体" w:cs="宋体"/>
          <w:color w:val="auto"/>
          <w:position w:val="-2"/>
          <w:sz w:val="24"/>
          <w:szCs w:val="24"/>
          <w:highlight w:val="none"/>
        </w:rPr>
        <w:t>历表</w:t>
      </w:r>
    </w:p>
    <w:p w14:paraId="6FE26FA3">
      <w:pPr>
        <w:spacing w:before="7" w:line="40" w:lineRule="exact"/>
        <w:rPr>
          <w:rFonts w:hint="eastAsia" w:ascii="宋体" w:hAnsi="宋体" w:eastAsia="宋体" w:cs="宋体"/>
          <w:color w:val="auto"/>
          <w:sz w:val="4"/>
          <w:szCs w:val="4"/>
          <w:highlight w:val="none"/>
        </w:rPr>
      </w:pPr>
    </w:p>
    <w:tbl>
      <w:tblPr>
        <w:tblStyle w:val="38"/>
        <w:tblW w:w="0" w:type="auto"/>
        <w:tblInd w:w="95" w:type="dxa"/>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48B049DC">
        <w:tblPrEx>
          <w:tblCellMar>
            <w:top w:w="0" w:type="dxa"/>
            <w:left w:w="0" w:type="dxa"/>
            <w:bottom w:w="0" w:type="dxa"/>
            <w:right w:w="0" w:type="dxa"/>
          </w:tblCellMar>
        </w:tblPrEx>
        <w:trPr>
          <w:trHeight w:val="593" w:hRule="exact"/>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0048A9EA">
            <w:pPr>
              <w:spacing w:before="55"/>
              <w:ind w:left="489" w:right="47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2BECAF0">
            <w:pPr>
              <w:rPr>
                <w:rFonts w:hint="eastAsia" w:ascii="宋体" w:hAnsi="宋体" w:eastAsia="宋体" w:cs="宋体"/>
                <w:color w:val="auto"/>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230992CA">
            <w:pPr>
              <w:spacing w:before="55"/>
              <w:ind w:left="487" w:right="47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165D0A2F">
            <w:pPr>
              <w:rPr>
                <w:rFonts w:hint="eastAsia" w:ascii="宋体" w:hAnsi="宋体" w:eastAsia="宋体" w:cs="宋体"/>
                <w:color w:val="auto"/>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A184723">
            <w:pPr>
              <w:spacing w:before="55"/>
              <w:ind w:left="489" w:right="47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4B8430F0">
            <w:pPr>
              <w:rPr>
                <w:rFonts w:hint="eastAsia" w:ascii="宋体" w:hAnsi="宋体" w:eastAsia="宋体" w:cs="宋体"/>
                <w:color w:val="auto"/>
                <w:highlight w:val="none"/>
              </w:rPr>
            </w:pPr>
          </w:p>
        </w:tc>
      </w:tr>
      <w:tr w14:paraId="6D802158">
        <w:tblPrEx>
          <w:tblCellMar>
            <w:top w:w="0" w:type="dxa"/>
            <w:left w:w="0" w:type="dxa"/>
            <w:bottom w:w="0" w:type="dxa"/>
            <w:right w:w="0" w:type="dxa"/>
          </w:tblCellMar>
        </w:tblPrEx>
        <w:trPr>
          <w:trHeight w:val="595" w:hRule="exact"/>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3680732E">
            <w:pPr>
              <w:spacing w:before="58"/>
              <w:ind w:left="489" w:right="47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0D3B14F">
            <w:pPr>
              <w:rPr>
                <w:rFonts w:hint="eastAsia" w:ascii="宋体" w:hAnsi="宋体" w:eastAsia="宋体" w:cs="宋体"/>
                <w:color w:val="auto"/>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0C0E501">
            <w:pPr>
              <w:spacing w:before="58"/>
              <w:ind w:left="487" w:right="47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29C34E54">
            <w:pPr>
              <w:rPr>
                <w:rFonts w:hint="eastAsia" w:ascii="宋体" w:hAnsi="宋体" w:eastAsia="宋体" w:cs="宋体"/>
                <w:color w:val="auto"/>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1164598">
            <w:pPr>
              <w:spacing w:before="58"/>
              <w:ind w:left="489" w:right="47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22619D2A">
            <w:pPr>
              <w:rPr>
                <w:rFonts w:hint="eastAsia" w:ascii="宋体" w:hAnsi="宋体" w:eastAsia="宋体" w:cs="宋体"/>
                <w:color w:val="auto"/>
                <w:highlight w:val="none"/>
              </w:rPr>
            </w:pPr>
          </w:p>
        </w:tc>
      </w:tr>
      <w:tr w14:paraId="729104BF">
        <w:tblPrEx>
          <w:tblCellMar>
            <w:top w:w="0" w:type="dxa"/>
            <w:left w:w="0" w:type="dxa"/>
            <w:bottom w:w="0" w:type="dxa"/>
            <w:right w:w="0" w:type="dxa"/>
          </w:tblCellMar>
        </w:tblPrEx>
        <w:trPr>
          <w:trHeight w:val="593" w:hRule="exact"/>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8309AC6">
            <w:pPr>
              <w:spacing w:before="55"/>
              <w:ind w:left="433"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27DE13B2">
            <w:pPr>
              <w:rPr>
                <w:rFonts w:hint="eastAsia" w:ascii="宋体" w:hAnsi="宋体" w:eastAsia="宋体" w:cs="宋体"/>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B0BEF2E">
            <w:pPr>
              <w:spacing w:before="55"/>
              <w:ind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担任项目</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rPr>
              <w:t>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FC68F90">
            <w:pPr>
              <w:rPr>
                <w:rFonts w:hint="eastAsia" w:ascii="宋体" w:hAnsi="宋体" w:eastAsia="宋体" w:cs="宋体"/>
                <w:color w:val="auto"/>
                <w:highlight w:val="none"/>
              </w:rPr>
            </w:pPr>
          </w:p>
        </w:tc>
      </w:tr>
      <w:tr w14:paraId="5B1C6321">
        <w:tblPrEx>
          <w:tblCellMar>
            <w:top w:w="0" w:type="dxa"/>
            <w:left w:w="0" w:type="dxa"/>
            <w:bottom w:w="0" w:type="dxa"/>
            <w:right w:w="0" w:type="dxa"/>
          </w:tblCellMar>
        </w:tblPrEx>
        <w:trPr>
          <w:trHeight w:val="595" w:hRule="exact"/>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70E908BC">
            <w:pPr>
              <w:spacing w:before="58"/>
              <w:ind w:left="3878" w:right="386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承担项目情况</w:t>
            </w:r>
          </w:p>
        </w:tc>
      </w:tr>
      <w:tr w14:paraId="26CA5DFF">
        <w:tblPrEx>
          <w:tblCellMar>
            <w:top w:w="0" w:type="dxa"/>
            <w:left w:w="0" w:type="dxa"/>
            <w:bottom w:w="0" w:type="dxa"/>
            <w:right w:w="0" w:type="dxa"/>
          </w:tblCellMar>
        </w:tblPrEx>
        <w:trPr>
          <w:trHeight w:val="593" w:hRule="exact"/>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F217924">
            <w:pPr>
              <w:spacing w:before="55"/>
              <w:ind w:left="673" w:right="-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294D80A">
            <w:pPr>
              <w:spacing w:before="55"/>
              <w:ind w:left="676"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59756C2">
            <w:pPr>
              <w:spacing w:before="55"/>
              <w:ind w:left="671" w:right="-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内容</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E2B3494">
            <w:pPr>
              <w:spacing w:before="55"/>
              <w:ind w:left="674" w:right="-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金额</w:t>
            </w:r>
          </w:p>
        </w:tc>
      </w:tr>
      <w:tr w14:paraId="0ACAD4E7">
        <w:tblPrEx>
          <w:tblCellMar>
            <w:top w:w="0" w:type="dxa"/>
            <w:left w:w="0" w:type="dxa"/>
            <w:bottom w:w="0" w:type="dxa"/>
            <w:right w:w="0" w:type="dxa"/>
          </w:tblCellMar>
        </w:tblPrEx>
        <w:trPr>
          <w:trHeight w:val="596" w:hRule="exact"/>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A2AC745">
            <w:pPr>
              <w:rPr>
                <w:rFonts w:hint="eastAsia" w:ascii="宋体" w:hAnsi="宋体" w:eastAsia="宋体" w:cs="宋体"/>
                <w:color w:val="auto"/>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9B0E476">
            <w:pPr>
              <w:rPr>
                <w:rFonts w:hint="eastAsia" w:ascii="宋体" w:hAnsi="宋体" w:eastAsia="宋体" w:cs="宋体"/>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E87A4B6">
            <w:pPr>
              <w:rPr>
                <w:rFonts w:hint="eastAsia" w:ascii="宋体" w:hAnsi="宋体" w:eastAsia="宋体" w:cs="宋体"/>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F3457D6">
            <w:pPr>
              <w:rPr>
                <w:rFonts w:hint="eastAsia" w:ascii="宋体" w:hAnsi="宋体" w:eastAsia="宋体" w:cs="宋体"/>
                <w:color w:val="auto"/>
                <w:highlight w:val="none"/>
              </w:rPr>
            </w:pPr>
          </w:p>
        </w:tc>
      </w:tr>
      <w:tr w14:paraId="2130F5D5">
        <w:tblPrEx>
          <w:tblCellMar>
            <w:top w:w="0" w:type="dxa"/>
            <w:left w:w="0" w:type="dxa"/>
            <w:bottom w:w="0" w:type="dxa"/>
            <w:right w:w="0" w:type="dxa"/>
          </w:tblCellMar>
        </w:tblPrEx>
        <w:trPr>
          <w:trHeight w:val="593" w:hRule="exact"/>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F6AF8C2">
            <w:pPr>
              <w:rPr>
                <w:rFonts w:hint="eastAsia" w:ascii="宋体" w:hAnsi="宋体" w:eastAsia="宋体" w:cs="宋体"/>
                <w:color w:val="auto"/>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2BFA7E4E">
            <w:pPr>
              <w:rPr>
                <w:rFonts w:hint="eastAsia" w:ascii="宋体" w:hAnsi="宋体" w:eastAsia="宋体" w:cs="宋体"/>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429F083">
            <w:pPr>
              <w:rPr>
                <w:rFonts w:hint="eastAsia" w:ascii="宋体" w:hAnsi="宋体" w:eastAsia="宋体" w:cs="宋体"/>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761E4E5">
            <w:pPr>
              <w:rPr>
                <w:rFonts w:hint="eastAsia" w:ascii="宋体" w:hAnsi="宋体" w:eastAsia="宋体" w:cs="宋体"/>
                <w:color w:val="auto"/>
                <w:highlight w:val="none"/>
              </w:rPr>
            </w:pPr>
          </w:p>
        </w:tc>
      </w:tr>
    </w:tbl>
    <w:p w14:paraId="2BF98ABB">
      <w:pPr>
        <w:spacing w:line="364" w:lineRule="exact"/>
        <w:ind w:right="-20"/>
        <w:jc w:val="left"/>
        <w:rPr>
          <w:rFonts w:hint="eastAsia" w:ascii="宋体" w:hAnsi="宋体" w:eastAsia="宋体" w:cs="宋体"/>
          <w:color w:val="auto"/>
          <w:spacing w:val="2"/>
          <w:position w:val="-2"/>
          <w:sz w:val="24"/>
          <w:szCs w:val="24"/>
          <w:highlight w:val="none"/>
          <w:lang w:eastAsia="zh-CN"/>
        </w:rPr>
      </w:pPr>
      <w:r>
        <w:rPr>
          <w:rFonts w:hint="eastAsia" w:ascii="宋体" w:hAnsi="宋体" w:eastAsia="宋体" w:cs="宋体"/>
          <w:color w:val="auto"/>
          <w:spacing w:val="2"/>
          <w:position w:val="-2"/>
          <w:sz w:val="24"/>
          <w:szCs w:val="24"/>
          <w:highlight w:val="none"/>
          <w:lang w:eastAsia="zh-CN"/>
        </w:rPr>
        <w:t>注：后附相关证件（书）</w:t>
      </w:r>
    </w:p>
    <w:p w14:paraId="50FA4D09">
      <w:pPr>
        <w:spacing w:line="364"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pacing w:val="2"/>
          <w:position w:val="-2"/>
          <w:sz w:val="24"/>
          <w:szCs w:val="24"/>
          <w:highlight w:val="none"/>
        </w:rPr>
        <w:t>（</w:t>
      </w:r>
      <w:r>
        <w:rPr>
          <w:rFonts w:hint="eastAsia" w:ascii="宋体" w:hAnsi="宋体" w:eastAsia="宋体" w:cs="宋体"/>
          <w:color w:val="auto"/>
          <w:position w:val="-2"/>
          <w:sz w:val="24"/>
          <w:szCs w:val="24"/>
          <w:highlight w:val="none"/>
          <w:lang w:val="en-US" w:eastAsia="zh-CN"/>
        </w:rPr>
        <w:t>2</w:t>
      </w:r>
      <w:r>
        <w:rPr>
          <w:rFonts w:hint="eastAsia" w:ascii="宋体" w:hAnsi="宋体" w:eastAsia="宋体" w:cs="宋体"/>
          <w:color w:val="auto"/>
          <w:position w:val="-2"/>
          <w:sz w:val="24"/>
          <w:szCs w:val="24"/>
          <w:highlight w:val="none"/>
        </w:rPr>
        <w:t>）</w:t>
      </w:r>
      <w:r>
        <w:rPr>
          <w:rFonts w:hint="eastAsia" w:ascii="宋体" w:hAnsi="宋体" w:eastAsia="宋体" w:cs="宋体"/>
          <w:color w:val="auto"/>
          <w:spacing w:val="-13"/>
          <w:position w:val="-2"/>
          <w:sz w:val="24"/>
          <w:szCs w:val="24"/>
          <w:highlight w:val="none"/>
        </w:rPr>
        <w:t xml:space="preserve"> </w:t>
      </w:r>
      <w:r>
        <w:rPr>
          <w:rFonts w:hint="eastAsia" w:ascii="宋体" w:hAnsi="宋体" w:eastAsia="宋体" w:cs="宋体"/>
          <w:color w:val="auto"/>
          <w:position w:val="-2"/>
          <w:sz w:val="24"/>
          <w:szCs w:val="24"/>
          <w:highlight w:val="none"/>
        </w:rPr>
        <w:t>拟</w:t>
      </w:r>
      <w:r>
        <w:rPr>
          <w:rFonts w:hint="eastAsia" w:ascii="宋体" w:hAnsi="宋体" w:eastAsia="宋体" w:cs="宋体"/>
          <w:color w:val="auto"/>
          <w:spacing w:val="2"/>
          <w:position w:val="-2"/>
          <w:sz w:val="24"/>
          <w:szCs w:val="24"/>
          <w:highlight w:val="none"/>
        </w:rPr>
        <w:t>投</w:t>
      </w:r>
      <w:r>
        <w:rPr>
          <w:rFonts w:hint="eastAsia" w:ascii="宋体" w:hAnsi="宋体" w:eastAsia="宋体" w:cs="宋体"/>
          <w:color w:val="auto"/>
          <w:position w:val="-2"/>
          <w:sz w:val="24"/>
          <w:szCs w:val="24"/>
          <w:highlight w:val="none"/>
        </w:rPr>
        <w:t>入项</w:t>
      </w:r>
      <w:r>
        <w:rPr>
          <w:rFonts w:hint="eastAsia" w:ascii="宋体" w:hAnsi="宋体" w:eastAsia="宋体" w:cs="宋体"/>
          <w:color w:val="auto"/>
          <w:spacing w:val="2"/>
          <w:position w:val="-2"/>
          <w:sz w:val="24"/>
          <w:szCs w:val="24"/>
          <w:highlight w:val="none"/>
        </w:rPr>
        <w:t>目</w:t>
      </w:r>
      <w:r>
        <w:rPr>
          <w:rFonts w:hint="eastAsia" w:ascii="宋体" w:hAnsi="宋体" w:eastAsia="宋体" w:cs="宋体"/>
          <w:color w:val="auto"/>
          <w:position w:val="-2"/>
          <w:sz w:val="24"/>
          <w:szCs w:val="24"/>
          <w:highlight w:val="none"/>
        </w:rPr>
        <w:t>组成</w:t>
      </w:r>
      <w:r>
        <w:rPr>
          <w:rFonts w:hint="eastAsia" w:ascii="宋体" w:hAnsi="宋体" w:eastAsia="宋体" w:cs="宋体"/>
          <w:color w:val="auto"/>
          <w:spacing w:val="2"/>
          <w:position w:val="-2"/>
          <w:sz w:val="24"/>
          <w:szCs w:val="24"/>
          <w:highlight w:val="none"/>
        </w:rPr>
        <w:t>人</w:t>
      </w:r>
      <w:r>
        <w:rPr>
          <w:rFonts w:hint="eastAsia" w:ascii="宋体" w:hAnsi="宋体" w:eastAsia="宋体" w:cs="宋体"/>
          <w:color w:val="auto"/>
          <w:position w:val="-2"/>
          <w:sz w:val="24"/>
          <w:szCs w:val="24"/>
          <w:highlight w:val="none"/>
        </w:rPr>
        <w:t>员</w:t>
      </w:r>
      <w:r>
        <w:rPr>
          <w:rFonts w:hint="eastAsia" w:ascii="宋体" w:hAnsi="宋体" w:eastAsia="宋体" w:cs="宋体"/>
          <w:color w:val="auto"/>
          <w:spacing w:val="2"/>
          <w:position w:val="-2"/>
          <w:sz w:val="24"/>
          <w:szCs w:val="24"/>
          <w:highlight w:val="none"/>
        </w:rPr>
        <w:t>简</w:t>
      </w:r>
      <w:r>
        <w:rPr>
          <w:rFonts w:hint="eastAsia" w:ascii="宋体" w:hAnsi="宋体" w:eastAsia="宋体" w:cs="宋体"/>
          <w:color w:val="auto"/>
          <w:position w:val="-2"/>
          <w:sz w:val="24"/>
          <w:szCs w:val="24"/>
          <w:highlight w:val="none"/>
        </w:rPr>
        <w:t>历表</w:t>
      </w:r>
    </w:p>
    <w:p w14:paraId="020F70D4">
      <w:pPr>
        <w:spacing w:before="7" w:line="40" w:lineRule="exact"/>
        <w:rPr>
          <w:rFonts w:hint="eastAsia" w:ascii="宋体" w:hAnsi="宋体" w:eastAsia="宋体" w:cs="宋体"/>
          <w:color w:val="auto"/>
          <w:sz w:val="4"/>
          <w:szCs w:val="4"/>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57B2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center"/>
          </w:tcPr>
          <w:p w14:paraId="4E05BC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75" w:type="dxa"/>
            <w:noWrap w:val="0"/>
            <w:vAlign w:val="center"/>
          </w:tcPr>
          <w:p w14:paraId="3CD807A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1147" w:type="dxa"/>
            <w:noWrap w:val="0"/>
            <w:vAlign w:val="center"/>
          </w:tcPr>
          <w:p w14:paraId="70451F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176" w:type="dxa"/>
            <w:noWrap w:val="0"/>
            <w:vAlign w:val="center"/>
          </w:tcPr>
          <w:p w14:paraId="7A9AFE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176" w:type="dxa"/>
            <w:noWrap w:val="0"/>
            <w:vAlign w:val="center"/>
          </w:tcPr>
          <w:p w14:paraId="25AF729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150" w:type="dxa"/>
            <w:noWrap w:val="0"/>
            <w:vAlign w:val="center"/>
          </w:tcPr>
          <w:p w14:paraId="42B2CDA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176" w:type="dxa"/>
            <w:noWrap w:val="0"/>
            <w:vAlign w:val="center"/>
          </w:tcPr>
          <w:p w14:paraId="1E8534F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从事工作年限</w:t>
            </w:r>
          </w:p>
        </w:tc>
        <w:tc>
          <w:tcPr>
            <w:tcW w:w="1144" w:type="dxa"/>
            <w:noWrap w:val="0"/>
            <w:vAlign w:val="top"/>
          </w:tcPr>
          <w:p w14:paraId="6EA7540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69E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260B7C64">
            <w:pPr>
              <w:rPr>
                <w:rFonts w:hint="eastAsia" w:ascii="宋体" w:hAnsi="宋体" w:eastAsia="宋体" w:cs="宋体"/>
                <w:color w:val="auto"/>
                <w:sz w:val="24"/>
                <w:szCs w:val="24"/>
                <w:highlight w:val="none"/>
              </w:rPr>
            </w:pPr>
          </w:p>
        </w:tc>
        <w:tc>
          <w:tcPr>
            <w:tcW w:w="1175" w:type="dxa"/>
            <w:noWrap w:val="0"/>
            <w:vAlign w:val="top"/>
          </w:tcPr>
          <w:p w14:paraId="7CA388D5">
            <w:pPr>
              <w:rPr>
                <w:rFonts w:hint="eastAsia" w:ascii="宋体" w:hAnsi="宋体" w:eastAsia="宋体" w:cs="宋体"/>
                <w:color w:val="auto"/>
                <w:sz w:val="24"/>
                <w:szCs w:val="24"/>
                <w:highlight w:val="none"/>
              </w:rPr>
            </w:pPr>
          </w:p>
        </w:tc>
        <w:tc>
          <w:tcPr>
            <w:tcW w:w="1147" w:type="dxa"/>
            <w:noWrap w:val="0"/>
            <w:vAlign w:val="top"/>
          </w:tcPr>
          <w:p w14:paraId="63A17DE1">
            <w:pPr>
              <w:rPr>
                <w:rFonts w:hint="eastAsia" w:ascii="宋体" w:hAnsi="宋体" w:eastAsia="宋体" w:cs="宋体"/>
                <w:color w:val="auto"/>
                <w:sz w:val="24"/>
                <w:szCs w:val="24"/>
                <w:highlight w:val="none"/>
              </w:rPr>
            </w:pPr>
          </w:p>
        </w:tc>
        <w:tc>
          <w:tcPr>
            <w:tcW w:w="1176" w:type="dxa"/>
            <w:noWrap w:val="0"/>
            <w:vAlign w:val="top"/>
          </w:tcPr>
          <w:p w14:paraId="1CA6ECE3">
            <w:pPr>
              <w:rPr>
                <w:rFonts w:hint="eastAsia" w:ascii="宋体" w:hAnsi="宋体" w:eastAsia="宋体" w:cs="宋体"/>
                <w:color w:val="auto"/>
                <w:sz w:val="24"/>
                <w:szCs w:val="24"/>
                <w:highlight w:val="none"/>
              </w:rPr>
            </w:pPr>
          </w:p>
        </w:tc>
        <w:tc>
          <w:tcPr>
            <w:tcW w:w="1176" w:type="dxa"/>
            <w:noWrap w:val="0"/>
            <w:vAlign w:val="top"/>
          </w:tcPr>
          <w:p w14:paraId="522D30FC">
            <w:pPr>
              <w:rPr>
                <w:rFonts w:hint="eastAsia" w:ascii="宋体" w:hAnsi="宋体" w:eastAsia="宋体" w:cs="宋体"/>
                <w:color w:val="auto"/>
                <w:sz w:val="24"/>
                <w:szCs w:val="24"/>
                <w:highlight w:val="none"/>
              </w:rPr>
            </w:pPr>
          </w:p>
        </w:tc>
        <w:tc>
          <w:tcPr>
            <w:tcW w:w="1150" w:type="dxa"/>
            <w:noWrap w:val="0"/>
            <w:vAlign w:val="top"/>
          </w:tcPr>
          <w:p w14:paraId="468B59AD">
            <w:pPr>
              <w:rPr>
                <w:rFonts w:hint="eastAsia" w:ascii="宋体" w:hAnsi="宋体" w:eastAsia="宋体" w:cs="宋体"/>
                <w:color w:val="auto"/>
                <w:sz w:val="24"/>
                <w:szCs w:val="24"/>
                <w:highlight w:val="none"/>
              </w:rPr>
            </w:pPr>
          </w:p>
        </w:tc>
        <w:tc>
          <w:tcPr>
            <w:tcW w:w="1176" w:type="dxa"/>
            <w:noWrap w:val="0"/>
            <w:vAlign w:val="top"/>
          </w:tcPr>
          <w:p w14:paraId="4BE17BA3">
            <w:pPr>
              <w:rPr>
                <w:rFonts w:hint="eastAsia" w:ascii="宋体" w:hAnsi="宋体" w:eastAsia="宋体" w:cs="宋体"/>
                <w:color w:val="auto"/>
                <w:sz w:val="24"/>
                <w:szCs w:val="24"/>
                <w:highlight w:val="none"/>
              </w:rPr>
            </w:pPr>
          </w:p>
        </w:tc>
        <w:tc>
          <w:tcPr>
            <w:tcW w:w="1144" w:type="dxa"/>
            <w:noWrap w:val="0"/>
            <w:vAlign w:val="top"/>
          </w:tcPr>
          <w:p w14:paraId="7A2FC3A4">
            <w:pPr>
              <w:rPr>
                <w:rFonts w:hint="eastAsia" w:ascii="宋体" w:hAnsi="宋体" w:eastAsia="宋体" w:cs="宋体"/>
                <w:color w:val="auto"/>
                <w:sz w:val="24"/>
                <w:szCs w:val="24"/>
                <w:highlight w:val="none"/>
              </w:rPr>
            </w:pPr>
          </w:p>
        </w:tc>
      </w:tr>
      <w:tr w14:paraId="57EE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957BB85">
            <w:pPr>
              <w:rPr>
                <w:rFonts w:hint="eastAsia" w:ascii="宋体" w:hAnsi="宋体" w:eastAsia="宋体" w:cs="宋体"/>
                <w:color w:val="auto"/>
                <w:sz w:val="24"/>
                <w:szCs w:val="24"/>
                <w:highlight w:val="none"/>
              </w:rPr>
            </w:pPr>
          </w:p>
        </w:tc>
        <w:tc>
          <w:tcPr>
            <w:tcW w:w="1175" w:type="dxa"/>
            <w:noWrap w:val="0"/>
            <w:vAlign w:val="top"/>
          </w:tcPr>
          <w:p w14:paraId="54DD54E0">
            <w:pPr>
              <w:rPr>
                <w:rFonts w:hint="eastAsia" w:ascii="宋体" w:hAnsi="宋体" w:eastAsia="宋体" w:cs="宋体"/>
                <w:color w:val="auto"/>
                <w:sz w:val="24"/>
                <w:szCs w:val="24"/>
                <w:highlight w:val="none"/>
              </w:rPr>
            </w:pPr>
          </w:p>
        </w:tc>
        <w:tc>
          <w:tcPr>
            <w:tcW w:w="1147" w:type="dxa"/>
            <w:noWrap w:val="0"/>
            <w:vAlign w:val="top"/>
          </w:tcPr>
          <w:p w14:paraId="2D0CEBA8">
            <w:pPr>
              <w:rPr>
                <w:rFonts w:hint="eastAsia" w:ascii="宋体" w:hAnsi="宋体" w:eastAsia="宋体" w:cs="宋体"/>
                <w:color w:val="auto"/>
                <w:sz w:val="24"/>
                <w:szCs w:val="24"/>
                <w:highlight w:val="none"/>
              </w:rPr>
            </w:pPr>
          </w:p>
        </w:tc>
        <w:tc>
          <w:tcPr>
            <w:tcW w:w="1176" w:type="dxa"/>
            <w:noWrap w:val="0"/>
            <w:vAlign w:val="top"/>
          </w:tcPr>
          <w:p w14:paraId="2271FB65">
            <w:pPr>
              <w:rPr>
                <w:rFonts w:hint="eastAsia" w:ascii="宋体" w:hAnsi="宋体" w:eastAsia="宋体" w:cs="宋体"/>
                <w:color w:val="auto"/>
                <w:sz w:val="24"/>
                <w:szCs w:val="24"/>
                <w:highlight w:val="none"/>
              </w:rPr>
            </w:pPr>
          </w:p>
        </w:tc>
        <w:tc>
          <w:tcPr>
            <w:tcW w:w="1176" w:type="dxa"/>
            <w:noWrap w:val="0"/>
            <w:vAlign w:val="top"/>
          </w:tcPr>
          <w:p w14:paraId="5736D0A4">
            <w:pPr>
              <w:rPr>
                <w:rFonts w:hint="eastAsia" w:ascii="宋体" w:hAnsi="宋体" w:eastAsia="宋体" w:cs="宋体"/>
                <w:color w:val="auto"/>
                <w:sz w:val="24"/>
                <w:szCs w:val="24"/>
                <w:highlight w:val="none"/>
              </w:rPr>
            </w:pPr>
          </w:p>
        </w:tc>
        <w:tc>
          <w:tcPr>
            <w:tcW w:w="1150" w:type="dxa"/>
            <w:noWrap w:val="0"/>
            <w:vAlign w:val="top"/>
          </w:tcPr>
          <w:p w14:paraId="7E57A2F6">
            <w:pPr>
              <w:rPr>
                <w:rFonts w:hint="eastAsia" w:ascii="宋体" w:hAnsi="宋体" w:eastAsia="宋体" w:cs="宋体"/>
                <w:color w:val="auto"/>
                <w:sz w:val="24"/>
                <w:szCs w:val="24"/>
                <w:highlight w:val="none"/>
              </w:rPr>
            </w:pPr>
          </w:p>
        </w:tc>
        <w:tc>
          <w:tcPr>
            <w:tcW w:w="1176" w:type="dxa"/>
            <w:noWrap w:val="0"/>
            <w:vAlign w:val="top"/>
          </w:tcPr>
          <w:p w14:paraId="031506F3">
            <w:pPr>
              <w:rPr>
                <w:rFonts w:hint="eastAsia" w:ascii="宋体" w:hAnsi="宋体" w:eastAsia="宋体" w:cs="宋体"/>
                <w:color w:val="auto"/>
                <w:sz w:val="24"/>
                <w:szCs w:val="24"/>
                <w:highlight w:val="none"/>
              </w:rPr>
            </w:pPr>
          </w:p>
        </w:tc>
        <w:tc>
          <w:tcPr>
            <w:tcW w:w="1144" w:type="dxa"/>
            <w:noWrap w:val="0"/>
            <w:vAlign w:val="top"/>
          </w:tcPr>
          <w:p w14:paraId="1B0B0B00">
            <w:pPr>
              <w:rPr>
                <w:rFonts w:hint="eastAsia" w:ascii="宋体" w:hAnsi="宋体" w:eastAsia="宋体" w:cs="宋体"/>
                <w:color w:val="auto"/>
                <w:sz w:val="24"/>
                <w:szCs w:val="24"/>
                <w:highlight w:val="none"/>
              </w:rPr>
            </w:pPr>
          </w:p>
        </w:tc>
      </w:tr>
      <w:tr w14:paraId="6444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795A5F83">
            <w:pPr>
              <w:rPr>
                <w:rFonts w:hint="eastAsia" w:ascii="宋体" w:hAnsi="宋体" w:eastAsia="宋体" w:cs="宋体"/>
                <w:color w:val="auto"/>
                <w:sz w:val="24"/>
                <w:szCs w:val="24"/>
                <w:highlight w:val="none"/>
              </w:rPr>
            </w:pPr>
          </w:p>
        </w:tc>
        <w:tc>
          <w:tcPr>
            <w:tcW w:w="1175" w:type="dxa"/>
            <w:noWrap w:val="0"/>
            <w:vAlign w:val="top"/>
          </w:tcPr>
          <w:p w14:paraId="3B59BD54">
            <w:pPr>
              <w:rPr>
                <w:rFonts w:hint="eastAsia" w:ascii="宋体" w:hAnsi="宋体" w:eastAsia="宋体" w:cs="宋体"/>
                <w:color w:val="auto"/>
                <w:sz w:val="24"/>
                <w:szCs w:val="24"/>
                <w:highlight w:val="none"/>
              </w:rPr>
            </w:pPr>
          </w:p>
        </w:tc>
        <w:tc>
          <w:tcPr>
            <w:tcW w:w="1147" w:type="dxa"/>
            <w:noWrap w:val="0"/>
            <w:vAlign w:val="top"/>
          </w:tcPr>
          <w:p w14:paraId="7101DE1B">
            <w:pPr>
              <w:rPr>
                <w:rFonts w:hint="eastAsia" w:ascii="宋体" w:hAnsi="宋体" w:eastAsia="宋体" w:cs="宋体"/>
                <w:color w:val="auto"/>
                <w:sz w:val="24"/>
                <w:szCs w:val="24"/>
                <w:highlight w:val="none"/>
              </w:rPr>
            </w:pPr>
          </w:p>
        </w:tc>
        <w:tc>
          <w:tcPr>
            <w:tcW w:w="1176" w:type="dxa"/>
            <w:noWrap w:val="0"/>
            <w:vAlign w:val="top"/>
          </w:tcPr>
          <w:p w14:paraId="6E34CA2F">
            <w:pPr>
              <w:rPr>
                <w:rFonts w:hint="eastAsia" w:ascii="宋体" w:hAnsi="宋体" w:eastAsia="宋体" w:cs="宋体"/>
                <w:color w:val="auto"/>
                <w:sz w:val="24"/>
                <w:szCs w:val="24"/>
                <w:highlight w:val="none"/>
              </w:rPr>
            </w:pPr>
          </w:p>
        </w:tc>
        <w:tc>
          <w:tcPr>
            <w:tcW w:w="1176" w:type="dxa"/>
            <w:noWrap w:val="0"/>
            <w:vAlign w:val="top"/>
          </w:tcPr>
          <w:p w14:paraId="492A1F34">
            <w:pPr>
              <w:rPr>
                <w:rFonts w:hint="eastAsia" w:ascii="宋体" w:hAnsi="宋体" w:eastAsia="宋体" w:cs="宋体"/>
                <w:color w:val="auto"/>
                <w:sz w:val="24"/>
                <w:szCs w:val="24"/>
                <w:highlight w:val="none"/>
              </w:rPr>
            </w:pPr>
          </w:p>
        </w:tc>
        <w:tc>
          <w:tcPr>
            <w:tcW w:w="1150" w:type="dxa"/>
            <w:noWrap w:val="0"/>
            <w:vAlign w:val="top"/>
          </w:tcPr>
          <w:p w14:paraId="2E31F73C">
            <w:pPr>
              <w:rPr>
                <w:rFonts w:hint="eastAsia" w:ascii="宋体" w:hAnsi="宋体" w:eastAsia="宋体" w:cs="宋体"/>
                <w:color w:val="auto"/>
                <w:sz w:val="24"/>
                <w:szCs w:val="24"/>
                <w:highlight w:val="none"/>
              </w:rPr>
            </w:pPr>
          </w:p>
        </w:tc>
        <w:tc>
          <w:tcPr>
            <w:tcW w:w="1176" w:type="dxa"/>
            <w:noWrap w:val="0"/>
            <w:vAlign w:val="top"/>
          </w:tcPr>
          <w:p w14:paraId="3E1418E8">
            <w:pPr>
              <w:rPr>
                <w:rFonts w:hint="eastAsia" w:ascii="宋体" w:hAnsi="宋体" w:eastAsia="宋体" w:cs="宋体"/>
                <w:color w:val="auto"/>
                <w:sz w:val="24"/>
                <w:szCs w:val="24"/>
                <w:highlight w:val="none"/>
              </w:rPr>
            </w:pPr>
          </w:p>
        </w:tc>
        <w:tc>
          <w:tcPr>
            <w:tcW w:w="1144" w:type="dxa"/>
            <w:noWrap w:val="0"/>
            <w:vAlign w:val="top"/>
          </w:tcPr>
          <w:p w14:paraId="343CF97B">
            <w:pPr>
              <w:rPr>
                <w:rFonts w:hint="eastAsia" w:ascii="宋体" w:hAnsi="宋体" w:eastAsia="宋体" w:cs="宋体"/>
                <w:color w:val="auto"/>
                <w:sz w:val="24"/>
                <w:szCs w:val="24"/>
                <w:highlight w:val="none"/>
              </w:rPr>
            </w:pPr>
          </w:p>
        </w:tc>
      </w:tr>
      <w:tr w14:paraId="10E0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18476FB9">
            <w:pPr>
              <w:rPr>
                <w:rFonts w:hint="eastAsia" w:ascii="宋体" w:hAnsi="宋体" w:eastAsia="宋体" w:cs="宋体"/>
                <w:color w:val="auto"/>
                <w:sz w:val="24"/>
                <w:szCs w:val="24"/>
                <w:highlight w:val="none"/>
              </w:rPr>
            </w:pPr>
          </w:p>
        </w:tc>
        <w:tc>
          <w:tcPr>
            <w:tcW w:w="1175" w:type="dxa"/>
            <w:noWrap w:val="0"/>
            <w:vAlign w:val="top"/>
          </w:tcPr>
          <w:p w14:paraId="7A619035">
            <w:pPr>
              <w:rPr>
                <w:rFonts w:hint="eastAsia" w:ascii="宋体" w:hAnsi="宋体" w:eastAsia="宋体" w:cs="宋体"/>
                <w:color w:val="auto"/>
                <w:sz w:val="24"/>
                <w:szCs w:val="24"/>
                <w:highlight w:val="none"/>
              </w:rPr>
            </w:pPr>
          </w:p>
        </w:tc>
        <w:tc>
          <w:tcPr>
            <w:tcW w:w="1147" w:type="dxa"/>
            <w:noWrap w:val="0"/>
            <w:vAlign w:val="top"/>
          </w:tcPr>
          <w:p w14:paraId="28113F7A">
            <w:pPr>
              <w:rPr>
                <w:rFonts w:hint="eastAsia" w:ascii="宋体" w:hAnsi="宋体" w:eastAsia="宋体" w:cs="宋体"/>
                <w:color w:val="auto"/>
                <w:sz w:val="24"/>
                <w:szCs w:val="24"/>
                <w:highlight w:val="none"/>
              </w:rPr>
            </w:pPr>
          </w:p>
        </w:tc>
        <w:tc>
          <w:tcPr>
            <w:tcW w:w="1176" w:type="dxa"/>
            <w:noWrap w:val="0"/>
            <w:vAlign w:val="top"/>
          </w:tcPr>
          <w:p w14:paraId="4DA6599C">
            <w:pPr>
              <w:rPr>
                <w:rFonts w:hint="eastAsia" w:ascii="宋体" w:hAnsi="宋体" w:eastAsia="宋体" w:cs="宋体"/>
                <w:color w:val="auto"/>
                <w:sz w:val="24"/>
                <w:szCs w:val="24"/>
                <w:highlight w:val="none"/>
              </w:rPr>
            </w:pPr>
          </w:p>
        </w:tc>
        <w:tc>
          <w:tcPr>
            <w:tcW w:w="1176" w:type="dxa"/>
            <w:noWrap w:val="0"/>
            <w:vAlign w:val="top"/>
          </w:tcPr>
          <w:p w14:paraId="6E45E32F">
            <w:pPr>
              <w:rPr>
                <w:rFonts w:hint="eastAsia" w:ascii="宋体" w:hAnsi="宋体" w:eastAsia="宋体" w:cs="宋体"/>
                <w:color w:val="auto"/>
                <w:sz w:val="24"/>
                <w:szCs w:val="24"/>
                <w:highlight w:val="none"/>
              </w:rPr>
            </w:pPr>
          </w:p>
        </w:tc>
        <w:tc>
          <w:tcPr>
            <w:tcW w:w="1150" w:type="dxa"/>
            <w:noWrap w:val="0"/>
            <w:vAlign w:val="top"/>
          </w:tcPr>
          <w:p w14:paraId="6B4AC6BF">
            <w:pPr>
              <w:rPr>
                <w:rFonts w:hint="eastAsia" w:ascii="宋体" w:hAnsi="宋体" w:eastAsia="宋体" w:cs="宋体"/>
                <w:color w:val="auto"/>
                <w:sz w:val="24"/>
                <w:szCs w:val="24"/>
                <w:highlight w:val="none"/>
              </w:rPr>
            </w:pPr>
          </w:p>
        </w:tc>
        <w:tc>
          <w:tcPr>
            <w:tcW w:w="1176" w:type="dxa"/>
            <w:noWrap w:val="0"/>
            <w:vAlign w:val="top"/>
          </w:tcPr>
          <w:p w14:paraId="05064AC3">
            <w:pPr>
              <w:rPr>
                <w:rFonts w:hint="eastAsia" w:ascii="宋体" w:hAnsi="宋体" w:eastAsia="宋体" w:cs="宋体"/>
                <w:color w:val="auto"/>
                <w:sz w:val="24"/>
                <w:szCs w:val="24"/>
                <w:highlight w:val="none"/>
              </w:rPr>
            </w:pPr>
          </w:p>
        </w:tc>
        <w:tc>
          <w:tcPr>
            <w:tcW w:w="1144" w:type="dxa"/>
            <w:noWrap w:val="0"/>
            <w:vAlign w:val="top"/>
          </w:tcPr>
          <w:p w14:paraId="6965CA06">
            <w:pPr>
              <w:rPr>
                <w:rFonts w:hint="eastAsia" w:ascii="宋体" w:hAnsi="宋体" w:eastAsia="宋体" w:cs="宋体"/>
                <w:color w:val="auto"/>
                <w:sz w:val="24"/>
                <w:szCs w:val="24"/>
                <w:highlight w:val="none"/>
              </w:rPr>
            </w:pPr>
          </w:p>
        </w:tc>
      </w:tr>
      <w:tr w14:paraId="3D6A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47CAC661">
            <w:pPr>
              <w:rPr>
                <w:rFonts w:hint="eastAsia" w:ascii="宋体" w:hAnsi="宋体" w:eastAsia="宋体" w:cs="宋体"/>
                <w:color w:val="auto"/>
                <w:sz w:val="24"/>
                <w:szCs w:val="24"/>
                <w:highlight w:val="none"/>
              </w:rPr>
            </w:pPr>
          </w:p>
        </w:tc>
        <w:tc>
          <w:tcPr>
            <w:tcW w:w="1175" w:type="dxa"/>
            <w:noWrap w:val="0"/>
            <w:vAlign w:val="top"/>
          </w:tcPr>
          <w:p w14:paraId="030DC727">
            <w:pPr>
              <w:rPr>
                <w:rFonts w:hint="eastAsia" w:ascii="宋体" w:hAnsi="宋体" w:eastAsia="宋体" w:cs="宋体"/>
                <w:color w:val="auto"/>
                <w:sz w:val="24"/>
                <w:szCs w:val="24"/>
                <w:highlight w:val="none"/>
              </w:rPr>
            </w:pPr>
          </w:p>
        </w:tc>
        <w:tc>
          <w:tcPr>
            <w:tcW w:w="1147" w:type="dxa"/>
            <w:noWrap w:val="0"/>
            <w:vAlign w:val="top"/>
          </w:tcPr>
          <w:p w14:paraId="326BECEC">
            <w:pPr>
              <w:rPr>
                <w:rFonts w:hint="eastAsia" w:ascii="宋体" w:hAnsi="宋体" w:eastAsia="宋体" w:cs="宋体"/>
                <w:color w:val="auto"/>
                <w:sz w:val="24"/>
                <w:szCs w:val="24"/>
                <w:highlight w:val="none"/>
              </w:rPr>
            </w:pPr>
          </w:p>
        </w:tc>
        <w:tc>
          <w:tcPr>
            <w:tcW w:w="1176" w:type="dxa"/>
            <w:noWrap w:val="0"/>
            <w:vAlign w:val="top"/>
          </w:tcPr>
          <w:p w14:paraId="2163D0A2">
            <w:pPr>
              <w:rPr>
                <w:rFonts w:hint="eastAsia" w:ascii="宋体" w:hAnsi="宋体" w:eastAsia="宋体" w:cs="宋体"/>
                <w:color w:val="auto"/>
                <w:sz w:val="24"/>
                <w:szCs w:val="24"/>
                <w:highlight w:val="none"/>
              </w:rPr>
            </w:pPr>
          </w:p>
        </w:tc>
        <w:tc>
          <w:tcPr>
            <w:tcW w:w="1176" w:type="dxa"/>
            <w:noWrap w:val="0"/>
            <w:vAlign w:val="top"/>
          </w:tcPr>
          <w:p w14:paraId="66F0FC86">
            <w:pPr>
              <w:rPr>
                <w:rFonts w:hint="eastAsia" w:ascii="宋体" w:hAnsi="宋体" w:eastAsia="宋体" w:cs="宋体"/>
                <w:color w:val="auto"/>
                <w:sz w:val="24"/>
                <w:szCs w:val="24"/>
                <w:highlight w:val="none"/>
              </w:rPr>
            </w:pPr>
          </w:p>
        </w:tc>
        <w:tc>
          <w:tcPr>
            <w:tcW w:w="1150" w:type="dxa"/>
            <w:noWrap w:val="0"/>
            <w:vAlign w:val="top"/>
          </w:tcPr>
          <w:p w14:paraId="21E0901A">
            <w:pPr>
              <w:rPr>
                <w:rFonts w:hint="eastAsia" w:ascii="宋体" w:hAnsi="宋体" w:eastAsia="宋体" w:cs="宋体"/>
                <w:color w:val="auto"/>
                <w:sz w:val="24"/>
                <w:szCs w:val="24"/>
                <w:highlight w:val="none"/>
              </w:rPr>
            </w:pPr>
          </w:p>
        </w:tc>
        <w:tc>
          <w:tcPr>
            <w:tcW w:w="1176" w:type="dxa"/>
            <w:noWrap w:val="0"/>
            <w:vAlign w:val="top"/>
          </w:tcPr>
          <w:p w14:paraId="2E99D43D">
            <w:pPr>
              <w:rPr>
                <w:rFonts w:hint="eastAsia" w:ascii="宋体" w:hAnsi="宋体" w:eastAsia="宋体" w:cs="宋体"/>
                <w:color w:val="auto"/>
                <w:sz w:val="24"/>
                <w:szCs w:val="24"/>
                <w:highlight w:val="none"/>
              </w:rPr>
            </w:pPr>
          </w:p>
        </w:tc>
        <w:tc>
          <w:tcPr>
            <w:tcW w:w="1144" w:type="dxa"/>
            <w:noWrap w:val="0"/>
            <w:vAlign w:val="top"/>
          </w:tcPr>
          <w:p w14:paraId="017B34E6">
            <w:pPr>
              <w:rPr>
                <w:rFonts w:hint="eastAsia" w:ascii="宋体" w:hAnsi="宋体" w:eastAsia="宋体" w:cs="宋体"/>
                <w:color w:val="auto"/>
                <w:sz w:val="24"/>
                <w:szCs w:val="24"/>
                <w:highlight w:val="none"/>
              </w:rPr>
            </w:pPr>
          </w:p>
        </w:tc>
      </w:tr>
      <w:tr w14:paraId="7CD8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219A0D67">
            <w:pPr>
              <w:rPr>
                <w:rFonts w:hint="eastAsia" w:ascii="宋体" w:hAnsi="宋体" w:eastAsia="宋体" w:cs="宋体"/>
                <w:color w:val="auto"/>
                <w:sz w:val="24"/>
                <w:szCs w:val="24"/>
                <w:highlight w:val="none"/>
              </w:rPr>
            </w:pPr>
          </w:p>
        </w:tc>
        <w:tc>
          <w:tcPr>
            <w:tcW w:w="1175" w:type="dxa"/>
            <w:noWrap w:val="0"/>
            <w:vAlign w:val="top"/>
          </w:tcPr>
          <w:p w14:paraId="13762D0B">
            <w:pPr>
              <w:rPr>
                <w:rFonts w:hint="eastAsia" w:ascii="宋体" w:hAnsi="宋体" w:eastAsia="宋体" w:cs="宋体"/>
                <w:color w:val="auto"/>
                <w:sz w:val="24"/>
                <w:szCs w:val="24"/>
                <w:highlight w:val="none"/>
              </w:rPr>
            </w:pPr>
          </w:p>
        </w:tc>
        <w:tc>
          <w:tcPr>
            <w:tcW w:w="1147" w:type="dxa"/>
            <w:noWrap w:val="0"/>
            <w:vAlign w:val="top"/>
          </w:tcPr>
          <w:p w14:paraId="7293C3BA">
            <w:pPr>
              <w:rPr>
                <w:rFonts w:hint="eastAsia" w:ascii="宋体" w:hAnsi="宋体" w:eastAsia="宋体" w:cs="宋体"/>
                <w:color w:val="auto"/>
                <w:sz w:val="24"/>
                <w:szCs w:val="24"/>
                <w:highlight w:val="none"/>
              </w:rPr>
            </w:pPr>
          </w:p>
        </w:tc>
        <w:tc>
          <w:tcPr>
            <w:tcW w:w="1176" w:type="dxa"/>
            <w:noWrap w:val="0"/>
            <w:vAlign w:val="top"/>
          </w:tcPr>
          <w:p w14:paraId="3DFDC7A5">
            <w:pPr>
              <w:rPr>
                <w:rFonts w:hint="eastAsia" w:ascii="宋体" w:hAnsi="宋体" w:eastAsia="宋体" w:cs="宋体"/>
                <w:color w:val="auto"/>
                <w:sz w:val="24"/>
                <w:szCs w:val="24"/>
                <w:highlight w:val="none"/>
              </w:rPr>
            </w:pPr>
          </w:p>
        </w:tc>
        <w:tc>
          <w:tcPr>
            <w:tcW w:w="1176" w:type="dxa"/>
            <w:noWrap w:val="0"/>
            <w:vAlign w:val="top"/>
          </w:tcPr>
          <w:p w14:paraId="0A747639">
            <w:pPr>
              <w:rPr>
                <w:rFonts w:hint="eastAsia" w:ascii="宋体" w:hAnsi="宋体" w:eastAsia="宋体" w:cs="宋体"/>
                <w:color w:val="auto"/>
                <w:sz w:val="24"/>
                <w:szCs w:val="24"/>
                <w:highlight w:val="none"/>
              </w:rPr>
            </w:pPr>
          </w:p>
        </w:tc>
        <w:tc>
          <w:tcPr>
            <w:tcW w:w="1150" w:type="dxa"/>
            <w:noWrap w:val="0"/>
            <w:vAlign w:val="top"/>
          </w:tcPr>
          <w:p w14:paraId="7AC9D91F">
            <w:pPr>
              <w:rPr>
                <w:rFonts w:hint="eastAsia" w:ascii="宋体" w:hAnsi="宋体" w:eastAsia="宋体" w:cs="宋体"/>
                <w:color w:val="auto"/>
                <w:sz w:val="24"/>
                <w:szCs w:val="24"/>
                <w:highlight w:val="none"/>
              </w:rPr>
            </w:pPr>
          </w:p>
        </w:tc>
        <w:tc>
          <w:tcPr>
            <w:tcW w:w="1176" w:type="dxa"/>
            <w:noWrap w:val="0"/>
            <w:vAlign w:val="top"/>
          </w:tcPr>
          <w:p w14:paraId="78FE0447">
            <w:pPr>
              <w:rPr>
                <w:rFonts w:hint="eastAsia" w:ascii="宋体" w:hAnsi="宋体" w:eastAsia="宋体" w:cs="宋体"/>
                <w:color w:val="auto"/>
                <w:sz w:val="24"/>
                <w:szCs w:val="24"/>
                <w:highlight w:val="none"/>
              </w:rPr>
            </w:pPr>
          </w:p>
        </w:tc>
        <w:tc>
          <w:tcPr>
            <w:tcW w:w="1144" w:type="dxa"/>
            <w:noWrap w:val="0"/>
            <w:vAlign w:val="top"/>
          </w:tcPr>
          <w:p w14:paraId="6E74B068">
            <w:pPr>
              <w:rPr>
                <w:rFonts w:hint="eastAsia" w:ascii="宋体" w:hAnsi="宋体" w:eastAsia="宋体" w:cs="宋体"/>
                <w:color w:val="auto"/>
                <w:sz w:val="24"/>
                <w:szCs w:val="24"/>
                <w:highlight w:val="none"/>
              </w:rPr>
            </w:pPr>
          </w:p>
        </w:tc>
      </w:tr>
      <w:tr w14:paraId="5B63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5903278D">
            <w:pPr>
              <w:rPr>
                <w:rFonts w:hint="eastAsia" w:ascii="宋体" w:hAnsi="宋体" w:eastAsia="宋体" w:cs="宋体"/>
                <w:color w:val="auto"/>
                <w:sz w:val="24"/>
                <w:szCs w:val="24"/>
                <w:highlight w:val="none"/>
              </w:rPr>
            </w:pPr>
          </w:p>
        </w:tc>
        <w:tc>
          <w:tcPr>
            <w:tcW w:w="1175" w:type="dxa"/>
            <w:noWrap w:val="0"/>
            <w:vAlign w:val="top"/>
          </w:tcPr>
          <w:p w14:paraId="0119522F">
            <w:pPr>
              <w:rPr>
                <w:rFonts w:hint="eastAsia" w:ascii="宋体" w:hAnsi="宋体" w:eastAsia="宋体" w:cs="宋体"/>
                <w:color w:val="auto"/>
                <w:sz w:val="24"/>
                <w:szCs w:val="24"/>
                <w:highlight w:val="none"/>
              </w:rPr>
            </w:pPr>
          </w:p>
        </w:tc>
        <w:tc>
          <w:tcPr>
            <w:tcW w:w="1147" w:type="dxa"/>
            <w:noWrap w:val="0"/>
            <w:vAlign w:val="top"/>
          </w:tcPr>
          <w:p w14:paraId="628827D3">
            <w:pPr>
              <w:rPr>
                <w:rFonts w:hint="eastAsia" w:ascii="宋体" w:hAnsi="宋体" w:eastAsia="宋体" w:cs="宋体"/>
                <w:color w:val="auto"/>
                <w:sz w:val="24"/>
                <w:szCs w:val="24"/>
                <w:highlight w:val="none"/>
              </w:rPr>
            </w:pPr>
          </w:p>
        </w:tc>
        <w:tc>
          <w:tcPr>
            <w:tcW w:w="1176" w:type="dxa"/>
            <w:noWrap w:val="0"/>
            <w:vAlign w:val="top"/>
          </w:tcPr>
          <w:p w14:paraId="78B567F2">
            <w:pPr>
              <w:rPr>
                <w:rFonts w:hint="eastAsia" w:ascii="宋体" w:hAnsi="宋体" w:eastAsia="宋体" w:cs="宋体"/>
                <w:color w:val="auto"/>
                <w:sz w:val="24"/>
                <w:szCs w:val="24"/>
                <w:highlight w:val="none"/>
              </w:rPr>
            </w:pPr>
          </w:p>
        </w:tc>
        <w:tc>
          <w:tcPr>
            <w:tcW w:w="1176" w:type="dxa"/>
            <w:noWrap w:val="0"/>
            <w:vAlign w:val="top"/>
          </w:tcPr>
          <w:p w14:paraId="1E8F4BC2">
            <w:pPr>
              <w:rPr>
                <w:rFonts w:hint="eastAsia" w:ascii="宋体" w:hAnsi="宋体" w:eastAsia="宋体" w:cs="宋体"/>
                <w:color w:val="auto"/>
                <w:sz w:val="24"/>
                <w:szCs w:val="24"/>
                <w:highlight w:val="none"/>
              </w:rPr>
            </w:pPr>
          </w:p>
        </w:tc>
        <w:tc>
          <w:tcPr>
            <w:tcW w:w="1150" w:type="dxa"/>
            <w:noWrap w:val="0"/>
            <w:vAlign w:val="top"/>
          </w:tcPr>
          <w:p w14:paraId="05B102E0">
            <w:pPr>
              <w:rPr>
                <w:rFonts w:hint="eastAsia" w:ascii="宋体" w:hAnsi="宋体" w:eastAsia="宋体" w:cs="宋体"/>
                <w:color w:val="auto"/>
                <w:sz w:val="24"/>
                <w:szCs w:val="24"/>
                <w:highlight w:val="none"/>
              </w:rPr>
            </w:pPr>
          </w:p>
        </w:tc>
        <w:tc>
          <w:tcPr>
            <w:tcW w:w="1176" w:type="dxa"/>
            <w:noWrap w:val="0"/>
            <w:vAlign w:val="top"/>
          </w:tcPr>
          <w:p w14:paraId="6ADC41E6">
            <w:pPr>
              <w:rPr>
                <w:rFonts w:hint="eastAsia" w:ascii="宋体" w:hAnsi="宋体" w:eastAsia="宋体" w:cs="宋体"/>
                <w:color w:val="auto"/>
                <w:sz w:val="24"/>
                <w:szCs w:val="24"/>
                <w:highlight w:val="none"/>
              </w:rPr>
            </w:pPr>
          </w:p>
        </w:tc>
        <w:tc>
          <w:tcPr>
            <w:tcW w:w="1144" w:type="dxa"/>
            <w:noWrap w:val="0"/>
            <w:vAlign w:val="top"/>
          </w:tcPr>
          <w:p w14:paraId="54B7BE40">
            <w:pPr>
              <w:rPr>
                <w:rFonts w:hint="eastAsia" w:ascii="宋体" w:hAnsi="宋体" w:eastAsia="宋体" w:cs="宋体"/>
                <w:color w:val="auto"/>
                <w:sz w:val="24"/>
                <w:szCs w:val="24"/>
                <w:highlight w:val="none"/>
              </w:rPr>
            </w:pPr>
          </w:p>
        </w:tc>
      </w:tr>
    </w:tbl>
    <w:p w14:paraId="58BC136D">
      <w:pPr>
        <w:spacing w:line="364" w:lineRule="exact"/>
        <w:ind w:right="-20"/>
        <w:jc w:val="left"/>
        <w:rPr>
          <w:rFonts w:hint="eastAsia" w:ascii="宋体" w:hAnsi="宋体" w:eastAsia="宋体" w:cs="宋体"/>
          <w:color w:val="auto"/>
          <w:spacing w:val="2"/>
          <w:position w:val="-2"/>
          <w:sz w:val="24"/>
          <w:szCs w:val="24"/>
          <w:highlight w:val="none"/>
          <w:lang w:eastAsia="zh-CN"/>
        </w:rPr>
      </w:pPr>
      <w:r>
        <w:rPr>
          <w:rFonts w:hint="eastAsia" w:ascii="宋体" w:hAnsi="宋体" w:eastAsia="宋体" w:cs="宋体"/>
          <w:color w:val="auto"/>
          <w:spacing w:val="2"/>
          <w:position w:val="-2"/>
          <w:sz w:val="24"/>
          <w:szCs w:val="24"/>
          <w:highlight w:val="none"/>
          <w:lang w:eastAsia="zh-CN"/>
        </w:rPr>
        <w:t>注：后附相关证件（书）</w:t>
      </w:r>
    </w:p>
    <w:p w14:paraId="7400350E">
      <w:pPr>
        <w:spacing w:line="360" w:lineRule="auto"/>
        <w:ind w:left="219" w:right="-20"/>
        <w:rPr>
          <w:rFonts w:hint="eastAsia" w:ascii="宋体" w:hAnsi="宋体" w:eastAsia="宋体" w:cs="宋体"/>
          <w:color w:val="auto"/>
          <w:position w:val="-2"/>
          <w:sz w:val="24"/>
          <w:szCs w:val="24"/>
          <w:highlight w:val="none"/>
        </w:rPr>
      </w:pPr>
    </w:p>
    <w:p w14:paraId="3C7E3E4D">
      <w:pPr>
        <w:spacing w:line="360" w:lineRule="auto"/>
        <w:ind w:left="219" w:right="-20"/>
        <w:rPr>
          <w:rFonts w:hint="eastAsia" w:ascii="宋体" w:hAnsi="宋体" w:eastAsia="宋体" w:cs="宋体"/>
          <w:color w:val="auto"/>
          <w:sz w:val="24"/>
          <w:szCs w:val="24"/>
          <w:highlight w:val="none"/>
        </w:rPr>
      </w:pPr>
    </w:p>
    <w:p w14:paraId="4414EEE2">
      <w:pPr>
        <w:spacing w:line="360" w:lineRule="auto"/>
        <w:rPr>
          <w:rFonts w:hint="eastAsia" w:ascii="宋体" w:hAnsi="宋体" w:eastAsia="宋体" w:cs="宋体"/>
          <w:color w:val="auto"/>
          <w:highlight w:val="none"/>
        </w:rPr>
        <w:sectPr>
          <w:footerReference r:id="rId6" w:type="default"/>
          <w:pgSz w:w="11905" w:h="16838"/>
          <w:pgMar w:top="1474" w:right="1814" w:bottom="1474" w:left="1814" w:header="850" w:footer="850" w:gutter="0"/>
          <w:pgNumType w:start="1"/>
          <w:cols w:space="0" w:num="1"/>
          <w:rtlGutter w:val="0"/>
          <w:docGrid w:linePitch="0" w:charSpace="0"/>
        </w:sectPr>
      </w:pPr>
    </w:p>
    <w:p w14:paraId="5884A44F">
      <w:pPr>
        <w:pStyle w:val="5"/>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baseline"/>
        <w:rPr>
          <w:rFonts w:hint="eastAsia" w:ascii="宋体" w:hAnsi="宋体" w:eastAsia="宋体" w:cs="宋体"/>
          <w:color w:val="auto"/>
          <w:sz w:val="24"/>
          <w:szCs w:val="24"/>
          <w:highlight w:val="none"/>
        </w:rPr>
      </w:pPr>
      <w:bookmarkStart w:id="282" w:name="_Toc5311"/>
      <w:r>
        <w:rPr>
          <w:rFonts w:hint="eastAsia" w:ascii="宋体" w:hAnsi="宋体" w:eastAsia="宋体" w:cs="宋体"/>
          <w:b/>
          <w:color w:val="auto"/>
          <w:sz w:val="24"/>
          <w:szCs w:val="24"/>
          <w:highlight w:val="none"/>
          <w:lang w:val="en-US" w:eastAsia="zh-CN"/>
        </w:rPr>
        <w:t>2.6</w:t>
      </w:r>
      <w:r>
        <w:rPr>
          <w:rFonts w:hint="eastAsia" w:ascii="宋体" w:hAnsi="宋体" w:eastAsia="宋体" w:cs="宋体"/>
          <w:color w:val="auto"/>
          <w:sz w:val="24"/>
          <w:szCs w:val="24"/>
          <w:highlight w:val="none"/>
        </w:rPr>
        <w:t>供应商类似项目业绩表</w:t>
      </w:r>
      <w:bookmarkEnd w:id="282"/>
    </w:p>
    <w:p w14:paraId="5B71B940">
      <w:pPr>
        <w:adjustRightInd w:val="0"/>
        <w:snapToGrid w:val="0"/>
        <w:spacing w:line="360" w:lineRule="auto"/>
        <w:rPr>
          <w:rFonts w:hint="eastAsia" w:ascii="宋体" w:hAnsi="宋体" w:eastAsia="宋体" w:cs="宋体"/>
          <w:color w:val="auto"/>
          <w:sz w:val="24"/>
          <w:szCs w:val="24"/>
          <w:highlight w:val="none"/>
        </w:rPr>
      </w:pPr>
    </w:p>
    <w:p w14:paraId="1861B34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p>
    <w:p w14:paraId="3911537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p>
    <w:tbl>
      <w:tblPr>
        <w:tblStyle w:val="3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64B0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14:paraId="6EAED8D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200" w:type="dxa"/>
            <w:noWrap w:val="0"/>
            <w:vAlign w:val="top"/>
          </w:tcPr>
          <w:p w14:paraId="786D32C1">
            <w:pPr>
              <w:spacing w:line="360" w:lineRule="auto"/>
              <w:jc w:val="center"/>
              <w:rPr>
                <w:rFonts w:hint="eastAsia" w:ascii="宋体" w:hAnsi="宋体" w:eastAsia="宋体" w:cs="宋体"/>
                <w:color w:val="auto"/>
                <w:sz w:val="24"/>
                <w:szCs w:val="24"/>
                <w:highlight w:val="none"/>
              </w:rPr>
            </w:pPr>
          </w:p>
        </w:tc>
      </w:tr>
      <w:tr w14:paraId="4C81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78BF394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项目单位名称</w:t>
            </w:r>
          </w:p>
        </w:tc>
        <w:tc>
          <w:tcPr>
            <w:tcW w:w="7200" w:type="dxa"/>
            <w:noWrap w:val="0"/>
            <w:vAlign w:val="top"/>
          </w:tcPr>
          <w:p w14:paraId="1A0FC747">
            <w:pPr>
              <w:spacing w:line="360" w:lineRule="auto"/>
              <w:jc w:val="center"/>
              <w:rPr>
                <w:rFonts w:hint="eastAsia" w:ascii="宋体" w:hAnsi="宋体" w:eastAsia="宋体" w:cs="宋体"/>
                <w:color w:val="auto"/>
                <w:sz w:val="24"/>
                <w:szCs w:val="24"/>
                <w:highlight w:val="none"/>
              </w:rPr>
            </w:pPr>
          </w:p>
        </w:tc>
      </w:tr>
      <w:tr w14:paraId="7927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03A526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项目单位联系人姓名及联系方式</w:t>
            </w:r>
          </w:p>
        </w:tc>
        <w:tc>
          <w:tcPr>
            <w:tcW w:w="7200" w:type="dxa"/>
            <w:noWrap w:val="0"/>
            <w:vAlign w:val="top"/>
          </w:tcPr>
          <w:p w14:paraId="338F1CCF">
            <w:pPr>
              <w:spacing w:line="360" w:lineRule="auto"/>
              <w:jc w:val="center"/>
              <w:rPr>
                <w:rFonts w:hint="eastAsia" w:ascii="宋体" w:hAnsi="宋体" w:eastAsia="宋体" w:cs="宋体"/>
                <w:color w:val="auto"/>
                <w:sz w:val="24"/>
                <w:szCs w:val="24"/>
                <w:highlight w:val="none"/>
              </w:rPr>
            </w:pPr>
          </w:p>
        </w:tc>
      </w:tr>
      <w:tr w14:paraId="7CEE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14:paraId="21AC28F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7200" w:type="dxa"/>
            <w:noWrap w:val="0"/>
            <w:vAlign w:val="top"/>
          </w:tcPr>
          <w:p w14:paraId="170C4E0F">
            <w:pPr>
              <w:spacing w:line="360" w:lineRule="auto"/>
              <w:jc w:val="center"/>
              <w:rPr>
                <w:rFonts w:hint="eastAsia" w:ascii="宋体" w:hAnsi="宋体" w:eastAsia="宋体" w:cs="宋体"/>
                <w:color w:val="auto"/>
                <w:sz w:val="24"/>
                <w:szCs w:val="24"/>
                <w:highlight w:val="none"/>
              </w:rPr>
            </w:pPr>
          </w:p>
        </w:tc>
      </w:tr>
      <w:tr w14:paraId="705F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14:paraId="226A7E4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p w14:paraId="567BD3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200" w:type="dxa"/>
            <w:noWrap w:val="0"/>
            <w:vAlign w:val="top"/>
          </w:tcPr>
          <w:p w14:paraId="2572D7AE">
            <w:pPr>
              <w:spacing w:line="360" w:lineRule="auto"/>
              <w:jc w:val="center"/>
              <w:rPr>
                <w:rFonts w:hint="eastAsia" w:ascii="宋体" w:hAnsi="宋体" w:eastAsia="宋体" w:cs="宋体"/>
                <w:color w:val="auto"/>
                <w:sz w:val="24"/>
                <w:szCs w:val="24"/>
                <w:highlight w:val="none"/>
              </w:rPr>
            </w:pPr>
          </w:p>
        </w:tc>
      </w:tr>
      <w:tr w14:paraId="2AA3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14:paraId="366ECFC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项目实施时间</w:t>
            </w:r>
          </w:p>
        </w:tc>
        <w:tc>
          <w:tcPr>
            <w:tcW w:w="7200" w:type="dxa"/>
            <w:noWrap w:val="0"/>
            <w:vAlign w:val="top"/>
          </w:tcPr>
          <w:p w14:paraId="165BFA5E">
            <w:pPr>
              <w:spacing w:line="360" w:lineRule="auto"/>
              <w:jc w:val="center"/>
              <w:rPr>
                <w:rFonts w:hint="eastAsia" w:ascii="宋体" w:hAnsi="宋体" w:eastAsia="宋体" w:cs="宋体"/>
                <w:color w:val="auto"/>
                <w:sz w:val="24"/>
                <w:szCs w:val="24"/>
                <w:highlight w:val="none"/>
              </w:rPr>
            </w:pPr>
          </w:p>
        </w:tc>
      </w:tr>
      <w:tr w14:paraId="770C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14:paraId="6C3612A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项目内容说明</w:t>
            </w:r>
          </w:p>
        </w:tc>
        <w:tc>
          <w:tcPr>
            <w:tcW w:w="7200" w:type="dxa"/>
            <w:noWrap w:val="0"/>
            <w:vAlign w:val="top"/>
          </w:tcPr>
          <w:p w14:paraId="477E21EE">
            <w:pPr>
              <w:spacing w:line="360" w:lineRule="auto"/>
              <w:jc w:val="center"/>
              <w:rPr>
                <w:rFonts w:hint="eastAsia" w:ascii="宋体" w:hAnsi="宋体" w:eastAsia="宋体" w:cs="宋体"/>
                <w:color w:val="auto"/>
                <w:sz w:val="24"/>
                <w:szCs w:val="24"/>
                <w:highlight w:val="none"/>
              </w:rPr>
            </w:pPr>
          </w:p>
        </w:tc>
      </w:tr>
    </w:tbl>
    <w:p w14:paraId="4C1B5BB7">
      <w:pPr>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说明：1．每个合同须单独附表，并附上相关证明材料，否则专家在评审时将不予采信；</w:t>
      </w:r>
    </w:p>
    <w:p w14:paraId="2B891A23">
      <w:pPr>
        <w:pStyle w:val="22"/>
        <w:bidi w:val="0"/>
        <w:ind w:left="0" w:leftChars="0" w:firstLine="0"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highlight w:val="none"/>
        </w:rPr>
        <w:t>2．项目内容请详细说明所承担的具体工作内容</w:t>
      </w:r>
    </w:p>
    <w:p w14:paraId="2D71BE43">
      <w:pPr>
        <w:pStyle w:val="26"/>
        <w:rPr>
          <w:rFonts w:hint="eastAsia" w:ascii="宋体" w:hAnsi="宋体" w:eastAsia="宋体" w:cs="宋体"/>
          <w:b/>
          <w:color w:val="auto"/>
          <w:sz w:val="24"/>
          <w:szCs w:val="24"/>
          <w:highlight w:val="none"/>
          <w:lang w:val="en-US" w:eastAsia="zh-CN"/>
        </w:rPr>
      </w:pPr>
    </w:p>
    <w:p w14:paraId="3413491B">
      <w:pPr>
        <w:rPr>
          <w:rFonts w:hint="eastAsia" w:ascii="宋体" w:hAnsi="宋体" w:eastAsia="宋体" w:cs="宋体"/>
          <w:b/>
          <w:color w:val="auto"/>
          <w:sz w:val="24"/>
          <w:szCs w:val="24"/>
          <w:highlight w:val="none"/>
          <w:lang w:val="en-US" w:eastAsia="zh-CN"/>
        </w:rPr>
      </w:pPr>
    </w:p>
    <w:p w14:paraId="6970C0B1">
      <w:pPr>
        <w:pStyle w:val="21"/>
        <w:rPr>
          <w:rFonts w:hint="eastAsia" w:ascii="宋体" w:hAnsi="宋体" w:eastAsia="宋体" w:cs="宋体"/>
          <w:b/>
          <w:color w:val="auto"/>
          <w:sz w:val="24"/>
          <w:szCs w:val="24"/>
          <w:highlight w:val="none"/>
          <w:lang w:val="en-US" w:eastAsia="zh-CN"/>
        </w:rPr>
      </w:pPr>
    </w:p>
    <w:p w14:paraId="6F2122FE">
      <w:pPr>
        <w:rPr>
          <w:rFonts w:hint="eastAsia" w:ascii="宋体" w:hAnsi="宋体" w:eastAsia="宋体" w:cs="宋体"/>
          <w:b/>
          <w:color w:val="auto"/>
          <w:sz w:val="24"/>
          <w:szCs w:val="24"/>
          <w:highlight w:val="none"/>
          <w:lang w:val="en-US" w:eastAsia="zh-CN"/>
        </w:rPr>
      </w:pPr>
    </w:p>
    <w:p w14:paraId="4F59DF51">
      <w:pPr>
        <w:pStyle w:val="21"/>
        <w:rPr>
          <w:rFonts w:hint="eastAsia" w:ascii="宋体" w:hAnsi="宋体" w:eastAsia="宋体" w:cs="宋体"/>
          <w:b/>
          <w:color w:val="auto"/>
          <w:sz w:val="24"/>
          <w:szCs w:val="24"/>
          <w:highlight w:val="none"/>
          <w:lang w:val="en-US" w:eastAsia="zh-CN"/>
        </w:rPr>
      </w:pPr>
    </w:p>
    <w:p w14:paraId="4806C1BA">
      <w:pPr>
        <w:rPr>
          <w:rFonts w:hint="eastAsia" w:ascii="宋体" w:hAnsi="宋体" w:eastAsia="宋体" w:cs="宋体"/>
          <w:b/>
          <w:color w:val="auto"/>
          <w:sz w:val="24"/>
          <w:szCs w:val="24"/>
          <w:highlight w:val="none"/>
          <w:lang w:val="en-US" w:eastAsia="zh-CN"/>
        </w:rPr>
      </w:pPr>
    </w:p>
    <w:p w14:paraId="5E4B94B0">
      <w:pPr>
        <w:pStyle w:val="21"/>
        <w:rPr>
          <w:rFonts w:hint="eastAsia" w:ascii="宋体" w:hAnsi="宋体" w:eastAsia="宋体" w:cs="宋体"/>
          <w:b/>
          <w:color w:val="auto"/>
          <w:sz w:val="24"/>
          <w:szCs w:val="24"/>
          <w:highlight w:val="none"/>
          <w:lang w:val="en-US" w:eastAsia="zh-CN"/>
        </w:rPr>
      </w:pPr>
    </w:p>
    <w:p w14:paraId="52C1D6BF">
      <w:pPr>
        <w:rPr>
          <w:rFonts w:hint="eastAsia" w:ascii="宋体" w:hAnsi="宋体" w:eastAsia="宋体" w:cs="宋体"/>
          <w:b/>
          <w:color w:val="auto"/>
          <w:sz w:val="24"/>
          <w:szCs w:val="24"/>
          <w:highlight w:val="none"/>
          <w:lang w:val="en-US" w:eastAsia="zh-CN"/>
        </w:rPr>
      </w:pPr>
    </w:p>
    <w:p w14:paraId="36653196">
      <w:pPr>
        <w:pStyle w:val="21"/>
        <w:rPr>
          <w:rFonts w:hint="eastAsia" w:ascii="宋体" w:hAnsi="宋体" w:eastAsia="宋体" w:cs="宋体"/>
          <w:color w:val="auto"/>
          <w:highlight w:val="none"/>
          <w:lang w:val="en-US" w:eastAsia="zh-CN"/>
        </w:rPr>
      </w:pPr>
    </w:p>
    <w:p w14:paraId="249544D7">
      <w:pPr>
        <w:pStyle w:val="20"/>
        <w:spacing w:after="0" w:line="360" w:lineRule="auto"/>
        <w:outlineLvl w:val="2"/>
        <w:rPr>
          <w:rFonts w:hint="eastAsia" w:ascii="宋体" w:hAnsi="宋体" w:eastAsia="宋体" w:cs="宋体"/>
          <w:b/>
          <w:color w:val="auto"/>
          <w:sz w:val="24"/>
          <w:highlight w:val="none"/>
        </w:rPr>
      </w:pPr>
      <w:bookmarkStart w:id="283" w:name="_Toc32551"/>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商务条款偏离说明表；</w:t>
      </w:r>
      <w:bookmarkEnd w:id="281"/>
      <w:bookmarkEnd w:id="283"/>
    </w:p>
    <w:p w14:paraId="1F088069">
      <w:pPr>
        <w:pStyle w:val="59"/>
        <w:adjustRightInd w:val="0"/>
        <w:snapToGrid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商务响应、偏离说明表</w:t>
      </w:r>
    </w:p>
    <w:p w14:paraId="40981E98">
      <w:pPr>
        <w:pStyle w:val="5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E510C08">
      <w:pPr>
        <w:pStyle w:val="5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268B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6B702150">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3DE8C29">
            <w:pPr>
              <w:pStyle w:val="59"/>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招标文件要求部分</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BF595EB">
            <w:pPr>
              <w:pStyle w:val="59"/>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投标服务</w:t>
            </w:r>
          </w:p>
          <w:p w14:paraId="3F524BF9">
            <w:pPr>
              <w:pStyle w:val="59"/>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响应部分</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C1A96CD">
            <w:pPr>
              <w:pStyle w:val="59"/>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6B12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538D2144">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4F0F68E">
            <w:pPr>
              <w:pStyle w:val="59"/>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43AEF32">
            <w:pPr>
              <w:pStyle w:val="59"/>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E66F7DE">
            <w:pPr>
              <w:pStyle w:val="59"/>
              <w:spacing w:line="500" w:lineRule="exact"/>
              <w:rPr>
                <w:rFonts w:hint="eastAsia" w:ascii="宋体" w:hAnsi="宋体" w:eastAsia="宋体" w:cs="宋体"/>
                <w:color w:val="auto"/>
                <w:sz w:val="24"/>
                <w:szCs w:val="24"/>
                <w:highlight w:val="none"/>
              </w:rPr>
            </w:pPr>
          </w:p>
        </w:tc>
      </w:tr>
      <w:tr w14:paraId="3A8C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37900744">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73CF1BC">
            <w:pPr>
              <w:pStyle w:val="59"/>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5322D2E">
            <w:pPr>
              <w:pStyle w:val="59"/>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246FB01">
            <w:pPr>
              <w:pStyle w:val="59"/>
              <w:spacing w:line="500" w:lineRule="exact"/>
              <w:rPr>
                <w:rFonts w:hint="eastAsia" w:ascii="宋体" w:hAnsi="宋体" w:eastAsia="宋体" w:cs="宋体"/>
                <w:color w:val="auto"/>
                <w:sz w:val="24"/>
                <w:szCs w:val="24"/>
                <w:highlight w:val="none"/>
              </w:rPr>
            </w:pPr>
          </w:p>
        </w:tc>
      </w:tr>
      <w:tr w14:paraId="5589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72B46D7B">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8BD7F1D">
            <w:pPr>
              <w:pStyle w:val="59"/>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970AC1A">
            <w:pPr>
              <w:pStyle w:val="59"/>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84A76D9">
            <w:pPr>
              <w:pStyle w:val="59"/>
              <w:spacing w:line="500" w:lineRule="exact"/>
              <w:rPr>
                <w:rFonts w:hint="eastAsia" w:ascii="宋体" w:hAnsi="宋体" w:eastAsia="宋体" w:cs="宋体"/>
                <w:color w:val="auto"/>
                <w:sz w:val="24"/>
                <w:szCs w:val="24"/>
                <w:highlight w:val="none"/>
              </w:rPr>
            </w:pPr>
          </w:p>
        </w:tc>
      </w:tr>
      <w:tr w14:paraId="2593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027967FF">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3A41210">
            <w:pPr>
              <w:pStyle w:val="59"/>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612ED3D">
            <w:pPr>
              <w:pStyle w:val="59"/>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DAD4E3E">
            <w:pPr>
              <w:pStyle w:val="59"/>
              <w:spacing w:line="500" w:lineRule="exact"/>
              <w:rPr>
                <w:rFonts w:hint="eastAsia" w:ascii="宋体" w:hAnsi="宋体" w:eastAsia="宋体" w:cs="宋体"/>
                <w:color w:val="auto"/>
                <w:sz w:val="24"/>
                <w:szCs w:val="24"/>
                <w:highlight w:val="none"/>
              </w:rPr>
            </w:pPr>
          </w:p>
        </w:tc>
      </w:tr>
      <w:tr w14:paraId="62AA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12C62782">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5D68F9E">
            <w:pPr>
              <w:pStyle w:val="59"/>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367A11A">
            <w:pPr>
              <w:pStyle w:val="59"/>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67AF761">
            <w:pPr>
              <w:pStyle w:val="59"/>
              <w:spacing w:line="500" w:lineRule="exact"/>
              <w:rPr>
                <w:rFonts w:hint="eastAsia" w:ascii="宋体" w:hAnsi="宋体" w:eastAsia="宋体" w:cs="宋体"/>
                <w:color w:val="auto"/>
                <w:sz w:val="24"/>
                <w:szCs w:val="24"/>
                <w:highlight w:val="none"/>
              </w:rPr>
            </w:pPr>
          </w:p>
        </w:tc>
      </w:tr>
      <w:tr w14:paraId="2BCF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4652144F">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3465E3E">
            <w:pPr>
              <w:pStyle w:val="59"/>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7D69B6B">
            <w:pPr>
              <w:pStyle w:val="59"/>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6617E6F">
            <w:pPr>
              <w:pStyle w:val="59"/>
              <w:spacing w:line="500" w:lineRule="exact"/>
              <w:rPr>
                <w:rFonts w:hint="eastAsia" w:ascii="宋体" w:hAnsi="宋体" w:eastAsia="宋体" w:cs="宋体"/>
                <w:color w:val="auto"/>
                <w:sz w:val="24"/>
                <w:szCs w:val="24"/>
                <w:highlight w:val="none"/>
              </w:rPr>
            </w:pPr>
          </w:p>
        </w:tc>
      </w:tr>
      <w:tr w14:paraId="666D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167F38EA">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5E27103">
            <w:pPr>
              <w:pStyle w:val="59"/>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E3FBDBC">
            <w:pPr>
              <w:pStyle w:val="59"/>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33CD56A">
            <w:pPr>
              <w:pStyle w:val="59"/>
              <w:spacing w:line="500" w:lineRule="exact"/>
              <w:rPr>
                <w:rFonts w:hint="eastAsia" w:ascii="宋体" w:hAnsi="宋体" w:eastAsia="宋体" w:cs="宋体"/>
                <w:color w:val="auto"/>
                <w:sz w:val="24"/>
                <w:szCs w:val="24"/>
                <w:highlight w:val="none"/>
              </w:rPr>
            </w:pPr>
          </w:p>
        </w:tc>
      </w:tr>
      <w:tr w14:paraId="397D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57D13F9F">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43027AD">
            <w:pPr>
              <w:pStyle w:val="59"/>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5067120">
            <w:pPr>
              <w:pStyle w:val="59"/>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7C98D89">
            <w:pPr>
              <w:pStyle w:val="59"/>
              <w:spacing w:line="500" w:lineRule="exact"/>
              <w:rPr>
                <w:rFonts w:hint="eastAsia" w:ascii="宋体" w:hAnsi="宋体" w:eastAsia="宋体" w:cs="宋体"/>
                <w:color w:val="auto"/>
                <w:sz w:val="24"/>
                <w:szCs w:val="24"/>
                <w:highlight w:val="none"/>
              </w:rPr>
            </w:pPr>
          </w:p>
        </w:tc>
      </w:tr>
      <w:tr w14:paraId="3128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1D6F0E95">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651D585">
            <w:pPr>
              <w:pStyle w:val="59"/>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B13DF24">
            <w:pPr>
              <w:pStyle w:val="59"/>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1D1C4A5">
            <w:pPr>
              <w:pStyle w:val="59"/>
              <w:spacing w:line="500" w:lineRule="exact"/>
              <w:rPr>
                <w:rFonts w:hint="eastAsia" w:ascii="宋体" w:hAnsi="宋体" w:eastAsia="宋体" w:cs="宋体"/>
                <w:color w:val="auto"/>
                <w:sz w:val="24"/>
                <w:szCs w:val="24"/>
                <w:highlight w:val="none"/>
              </w:rPr>
            </w:pPr>
          </w:p>
        </w:tc>
      </w:tr>
      <w:tr w14:paraId="6336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7AB4AC98">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C32ECCD">
            <w:pPr>
              <w:pStyle w:val="59"/>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E70BAD6">
            <w:pPr>
              <w:pStyle w:val="59"/>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20D2306">
            <w:pPr>
              <w:pStyle w:val="59"/>
              <w:spacing w:line="500" w:lineRule="exact"/>
              <w:rPr>
                <w:rFonts w:hint="eastAsia" w:ascii="宋体" w:hAnsi="宋体" w:eastAsia="宋体" w:cs="宋体"/>
                <w:color w:val="auto"/>
                <w:sz w:val="24"/>
                <w:szCs w:val="24"/>
                <w:highlight w:val="none"/>
              </w:rPr>
            </w:pPr>
          </w:p>
        </w:tc>
      </w:tr>
    </w:tbl>
    <w:p w14:paraId="504A1D0D">
      <w:pPr>
        <w:pStyle w:val="5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法定代表人（签章）：</w:t>
      </w:r>
      <w:r>
        <w:rPr>
          <w:rFonts w:hint="eastAsia" w:ascii="宋体" w:hAnsi="宋体" w:eastAsia="宋体" w:cs="宋体"/>
          <w:color w:val="auto"/>
          <w:sz w:val="24"/>
          <w:szCs w:val="24"/>
          <w:highlight w:val="none"/>
          <w:u w:val="single"/>
        </w:rPr>
        <w:t xml:space="preserve">                  </w:t>
      </w:r>
    </w:p>
    <w:p w14:paraId="25EBE8F7">
      <w:pPr>
        <w:pStyle w:val="5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名称（签章）：</w:t>
      </w:r>
      <w:r>
        <w:rPr>
          <w:rFonts w:hint="eastAsia" w:ascii="宋体" w:hAnsi="宋体" w:eastAsia="宋体" w:cs="宋体"/>
          <w:color w:val="auto"/>
          <w:sz w:val="24"/>
          <w:szCs w:val="24"/>
          <w:highlight w:val="none"/>
          <w:u w:val="single"/>
        </w:rPr>
        <w:t xml:space="preserve">                       </w:t>
      </w:r>
    </w:p>
    <w:p w14:paraId="5B1C29FC">
      <w:pPr>
        <w:pStyle w:val="5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3A8933DA">
      <w:pPr>
        <w:pStyle w:val="59"/>
        <w:spacing w:line="500" w:lineRule="exact"/>
        <w:rPr>
          <w:rFonts w:hint="eastAsia" w:ascii="宋体" w:hAnsi="宋体" w:eastAsia="宋体" w:cs="宋体"/>
          <w:color w:val="auto"/>
          <w:szCs w:val="28"/>
          <w:highlight w:val="none"/>
        </w:rPr>
      </w:pPr>
    </w:p>
    <w:p w14:paraId="20ACAC6D">
      <w:pPr>
        <w:pStyle w:val="59"/>
        <w:spacing w:line="500" w:lineRule="exact"/>
        <w:rPr>
          <w:rFonts w:hint="eastAsia" w:ascii="宋体" w:hAnsi="宋体" w:eastAsia="宋体" w:cs="宋体"/>
          <w:color w:val="auto"/>
          <w:szCs w:val="28"/>
          <w:highlight w:val="none"/>
        </w:rPr>
      </w:pPr>
    </w:p>
    <w:p w14:paraId="655F5B48">
      <w:pPr>
        <w:pStyle w:val="59"/>
        <w:spacing w:line="500" w:lineRule="exact"/>
        <w:rPr>
          <w:rFonts w:hint="eastAsia" w:ascii="宋体" w:hAnsi="宋体" w:eastAsia="宋体" w:cs="宋体"/>
          <w:color w:val="auto"/>
          <w:szCs w:val="28"/>
          <w:highlight w:val="none"/>
        </w:rPr>
      </w:pPr>
    </w:p>
    <w:p w14:paraId="451667BE">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bookmarkStart w:id="284" w:name="_Toc28983"/>
      <w:r>
        <w:rPr>
          <w:rFonts w:hint="eastAsia" w:ascii="宋体" w:hAnsi="宋体" w:eastAsia="宋体" w:cs="宋体"/>
          <w:b/>
          <w:bCs/>
          <w:color w:val="auto"/>
          <w:spacing w:val="0"/>
          <w:position w:val="0"/>
          <w:sz w:val="24"/>
          <w:szCs w:val="24"/>
          <w:highlight w:val="none"/>
          <w:lang w:val="en-US" w:eastAsia="zh-CN"/>
        </w:rPr>
        <w:t>2.8</w:t>
      </w:r>
      <w:r>
        <w:rPr>
          <w:rFonts w:hint="eastAsia" w:ascii="宋体" w:hAnsi="宋体" w:eastAsia="宋体" w:cs="宋体"/>
          <w:b/>
          <w:bCs/>
          <w:color w:val="auto"/>
          <w:spacing w:val="0"/>
          <w:position w:val="0"/>
          <w:sz w:val="24"/>
          <w:szCs w:val="24"/>
          <w:highlight w:val="none"/>
        </w:rPr>
        <w:t>中小企业声明函</w:t>
      </w:r>
    </w:p>
    <w:p w14:paraId="5E946C98">
      <w:pPr>
        <w:shd w:val="clear" w:color="auto" w:fill="FFFFFF"/>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中小企业声明函（工程、服务）</w:t>
      </w:r>
    </w:p>
    <w:p w14:paraId="0BBA17CA">
      <w:pPr>
        <w:widowControl/>
        <w:spacing w:line="440" w:lineRule="exact"/>
        <w:jc w:val="left"/>
        <w:rPr>
          <w:rFonts w:hint="eastAsia" w:ascii="宋体" w:hAnsi="宋体" w:eastAsia="宋体" w:cs="宋体"/>
          <w:color w:val="auto"/>
          <w:spacing w:val="0"/>
          <w:position w:val="0"/>
          <w:sz w:val="21"/>
          <w:szCs w:val="21"/>
          <w:highlight w:val="none"/>
        </w:rPr>
      </w:pPr>
    </w:p>
    <w:p w14:paraId="0E6073AB">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position w:val="0"/>
          <w:sz w:val="24"/>
          <w:szCs w:val="24"/>
          <w:highlight w:val="none"/>
          <w:u w:val="single"/>
        </w:rPr>
        <w:t xml:space="preserve">  （单位名称）  </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 xml:space="preserve">      （项目名称） </w:t>
      </w:r>
      <w:r>
        <w:rPr>
          <w:rFonts w:hint="eastAsia" w:ascii="宋体" w:hAnsi="宋体" w:eastAsia="宋体" w:cs="宋体"/>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2BD616B4">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1、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（中型企业、小型企业、微型企业）；</w:t>
      </w:r>
    </w:p>
    <w:p w14:paraId="1FFC3B8B">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2、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（中型企业、小型企业、微型企业）；</w:t>
      </w:r>
    </w:p>
    <w:p w14:paraId="59FE2857">
      <w:pPr>
        <w:pStyle w:val="91"/>
        <w:tabs>
          <w:tab w:val="left" w:pos="-120"/>
        </w:tabs>
        <w:spacing w:line="440" w:lineRule="exact"/>
        <w:ind w:firstLine="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p w14:paraId="473854A9">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以上企业，不属于大企业的分支机构，不存在控股股东为大企业的情形，也不存在与大企业的负责人为同一人的情形。</w:t>
      </w:r>
    </w:p>
    <w:p w14:paraId="6C3F9E86">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本企业对上述声明的真实性负责。如有虚假，将依法承担相应责任。</w:t>
      </w:r>
    </w:p>
    <w:p w14:paraId="407E3962">
      <w:pPr>
        <w:widowControl/>
        <w:spacing w:line="440" w:lineRule="exact"/>
        <w:jc w:val="left"/>
        <w:rPr>
          <w:rFonts w:hint="eastAsia" w:ascii="宋体" w:hAnsi="宋体" w:eastAsia="宋体" w:cs="宋体"/>
          <w:color w:val="auto"/>
          <w:spacing w:val="0"/>
          <w:position w:val="0"/>
          <w:sz w:val="24"/>
          <w:szCs w:val="24"/>
          <w:highlight w:val="none"/>
        </w:rPr>
      </w:pPr>
    </w:p>
    <w:p w14:paraId="7C82EAC8">
      <w:pPr>
        <w:widowControl/>
        <w:spacing w:line="440" w:lineRule="exact"/>
        <w:jc w:val="left"/>
        <w:rPr>
          <w:rFonts w:hint="eastAsia" w:ascii="宋体" w:hAnsi="宋体" w:eastAsia="宋体" w:cs="宋体"/>
          <w:color w:val="auto"/>
          <w:spacing w:val="0"/>
          <w:position w:val="0"/>
          <w:sz w:val="24"/>
          <w:szCs w:val="24"/>
          <w:highlight w:val="none"/>
        </w:rPr>
      </w:pPr>
    </w:p>
    <w:p w14:paraId="706FD5EE">
      <w:pPr>
        <w:pStyle w:val="95"/>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供应商名称：</w:t>
      </w:r>
      <w:r>
        <w:rPr>
          <w:rFonts w:hint="eastAsia" w:ascii="宋体" w:hAnsi="宋体" w:eastAsia="宋体" w:cs="宋体"/>
          <w:color w:val="auto"/>
          <w:spacing w:val="0"/>
          <w:position w:val="0"/>
          <w:sz w:val="24"/>
          <w:szCs w:val="24"/>
          <w:highlight w:val="none"/>
          <w:u w:val="single"/>
        </w:rPr>
        <w:t xml:space="preserve">       （盖章）       </w:t>
      </w:r>
    </w:p>
    <w:p w14:paraId="274F39E5">
      <w:pPr>
        <w:widowControl/>
        <w:spacing w:line="440" w:lineRule="exact"/>
        <w:jc w:val="center"/>
        <w:rPr>
          <w:rFonts w:hint="eastAsia" w:ascii="宋体" w:hAnsi="宋体" w:eastAsia="宋体" w:cs="宋体"/>
          <w:color w:val="auto"/>
          <w:spacing w:val="0"/>
          <w:position w:val="0"/>
          <w:sz w:val="24"/>
          <w:szCs w:val="24"/>
          <w:highlight w:val="none"/>
        </w:rPr>
      </w:pPr>
    </w:p>
    <w:p w14:paraId="1CAD3637">
      <w:pPr>
        <w:widowControl/>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日   期：  年   月   日</w:t>
      </w:r>
    </w:p>
    <w:p w14:paraId="3B0C1035">
      <w:pPr>
        <w:pStyle w:val="91"/>
        <w:tabs>
          <w:tab w:val="left" w:pos="-120"/>
        </w:tabs>
        <w:spacing w:line="440" w:lineRule="exact"/>
        <w:ind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p w14:paraId="49C8A458">
      <w:pPr>
        <w:pStyle w:val="91"/>
        <w:tabs>
          <w:tab w:val="left" w:pos="-120"/>
        </w:tabs>
        <w:spacing w:line="440" w:lineRule="exact"/>
        <w:ind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1、从业人员、营业收入、资产总额填报上一年度数据，无上一年度数据的新成立企业可不填报。</w:t>
      </w:r>
    </w:p>
    <w:p w14:paraId="794D3905">
      <w:pPr>
        <w:widowControl/>
        <w:spacing w:line="440" w:lineRule="exact"/>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kern w:val="0"/>
          <w:position w:val="0"/>
          <w:sz w:val="24"/>
          <w:szCs w:val="24"/>
          <w:highlight w:val="none"/>
        </w:rPr>
        <w:t>若为监狱企业或残疾人企业，须提供监狱企业或残疾人企业声明函（格式自拟）</w:t>
      </w:r>
    </w:p>
    <w:p w14:paraId="6131B0EC">
      <w:pPr>
        <w:pStyle w:val="20"/>
        <w:tabs>
          <w:tab w:val="left" w:pos="8786"/>
        </w:tabs>
        <w:spacing w:after="0" w:line="360" w:lineRule="auto"/>
        <w:rPr>
          <w:rFonts w:hint="eastAsia" w:ascii="宋体" w:hAnsi="宋体" w:eastAsia="宋体" w:cs="宋体"/>
          <w:b/>
          <w:color w:val="auto"/>
          <w:sz w:val="24"/>
          <w:highlight w:val="none"/>
        </w:rPr>
      </w:pPr>
      <w:r>
        <w:rPr>
          <w:rFonts w:hint="eastAsia" w:ascii="宋体" w:hAnsi="宋体" w:eastAsia="宋体" w:cs="宋体"/>
          <w:color w:val="auto"/>
          <w:spacing w:val="0"/>
          <w:kern w:val="0"/>
          <w:position w:val="0"/>
          <w:sz w:val="24"/>
          <w:szCs w:val="24"/>
          <w:highlight w:val="none"/>
        </w:rPr>
        <w:t>3、中标的供应商的《中小微企业声明函》将作为中标结果公告一并公示。</w:t>
      </w:r>
    </w:p>
    <w:p w14:paraId="05565985">
      <w:pPr>
        <w:pStyle w:val="20"/>
        <w:spacing w:after="0" w:line="360" w:lineRule="auto"/>
        <w:outlineLvl w:val="2"/>
        <w:rPr>
          <w:rFonts w:hint="eastAsia" w:ascii="宋体" w:hAnsi="宋体" w:eastAsia="宋体" w:cs="宋体"/>
          <w:b/>
          <w:color w:val="auto"/>
          <w:sz w:val="24"/>
          <w:highlight w:val="none"/>
          <w:lang w:val="en-US" w:eastAsia="zh-CN"/>
        </w:rPr>
      </w:pPr>
    </w:p>
    <w:p w14:paraId="7EA2DA67">
      <w:pPr>
        <w:pStyle w:val="20"/>
        <w:spacing w:after="0" w:line="360" w:lineRule="auto"/>
        <w:outlineLvl w:val="2"/>
        <w:rPr>
          <w:rFonts w:hint="eastAsia" w:ascii="宋体" w:hAnsi="宋体" w:eastAsia="宋体" w:cs="宋体"/>
          <w:b/>
          <w:color w:val="auto"/>
          <w:sz w:val="24"/>
          <w:highlight w:val="none"/>
          <w:lang w:val="en-US" w:eastAsia="zh-CN"/>
        </w:rPr>
      </w:pPr>
    </w:p>
    <w:p w14:paraId="7E702F0D">
      <w:pPr>
        <w:pStyle w:val="20"/>
        <w:spacing w:after="0" w:line="360" w:lineRule="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2.9、招标文件要求提供或供应商认为需提供的其它资料；</w:t>
      </w:r>
      <w:bookmarkEnd w:id="284"/>
    </w:p>
    <w:p w14:paraId="47B7D707">
      <w:pPr>
        <w:pStyle w:val="20"/>
        <w:spacing w:after="0" w:line="360" w:lineRule="auto"/>
        <w:rPr>
          <w:rFonts w:hint="eastAsia" w:ascii="宋体" w:hAnsi="宋体" w:eastAsia="宋体" w:cs="宋体"/>
          <w:color w:val="auto"/>
          <w:sz w:val="24"/>
          <w:highlight w:val="none"/>
        </w:rPr>
      </w:pPr>
    </w:p>
    <w:p w14:paraId="6B788634">
      <w:pPr>
        <w:pStyle w:val="20"/>
        <w:spacing w:after="0" w:line="360" w:lineRule="auto"/>
        <w:rPr>
          <w:rFonts w:hint="eastAsia" w:ascii="宋体" w:hAnsi="宋体" w:eastAsia="宋体" w:cs="宋体"/>
          <w:color w:val="auto"/>
          <w:sz w:val="24"/>
          <w:highlight w:val="none"/>
        </w:rPr>
      </w:pPr>
    </w:p>
    <w:p w14:paraId="6D230032">
      <w:pPr>
        <w:pStyle w:val="26"/>
        <w:rPr>
          <w:rFonts w:hint="eastAsia" w:ascii="宋体" w:hAnsi="宋体" w:eastAsia="宋体" w:cs="宋体"/>
          <w:color w:val="auto"/>
          <w:sz w:val="24"/>
          <w:highlight w:val="none"/>
        </w:rPr>
      </w:pPr>
    </w:p>
    <w:p w14:paraId="7B3BABC4">
      <w:pPr>
        <w:rPr>
          <w:rFonts w:hint="eastAsia" w:ascii="宋体" w:hAnsi="宋体" w:eastAsia="宋体" w:cs="宋体"/>
          <w:color w:val="auto"/>
          <w:sz w:val="24"/>
          <w:highlight w:val="none"/>
        </w:rPr>
      </w:pPr>
    </w:p>
    <w:p w14:paraId="3A6BF33B">
      <w:pPr>
        <w:pStyle w:val="21"/>
        <w:rPr>
          <w:rFonts w:hint="eastAsia" w:ascii="宋体" w:hAnsi="宋体" w:eastAsia="宋体" w:cs="宋体"/>
          <w:color w:val="auto"/>
          <w:sz w:val="24"/>
          <w:highlight w:val="none"/>
        </w:rPr>
      </w:pPr>
    </w:p>
    <w:p w14:paraId="559ED820">
      <w:pPr>
        <w:rPr>
          <w:rFonts w:hint="eastAsia" w:ascii="宋体" w:hAnsi="宋体" w:eastAsia="宋体" w:cs="宋体"/>
          <w:color w:val="auto"/>
          <w:sz w:val="24"/>
          <w:highlight w:val="none"/>
        </w:rPr>
      </w:pPr>
    </w:p>
    <w:p w14:paraId="36184418">
      <w:pPr>
        <w:pStyle w:val="21"/>
        <w:rPr>
          <w:rFonts w:hint="eastAsia" w:ascii="宋体" w:hAnsi="宋体" w:eastAsia="宋体" w:cs="宋体"/>
          <w:color w:val="auto"/>
          <w:sz w:val="24"/>
          <w:highlight w:val="none"/>
        </w:rPr>
      </w:pPr>
    </w:p>
    <w:p w14:paraId="54A3DCA6">
      <w:pPr>
        <w:rPr>
          <w:rFonts w:hint="eastAsia" w:ascii="宋体" w:hAnsi="宋体" w:eastAsia="宋体" w:cs="宋体"/>
          <w:color w:val="auto"/>
          <w:sz w:val="24"/>
          <w:highlight w:val="none"/>
        </w:rPr>
      </w:pPr>
    </w:p>
    <w:p w14:paraId="06FBB3DE">
      <w:pPr>
        <w:pStyle w:val="21"/>
        <w:rPr>
          <w:rFonts w:hint="eastAsia" w:ascii="宋体" w:hAnsi="宋体" w:eastAsia="宋体" w:cs="宋体"/>
          <w:color w:val="auto"/>
          <w:sz w:val="24"/>
          <w:highlight w:val="none"/>
        </w:rPr>
      </w:pPr>
    </w:p>
    <w:p w14:paraId="5EED1A93">
      <w:pPr>
        <w:rPr>
          <w:rFonts w:hint="eastAsia" w:ascii="宋体" w:hAnsi="宋体" w:eastAsia="宋体" w:cs="宋体"/>
          <w:color w:val="auto"/>
          <w:sz w:val="24"/>
          <w:highlight w:val="none"/>
        </w:rPr>
      </w:pPr>
    </w:p>
    <w:p w14:paraId="5D182FA2">
      <w:pPr>
        <w:pStyle w:val="21"/>
        <w:rPr>
          <w:rFonts w:hint="eastAsia" w:ascii="宋体" w:hAnsi="宋体" w:eastAsia="宋体" w:cs="宋体"/>
          <w:color w:val="auto"/>
          <w:sz w:val="24"/>
          <w:highlight w:val="none"/>
        </w:rPr>
      </w:pPr>
    </w:p>
    <w:p w14:paraId="4962BC42">
      <w:pPr>
        <w:rPr>
          <w:rFonts w:hint="eastAsia" w:ascii="宋体" w:hAnsi="宋体" w:eastAsia="宋体" w:cs="宋体"/>
          <w:color w:val="auto"/>
          <w:sz w:val="24"/>
          <w:highlight w:val="none"/>
        </w:rPr>
      </w:pPr>
    </w:p>
    <w:p w14:paraId="20834541">
      <w:pPr>
        <w:pStyle w:val="21"/>
        <w:rPr>
          <w:rFonts w:hint="eastAsia" w:ascii="宋体" w:hAnsi="宋体" w:eastAsia="宋体" w:cs="宋体"/>
          <w:color w:val="auto"/>
          <w:sz w:val="24"/>
          <w:highlight w:val="none"/>
        </w:rPr>
      </w:pPr>
    </w:p>
    <w:p w14:paraId="1862BFE1">
      <w:pPr>
        <w:rPr>
          <w:rFonts w:hint="eastAsia" w:ascii="宋体" w:hAnsi="宋体" w:eastAsia="宋体" w:cs="宋体"/>
          <w:color w:val="auto"/>
          <w:sz w:val="24"/>
          <w:highlight w:val="none"/>
        </w:rPr>
      </w:pPr>
    </w:p>
    <w:p w14:paraId="07E10DA8">
      <w:pPr>
        <w:pStyle w:val="21"/>
        <w:rPr>
          <w:rFonts w:hint="eastAsia" w:ascii="宋体" w:hAnsi="宋体" w:eastAsia="宋体" w:cs="宋体"/>
          <w:color w:val="auto"/>
          <w:sz w:val="24"/>
          <w:highlight w:val="none"/>
        </w:rPr>
      </w:pPr>
    </w:p>
    <w:p w14:paraId="31DF621E">
      <w:pPr>
        <w:rPr>
          <w:rFonts w:hint="eastAsia" w:ascii="宋体" w:hAnsi="宋体" w:eastAsia="宋体" w:cs="宋体"/>
          <w:color w:val="auto"/>
          <w:sz w:val="24"/>
          <w:highlight w:val="none"/>
        </w:rPr>
      </w:pPr>
    </w:p>
    <w:p w14:paraId="3A2801F7">
      <w:pPr>
        <w:pStyle w:val="21"/>
        <w:rPr>
          <w:rFonts w:hint="eastAsia" w:ascii="宋体" w:hAnsi="宋体" w:eastAsia="宋体" w:cs="宋体"/>
          <w:color w:val="auto"/>
          <w:sz w:val="24"/>
          <w:highlight w:val="none"/>
        </w:rPr>
      </w:pPr>
    </w:p>
    <w:p w14:paraId="3AB57D4A">
      <w:pPr>
        <w:rPr>
          <w:rFonts w:hint="eastAsia" w:ascii="宋体" w:hAnsi="宋体" w:eastAsia="宋体" w:cs="宋体"/>
          <w:color w:val="auto"/>
          <w:sz w:val="24"/>
          <w:highlight w:val="none"/>
        </w:rPr>
      </w:pPr>
    </w:p>
    <w:p w14:paraId="54EDDBDD">
      <w:pPr>
        <w:pStyle w:val="21"/>
        <w:rPr>
          <w:rFonts w:hint="eastAsia" w:ascii="宋体" w:hAnsi="宋体" w:eastAsia="宋体" w:cs="宋体"/>
          <w:color w:val="auto"/>
          <w:sz w:val="24"/>
          <w:highlight w:val="none"/>
        </w:rPr>
      </w:pPr>
    </w:p>
    <w:p w14:paraId="10CA4DE1">
      <w:pPr>
        <w:rPr>
          <w:rFonts w:hint="eastAsia" w:ascii="宋体" w:hAnsi="宋体" w:eastAsia="宋体" w:cs="宋体"/>
          <w:color w:val="auto"/>
          <w:sz w:val="24"/>
          <w:highlight w:val="none"/>
        </w:rPr>
      </w:pPr>
    </w:p>
    <w:p w14:paraId="04565E99">
      <w:pPr>
        <w:pStyle w:val="21"/>
        <w:rPr>
          <w:rFonts w:hint="eastAsia" w:ascii="宋体" w:hAnsi="宋体" w:eastAsia="宋体" w:cs="宋体"/>
          <w:color w:val="auto"/>
          <w:sz w:val="24"/>
          <w:highlight w:val="none"/>
        </w:rPr>
      </w:pPr>
    </w:p>
    <w:p w14:paraId="57F0DABD">
      <w:pPr>
        <w:rPr>
          <w:rFonts w:hint="eastAsia" w:ascii="宋体" w:hAnsi="宋体" w:eastAsia="宋体" w:cs="宋体"/>
          <w:color w:val="auto"/>
          <w:sz w:val="24"/>
          <w:highlight w:val="none"/>
        </w:rPr>
      </w:pPr>
    </w:p>
    <w:p w14:paraId="2E6F3C70">
      <w:pPr>
        <w:pStyle w:val="21"/>
        <w:rPr>
          <w:rFonts w:hint="eastAsia" w:ascii="宋体" w:hAnsi="宋体" w:eastAsia="宋体" w:cs="宋体"/>
          <w:color w:val="auto"/>
          <w:sz w:val="24"/>
          <w:highlight w:val="none"/>
        </w:rPr>
      </w:pPr>
    </w:p>
    <w:p w14:paraId="4BDD81F5">
      <w:pPr>
        <w:rPr>
          <w:rFonts w:hint="eastAsia" w:ascii="宋体" w:hAnsi="宋体" w:eastAsia="宋体" w:cs="宋体"/>
          <w:color w:val="auto"/>
          <w:highlight w:val="none"/>
        </w:rPr>
      </w:pPr>
    </w:p>
    <w:p w14:paraId="01A49669">
      <w:pPr>
        <w:rPr>
          <w:rFonts w:hint="eastAsia" w:ascii="宋体" w:hAnsi="宋体" w:eastAsia="宋体" w:cs="宋体"/>
          <w:color w:val="auto"/>
          <w:sz w:val="24"/>
          <w:highlight w:val="none"/>
        </w:rPr>
      </w:pPr>
    </w:p>
    <w:p w14:paraId="519E645A">
      <w:pPr>
        <w:pStyle w:val="21"/>
        <w:rPr>
          <w:rFonts w:hint="eastAsia" w:ascii="宋体" w:hAnsi="宋体" w:eastAsia="宋体" w:cs="宋体"/>
          <w:color w:val="auto"/>
          <w:sz w:val="24"/>
          <w:highlight w:val="none"/>
        </w:rPr>
      </w:pPr>
    </w:p>
    <w:p w14:paraId="2853B85F">
      <w:pPr>
        <w:pStyle w:val="21"/>
        <w:rPr>
          <w:rFonts w:hint="eastAsia" w:ascii="宋体" w:hAnsi="宋体" w:eastAsia="宋体" w:cs="宋体"/>
          <w:color w:val="auto"/>
          <w:sz w:val="24"/>
          <w:highlight w:val="none"/>
        </w:rPr>
      </w:pPr>
    </w:p>
    <w:p w14:paraId="4255646D">
      <w:pPr>
        <w:rPr>
          <w:rFonts w:hint="eastAsia" w:ascii="宋体" w:hAnsi="宋体" w:eastAsia="宋体" w:cs="宋体"/>
          <w:color w:val="auto"/>
          <w:sz w:val="24"/>
          <w:highlight w:val="none"/>
        </w:rPr>
      </w:pPr>
    </w:p>
    <w:p w14:paraId="3360DE48">
      <w:pPr>
        <w:pStyle w:val="21"/>
        <w:rPr>
          <w:rFonts w:hint="eastAsia" w:ascii="宋体" w:hAnsi="宋体" w:eastAsia="宋体" w:cs="宋体"/>
          <w:color w:val="auto"/>
          <w:sz w:val="24"/>
          <w:highlight w:val="none"/>
        </w:rPr>
      </w:pPr>
    </w:p>
    <w:p w14:paraId="5724FAB9">
      <w:pPr>
        <w:pStyle w:val="20"/>
        <w:spacing w:after="0" w:line="360" w:lineRule="auto"/>
        <w:rPr>
          <w:rFonts w:hint="eastAsia" w:ascii="宋体" w:hAnsi="宋体" w:eastAsia="宋体" w:cs="宋体"/>
          <w:color w:val="auto"/>
          <w:sz w:val="24"/>
          <w:highlight w:val="none"/>
        </w:rPr>
      </w:pPr>
    </w:p>
    <w:p w14:paraId="7755DAFE">
      <w:pPr>
        <w:pStyle w:val="20"/>
        <w:tabs>
          <w:tab w:val="left" w:pos="8786"/>
        </w:tabs>
        <w:spacing w:after="0" w:line="360" w:lineRule="auto"/>
        <w:jc w:val="center"/>
        <w:outlineLvl w:val="1"/>
        <w:rPr>
          <w:rFonts w:hint="eastAsia" w:ascii="宋体" w:hAnsi="宋体" w:eastAsia="宋体" w:cs="宋体"/>
          <w:b/>
          <w:color w:val="auto"/>
          <w:sz w:val="24"/>
          <w:szCs w:val="24"/>
          <w:highlight w:val="none"/>
        </w:rPr>
      </w:pPr>
      <w:bookmarkStart w:id="285" w:name="_Toc4644"/>
      <w:bookmarkStart w:id="286" w:name="_Toc480368439"/>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、技术文件</w:t>
      </w:r>
      <w:bookmarkEnd w:id="285"/>
      <w:bookmarkEnd w:id="286"/>
    </w:p>
    <w:p w14:paraId="389808FA">
      <w:pPr>
        <w:jc w:val="center"/>
        <w:rPr>
          <w:rStyle w:val="53"/>
          <w:rFonts w:hint="eastAsia" w:ascii="宋体" w:hAnsi="宋体" w:eastAsia="宋体" w:cs="宋体"/>
          <w:b/>
          <w:bCs/>
          <w:i w:val="0"/>
          <w:caps w:val="0"/>
          <w:color w:val="auto"/>
          <w:spacing w:val="0"/>
          <w:w w:val="100"/>
          <w:kern w:val="2"/>
          <w:position w:val="0"/>
          <w:sz w:val="28"/>
          <w:szCs w:val="28"/>
          <w:highlight w:val="none"/>
          <w:lang w:val="en-US" w:eastAsia="zh-CN" w:bidi="ar-SA"/>
        </w:rPr>
      </w:pPr>
      <w:r>
        <w:rPr>
          <w:rFonts w:hint="eastAsia" w:ascii="宋体" w:hAnsi="宋体" w:eastAsia="宋体" w:cs="宋体"/>
          <w:color w:val="auto"/>
          <w:kern w:val="0"/>
          <w:sz w:val="24"/>
          <w:highlight w:val="none"/>
        </w:rPr>
        <w:br w:type="page"/>
      </w:r>
      <w:r>
        <w:rPr>
          <w:rStyle w:val="53"/>
          <w:rFonts w:hint="eastAsia" w:ascii="宋体" w:hAnsi="宋体" w:eastAsia="宋体" w:cs="宋体"/>
          <w:b/>
          <w:bCs/>
          <w:i w:val="0"/>
          <w:caps w:val="0"/>
          <w:color w:val="auto"/>
          <w:spacing w:val="0"/>
          <w:w w:val="100"/>
          <w:kern w:val="2"/>
          <w:position w:val="0"/>
          <w:sz w:val="28"/>
          <w:szCs w:val="28"/>
          <w:highlight w:val="none"/>
          <w:lang w:val="en-US" w:eastAsia="zh-CN" w:bidi="ar-SA"/>
        </w:rPr>
        <w:t>招标文件补充材料</w:t>
      </w:r>
    </w:p>
    <w:p w14:paraId="248B0CC7">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1、关于印发中小企业划型标准规定的通知（不属于投标文件格式，仅作为判断中小企业的依据）</w:t>
      </w:r>
    </w:p>
    <w:p w14:paraId="7C44F415">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Style w:val="41"/>
          <w:rFonts w:hint="eastAsia" w:ascii="宋体" w:hAnsi="宋体" w:eastAsia="宋体" w:cs="宋体"/>
          <w:i w:val="0"/>
          <w:iCs w:val="0"/>
          <w:caps w:val="0"/>
          <w:color w:val="auto"/>
          <w:spacing w:val="0"/>
          <w:sz w:val="36"/>
          <w:szCs w:val="36"/>
          <w:highlight w:val="none"/>
          <w:lang w:eastAsia="zh-CN"/>
        </w:rPr>
      </w:pPr>
      <w:r>
        <w:rPr>
          <w:rStyle w:val="41"/>
          <w:rFonts w:hint="eastAsia" w:ascii="宋体" w:hAnsi="宋体" w:eastAsia="宋体" w:cs="宋体"/>
          <w:i w:val="0"/>
          <w:iCs w:val="0"/>
          <w:caps w:val="0"/>
          <w:color w:val="auto"/>
          <w:spacing w:val="0"/>
          <w:sz w:val="36"/>
          <w:szCs w:val="36"/>
          <w:highlight w:val="none"/>
        </w:rPr>
        <w:t>关于印发中小企业划型标准规定的通知</w:t>
      </w:r>
    </w:p>
    <w:p w14:paraId="528E65A5">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工信部联企业〔2011〕300号</w:t>
      </w:r>
    </w:p>
    <w:p w14:paraId="67124F12">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各省、自治区、直辖市人民政府，国务院各部委、各直属机构及有关单位：</w:t>
      </w:r>
    </w:p>
    <w:p w14:paraId="56D10B32">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D609CD8">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工业和信息化部　国家统计局</w:t>
      </w:r>
    </w:p>
    <w:p w14:paraId="04482CE1">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国家发展和改革委员会　财政部</w:t>
      </w:r>
    </w:p>
    <w:p w14:paraId="326573D8">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二○一一年六月十八日</w:t>
      </w:r>
    </w:p>
    <w:p w14:paraId="1AFFAB99">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w:t>
      </w:r>
    </w:p>
    <w:p w14:paraId="0E53CD3F">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rPr>
          <w:rFonts w:hint="eastAsia" w:ascii="宋体" w:hAnsi="宋体" w:eastAsia="宋体" w:cs="宋体"/>
          <w:i w:val="0"/>
          <w:iCs w:val="0"/>
          <w:caps w:val="0"/>
          <w:color w:val="auto"/>
          <w:spacing w:val="0"/>
          <w:sz w:val="21"/>
          <w:szCs w:val="21"/>
          <w:highlight w:val="none"/>
        </w:rPr>
      </w:pPr>
      <w:r>
        <w:rPr>
          <w:rStyle w:val="41"/>
          <w:rFonts w:hint="eastAsia" w:ascii="宋体" w:hAnsi="宋体" w:eastAsia="宋体" w:cs="宋体"/>
          <w:i w:val="0"/>
          <w:iCs w:val="0"/>
          <w:caps w:val="0"/>
          <w:color w:val="auto"/>
          <w:spacing w:val="0"/>
          <w:sz w:val="21"/>
          <w:szCs w:val="21"/>
          <w:highlight w:val="none"/>
        </w:rPr>
        <w:t>中小企业划型标准规定</w:t>
      </w:r>
    </w:p>
    <w:p w14:paraId="17903BC4">
      <w:pPr>
        <w:pStyle w:val="21"/>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aps w:val="0"/>
          <w:color w:val="auto"/>
          <w:spacing w:val="0"/>
          <w:sz w:val="18"/>
          <w:szCs w:val="18"/>
          <w:highlight w:val="none"/>
        </w:rPr>
        <w:t>　　</w:t>
      </w:r>
      <w:r>
        <w:rPr>
          <w:rFonts w:hint="eastAsia" w:ascii="宋体" w:hAnsi="宋体" w:eastAsia="宋体" w:cs="宋体"/>
          <w:color w:val="auto"/>
          <w:kern w:val="2"/>
          <w:sz w:val="18"/>
          <w:szCs w:val="18"/>
          <w:highlight w:val="none"/>
          <w:lang w:val="en-US" w:eastAsia="zh-CN" w:bidi="ar-SA"/>
        </w:rPr>
        <w:t>一、根据《中华人民共和国中小企业促进法》和《国务院关于进一步促进中小企业发展的若干意见》(国发〔2009〕36号)，制定本规定。</w:t>
      </w:r>
    </w:p>
    <w:p w14:paraId="65EB19E0">
      <w:pPr>
        <w:pStyle w:val="21"/>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二、中小企业划分为中型、小型、微型三种类型，具体标准根据企业从业人员、营业收入、资产总额等指标，结合行业特点制定。</w:t>
      </w:r>
    </w:p>
    <w:p w14:paraId="0F03907D">
      <w:pPr>
        <w:pStyle w:val="21"/>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A4A61F7">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四、各行业划型标准为：</w:t>
      </w:r>
    </w:p>
    <w:p w14:paraId="4C9A91CC">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7ABD05D9">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AEEC60">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B312DD">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C1D101C">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D0B9DB9">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550BFF">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AA54CCD">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44A5286">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7DB165">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B56E2F">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A7A5B32">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C8CDC3">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1F044F5">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26AA49">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F095D60">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32C77064">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五、企业类型的划分以统计部门的统计数据为依据。</w:t>
      </w:r>
    </w:p>
    <w:p w14:paraId="32519D3A">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六、本规定适用于在中华人民共和国境内依法设立的各类所有制和各种组织形式的企业。个体工商户和本规定以外的行业，参照本规定进行划型。</w:t>
      </w:r>
    </w:p>
    <w:p w14:paraId="62BC0890">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50D735DC">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八、本规定由工业和信息化部、国家统计局会同有关部门根据《国民经济行业分类》修订情况和企业发展变化情况适时修订。</w:t>
      </w:r>
    </w:p>
    <w:p w14:paraId="69D2D830">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九、本规定由工业和信息化部、国家统计局会同有关部门负责解释。</w:t>
      </w:r>
    </w:p>
    <w:p w14:paraId="3C57C57C">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SA"/>
        </w:rPr>
        <w:t>　　十、本规定自发布之日起执行，原国家经贸委、原国家计委、财政部和国家统计局2003年颁布的《中小企业标准暂行规定》同时废止。</w:t>
      </w:r>
    </w:p>
    <w:sectPr>
      <w:footerReference r:id="rId9" w:type="first"/>
      <w:headerReference r:id="rId7" w:type="default"/>
      <w:footerReference r:id="rId8" w:type="default"/>
      <w:pgSz w:w="11905" w:h="16838"/>
      <w:pgMar w:top="1474" w:right="1814" w:bottom="1474" w:left="1814" w:header="850"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3056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F1BE1">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A6F471">
                          <w:pPr>
                            <w:pStyle w:val="29"/>
                            <w:jc w:val="center"/>
                          </w:pPr>
                          <w:r>
                            <w:fldChar w:fldCharType="begin"/>
                          </w:r>
                          <w:r>
                            <w:instrText xml:space="preserve">PAGE   \* MERGEFORMAT</w:instrText>
                          </w:r>
                          <w:r>
                            <w:fldChar w:fldCharType="separate"/>
                          </w:r>
                          <w:r>
                            <w:rPr>
                              <w:lang w:val="zh-CN"/>
                            </w:rPr>
                            <w:t>46</w:t>
                          </w:r>
                          <w:r>
                            <w:rPr>
                              <w:lang w:val="zh-CN"/>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XyWeIBAADM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K&#10;8vQeK6q681QXh1cw0NLMcaRgYj20waY/8WGUJ3HPV3HVEJlMh9ar9bqklKTc7BB+cX/cB4xvFFiW&#10;jJoHur0sqji9wziWziWpm4NbbUy+QeP+ChDmGFF5BabTick4cbLisB8mentozsSOHgV17SB84ayn&#10;lai5oxfAmXnrSPG0PbMRZmM/G8JJOljzyNlovo7jlh190IeOcJeZCvqXx0hzZzppjLE3yZAcuuQs&#10;yLSQaYv+9HPV/SP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8+XyWeIBAADMAwAADgAA&#10;AAAAAAABACAAAAAeAQAAZHJzL2Uyb0RvYy54bWxQSwUGAAAAAAYABgBZAQAAcgUAAAAA&#10;">
              <v:fill on="f" focussize="0,0"/>
              <v:stroke on="f"/>
              <v:imagedata o:title=""/>
              <o:lock v:ext="edit" aspectratio="f"/>
              <v:textbox inset="0mm,0mm,0mm,0mm" style="mso-fit-shape-to-text:t;">
                <w:txbxContent>
                  <w:p w14:paraId="78A6F471">
                    <w:pPr>
                      <w:pStyle w:val="29"/>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7D152F1F">
    <w:pPr>
      <w:pStyle w:val="2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3D0A">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00AA6D">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0900AA6D">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F24D1">
    <w:pPr>
      <w:pStyle w:val="2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86488F">
                          <w:pPr>
                            <w:pStyle w:val="29"/>
                            <w:jc w:val="center"/>
                          </w:pPr>
                          <w:r>
                            <w:fldChar w:fldCharType="begin"/>
                          </w:r>
                          <w:r>
                            <w:instrText xml:space="preserve"> PAGE   \* MERGEFORMAT </w:instrText>
                          </w:r>
                          <w:r>
                            <w:fldChar w:fldCharType="separate"/>
                          </w:r>
                          <w:r>
                            <w:rPr>
                              <w:lang w:val="zh-CN"/>
                            </w:rPr>
                            <w:t>59</w:t>
                          </w:r>
                          <w: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M2JXt8BAADBAwAADgAAAAAA&#10;AAABACAAAAAeAQAAZHJzL2Uyb0RvYy54bWxQSwUGAAAAAAYABgBZAQAAbwUAAAAA&#10;">
              <v:fill on="f" focussize="0,0"/>
              <v:stroke on="f"/>
              <v:imagedata o:title=""/>
              <o:lock v:ext="edit" aspectratio="f"/>
              <v:textbox inset="0mm,0mm,0mm,0mm" style="mso-fit-shape-to-text:t;">
                <w:txbxContent>
                  <w:p w14:paraId="3D86488F">
                    <w:pPr>
                      <w:pStyle w:val="29"/>
                      <w:jc w:val="center"/>
                    </w:pPr>
                    <w:r>
                      <w:fldChar w:fldCharType="begin"/>
                    </w:r>
                    <w:r>
                      <w:instrText xml:space="preserve"> PAGE   \* MERGEFORMAT </w:instrText>
                    </w:r>
                    <w:r>
                      <w:fldChar w:fldCharType="separate"/>
                    </w:r>
                    <w:r>
                      <w:rPr>
                        <w:lang w:val="zh-CN"/>
                      </w:rPr>
                      <w:t>59</w:t>
                    </w:r>
                    <w:r>
                      <w:fldChar w:fldCharType="end"/>
                    </w:r>
                  </w:p>
                </w:txbxContent>
              </v:textbox>
            </v:shape>
          </w:pict>
        </mc:Fallback>
      </mc:AlternateContent>
    </w:r>
  </w:p>
  <w:p w14:paraId="7A114C94">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AF201">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01ECC7">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45cMOABAADBAwAADgAAAGRycy9lMm9Eb2MueG1srVNBrtMwEN0jcQfL&#10;e5q0Qi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flzzpywNPDL92+XH78uP7+y&#10;ZbmqkkK9j2tKvPOUisMrGGhvZn8kZyI+tMGmP1FiFCd9z1d91YBMpkvVqqpKCkmKzQfCL+6v+xDx&#10;jQLLklHzQAPMuorTu4hj6pySqjm41cbkIRr3l4Mwk6dIvY89JguH/TAR2kNzJj70EqhOB+ELZz3t&#10;Qc0drT1n5q0jmdPKzEaYjf1sCCfpYs2Rs9F8jeNqHX3Qhy4vW2oq+pdH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uOXDDgAQAAwQMAAA4AAAAA&#10;AAAAAQAgAAAAHgEAAGRycy9lMm9Eb2MueG1sUEsFBgAAAAAGAAYAWQEAAHAFAAAAAA==&#10;">
              <v:fill on="f" focussize="0,0"/>
              <v:stroke on="f"/>
              <v:imagedata o:title=""/>
              <o:lock v:ext="edit" aspectratio="f"/>
              <v:textbox inset="0mm,0mm,0mm,0mm" style="mso-fit-shape-to-text:t;">
                <w:txbxContent>
                  <w:p w14:paraId="2401ECC7">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490B5">
    <w:pPr>
      <w:pStyle w:val="30"/>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9C06">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27DC5EF7"/>
    <w:multiLevelType w:val="multilevel"/>
    <w:tmpl w:val="27DC5EF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30444E"/>
    <w:multiLevelType w:val="multilevel"/>
    <w:tmpl w:val="6430444E"/>
    <w:lvl w:ilvl="0" w:tentative="0">
      <w:start w:val="1"/>
      <w:numFmt w:val="decimal"/>
      <w:lvlText w:val="%1、"/>
      <w:lvlJc w:val="left"/>
      <w:pPr>
        <w:ind w:left="360" w:hanging="360"/>
      </w:pPr>
      <w:rPr>
        <w:rFonts w:hint="default"/>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6D6133"/>
    <w:multiLevelType w:val="multilevel"/>
    <w:tmpl w:val="656D6133"/>
    <w:lvl w:ilvl="0" w:tentative="0">
      <w:start w:val="1"/>
      <w:numFmt w:val="chineseCountingThousand"/>
      <w:pStyle w:val="71"/>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5"/>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pStyle w:val="8"/>
      <w:suff w:val="nothing"/>
      <w:lvlText w:val="%5、"/>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7A4F7CFA"/>
    <w:multiLevelType w:val="multilevel"/>
    <w:tmpl w:val="7A4F7CFA"/>
    <w:lvl w:ilvl="0" w:tentative="0">
      <w:start w:val="1"/>
      <w:numFmt w:val="decimal"/>
      <w:lvlText w:val="%1"/>
      <w:lvlJc w:val="left"/>
      <w:pPr>
        <w:ind w:left="9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jIzOTAxZWMyN2Y5YzVhNGJlODQ3YjIwZjk2YmYifQ=="/>
  </w:docVars>
  <w:rsids>
    <w:rsidRoot w:val="00587125"/>
    <w:rsid w:val="00000190"/>
    <w:rsid w:val="00000BEF"/>
    <w:rsid w:val="00000ED2"/>
    <w:rsid w:val="000010F1"/>
    <w:rsid w:val="00001698"/>
    <w:rsid w:val="0000190B"/>
    <w:rsid w:val="000025A4"/>
    <w:rsid w:val="000026A6"/>
    <w:rsid w:val="00002AA1"/>
    <w:rsid w:val="00003089"/>
    <w:rsid w:val="00003815"/>
    <w:rsid w:val="00003BA8"/>
    <w:rsid w:val="00003F79"/>
    <w:rsid w:val="00004331"/>
    <w:rsid w:val="00004665"/>
    <w:rsid w:val="0000515F"/>
    <w:rsid w:val="0000563C"/>
    <w:rsid w:val="00005908"/>
    <w:rsid w:val="00005B0D"/>
    <w:rsid w:val="00005B26"/>
    <w:rsid w:val="0000656F"/>
    <w:rsid w:val="00006A6F"/>
    <w:rsid w:val="00006E41"/>
    <w:rsid w:val="0000703F"/>
    <w:rsid w:val="000076B3"/>
    <w:rsid w:val="000100D9"/>
    <w:rsid w:val="0001023F"/>
    <w:rsid w:val="00010A45"/>
    <w:rsid w:val="00010DA8"/>
    <w:rsid w:val="00012ECB"/>
    <w:rsid w:val="00013287"/>
    <w:rsid w:val="00013304"/>
    <w:rsid w:val="000138A8"/>
    <w:rsid w:val="00013B4A"/>
    <w:rsid w:val="00014DC2"/>
    <w:rsid w:val="000152A0"/>
    <w:rsid w:val="00015A83"/>
    <w:rsid w:val="00015A8B"/>
    <w:rsid w:val="00015C05"/>
    <w:rsid w:val="00015C59"/>
    <w:rsid w:val="00015FBF"/>
    <w:rsid w:val="000169FA"/>
    <w:rsid w:val="0001715A"/>
    <w:rsid w:val="000174EB"/>
    <w:rsid w:val="00017B46"/>
    <w:rsid w:val="00017C4B"/>
    <w:rsid w:val="00017E59"/>
    <w:rsid w:val="0002146D"/>
    <w:rsid w:val="00021481"/>
    <w:rsid w:val="000214E0"/>
    <w:rsid w:val="00021C6E"/>
    <w:rsid w:val="00021DD5"/>
    <w:rsid w:val="00021F3C"/>
    <w:rsid w:val="00022406"/>
    <w:rsid w:val="00022B2F"/>
    <w:rsid w:val="00023204"/>
    <w:rsid w:val="000233FE"/>
    <w:rsid w:val="00024048"/>
    <w:rsid w:val="00024254"/>
    <w:rsid w:val="00024A7A"/>
    <w:rsid w:val="00024B49"/>
    <w:rsid w:val="00025227"/>
    <w:rsid w:val="00025342"/>
    <w:rsid w:val="0002551C"/>
    <w:rsid w:val="00025906"/>
    <w:rsid w:val="00025A5A"/>
    <w:rsid w:val="00025FDB"/>
    <w:rsid w:val="00026256"/>
    <w:rsid w:val="000269AD"/>
    <w:rsid w:val="00026A42"/>
    <w:rsid w:val="00027040"/>
    <w:rsid w:val="000275CF"/>
    <w:rsid w:val="000317C5"/>
    <w:rsid w:val="00031C4D"/>
    <w:rsid w:val="00031EE8"/>
    <w:rsid w:val="0003255C"/>
    <w:rsid w:val="00032839"/>
    <w:rsid w:val="0003287D"/>
    <w:rsid w:val="00032D5C"/>
    <w:rsid w:val="000334F9"/>
    <w:rsid w:val="00033D3B"/>
    <w:rsid w:val="00034057"/>
    <w:rsid w:val="00034962"/>
    <w:rsid w:val="000349E5"/>
    <w:rsid w:val="00034A30"/>
    <w:rsid w:val="000367B7"/>
    <w:rsid w:val="00036EE4"/>
    <w:rsid w:val="000372BC"/>
    <w:rsid w:val="00037F5F"/>
    <w:rsid w:val="00041BC1"/>
    <w:rsid w:val="00041FEB"/>
    <w:rsid w:val="000428C3"/>
    <w:rsid w:val="00043606"/>
    <w:rsid w:val="000440E5"/>
    <w:rsid w:val="00044A29"/>
    <w:rsid w:val="00044BDD"/>
    <w:rsid w:val="00044C7F"/>
    <w:rsid w:val="00045C06"/>
    <w:rsid w:val="00045C2A"/>
    <w:rsid w:val="00045C83"/>
    <w:rsid w:val="00045CDE"/>
    <w:rsid w:val="00046816"/>
    <w:rsid w:val="000506E7"/>
    <w:rsid w:val="000507D5"/>
    <w:rsid w:val="00051759"/>
    <w:rsid w:val="00051E36"/>
    <w:rsid w:val="00052E1F"/>
    <w:rsid w:val="000530F6"/>
    <w:rsid w:val="0005331E"/>
    <w:rsid w:val="00053555"/>
    <w:rsid w:val="000537CD"/>
    <w:rsid w:val="00053B63"/>
    <w:rsid w:val="0005653E"/>
    <w:rsid w:val="0005654F"/>
    <w:rsid w:val="00056D58"/>
    <w:rsid w:val="000572BF"/>
    <w:rsid w:val="0005752D"/>
    <w:rsid w:val="000576FC"/>
    <w:rsid w:val="000602CC"/>
    <w:rsid w:val="000605C5"/>
    <w:rsid w:val="0006083A"/>
    <w:rsid w:val="00060B1D"/>
    <w:rsid w:val="00060D9F"/>
    <w:rsid w:val="00061AAB"/>
    <w:rsid w:val="00061E16"/>
    <w:rsid w:val="000626E7"/>
    <w:rsid w:val="00062DC7"/>
    <w:rsid w:val="00063340"/>
    <w:rsid w:val="000634DA"/>
    <w:rsid w:val="00063610"/>
    <w:rsid w:val="0006442D"/>
    <w:rsid w:val="00064B93"/>
    <w:rsid w:val="00064BB1"/>
    <w:rsid w:val="00064CD3"/>
    <w:rsid w:val="00064E8F"/>
    <w:rsid w:val="00065245"/>
    <w:rsid w:val="00065732"/>
    <w:rsid w:val="00065931"/>
    <w:rsid w:val="00065E5F"/>
    <w:rsid w:val="0006678E"/>
    <w:rsid w:val="00066837"/>
    <w:rsid w:val="00066CAD"/>
    <w:rsid w:val="00066EF8"/>
    <w:rsid w:val="00067D1D"/>
    <w:rsid w:val="00070B28"/>
    <w:rsid w:val="0007176B"/>
    <w:rsid w:val="00071BC1"/>
    <w:rsid w:val="00071C0E"/>
    <w:rsid w:val="00071D76"/>
    <w:rsid w:val="00071DC0"/>
    <w:rsid w:val="00072C12"/>
    <w:rsid w:val="00072D36"/>
    <w:rsid w:val="00073045"/>
    <w:rsid w:val="000734E0"/>
    <w:rsid w:val="00073687"/>
    <w:rsid w:val="000742AE"/>
    <w:rsid w:val="00074716"/>
    <w:rsid w:val="0007475E"/>
    <w:rsid w:val="00075173"/>
    <w:rsid w:val="00075662"/>
    <w:rsid w:val="0007694A"/>
    <w:rsid w:val="00076CBE"/>
    <w:rsid w:val="000770B4"/>
    <w:rsid w:val="000775AE"/>
    <w:rsid w:val="000777B4"/>
    <w:rsid w:val="00077DF7"/>
    <w:rsid w:val="00080858"/>
    <w:rsid w:val="00080A62"/>
    <w:rsid w:val="00081A34"/>
    <w:rsid w:val="00081CDA"/>
    <w:rsid w:val="000820C8"/>
    <w:rsid w:val="00082AEB"/>
    <w:rsid w:val="0008303F"/>
    <w:rsid w:val="000830F3"/>
    <w:rsid w:val="0008337D"/>
    <w:rsid w:val="0008400A"/>
    <w:rsid w:val="00085017"/>
    <w:rsid w:val="000852A6"/>
    <w:rsid w:val="00085305"/>
    <w:rsid w:val="00085DAB"/>
    <w:rsid w:val="000860E5"/>
    <w:rsid w:val="00086327"/>
    <w:rsid w:val="00086D3A"/>
    <w:rsid w:val="000872F0"/>
    <w:rsid w:val="0008757F"/>
    <w:rsid w:val="00087621"/>
    <w:rsid w:val="0008764C"/>
    <w:rsid w:val="00090910"/>
    <w:rsid w:val="00090B31"/>
    <w:rsid w:val="00090FBA"/>
    <w:rsid w:val="000918E1"/>
    <w:rsid w:val="0009193D"/>
    <w:rsid w:val="000928EE"/>
    <w:rsid w:val="00092C27"/>
    <w:rsid w:val="00092C28"/>
    <w:rsid w:val="0009307F"/>
    <w:rsid w:val="00093695"/>
    <w:rsid w:val="000936CF"/>
    <w:rsid w:val="00093B52"/>
    <w:rsid w:val="00093F2E"/>
    <w:rsid w:val="0009419F"/>
    <w:rsid w:val="00094B47"/>
    <w:rsid w:val="00094E25"/>
    <w:rsid w:val="0009515D"/>
    <w:rsid w:val="00095E39"/>
    <w:rsid w:val="0009673F"/>
    <w:rsid w:val="0009677E"/>
    <w:rsid w:val="00096B18"/>
    <w:rsid w:val="00097686"/>
    <w:rsid w:val="00097788"/>
    <w:rsid w:val="000A0B1F"/>
    <w:rsid w:val="000A0BEB"/>
    <w:rsid w:val="000A2A84"/>
    <w:rsid w:val="000A2D3F"/>
    <w:rsid w:val="000A32FD"/>
    <w:rsid w:val="000A388F"/>
    <w:rsid w:val="000A3CAD"/>
    <w:rsid w:val="000A3CD2"/>
    <w:rsid w:val="000A3EC2"/>
    <w:rsid w:val="000A401D"/>
    <w:rsid w:val="000A4785"/>
    <w:rsid w:val="000A4B9F"/>
    <w:rsid w:val="000A537F"/>
    <w:rsid w:val="000A54AE"/>
    <w:rsid w:val="000A5591"/>
    <w:rsid w:val="000A5B66"/>
    <w:rsid w:val="000A657F"/>
    <w:rsid w:val="000A6699"/>
    <w:rsid w:val="000A6780"/>
    <w:rsid w:val="000A697B"/>
    <w:rsid w:val="000A69F1"/>
    <w:rsid w:val="000A6CB1"/>
    <w:rsid w:val="000A6FCF"/>
    <w:rsid w:val="000A72EC"/>
    <w:rsid w:val="000A771A"/>
    <w:rsid w:val="000A787C"/>
    <w:rsid w:val="000A7A7C"/>
    <w:rsid w:val="000B0058"/>
    <w:rsid w:val="000B016C"/>
    <w:rsid w:val="000B0D8E"/>
    <w:rsid w:val="000B1019"/>
    <w:rsid w:val="000B1761"/>
    <w:rsid w:val="000B17F6"/>
    <w:rsid w:val="000B1AD3"/>
    <w:rsid w:val="000B1E80"/>
    <w:rsid w:val="000B1ED5"/>
    <w:rsid w:val="000B1F08"/>
    <w:rsid w:val="000B2353"/>
    <w:rsid w:val="000B2571"/>
    <w:rsid w:val="000B35D6"/>
    <w:rsid w:val="000B3786"/>
    <w:rsid w:val="000B5972"/>
    <w:rsid w:val="000B5A29"/>
    <w:rsid w:val="000B6362"/>
    <w:rsid w:val="000B66A6"/>
    <w:rsid w:val="000B6707"/>
    <w:rsid w:val="000C0292"/>
    <w:rsid w:val="000C0AB2"/>
    <w:rsid w:val="000C0CA2"/>
    <w:rsid w:val="000C0D08"/>
    <w:rsid w:val="000C0F9E"/>
    <w:rsid w:val="000C1029"/>
    <w:rsid w:val="000C14FF"/>
    <w:rsid w:val="000C2293"/>
    <w:rsid w:val="000C3E53"/>
    <w:rsid w:val="000C705A"/>
    <w:rsid w:val="000C7919"/>
    <w:rsid w:val="000D0EDF"/>
    <w:rsid w:val="000D0EF0"/>
    <w:rsid w:val="000D0F09"/>
    <w:rsid w:val="000D0FBD"/>
    <w:rsid w:val="000D0FF3"/>
    <w:rsid w:val="000D17F3"/>
    <w:rsid w:val="000D1AAE"/>
    <w:rsid w:val="000D1C4B"/>
    <w:rsid w:val="000D2007"/>
    <w:rsid w:val="000D219D"/>
    <w:rsid w:val="000D23D3"/>
    <w:rsid w:val="000D260C"/>
    <w:rsid w:val="000D2DF6"/>
    <w:rsid w:val="000D3650"/>
    <w:rsid w:val="000D42F7"/>
    <w:rsid w:val="000D44C4"/>
    <w:rsid w:val="000D46C5"/>
    <w:rsid w:val="000D496D"/>
    <w:rsid w:val="000D4A84"/>
    <w:rsid w:val="000D4EC1"/>
    <w:rsid w:val="000D6186"/>
    <w:rsid w:val="000D6B4E"/>
    <w:rsid w:val="000D70FD"/>
    <w:rsid w:val="000E0387"/>
    <w:rsid w:val="000E04B8"/>
    <w:rsid w:val="000E1540"/>
    <w:rsid w:val="000E29C5"/>
    <w:rsid w:val="000E2F42"/>
    <w:rsid w:val="000E31C9"/>
    <w:rsid w:val="000E3711"/>
    <w:rsid w:val="000E3A88"/>
    <w:rsid w:val="000E4638"/>
    <w:rsid w:val="000E4C1C"/>
    <w:rsid w:val="000E4D70"/>
    <w:rsid w:val="000E516A"/>
    <w:rsid w:val="000E51AB"/>
    <w:rsid w:val="000E6238"/>
    <w:rsid w:val="000E658F"/>
    <w:rsid w:val="000E68BB"/>
    <w:rsid w:val="000E68BF"/>
    <w:rsid w:val="000E76B3"/>
    <w:rsid w:val="000F00C9"/>
    <w:rsid w:val="000F0847"/>
    <w:rsid w:val="000F16EE"/>
    <w:rsid w:val="000F2484"/>
    <w:rsid w:val="000F3487"/>
    <w:rsid w:val="000F3698"/>
    <w:rsid w:val="000F3FFD"/>
    <w:rsid w:val="000F4523"/>
    <w:rsid w:val="000F458C"/>
    <w:rsid w:val="000F4731"/>
    <w:rsid w:val="000F48D2"/>
    <w:rsid w:val="000F4D9B"/>
    <w:rsid w:val="000F5625"/>
    <w:rsid w:val="000F6E94"/>
    <w:rsid w:val="000F74A9"/>
    <w:rsid w:val="000F7546"/>
    <w:rsid w:val="000F7877"/>
    <w:rsid w:val="001000A0"/>
    <w:rsid w:val="0010042C"/>
    <w:rsid w:val="00100450"/>
    <w:rsid w:val="001007AD"/>
    <w:rsid w:val="001007E8"/>
    <w:rsid w:val="00100F62"/>
    <w:rsid w:val="0010119F"/>
    <w:rsid w:val="00101718"/>
    <w:rsid w:val="001018F5"/>
    <w:rsid w:val="001020C4"/>
    <w:rsid w:val="001021B0"/>
    <w:rsid w:val="00102B46"/>
    <w:rsid w:val="00102E6D"/>
    <w:rsid w:val="001031E9"/>
    <w:rsid w:val="001037C8"/>
    <w:rsid w:val="00103D21"/>
    <w:rsid w:val="0010430C"/>
    <w:rsid w:val="00104636"/>
    <w:rsid w:val="00104B10"/>
    <w:rsid w:val="00104F2D"/>
    <w:rsid w:val="001050E4"/>
    <w:rsid w:val="00105D2F"/>
    <w:rsid w:val="001073F7"/>
    <w:rsid w:val="00107B89"/>
    <w:rsid w:val="00107BCF"/>
    <w:rsid w:val="00107C72"/>
    <w:rsid w:val="00107F7C"/>
    <w:rsid w:val="001101D2"/>
    <w:rsid w:val="00110690"/>
    <w:rsid w:val="001109DD"/>
    <w:rsid w:val="00111156"/>
    <w:rsid w:val="00111345"/>
    <w:rsid w:val="00111370"/>
    <w:rsid w:val="001119D4"/>
    <w:rsid w:val="00111CC4"/>
    <w:rsid w:val="00112170"/>
    <w:rsid w:val="00112786"/>
    <w:rsid w:val="00112B5E"/>
    <w:rsid w:val="0011338B"/>
    <w:rsid w:val="0011368B"/>
    <w:rsid w:val="00113AD6"/>
    <w:rsid w:val="001145B3"/>
    <w:rsid w:val="00115DCF"/>
    <w:rsid w:val="00115DD7"/>
    <w:rsid w:val="00116222"/>
    <w:rsid w:val="001165F8"/>
    <w:rsid w:val="00116EDF"/>
    <w:rsid w:val="00116F1C"/>
    <w:rsid w:val="0011731C"/>
    <w:rsid w:val="00117A65"/>
    <w:rsid w:val="00117E0A"/>
    <w:rsid w:val="00120467"/>
    <w:rsid w:val="00120577"/>
    <w:rsid w:val="00120D9C"/>
    <w:rsid w:val="0012145D"/>
    <w:rsid w:val="00121554"/>
    <w:rsid w:val="0012188C"/>
    <w:rsid w:val="0012225E"/>
    <w:rsid w:val="00122536"/>
    <w:rsid w:val="001227D5"/>
    <w:rsid w:val="00122EE7"/>
    <w:rsid w:val="001230A0"/>
    <w:rsid w:val="00123FC4"/>
    <w:rsid w:val="00124A67"/>
    <w:rsid w:val="00124ACF"/>
    <w:rsid w:val="0012542B"/>
    <w:rsid w:val="0012544D"/>
    <w:rsid w:val="00125CC1"/>
    <w:rsid w:val="00125DA0"/>
    <w:rsid w:val="00126368"/>
    <w:rsid w:val="00126380"/>
    <w:rsid w:val="00126E98"/>
    <w:rsid w:val="00127066"/>
    <w:rsid w:val="001271C9"/>
    <w:rsid w:val="001271DC"/>
    <w:rsid w:val="00127C66"/>
    <w:rsid w:val="001302FE"/>
    <w:rsid w:val="001308B5"/>
    <w:rsid w:val="001310F1"/>
    <w:rsid w:val="0013124E"/>
    <w:rsid w:val="001318E2"/>
    <w:rsid w:val="00131FE5"/>
    <w:rsid w:val="00132479"/>
    <w:rsid w:val="00132932"/>
    <w:rsid w:val="00132D7D"/>
    <w:rsid w:val="00132D9D"/>
    <w:rsid w:val="00132E9B"/>
    <w:rsid w:val="00133E50"/>
    <w:rsid w:val="0013413B"/>
    <w:rsid w:val="001341FA"/>
    <w:rsid w:val="00134598"/>
    <w:rsid w:val="00136281"/>
    <w:rsid w:val="00136629"/>
    <w:rsid w:val="001366BE"/>
    <w:rsid w:val="00136773"/>
    <w:rsid w:val="0013691A"/>
    <w:rsid w:val="00136F58"/>
    <w:rsid w:val="00137647"/>
    <w:rsid w:val="00137685"/>
    <w:rsid w:val="0014006B"/>
    <w:rsid w:val="00140AA1"/>
    <w:rsid w:val="00140C79"/>
    <w:rsid w:val="00141ED6"/>
    <w:rsid w:val="0014249C"/>
    <w:rsid w:val="00142B63"/>
    <w:rsid w:val="001430D8"/>
    <w:rsid w:val="00143494"/>
    <w:rsid w:val="0014360F"/>
    <w:rsid w:val="00143BF0"/>
    <w:rsid w:val="001441C9"/>
    <w:rsid w:val="00144502"/>
    <w:rsid w:val="00145B19"/>
    <w:rsid w:val="00145C2C"/>
    <w:rsid w:val="00146187"/>
    <w:rsid w:val="0014654F"/>
    <w:rsid w:val="00146983"/>
    <w:rsid w:val="00147232"/>
    <w:rsid w:val="00147760"/>
    <w:rsid w:val="001501E4"/>
    <w:rsid w:val="00150B31"/>
    <w:rsid w:val="00150B34"/>
    <w:rsid w:val="00150DC0"/>
    <w:rsid w:val="001513DA"/>
    <w:rsid w:val="0015453C"/>
    <w:rsid w:val="001553CF"/>
    <w:rsid w:val="00156B70"/>
    <w:rsid w:val="00156C17"/>
    <w:rsid w:val="001611A0"/>
    <w:rsid w:val="001611F4"/>
    <w:rsid w:val="00161666"/>
    <w:rsid w:val="001618AD"/>
    <w:rsid w:val="00161AD1"/>
    <w:rsid w:val="00162339"/>
    <w:rsid w:val="00162D36"/>
    <w:rsid w:val="00162E51"/>
    <w:rsid w:val="0016313E"/>
    <w:rsid w:val="0016315A"/>
    <w:rsid w:val="00163396"/>
    <w:rsid w:val="00163CD3"/>
    <w:rsid w:val="00163F7E"/>
    <w:rsid w:val="00164948"/>
    <w:rsid w:val="00166108"/>
    <w:rsid w:val="001663F3"/>
    <w:rsid w:val="001665F8"/>
    <w:rsid w:val="0016692D"/>
    <w:rsid w:val="0017009C"/>
    <w:rsid w:val="00170243"/>
    <w:rsid w:val="00170727"/>
    <w:rsid w:val="001710B6"/>
    <w:rsid w:val="0017174E"/>
    <w:rsid w:val="0017197C"/>
    <w:rsid w:val="001719E5"/>
    <w:rsid w:val="00171C07"/>
    <w:rsid w:val="00171C34"/>
    <w:rsid w:val="00171CDF"/>
    <w:rsid w:val="00173A54"/>
    <w:rsid w:val="00173A9E"/>
    <w:rsid w:val="00173F05"/>
    <w:rsid w:val="00173FA9"/>
    <w:rsid w:val="00173FB7"/>
    <w:rsid w:val="001743F9"/>
    <w:rsid w:val="00174BB2"/>
    <w:rsid w:val="0017538D"/>
    <w:rsid w:val="001758C9"/>
    <w:rsid w:val="001761AF"/>
    <w:rsid w:val="00177137"/>
    <w:rsid w:val="0017752F"/>
    <w:rsid w:val="001806B2"/>
    <w:rsid w:val="001820F9"/>
    <w:rsid w:val="00182918"/>
    <w:rsid w:val="001832EB"/>
    <w:rsid w:val="00183607"/>
    <w:rsid w:val="001837DD"/>
    <w:rsid w:val="0018385A"/>
    <w:rsid w:val="00183D3F"/>
    <w:rsid w:val="0018413D"/>
    <w:rsid w:val="0018490A"/>
    <w:rsid w:val="00184FE6"/>
    <w:rsid w:val="0018587D"/>
    <w:rsid w:val="00185CA6"/>
    <w:rsid w:val="0018624A"/>
    <w:rsid w:val="001871C9"/>
    <w:rsid w:val="0018729D"/>
    <w:rsid w:val="0018767E"/>
    <w:rsid w:val="00187FF9"/>
    <w:rsid w:val="00190C26"/>
    <w:rsid w:val="0019175D"/>
    <w:rsid w:val="00192172"/>
    <w:rsid w:val="00193275"/>
    <w:rsid w:val="00193528"/>
    <w:rsid w:val="001938A0"/>
    <w:rsid w:val="00193DA9"/>
    <w:rsid w:val="00193F29"/>
    <w:rsid w:val="001941B1"/>
    <w:rsid w:val="0019458A"/>
    <w:rsid w:val="00195D14"/>
    <w:rsid w:val="00195EDB"/>
    <w:rsid w:val="0019680C"/>
    <w:rsid w:val="00196C86"/>
    <w:rsid w:val="00196D0A"/>
    <w:rsid w:val="001979E0"/>
    <w:rsid w:val="00197AF2"/>
    <w:rsid w:val="00197C32"/>
    <w:rsid w:val="001A0816"/>
    <w:rsid w:val="001A088C"/>
    <w:rsid w:val="001A0DA6"/>
    <w:rsid w:val="001A13F2"/>
    <w:rsid w:val="001A1585"/>
    <w:rsid w:val="001A1F06"/>
    <w:rsid w:val="001A2164"/>
    <w:rsid w:val="001A27F3"/>
    <w:rsid w:val="001A2C83"/>
    <w:rsid w:val="001A3247"/>
    <w:rsid w:val="001A3A39"/>
    <w:rsid w:val="001A3C0C"/>
    <w:rsid w:val="001A3FAC"/>
    <w:rsid w:val="001A4C97"/>
    <w:rsid w:val="001A5018"/>
    <w:rsid w:val="001A5376"/>
    <w:rsid w:val="001A5DC5"/>
    <w:rsid w:val="001A6EFA"/>
    <w:rsid w:val="001A7BEB"/>
    <w:rsid w:val="001A7E2D"/>
    <w:rsid w:val="001B00B5"/>
    <w:rsid w:val="001B0328"/>
    <w:rsid w:val="001B04EB"/>
    <w:rsid w:val="001B0A5B"/>
    <w:rsid w:val="001B1B6F"/>
    <w:rsid w:val="001B2830"/>
    <w:rsid w:val="001B2918"/>
    <w:rsid w:val="001B3332"/>
    <w:rsid w:val="001B38D6"/>
    <w:rsid w:val="001B3B92"/>
    <w:rsid w:val="001B3C1A"/>
    <w:rsid w:val="001B45CE"/>
    <w:rsid w:val="001B4778"/>
    <w:rsid w:val="001B4805"/>
    <w:rsid w:val="001B4F97"/>
    <w:rsid w:val="001B50CE"/>
    <w:rsid w:val="001B5207"/>
    <w:rsid w:val="001B53E8"/>
    <w:rsid w:val="001B5AA6"/>
    <w:rsid w:val="001B5BE8"/>
    <w:rsid w:val="001B5CE7"/>
    <w:rsid w:val="001B5FA8"/>
    <w:rsid w:val="001B6941"/>
    <w:rsid w:val="001B7241"/>
    <w:rsid w:val="001B7F4A"/>
    <w:rsid w:val="001C010D"/>
    <w:rsid w:val="001C0658"/>
    <w:rsid w:val="001C0AD6"/>
    <w:rsid w:val="001C0F98"/>
    <w:rsid w:val="001C1129"/>
    <w:rsid w:val="001C14A8"/>
    <w:rsid w:val="001C1944"/>
    <w:rsid w:val="001C1C89"/>
    <w:rsid w:val="001C27C7"/>
    <w:rsid w:val="001C28C3"/>
    <w:rsid w:val="001C2AB2"/>
    <w:rsid w:val="001C2B03"/>
    <w:rsid w:val="001C2E4C"/>
    <w:rsid w:val="001C364C"/>
    <w:rsid w:val="001C3940"/>
    <w:rsid w:val="001C3CAC"/>
    <w:rsid w:val="001C468C"/>
    <w:rsid w:val="001C5038"/>
    <w:rsid w:val="001C52AE"/>
    <w:rsid w:val="001C53EB"/>
    <w:rsid w:val="001C5B95"/>
    <w:rsid w:val="001C607E"/>
    <w:rsid w:val="001C6CE6"/>
    <w:rsid w:val="001D024C"/>
    <w:rsid w:val="001D07AE"/>
    <w:rsid w:val="001D2360"/>
    <w:rsid w:val="001D236A"/>
    <w:rsid w:val="001D25AD"/>
    <w:rsid w:val="001D2896"/>
    <w:rsid w:val="001D2A9A"/>
    <w:rsid w:val="001D3A9B"/>
    <w:rsid w:val="001D3CE1"/>
    <w:rsid w:val="001D3E94"/>
    <w:rsid w:val="001D4A16"/>
    <w:rsid w:val="001D4ED9"/>
    <w:rsid w:val="001D531D"/>
    <w:rsid w:val="001D56F6"/>
    <w:rsid w:val="001D7703"/>
    <w:rsid w:val="001E0515"/>
    <w:rsid w:val="001E0528"/>
    <w:rsid w:val="001E0C22"/>
    <w:rsid w:val="001E12D8"/>
    <w:rsid w:val="001E1DB2"/>
    <w:rsid w:val="001E3123"/>
    <w:rsid w:val="001E3473"/>
    <w:rsid w:val="001E3C00"/>
    <w:rsid w:val="001E4412"/>
    <w:rsid w:val="001E6DE6"/>
    <w:rsid w:val="001E7394"/>
    <w:rsid w:val="001E73BD"/>
    <w:rsid w:val="001E74BC"/>
    <w:rsid w:val="001E7805"/>
    <w:rsid w:val="001F03BF"/>
    <w:rsid w:val="001F166A"/>
    <w:rsid w:val="001F17DE"/>
    <w:rsid w:val="001F2009"/>
    <w:rsid w:val="001F29CD"/>
    <w:rsid w:val="001F34B5"/>
    <w:rsid w:val="001F3B41"/>
    <w:rsid w:val="001F3C7A"/>
    <w:rsid w:val="001F3CAA"/>
    <w:rsid w:val="001F464C"/>
    <w:rsid w:val="001F50F2"/>
    <w:rsid w:val="001F56FC"/>
    <w:rsid w:val="001F5EF6"/>
    <w:rsid w:val="001F69BC"/>
    <w:rsid w:val="001F6DD9"/>
    <w:rsid w:val="002000A1"/>
    <w:rsid w:val="002015D6"/>
    <w:rsid w:val="00201D38"/>
    <w:rsid w:val="00202137"/>
    <w:rsid w:val="00202574"/>
    <w:rsid w:val="002026E2"/>
    <w:rsid w:val="00202F67"/>
    <w:rsid w:val="002033B4"/>
    <w:rsid w:val="002042C6"/>
    <w:rsid w:val="00204532"/>
    <w:rsid w:val="0020486A"/>
    <w:rsid w:val="00204980"/>
    <w:rsid w:val="00204B77"/>
    <w:rsid w:val="002054E8"/>
    <w:rsid w:val="00205A9F"/>
    <w:rsid w:val="00205B55"/>
    <w:rsid w:val="002064A5"/>
    <w:rsid w:val="002073F1"/>
    <w:rsid w:val="00207F52"/>
    <w:rsid w:val="00210F59"/>
    <w:rsid w:val="00210FEE"/>
    <w:rsid w:val="00211202"/>
    <w:rsid w:val="0021185B"/>
    <w:rsid w:val="00214495"/>
    <w:rsid w:val="002151C1"/>
    <w:rsid w:val="00216507"/>
    <w:rsid w:val="00216A37"/>
    <w:rsid w:val="002176B9"/>
    <w:rsid w:val="00220459"/>
    <w:rsid w:val="00221F70"/>
    <w:rsid w:val="0022300C"/>
    <w:rsid w:val="00224132"/>
    <w:rsid w:val="002241EB"/>
    <w:rsid w:val="00224223"/>
    <w:rsid w:val="00224D2A"/>
    <w:rsid w:val="00224D5E"/>
    <w:rsid w:val="00226552"/>
    <w:rsid w:val="002265DD"/>
    <w:rsid w:val="0022695E"/>
    <w:rsid w:val="00226D48"/>
    <w:rsid w:val="00226E59"/>
    <w:rsid w:val="00227F9B"/>
    <w:rsid w:val="00230620"/>
    <w:rsid w:val="002306FE"/>
    <w:rsid w:val="0023071F"/>
    <w:rsid w:val="002310E1"/>
    <w:rsid w:val="00231831"/>
    <w:rsid w:val="002319CA"/>
    <w:rsid w:val="00231E59"/>
    <w:rsid w:val="002320FB"/>
    <w:rsid w:val="00232608"/>
    <w:rsid w:val="002336C9"/>
    <w:rsid w:val="00233E67"/>
    <w:rsid w:val="002348B3"/>
    <w:rsid w:val="00235735"/>
    <w:rsid w:val="00235FE6"/>
    <w:rsid w:val="0023675E"/>
    <w:rsid w:val="00236A67"/>
    <w:rsid w:val="00237FFA"/>
    <w:rsid w:val="0024035D"/>
    <w:rsid w:val="00240BD1"/>
    <w:rsid w:val="00240E57"/>
    <w:rsid w:val="00240EF7"/>
    <w:rsid w:val="00241D54"/>
    <w:rsid w:val="0024221E"/>
    <w:rsid w:val="0024299C"/>
    <w:rsid w:val="00242D6B"/>
    <w:rsid w:val="00242F61"/>
    <w:rsid w:val="002430BC"/>
    <w:rsid w:val="002432AA"/>
    <w:rsid w:val="00243D32"/>
    <w:rsid w:val="00244F26"/>
    <w:rsid w:val="0024548C"/>
    <w:rsid w:val="00245666"/>
    <w:rsid w:val="0024680F"/>
    <w:rsid w:val="00246D6E"/>
    <w:rsid w:val="00250028"/>
    <w:rsid w:val="002500DA"/>
    <w:rsid w:val="0025010C"/>
    <w:rsid w:val="00250366"/>
    <w:rsid w:val="00250402"/>
    <w:rsid w:val="00250667"/>
    <w:rsid w:val="00250C89"/>
    <w:rsid w:val="00251850"/>
    <w:rsid w:val="00252A78"/>
    <w:rsid w:val="00253AE9"/>
    <w:rsid w:val="0025452D"/>
    <w:rsid w:val="00254B18"/>
    <w:rsid w:val="00254FFD"/>
    <w:rsid w:val="00255378"/>
    <w:rsid w:val="00255437"/>
    <w:rsid w:val="00255ADF"/>
    <w:rsid w:val="00255F8D"/>
    <w:rsid w:val="00256EC9"/>
    <w:rsid w:val="00257225"/>
    <w:rsid w:val="002572DF"/>
    <w:rsid w:val="00257469"/>
    <w:rsid w:val="00257614"/>
    <w:rsid w:val="00257C19"/>
    <w:rsid w:val="002603D3"/>
    <w:rsid w:val="002610B7"/>
    <w:rsid w:val="0026117E"/>
    <w:rsid w:val="00262B4D"/>
    <w:rsid w:val="00263D2B"/>
    <w:rsid w:val="00263DB0"/>
    <w:rsid w:val="002640FB"/>
    <w:rsid w:val="00264370"/>
    <w:rsid w:val="00264449"/>
    <w:rsid w:val="00264A9F"/>
    <w:rsid w:val="00264EF3"/>
    <w:rsid w:val="002655E0"/>
    <w:rsid w:val="0026590C"/>
    <w:rsid w:val="00265B19"/>
    <w:rsid w:val="00265B37"/>
    <w:rsid w:val="00265C0B"/>
    <w:rsid w:val="00266121"/>
    <w:rsid w:val="002662B0"/>
    <w:rsid w:val="002662E4"/>
    <w:rsid w:val="002666E0"/>
    <w:rsid w:val="002669A3"/>
    <w:rsid w:val="00266D7F"/>
    <w:rsid w:val="00266F9E"/>
    <w:rsid w:val="00267A08"/>
    <w:rsid w:val="00267A34"/>
    <w:rsid w:val="00267AFE"/>
    <w:rsid w:val="002706FE"/>
    <w:rsid w:val="00270865"/>
    <w:rsid w:val="00270BDB"/>
    <w:rsid w:val="00270EBA"/>
    <w:rsid w:val="002710EF"/>
    <w:rsid w:val="00271512"/>
    <w:rsid w:val="002718E8"/>
    <w:rsid w:val="002728A9"/>
    <w:rsid w:val="00272A97"/>
    <w:rsid w:val="00272DDF"/>
    <w:rsid w:val="002731A7"/>
    <w:rsid w:val="00273CBA"/>
    <w:rsid w:val="002741A9"/>
    <w:rsid w:val="00274286"/>
    <w:rsid w:val="002747E8"/>
    <w:rsid w:val="002752B5"/>
    <w:rsid w:val="002757BF"/>
    <w:rsid w:val="002758DF"/>
    <w:rsid w:val="00275C64"/>
    <w:rsid w:val="00275F4E"/>
    <w:rsid w:val="0027605D"/>
    <w:rsid w:val="00276092"/>
    <w:rsid w:val="002762EC"/>
    <w:rsid w:val="002765E8"/>
    <w:rsid w:val="00276C89"/>
    <w:rsid w:val="0027780E"/>
    <w:rsid w:val="002779C0"/>
    <w:rsid w:val="0028000F"/>
    <w:rsid w:val="00280262"/>
    <w:rsid w:val="00280319"/>
    <w:rsid w:val="002808F7"/>
    <w:rsid w:val="00280CA3"/>
    <w:rsid w:val="00280DB1"/>
    <w:rsid w:val="002818B0"/>
    <w:rsid w:val="00281A8D"/>
    <w:rsid w:val="00282900"/>
    <w:rsid w:val="00282CB6"/>
    <w:rsid w:val="00282E9A"/>
    <w:rsid w:val="00283922"/>
    <w:rsid w:val="00283A1D"/>
    <w:rsid w:val="00283B63"/>
    <w:rsid w:val="00284749"/>
    <w:rsid w:val="00284A9F"/>
    <w:rsid w:val="00285DD0"/>
    <w:rsid w:val="0028600D"/>
    <w:rsid w:val="00286407"/>
    <w:rsid w:val="002864C2"/>
    <w:rsid w:val="002867CF"/>
    <w:rsid w:val="00286A19"/>
    <w:rsid w:val="00286EE4"/>
    <w:rsid w:val="0028747F"/>
    <w:rsid w:val="00290311"/>
    <w:rsid w:val="00290844"/>
    <w:rsid w:val="002914BB"/>
    <w:rsid w:val="00291650"/>
    <w:rsid w:val="00291A1B"/>
    <w:rsid w:val="00292668"/>
    <w:rsid w:val="002926DE"/>
    <w:rsid w:val="00292DB4"/>
    <w:rsid w:val="002938EC"/>
    <w:rsid w:val="00294121"/>
    <w:rsid w:val="00294A5E"/>
    <w:rsid w:val="002951E2"/>
    <w:rsid w:val="0029589E"/>
    <w:rsid w:val="002961CB"/>
    <w:rsid w:val="002966B7"/>
    <w:rsid w:val="002A02AD"/>
    <w:rsid w:val="002A0358"/>
    <w:rsid w:val="002A0976"/>
    <w:rsid w:val="002A12D4"/>
    <w:rsid w:val="002A1537"/>
    <w:rsid w:val="002A1DE6"/>
    <w:rsid w:val="002A2D62"/>
    <w:rsid w:val="002A2EE0"/>
    <w:rsid w:val="002A3199"/>
    <w:rsid w:val="002A33BA"/>
    <w:rsid w:val="002A44A2"/>
    <w:rsid w:val="002A4BF8"/>
    <w:rsid w:val="002A51B5"/>
    <w:rsid w:val="002A595B"/>
    <w:rsid w:val="002A6585"/>
    <w:rsid w:val="002A6BA3"/>
    <w:rsid w:val="002A7868"/>
    <w:rsid w:val="002B0398"/>
    <w:rsid w:val="002B0439"/>
    <w:rsid w:val="002B0F43"/>
    <w:rsid w:val="002B1E7B"/>
    <w:rsid w:val="002B21A4"/>
    <w:rsid w:val="002B22B2"/>
    <w:rsid w:val="002B39CD"/>
    <w:rsid w:val="002B3CD9"/>
    <w:rsid w:val="002B5602"/>
    <w:rsid w:val="002B6BA6"/>
    <w:rsid w:val="002B71E8"/>
    <w:rsid w:val="002B71FF"/>
    <w:rsid w:val="002B742A"/>
    <w:rsid w:val="002C0002"/>
    <w:rsid w:val="002C03E3"/>
    <w:rsid w:val="002C0791"/>
    <w:rsid w:val="002C09B1"/>
    <w:rsid w:val="002C0E4B"/>
    <w:rsid w:val="002C232A"/>
    <w:rsid w:val="002C2550"/>
    <w:rsid w:val="002C332E"/>
    <w:rsid w:val="002C37A9"/>
    <w:rsid w:val="002C392B"/>
    <w:rsid w:val="002C3E8B"/>
    <w:rsid w:val="002C482F"/>
    <w:rsid w:val="002C4A70"/>
    <w:rsid w:val="002C4F2E"/>
    <w:rsid w:val="002C55C3"/>
    <w:rsid w:val="002C62E5"/>
    <w:rsid w:val="002C63F3"/>
    <w:rsid w:val="002C6DEA"/>
    <w:rsid w:val="002C70D7"/>
    <w:rsid w:val="002C72A4"/>
    <w:rsid w:val="002C7516"/>
    <w:rsid w:val="002C7542"/>
    <w:rsid w:val="002D0123"/>
    <w:rsid w:val="002D022B"/>
    <w:rsid w:val="002D1BCF"/>
    <w:rsid w:val="002D1CBA"/>
    <w:rsid w:val="002D2381"/>
    <w:rsid w:val="002D23F7"/>
    <w:rsid w:val="002D2730"/>
    <w:rsid w:val="002D27A6"/>
    <w:rsid w:val="002D2C35"/>
    <w:rsid w:val="002D305B"/>
    <w:rsid w:val="002D3190"/>
    <w:rsid w:val="002D3AEF"/>
    <w:rsid w:val="002D3CDA"/>
    <w:rsid w:val="002D3D11"/>
    <w:rsid w:val="002D5D57"/>
    <w:rsid w:val="002D642F"/>
    <w:rsid w:val="002D685D"/>
    <w:rsid w:val="002D68A0"/>
    <w:rsid w:val="002D696E"/>
    <w:rsid w:val="002D6A8D"/>
    <w:rsid w:val="002D6FAB"/>
    <w:rsid w:val="002D7348"/>
    <w:rsid w:val="002D7DDD"/>
    <w:rsid w:val="002E00E5"/>
    <w:rsid w:val="002E094E"/>
    <w:rsid w:val="002E0E57"/>
    <w:rsid w:val="002E12FD"/>
    <w:rsid w:val="002E176B"/>
    <w:rsid w:val="002E19CF"/>
    <w:rsid w:val="002E19FD"/>
    <w:rsid w:val="002E1A5D"/>
    <w:rsid w:val="002E2179"/>
    <w:rsid w:val="002E21A0"/>
    <w:rsid w:val="002E3504"/>
    <w:rsid w:val="002E3624"/>
    <w:rsid w:val="002E3A01"/>
    <w:rsid w:val="002E4375"/>
    <w:rsid w:val="002E5151"/>
    <w:rsid w:val="002E52A3"/>
    <w:rsid w:val="002E546E"/>
    <w:rsid w:val="002E549B"/>
    <w:rsid w:val="002E55F5"/>
    <w:rsid w:val="002E600B"/>
    <w:rsid w:val="002E6793"/>
    <w:rsid w:val="002F0399"/>
    <w:rsid w:val="002F0825"/>
    <w:rsid w:val="002F1869"/>
    <w:rsid w:val="002F1DC6"/>
    <w:rsid w:val="002F259A"/>
    <w:rsid w:val="002F2A74"/>
    <w:rsid w:val="002F2BB9"/>
    <w:rsid w:val="002F334D"/>
    <w:rsid w:val="002F3D47"/>
    <w:rsid w:val="002F4472"/>
    <w:rsid w:val="002F4700"/>
    <w:rsid w:val="002F4997"/>
    <w:rsid w:val="002F533F"/>
    <w:rsid w:val="002F53F0"/>
    <w:rsid w:val="002F59CA"/>
    <w:rsid w:val="002F613F"/>
    <w:rsid w:val="002F629E"/>
    <w:rsid w:val="002F65D2"/>
    <w:rsid w:val="002F6947"/>
    <w:rsid w:val="002F69F1"/>
    <w:rsid w:val="002F6CDC"/>
    <w:rsid w:val="002F72A9"/>
    <w:rsid w:val="002F7CDD"/>
    <w:rsid w:val="003011E5"/>
    <w:rsid w:val="003012A3"/>
    <w:rsid w:val="00301CAF"/>
    <w:rsid w:val="00303362"/>
    <w:rsid w:val="0030422F"/>
    <w:rsid w:val="00304609"/>
    <w:rsid w:val="00304A46"/>
    <w:rsid w:val="00304F50"/>
    <w:rsid w:val="00305707"/>
    <w:rsid w:val="00305AAE"/>
    <w:rsid w:val="00305C47"/>
    <w:rsid w:val="00305FB6"/>
    <w:rsid w:val="0030635B"/>
    <w:rsid w:val="003068F4"/>
    <w:rsid w:val="00307A91"/>
    <w:rsid w:val="00310009"/>
    <w:rsid w:val="00310142"/>
    <w:rsid w:val="0031126B"/>
    <w:rsid w:val="00311AD8"/>
    <w:rsid w:val="00311B37"/>
    <w:rsid w:val="00311E17"/>
    <w:rsid w:val="00312143"/>
    <w:rsid w:val="00312578"/>
    <w:rsid w:val="00312EC8"/>
    <w:rsid w:val="00313231"/>
    <w:rsid w:val="00313ACA"/>
    <w:rsid w:val="0031409C"/>
    <w:rsid w:val="00314155"/>
    <w:rsid w:val="003142A4"/>
    <w:rsid w:val="00314D74"/>
    <w:rsid w:val="0031585C"/>
    <w:rsid w:val="00316516"/>
    <w:rsid w:val="00316871"/>
    <w:rsid w:val="00316AEB"/>
    <w:rsid w:val="0031775C"/>
    <w:rsid w:val="00317DA4"/>
    <w:rsid w:val="00320BA4"/>
    <w:rsid w:val="00321040"/>
    <w:rsid w:val="003213B1"/>
    <w:rsid w:val="003215BE"/>
    <w:rsid w:val="00321BB5"/>
    <w:rsid w:val="003228A2"/>
    <w:rsid w:val="00322DE2"/>
    <w:rsid w:val="0032379B"/>
    <w:rsid w:val="00324069"/>
    <w:rsid w:val="0032424B"/>
    <w:rsid w:val="0032429D"/>
    <w:rsid w:val="00324B67"/>
    <w:rsid w:val="00325C77"/>
    <w:rsid w:val="00325E64"/>
    <w:rsid w:val="00326DE8"/>
    <w:rsid w:val="00326E02"/>
    <w:rsid w:val="00327512"/>
    <w:rsid w:val="00330138"/>
    <w:rsid w:val="00330F36"/>
    <w:rsid w:val="003311D1"/>
    <w:rsid w:val="003316A6"/>
    <w:rsid w:val="0033187C"/>
    <w:rsid w:val="00331D1A"/>
    <w:rsid w:val="003323E7"/>
    <w:rsid w:val="00332965"/>
    <w:rsid w:val="00332F36"/>
    <w:rsid w:val="003333A4"/>
    <w:rsid w:val="003333C8"/>
    <w:rsid w:val="00334125"/>
    <w:rsid w:val="00334635"/>
    <w:rsid w:val="003346C8"/>
    <w:rsid w:val="00334AF6"/>
    <w:rsid w:val="00335FAF"/>
    <w:rsid w:val="003371E5"/>
    <w:rsid w:val="00340874"/>
    <w:rsid w:val="00340A94"/>
    <w:rsid w:val="00340B79"/>
    <w:rsid w:val="00340FC4"/>
    <w:rsid w:val="003412D4"/>
    <w:rsid w:val="00341325"/>
    <w:rsid w:val="003414E8"/>
    <w:rsid w:val="00341653"/>
    <w:rsid w:val="0034178F"/>
    <w:rsid w:val="0034193A"/>
    <w:rsid w:val="003419BF"/>
    <w:rsid w:val="003419D0"/>
    <w:rsid w:val="00341FD7"/>
    <w:rsid w:val="00342D80"/>
    <w:rsid w:val="003431D1"/>
    <w:rsid w:val="003436A4"/>
    <w:rsid w:val="00343767"/>
    <w:rsid w:val="00343A15"/>
    <w:rsid w:val="003445CC"/>
    <w:rsid w:val="00344AF4"/>
    <w:rsid w:val="00344EB9"/>
    <w:rsid w:val="003450F8"/>
    <w:rsid w:val="00345510"/>
    <w:rsid w:val="003458DE"/>
    <w:rsid w:val="003458E6"/>
    <w:rsid w:val="00345C96"/>
    <w:rsid w:val="003466F2"/>
    <w:rsid w:val="00346970"/>
    <w:rsid w:val="00346CDF"/>
    <w:rsid w:val="00346E85"/>
    <w:rsid w:val="00347173"/>
    <w:rsid w:val="00350562"/>
    <w:rsid w:val="003507B0"/>
    <w:rsid w:val="00350C6D"/>
    <w:rsid w:val="00350D55"/>
    <w:rsid w:val="003511F6"/>
    <w:rsid w:val="00351CF8"/>
    <w:rsid w:val="00352664"/>
    <w:rsid w:val="0035267B"/>
    <w:rsid w:val="00352D78"/>
    <w:rsid w:val="00353487"/>
    <w:rsid w:val="0035359C"/>
    <w:rsid w:val="00353A66"/>
    <w:rsid w:val="00353DF0"/>
    <w:rsid w:val="00353F94"/>
    <w:rsid w:val="0035422C"/>
    <w:rsid w:val="003542A5"/>
    <w:rsid w:val="003559A9"/>
    <w:rsid w:val="00355B86"/>
    <w:rsid w:val="00356059"/>
    <w:rsid w:val="00356433"/>
    <w:rsid w:val="003564CF"/>
    <w:rsid w:val="00356F50"/>
    <w:rsid w:val="00357EB3"/>
    <w:rsid w:val="0036059F"/>
    <w:rsid w:val="003614B4"/>
    <w:rsid w:val="00361E0E"/>
    <w:rsid w:val="003628EB"/>
    <w:rsid w:val="00362D58"/>
    <w:rsid w:val="00362DAD"/>
    <w:rsid w:val="00363192"/>
    <w:rsid w:val="0036375A"/>
    <w:rsid w:val="00363B2A"/>
    <w:rsid w:val="00363CC9"/>
    <w:rsid w:val="00363DAD"/>
    <w:rsid w:val="003651CB"/>
    <w:rsid w:val="00365210"/>
    <w:rsid w:val="00366A00"/>
    <w:rsid w:val="00367B61"/>
    <w:rsid w:val="003701DE"/>
    <w:rsid w:val="00370BD1"/>
    <w:rsid w:val="00371979"/>
    <w:rsid w:val="00371A23"/>
    <w:rsid w:val="00371B55"/>
    <w:rsid w:val="00371DA7"/>
    <w:rsid w:val="00371E00"/>
    <w:rsid w:val="0037208A"/>
    <w:rsid w:val="00372EAA"/>
    <w:rsid w:val="003735CB"/>
    <w:rsid w:val="00373861"/>
    <w:rsid w:val="003741D4"/>
    <w:rsid w:val="00374263"/>
    <w:rsid w:val="003742BC"/>
    <w:rsid w:val="00374532"/>
    <w:rsid w:val="00374D8C"/>
    <w:rsid w:val="0037557A"/>
    <w:rsid w:val="00375832"/>
    <w:rsid w:val="00375FFA"/>
    <w:rsid w:val="00376309"/>
    <w:rsid w:val="00376B99"/>
    <w:rsid w:val="00376F92"/>
    <w:rsid w:val="003775BC"/>
    <w:rsid w:val="003777F0"/>
    <w:rsid w:val="00377B58"/>
    <w:rsid w:val="003802D2"/>
    <w:rsid w:val="0038037C"/>
    <w:rsid w:val="003818FA"/>
    <w:rsid w:val="00381A6B"/>
    <w:rsid w:val="00381E33"/>
    <w:rsid w:val="00382463"/>
    <w:rsid w:val="00382BA1"/>
    <w:rsid w:val="00382CC0"/>
    <w:rsid w:val="00382DF0"/>
    <w:rsid w:val="003833C8"/>
    <w:rsid w:val="003834D8"/>
    <w:rsid w:val="00383733"/>
    <w:rsid w:val="00383B92"/>
    <w:rsid w:val="00383CAB"/>
    <w:rsid w:val="00384975"/>
    <w:rsid w:val="0038503C"/>
    <w:rsid w:val="003853E1"/>
    <w:rsid w:val="0038552A"/>
    <w:rsid w:val="00385BEA"/>
    <w:rsid w:val="00386C0A"/>
    <w:rsid w:val="00386CCE"/>
    <w:rsid w:val="00387AE5"/>
    <w:rsid w:val="00387B78"/>
    <w:rsid w:val="003904E7"/>
    <w:rsid w:val="00390807"/>
    <w:rsid w:val="003909E2"/>
    <w:rsid w:val="00391100"/>
    <w:rsid w:val="00391755"/>
    <w:rsid w:val="003919A7"/>
    <w:rsid w:val="00391C41"/>
    <w:rsid w:val="00392910"/>
    <w:rsid w:val="00392A4B"/>
    <w:rsid w:val="003931A4"/>
    <w:rsid w:val="00394380"/>
    <w:rsid w:val="00394443"/>
    <w:rsid w:val="003948B0"/>
    <w:rsid w:val="00395171"/>
    <w:rsid w:val="00395889"/>
    <w:rsid w:val="0039697A"/>
    <w:rsid w:val="003970B8"/>
    <w:rsid w:val="003971C1"/>
    <w:rsid w:val="0039799D"/>
    <w:rsid w:val="003A040C"/>
    <w:rsid w:val="003A04B2"/>
    <w:rsid w:val="003A0CA4"/>
    <w:rsid w:val="003A0FA1"/>
    <w:rsid w:val="003A18DC"/>
    <w:rsid w:val="003A1C93"/>
    <w:rsid w:val="003A1CF0"/>
    <w:rsid w:val="003A212B"/>
    <w:rsid w:val="003A2B7A"/>
    <w:rsid w:val="003A2C09"/>
    <w:rsid w:val="003A3704"/>
    <w:rsid w:val="003A397C"/>
    <w:rsid w:val="003A39D7"/>
    <w:rsid w:val="003A3D58"/>
    <w:rsid w:val="003A46A6"/>
    <w:rsid w:val="003A4CFB"/>
    <w:rsid w:val="003A4F8C"/>
    <w:rsid w:val="003A531E"/>
    <w:rsid w:val="003A6EB4"/>
    <w:rsid w:val="003A6FFB"/>
    <w:rsid w:val="003A72AD"/>
    <w:rsid w:val="003A7F77"/>
    <w:rsid w:val="003B040D"/>
    <w:rsid w:val="003B1C7D"/>
    <w:rsid w:val="003B2754"/>
    <w:rsid w:val="003B295D"/>
    <w:rsid w:val="003B2C85"/>
    <w:rsid w:val="003B2D10"/>
    <w:rsid w:val="003B3D47"/>
    <w:rsid w:val="003B5123"/>
    <w:rsid w:val="003B51EE"/>
    <w:rsid w:val="003B5595"/>
    <w:rsid w:val="003B59F8"/>
    <w:rsid w:val="003B5CEA"/>
    <w:rsid w:val="003B614F"/>
    <w:rsid w:val="003B6BC1"/>
    <w:rsid w:val="003B6E07"/>
    <w:rsid w:val="003B73B5"/>
    <w:rsid w:val="003B73C3"/>
    <w:rsid w:val="003C00CC"/>
    <w:rsid w:val="003C010D"/>
    <w:rsid w:val="003C021A"/>
    <w:rsid w:val="003C075E"/>
    <w:rsid w:val="003C140D"/>
    <w:rsid w:val="003C14F1"/>
    <w:rsid w:val="003C16CD"/>
    <w:rsid w:val="003C1F94"/>
    <w:rsid w:val="003C267E"/>
    <w:rsid w:val="003C33AD"/>
    <w:rsid w:val="003C36B2"/>
    <w:rsid w:val="003C38F2"/>
    <w:rsid w:val="003C3987"/>
    <w:rsid w:val="003C3C24"/>
    <w:rsid w:val="003C47E3"/>
    <w:rsid w:val="003C570E"/>
    <w:rsid w:val="003C5725"/>
    <w:rsid w:val="003C57F6"/>
    <w:rsid w:val="003C6364"/>
    <w:rsid w:val="003C64E7"/>
    <w:rsid w:val="003C75B6"/>
    <w:rsid w:val="003C7B8E"/>
    <w:rsid w:val="003C7BB9"/>
    <w:rsid w:val="003C7BDE"/>
    <w:rsid w:val="003C7DD1"/>
    <w:rsid w:val="003D01EC"/>
    <w:rsid w:val="003D07A5"/>
    <w:rsid w:val="003D09A4"/>
    <w:rsid w:val="003D0C72"/>
    <w:rsid w:val="003D16C2"/>
    <w:rsid w:val="003D21AB"/>
    <w:rsid w:val="003D22E7"/>
    <w:rsid w:val="003D2856"/>
    <w:rsid w:val="003D28FD"/>
    <w:rsid w:val="003D35AA"/>
    <w:rsid w:val="003D3BB7"/>
    <w:rsid w:val="003D425A"/>
    <w:rsid w:val="003D45A7"/>
    <w:rsid w:val="003D4914"/>
    <w:rsid w:val="003D4B93"/>
    <w:rsid w:val="003D589F"/>
    <w:rsid w:val="003D5ECC"/>
    <w:rsid w:val="003D62FD"/>
    <w:rsid w:val="003D65A9"/>
    <w:rsid w:val="003D6669"/>
    <w:rsid w:val="003D6937"/>
    <w:rsid w:val="003D73BF"/>
    <w:rsid w:val="003D74A4"/>
    <w:rsid w:val="003D75BA"/>
    <w:rsid w:val="003D7B51"/>
    <w:rsid w:val="003D7BFB"/>
    <w:rsid w:val="003E085B"/>
    <w:rsid w:val="003E0E08"/>
    <w:rsid w:val="003E0FD2"/>
    <w:rsid w:val="003E2494"/>
    <w:rsid w:val="003E24E7"/>
    <w:rsid w:val="003E3368"/>
    <w:rsid w:val="003E338D"/>
    <w:rsid w:val="003E3937"/>
    <w:rsid w:val="003E3BFD"/>
    <w:rsid w:val="003E4FDD"/>
    <w:rsid w:val="003E5664"/>
    <w:rsid w:val="003E60A6"/>
    <w:rsid w:val="003E72A2"/>
    <w:rsid w:val="003E7DAC"/>
    <w:rsid w:val="003F0347"/>
    <w:rsid w:val="003F0E28"/>
    <w:rsid w:val="003F0F86"/>
    <w:rsid w:val="003F1DFA"/>
    <w:rsid w:val="003F48FE"/>
    <w:rsid w:val="003F55BC"/>
    <w:rsid w:val="003F56E9"/>
    <w:rsid w:val="003F61E7"/>
    <w:rsid w:val="003F664A"/>
    <w:rsid w:val="003F6A93"/>
    <w:rsid w:val="003F6B15"/>
    <w:rsid w:val="003F6B1D"/>
    <w:rsid w:val="003F6F2D"/>
    <w:rsid w:val="003F75A7"/>
    <w:rsid w:val="003F7861"/>
    <w:rsid w:val="003F788E"/>
    <w:rsid w:val="004005DD"/>
    <w:rsid w:val="004009EB"/>
    <w:rsid w:val="00400DC2"/>
    <w:rsid w:val="004014F7"/>
    <w:rsid w:val="00401715"/>
    <w:rsid w:val="00401763"/>
    <w:rsid w:val="0040233E"/>
    <w:rsid w:val="004025FE"/>
    <w:rsid w:val="0040388C"/>
    <w:rsid w:val="0040408E"/>
    <w:rsid w:val="0040430F"/>
    <w:rsid w:val="00404B7C"/>
    <w:rsid w:val="00404D36"/>
    <w:rsid w:val="0040502B"/>
    <w:rsid w:val="00405CA1"/>
    <w:rsid w:val="0040684F"/>
    <w:rsid w:val="00407003"/>
    <w:rsid w:val="00407BEA"/>
    <w:rsid w:val="00407FDE"/>
    <w:rsid w:val="00410051"/>
    <w:rsid w:val="0041012B"/>
    <w:rsid w:val="004102FD"/>
    <w:rsid w:val="00410E6B"/>
    <w:rsid w:val="00411958"/>
    <w:rsid w:val="00411D37"/>
    <w:rsid w:val="004123FD"/>
    <w:rsid w:val="00412733"/>
    <w:rsid w:val="0041283C"/>
    <w:rsid w:val="00412A9F"/>
    <w:rsid w:val="0041382D"/>
    <w:rsid w:val="00414393"/>
    <w:rsid w:val="004152BF"/>
    <w:rsid w:val="004167AA"/>
    <w:rsid w:val="00417A44"/>
    <w:rsid w:val="00420562"/>
    <w:rsid w:val="0042094D"/>
    <w:rsid w:val="0042146C"/>
    <w:rsid w:val="00421F7B"/>
    <w:rsid w:val="004224A6"/>
    <w:rsid w:val="00422E05"/>
    <w:rsid w:val="004236F7"/>
    <w:rsid w:val="00424A1C"/>
    <w:rsid w:val="00424F89"/>
    <w:rsid w:val="0042562A"/>
    <w:rsid w:val="0042589C"/>
    <w:rsid w:val="00425ABF"/>
    <w:rsid w:val="00426872"/>
    <w:rsid w:val="004271A4"/>
    <w:rsid w:val="004275FA"/>
    <w:rsid w:val="00427A67"/>
    <w:rsid w:val="00427AEE"/>
    <w:rsid w:val="00427BEE"/>
    <w:rsid w:val="00427D93"/>
    <w:rsid w:val="00427F30"/>
    <w:rsid w:val="004307CC"/>
    <w:rsid w:val="00430C50"/>
    <w:rsid w:val="00432244"/>
    <w:rsid w:val="00432D82"/>
    <w:rsid w:val="00433919"/>
    <w:rsid w:val="00433C81"/>
    <w:rsid w:val="00434BE6"/>
    <w:rsid w:val="00435BF3"/>
    <w:rsid w:val="00435DAD"/>
    <w:rsid w:val="00435F90"/>
    <w:rsid w:val="004360DC"/>
    <w:rsid w:val="0043668B"/>
    <w:rsid w:val="00436DD1"/>
    <w:rsid w:val="0043705A"/>
    <w:rsid w:val="0043723A"/>
    <w:rsid w:val="00437264"/>
    <w:rsid w:val="00437A1D"/>
    <w:rsid w:val="00437FD9"/>
    <w:rsid w:val="00440BD0"/>
    <w:rsid w:val="00441A94"/>
    <w:rsid w:val="00441D27"/>
    <w:rsid w:val="00441FBF"/>
    <w:rsid w:val="00443660"/>
    <w:rsid w:val="00443CFA"/>
    <w:rsid w:val="00444053"/>
    <w:rsid w:val="00444973"/>
    <w:rsid w:val="00446463"/>
    <w:rsid w:val="0044655A"/>
    <w:rsid w:val="004465C9"/>
    <w:rsid w:val="004467EE"/>
    <w:rsid w:val="00446AE0"/>
    <w:rsid w:val="00446EC8"/>
    <w:rsid w:val="00447A47"/>
    <w:rsid w:val="00447D77"/>
    <w:rsid w:val="00447D7D"/>
    <w:rsid w:val="00447DCC"/>
    <w:rsid w:val="00450327"/>
    <w:rsid w:val="00450F62"/>
    <w:rsid w:val="004510DA"/>
    <w:rsid w:val="00451F0A"/>
    <w:rsid w:val="00452563"/>
    <w:rsid w:val="004526C8"/>
    <w:rsid w:val="004527A5"/>
    <w:rsid w:val="004529B1"/>
    <w:rsid w:val="0045385C"/>
    <w:rsid w:val="00453AB0"/>
    <w:rsid w:val="00454487"/>
    <w:rsid w:val="00454633"/>
    <w:rsid w:val="00454B84"/>
    <w:rsid w:val="00454EAA"/>
    <w:rsid w:val="00454F86"/>
    <w:rsid w:val="0045565D"/>
    <w:rsid w:val="00455CB7"/>
    <w:rsid w:val="00456350"/>
    <w:rsid w:val="004565F0"/>
    <w:rsid w:val="004566C3"/>
    <w:rsid w:val="00456A27"/>
    <w:rsid w:val="00456D55"/>
    <w:rsid w:val="00456F5A"/>
    <w:rsid w:val="00460623"/>
    <w:rsid w:val="00460E4C"/>
    <w:rsid w:val="00460EC8"/>
    <w:rsid w:val="004615C6"/>
    <w:rsid w:val="004627FF"/>
    <w:rsid w:val="00463A11"/>
    <w:rsid w:val="00463F18"/>
    <w:rsid w:val="00464FD9"/>
    <w:rsid w:val="004657DF"/>
    <w:rsid w:val="00465A21"/>
    <w:rsid w:val="004666F7"/>
    <w:rsid w:val="0046721A"/>
    <w:rsid w:val="004672A0"/>
    <w:rsid w:val="0046776A"/>
    <w:rsid w:val="00467B12"/>
    <w:rsid w:val="0047008B"/>
    <w:rsid w:val="004702E7"/>
    <w:rsid w:val="00470C08"/>
    <w:rsid w:val="00470C8D"/>
    <w:rsid w:val="00470F04"/>
    <w:rsid w:val="004714E9"/>
    <w:rsid w:val="00472538"/>
    <w:rsid w:val="004728E9"/>
    <w:rsid w:val="004733C0"/>
    <w:rsid w:val="0047376C"/>
    <w:rsid w:val="00473897"/>
    <w:rsid w:val="00473BB9"/>
    <w:rsid w:val="00474731"/>
    <w:rsid w:val="00474E00"/>
    <w:rsid w:val="00474FAE"/>
    <w:rsid w:val="004750F0"/>
    <w:rsid w:val="00475421"/>
    <w:rsid w:val="00475ACE"/>
    <w:rsid w:val="00475EAB"/>
    <w:rsid w:val="00475FD0"/>
    <w:rsid w:val="00477344"/>
    <w:rsid w:val="004773F4"/>
    <w:rsid w:val="004776A1"/>
    <w:rsid w:val="00477876"/>
    <w:rsid w:val="0047793F"/>
    <w:rsid w:val="004800A3"/>
    <w:rsid w:val="0048086E"/>
    <w:rsid w:val="00480B3F"/>
    <w:rsid w:val="00480C22"/>
    <w:rsid w:val="004812F1"/>
    <w:rsid w:val="004814A1"/>
    <w:rsid w:val="00481538"/>
    <w:rsid w:val="00481A41"/>
    <w:rsid w:val="00481B75"/>
    <w:rsid w:val="00481E3C"/>
    <w:rsid w:val="0048211F"/>
    <w:rsid w:val="004827A8"/>
    <w:rsid w:val="00482A2E"/>
    <w:rsid w:val="00482EBE"/>
    <w:rsid w:val="00483669"/>
    <w:rsid w:val="00483905"/>
    <w:rsid w:val="0048420B"/>
    <w:rsid w:val="00484592"/>
    <w:rsid w:val="00485A77"/>
    <w:rsid w:val="00485D8D"/>
    <w:rsid w:val="00486078"/>
    <w:rsid w:val="0048618A"/>
    <w:rsid w:val="004861B0"/>
    <w:rsid w:val="0048621F"/>
    <w:rsid w:val="0048744B"/>
    <w:rsid w:val="0049011F"/>
    <w:rsid w:val="004901E9"/>
    <w:rsid w:val="00490471"/>
    <w:rsid w:val="00490567"/>
    <w:rsid w:val="00490BDE"/>
    <w:rsid w:val="00491A98"/>
    <w:rsid w:val="00492A1B"/>
    <w:rsid w:val="00492B50"/>
    <w:rsid w:val="00493732"/>
    <w:rsid w:val="00494511"/>
    <w:rsid w:val="00494BE8"/>
    <w:rsid w:val="00494DE5"/>
    <w:rsid w:val="004955AC"/>
    <w:rsid w:val="00495A64"/>
    <w:rsid w:val="00495DCF"/>
    <w:rsid w:val="0049703D"/>
    <w:rsid w:val="004977F0"/>
    <w:rsid w:val="004A0165"/>
    <w:rsid w:val="004A11FE"/>
    <w:rsid w:val="004A1331"/>
    <w:rsid w:val="004A1EFA"/>
    <w:rsid w:val="004A2082"/>
    <w:rsid w:val="004A23D6"/>
    <w:rsid w:val="004A26E4"/>
    <w:rsid w:val="004A299B"/>
    <w:rsid w:val="004A2F3F"/>
    <w:rsid w:val="004A3068"/>
    <w:rsid w:val="004A3306"/>
    <w:rsid w:val="004A3419"/>
    <w:rsid w:val="004A348F"/>
    <w:rsid w:val="004A385D"/>
    <w:rsid w:val="004A423C"/>
    <w:rsid w:val="004A4A26"/>
    <w:rsid w:val="004A4E43"/>
    <w:rsid w:val="004A5711"/>
    <w:rsid w:val="004A5875"/>
    <w:rsid w:val="004A5A3F"/>
    <w:rsid w:val="004A6017"/>
    <w:rsid w:val="004A6051"/>
    <w:rsid w:val="004A619A"/>
    <w:rsid w:val="004A7378"/>
    <w:rsid w:val="004A7A03"/>
    <w:rsid w:val="004A7B10"/>
    <w:rsid w:val="004B0D56"/>
    <w:rsid w:val="004B0E00"/>
    <w:rsid w:val="004B101C"/>
    <w:rsid w:val="004B1394"/>
    <w:rsid w:val="004B1F83"/>
    <w:rsid w:val="004B247C"/>
    <w:rsid w:val="004B2B84"/>
    <w:rsid w:val="004B2BA7"/>
    <w:rsid w:val="004B307D"/>
    <w:rsid w:val="004B36F4"/>
    <w:rsid w:val="004B3BA1"/>
    <w:rsid w:val="004B3F36"/>
    <w:rsid w:val="004B42C1"/>
    <w:rsid w:val="004B469B"/>
    <w:rsid w:val="004B5C0B"/>
    <w:rsid w:val="004B5DB7"/>
    <w:rsid w:val="004B5E66"/>
    <w:rsid w:val="004B5FF5"/>
    <w:rsid w:val="004B6285"/>
    <w:rsid w:val="004B6DBC"/>
    <w:rsid w:val="004B71EB"/>
    <w:rsid w:val="004B74A7"/>
    <w:rsid w:val="004C020A"/>
    <w:rsid w:val="004C06B5"/>
    <w:rsid w:val="004C0898"/>
    <w:rsid w:val="004C2076"/>
    <w:rsid w:val="004C24A6"/>
    <w:rsid w:val="004C3205"/>
    <w:rsid w:val="004C3CFF"/>
    <w:rsid w:val="004C40A5"/>
    <w:rsid w:val="004C4726"/>
    <w:rsid w:val="004C47E4"/>
    <w:rsid w:val="004C4AE2"/>
    <w:rsid w:val="004C4D10"/>
    <w:rsid w:val="004C50D6"/>
    <w:rsid w:val="004C6116"/>
    <w:rsid w:val="004C617E"/>
    <w:rsid w:val="004C6912"/>
    <w:rsid w:val="004C6BFE"/>
    <w:rsid w:val="004C7230"/>
    <w:rsid w:val="004C7316"/>
    <w:rsid w:val="004C73D4"/>
    <w:rsid w:val="004C78C2"/>
    <w:rsid w:val="004C7D00"/>
    <w:rsid w:val="004C7D4B"/>
    <w:rsid w:val="004D0195"/>
    <w:rsid w:val="004D113B"/>
    <w:rsid w:val="004D1D88"/>
    <w:rsid w:val="004D34BB"/>
    <w:rsid w:val="004D34C5"/>
    <w:rsid w:val="004D38F1"/>
    <w:rsid w:val="004D3A54"/>
    <w:rsid w:val="004D5081"/>
    <w:rsid w:val="004D5206"/>
    <w:rsid w:val="004D7670"/>
    <w:rsid w:val="004D79FE"/>
    <w:rsid w:val="004D7E89"/>
    <w:rsid w:val="004D7F68"/>
    <w:rsid w:val="004E03CD"/>
    <w:rsid w:val="004E08FD"/>
    <w:rsid w:val="004E1777"/>
    <w:rsid w:val="004E2875"/>
    <w:rsid w:val="004E2A14"/>
    <w:rsid w:val="004E3447"/>
    <w:rsid w:val="004E3B52"/>
    <w:rsid w:val="004E46E5"/>
    <w:rsid w:val="004E4EB4"/>
    <w:rsid w:val="004E5025"/>
    <w:rsid w:val="004E672A"/>
    <w:rsid w:val="004E69A1"/>
    <w:rsid w:val="004E6F24"/>
    <w:rsid w:val="004E7028"/>
    <w:rsid w:val="004E7706"/>
    <w:rsid w:val="004E7AD6"/>
    <w:rsid w:val="004F03AD"/>
    <w:rsid w:val="004F0978"/>
    <w:rsid w:val="004F0D0C"/>
    <w:rsid w:val="004F185A"/>
    <w:rsid w:val="004F247F"/>
    <w:rsid w:val="004F25FF"/>
    <w:rsid w:val="004F262A"/>
    <w:rsid w:val="004F3212"/>
    <w:rsid w:val="004F372C"/>
    <w:rsid w:val="004F49F2"/>
    <w:rsid w:val="004F54DD"/>
    <w:rsid w:val="004F553C"/>
    <w:rsid w:val="004F55B2"/>
    <w:rsid w:val="004F5707"/>
    <w:rsid w:val="004F5AA6"/>
    <w:rsid w:val="004F5BC6"/>
    <w:rsid w:val="004F61AA"/>
    <w:rsid w:val="004F67AE"/>
    <w:rsid w:val="004F73B7"/>
    <w:rsid w:val="004F73C2"/>
    <w:rsid w:val="004F79EF"/>
    <w:rsid w:val="004F7A13"/>
    <w:rsid w:val="004F7B34"/>
    <w:rsid w:val="0050015D"/>
    <w:rsid w:val="00500A35"/>
    <w:rsid w:val="00500CB7"/>
    <w:rsid w:val="00502D4E"/>
    <w:rsid w:val="00503B6D"/>
    <w:rsid w:val="00504293"/>
    <w:rsid w:val="0050441B"/>
    <w:rsid w:val="005049EB"/>
    <w:rsid w:val="00505664"/>
    <w:rsid w:val="00505D43"/>
    <w:rsid w:val="00505D4F"/>
    <w:rsid w:val="00505E73"/>
    <w:rsid w:val="00506523"/>
    <w:rsid w:val="00506D00"/>
    <w:rsid w:val="00510284"/>
    <w:rsid w:val="00510533"/>
    <w:rsid w:val="00510CA5"/>
    <w:rsid w:val="0051121F"/>
    <w:rsid w:val="005118A0"/>
    <w:rsid w:val="00511919"/>
    <w:rsid w:val="005126C2"/>
    <w:rsid w:val="005128C4"/>
    <w:rsid w:val="00513F59"/>
    <w:rsid w:val="005142DE"/>
    <w:rsid w:val="005144C8"/>
    <w:rsid w:val="005144D3"/>
    <w:rsid w:val="00516AF1"/>
    <w:rsid w:val="005171E3"/>
    <w:rsid w:val="00517FF3"/>
    <w:rsid w:val="005202D7"/>
    <w:rsid w:val="005209B9"/>
    <w:rsid w:val="00520BE1"/>
    <w:rsid w:val="005215F9"/>
    <w:rsid w:val="005233CE"/>
    <w:rsid w:val="00523B97"/>
    <w:rsid w:val="00524189"/>
    <w:rsid w:val="0052544A"/>
    <w:rsid w:val="005259C7"/>
    <w:rsid w:val="00527F83"/>
    <w:rsid w:val="005301FE"/>
    <w:rsid w:val="00530981"/>
    <w:rsid w:val="00530BDF"/>
    <w:rsid w:val="00531E0F"/>
    <w:rsid w:val="00531EF9"/>
    <w:rsid w:val="00531FFC"/>
    <w:rsid w:val="0053345B"/>
    <w:rsid w:val="005336D1"/>
    <w:rsid w:val="0053386A"/>
    <w:rsid w:val="00533A4A"/>
    <w:rsid w:val="005341CD"/>
    <w:rsid w:val="00534288"/>
    <w:rsid w:val="005346F7"/>
    <w:rsid w:val="005350BF"/>
    <w:rsid w:val="005354EE"/>
    <w:rsid w:val="00535618"/>
    <w:rsid w:val="0053653A"/>
    <w:rsid w:val="00536C76"/>
    <w:rsid w:val="00537375"/>
    <w:rsid w:val="00540394"/>
    <w:rsid w:val="0054050C"/>
    <w:rsid w:val="005406C6"/>
    <w:rsid w:val="0054088C"/>
    <w:rsid w:val="005411ED"/>
    <w:rsid w:val="00541A95"/>
    <w:rsid w:val="00542103"/>
    <w:rsid w:val="00542411"/>
    <w:rsid w:val="00542773"/>
    <w:rsid w:val="0054372D"/>
    <w:rsid w:val="00544250"/>
    <w:rsid w:val="00544966"/>
    <w:rsid w:val="00545CA7"/>
    <w:rsid w:val="005462AC"/>
    <w:rsid w:val="005467FD"/>
    <w:rsid w:val="005475F9"/>
    <w:rsid w:val="0054767A"/>
    <w:rsid w:val="00547850"/>
    <w:rsid w:val="005501BE"/>
    <w:rsid w:val="005501DD"/>
    <w:rsid w:val="005503A3"/>
    <w:rsid w:val="0055050C"/>
    <w:rsid w:val="00550DD0"/>
    <w:rsid w:val="00551C23"/>
    <w:rsid w:val="00552457"/>
    <w:rsid w:val="0055256E"/>
    <w:rsid w:val="00552936"/>
    <w:rsid w:val="00552CF6"/>
    <w:rsid w:val="0055339B"/>
    <w:rsid w:val="00553B7A"/>
    <w:rsid w:val="00553C4F"/>
    <w:rsid w:val="00553CC7"/>
    <w:rsid w:val="00553FAF"/>
    <w:rsid w:val="00554A79"/>
    <w:rsid w:val="00554F5F"/>
    <w:rsid w:val="00555520"/>
    <w:rsid w:val="00556433"/>
    <w:rsid w:val="00556E64"/>
    <w:rsid w:val="005570EC"/>
    <w:rsid w:val="00557BFB"/>
    <w:rsid w:val="005603BC"/>
    <w:rsid w:val="00560581"/>
    <w:rsid w:val="00561453"/>
    <w:rsid w:val="0056160F"/>
    <w:rsid w:val="005621E2"/>
    <w:rsid w:val="00562420"/>
    <w:rsid w:val="0056298C"/>
    <w:rsid w:val="00562C10"/>
    <w:rsid w:val="00562C80"/>
    <w:rsid w:val="00563D09"/>
    <w:rsid w:val="005640EB"/>
    <w:rsid w:val="00564DC8"/>
    <w:rsid w:val="00564E1E"/>
    <w:rsid w:val="00565DF7"/>
    <w:rsid w:val="00566117"/>
    <w:rsid w:val="00566899"/>
    <w:rsid w:val="00566A03"/>
    <w:rsid w:val="005671E1"/>
    <w:rsid w:val="005675EF"/>
    <w:rsid w:val="0056776A"/>
    <w:rsid w:val="00567B95"/>
    <w:rsid w:val="00567EDA"/>
    <w:rsid w:val="005703B6"/>
    <w:rsid w:val="00570414"/>
    <w:rsid w:val="005710B9"/>
    <w:rsid w:val="00571710"/>
    <w:rsid w:val="0057192A"/>
    <w:rsid w:val="00571D78"/>
    <w:rsid w:val="005725D2"/>
    <w:rsid w:val="005726CD"/>
    <w:rsid w:val="005727F2"/>
    <w:rsid w:val="00572D66"/>
    <w:rsid w:val="005737B4"/>
    <w:rsid w:val="00573D7F"/>
    <w:rsid w:val="00573E7B"/>
    <w:rsid w:val="0057407D"/>
    <w:rsid w:val="00574DBC"/>
    <w:rsid w:val="00574F77"/>
    <w:rsid w:val="0057503D"/>
    <w:rsid w:val="00575291"/>
    <w:rsid w:val="00575B97"/>
    <w:rsid w:val="00575D0C"/>
    <w:rsid w:val="0057601E"/>
    <w:rsid w:val="00576247"/>
    <w:rsid w:val="005763DA"/>
    <w:rsid w:val="00576716"/>
    <w:rsid w:val="00576EDB"/>
    <w:rsid w:val="005778E3"/>
    <w:rsid w:val="00577F70"/>
    <w:rsid w:val="00580410"/>
    <w:rsid w:val="00580758"/>
    <w:rsid w:val="00580FF2"/>
    <w:rsid w:val="005811DB"/>
    <w:rsid w:val="00581667"/>
    <w:rsid w:val="00581E3E"/>
    <w:rsid w:val="00582EC1"/>
    <w:rsid w:val="00584180"/>
    <w:rsid w:val="005846ED"/>
    <w:rsid w:val="00584E02"/>
    <w:rsid w:val="005851E1"/>
    <w:rsid w:val="0058582C"/>
    <w:rsid w:val="00585E8B"/>
    <w:rsid w:val="00586043"/>
    <w:rsid w:val="00586332"/>
    <w:rsid w:val="00586CB8"/>
    <w:rsid w:val="00587125"/>
    <w:rsid w:val="005876D2"/>
    <w:rsid w:val="0059079A"/>
    <w:rsid w:val="005907A4"/>
    <w:rsid w:val="00590A7A"/>
    <w:rsid w:val="00590F45"/>
    <w:rsid w:val="005911CB"/>
    <w:rsid w:val="005911FC"/>
    <w:rsid w:val="00591847"/>
    <w:rsid w:val="00591CB6"/>
    <w:rsid w:val="005921E5"/>
    <w:rsid w:val="005925EA"/>
    <w:rsid w:val="005931B0"/>
    <w:rsid w:val="00593AEA"/>
    <w:rsid w:val="00594523"/>
    <w:rsid w:val="00594586"/>
    <w:rsid w:val="00594A97"/>
    <w:rsid w:val="00595EAA"/>
    <w:rsid w:val="00596337"/>
    <w:rsid w:val="005966BC"/>
    <w:rsid w:val="00596999"/>
    <w:rsid w:val="00596B19"/>
    <w:rsid w:val="005974CF"/>
    <w:rsid w:val="00597DAA"/>
    <w:rsid w:val="005A0031"/>
    <w:rsid w:val="005A01A4"/>
    <w:rsid w:val="005A0FEB"/>
    <w:rsid w:val="005A16A8"/>
    <w:rsid w:val="005A2443"/>
    <w:rsid w:val="005A25D4"/>
    <w:rsid w:val="005A3876"/>
    <w:rsid w:val="005A38F8"/>
    <w:rsid w:val="005A4797"/>
    <w:rsid w:val="005A4AB2"/>
    <w:rsid w:val="005A4E22"/>
    <w:rsid w:val="005A5335"/>
    <w:rsid w:val="005A54A0"/>
    <w:rsid w:val="005A57F8"/>
    <w:rsid w:val="005A640D"/>
    <w:rsid w:val="005A6823"/>
    <w:rsid w:val="005A6A32"/>
    <w:rsid w:val="005A6ED8"/>
    <w:rsid w:val="005A73D8"/>
    <w:rsid w:val="005A7C47"/>
    <w:rsid w:val="005B0221"/>
    <w:rsid w:val="005B033D"/>
    <w:rsid w:val="005B0371"/>
    <w:rsid w:val="005B08DA"/>
    <w:rsid w:val="005B1306"/>
    <w:rsid w:val="005B1576"/>
    <w:rsid w:val="005B1738"/>
    <w:rsid w:val="005B1FA8"/>
    <w:rsid w:val="005B21F0"/>
    <w:rsid w:val="005B2859"/>
    <w:rsid w:val="005B2C56"/>
    <w:rsid w:val="005B2CAB"/>
    <w:rsid w:val="005B3176"/>
    <w:rsid w:val="005B379C"/>
    <w:rsid w:val="005B381D"/>
    <w:rsid w:val="005B3D0A"/>
    <w:rsid w:val="005B4400"/>
    <w:rsid w:val="005B4A1A"/>
    <w:rsid w:val="005B4F27"/>
    <w:rsid w:val="005B5143"/>
    <w:rsid w:val="005B5561"/>
    <w:rsid w:val="005B5F60"/>
    <w:rsid w:val="005B64A4"/>
    <w:rsid w:val="005B64B7"/>
    <w:rsid w:val="005B66B1"/>
    <w:rsid w:val="005B73FA"/>
    <w:rsid w:val="005C19F6"/>
    <w:rsid w:val="005C1E87"/>
    <w:rsid w:val="005C1F45"/>
    <w:rsid w:val="005C2623"/>
    <w:rsid w:val="005C275A"/>
    <w:rsid w:val="005C27E7"/>
    <w:rsid w:val="005C2806"/>
    <w:rsid w:val="005C2DDA"/>
    <w:rsid w:val="005C32FF"/>
    <w:rsid w:val="005C3A0E"/>
    <w:rsid w:val="005C3CF0"/>
    <w:rsid w:val="005C3D14"/>
    <w:rsid w:val="005C4982"/>
    <w:rsid w:val="005C4A9E"/>
    <w:rsid w:val="005C4AE4"/>
    <w:rsid w:val="005C501C"/>
    <w:rsid w:val="005C51CA"/>
    <w:rsid w:val="005C5979"/>
    <w:rsid w:val="005C599F"/>
    <w:rsid w:val="005C5B42"/>
    <w:rsid w:val="005C61EF"/>
    <w:rsid w:val="005C6292"/>
    <w:rsid w:val="005C704D"/>
    <w:rsid w:val="005C7439"/>
    <w:rsid w:val="005C7D06"/>
    <w:rsid w:val="005C7FB3"/>
    <w:rsid w:val="005D0A14"/>
    <w:rsid w:val="005D0CD6"/>
    <w:rsid w:val="005D1670"/>
    <w:rsid w:val="005D1B3C"/>
    <w:rsid w:val="005D28F4"/>
    <w:rsid w:val="005D2D5A"/>
    <w:rsid w:val="005D2E25"/>
    <w:rsid w:val="005D2E26"/>
    <w:rsid w:val="005D2F48"/>
    <w:rsid w:val="005D3325"/>
    <w:rsid w:val="005D33D3"/>
    <w:rsid w:val="005D3597"/>
    <w:rsid w:val="005D35EB"/>
    <w:rsid w:val="005D51A2"/>
    <w:rsid w:val="005D5880"/>
    <w:rsid w:val="005D5D0F"/>
    <w:rsid w:val="005D618A"/>
    <w:rsid w:val="005D6296"/>
    <w:rsid w:val="005D6315"/>
    <w:rsid w:val="005D6CC7"/>
    <w:rsid w:val="005D73B3"/>
    <w:rsid w:val="005D7969"/>
    <w:rsid w:val="005D7EBC"/>
    <w:rsid w:val="005E097E"/>
    <w:rsid w:val="005E1087"/>
    <w:rsid w:val="005E17FB"/>
    <w:rsid w:val="005E1D3A"/>
    <w:rsid w:val="005E228F"/>
    <w:rsid w:val="005E24DA"/>
    <w:rsid w:val="005E3855"/>
    <w:rsid w:val="005E3A4B"/>
    <w:rsid w:val="005E460F"/>
    <w:rsid w:val="005E52B6"/>
    <w:rsid w:val="005E5571"/>
    <w:rsid w:val="005E5D77"/>
    <w:rsid w:val="005E6245"/>
    <w:rsid w:val="005E6A8D"/>
    <w:rsid w:val="005E7030"/>
    <w:rsid w:val="005E7684"/>
    <w:rsid w:val="005F0078"/>
    <w:rsid w:val="005F0EAF"/>
    <w:rsid w:val="005F177D"/>
    <w:rsid w:val="005F19A0"/>
    <w:rsid w:val="005F21DF"/>
    <w:rsid w:val="005F28B6"/>
    <w:rsid w:val="005F297E"/>
    <w:rsid w:val="005F2F9A"/>
    <w:rsid w:val="005F3453"/>
    <w:rsid w:val="005F35EC"/>
    <w:rsid w:val="005F4880"/>
    <w:rsid w:val="005F511E"/>
    <w:rsid w:val="005F78E7"/>
    <w:rsid w:val="006013E4"/>
    <w:rsid w:val="0060147C"/>
    <w:rsid w:val="00601DFB"/>
    <w:rsid w:val="00602750"/>
    <w:rsid w:val="00602755"/>
    <w:rsid w:val="00602E20"/>
    <w:rsid w:val="006032F2"/>
    <w:rsid w:val="0060418C"/>
    <w:rsid w:val="00604252"/>
    <w:rsid w:val="00604446"/>
    <w:rsid w:val="0060464D"/>
    <w:rsid w:val="00604ED5"/>
    <w:rsid w:val="0060546E"/>
    <w:rsid w:val="00605A87"/>
    <w:rsid w:val="00605A97"/>
    <w:rsid w:val="00605C91"/>
    <w:rsid w:val="006064D3"/>
    <w:rsid w:val="00606697"/>
    <w:rsid w:val="00606B40"/>
    <w:rsid w:val="00607A77"/>
    <w:rsid w:val="006100C8"/>
    <w:rsid w:val="00610C7D"/>
    <w:rsid w:val="00610E89"/>
    <w:rsid w:val="00612824"/>
    <w:rsid w:val="00612A51"/>
    <w:rsid w:val="00612A7E"/>
    <w:rsid w:val="00613B53"/>
    <w:rsid w:val="00613E81"/>
    <w:rsid w:val="00614305"/>
    <w:rsid w:val="00614A6D"/>
    <w:rsid w:val="00616F7B"/>
    <w:rsid w:val="00617989"/>
    <w:rsid w:val="00617C2B"/>
    <w:rsid w:val="00617CD5"/>
    <w:rsid w:val="00617FEA"/>
    <w:rsid w:val="00620247"/>
    <w:rsid w:val="006205FD"/>
    <w:rsid w:val="00620653"/>
    <w:rsid w:val="00620962"/>
    <w:rsid w:val="00620E60"/>
    <w:rsid w:val="006212C3"/>
    <w:rsid w:val="0062333F"/>
    <w:rsid w:val="0062359C"/>
    <w:rsid w:val="006236CA"/>
    <w:rsid w:val="00623860"/>
    <w:rsid w:val="00624052"/>
    <w:rsid w:val="006240C9"/>
    <w:rsid w:val="00624368"/>
    <w:rsid w:val="006251B2"/>
    <w:rsid w:val="006254CB"/>
    <w:rsid w:val="00625EF6"/>
    <w:rsid w:val="006262DA"/>
    <w:rsid w:val="006264AF"/>
    <w:rsid w:val="00626554"/>
    <w:rsid w:val="00627067"/>
    <w:rsid w:val="0062716D"/>
    <w:rsid w:val="00627692"/>
    <w:rsid w:val="006279D3"/>
    <w:rsid w:val="00627B15"/>
    <w:rsid w:val="00627C25"/>
    <w:rsid w:val="00627E87"/>
    <w:rsid w:val="006304C2"/>
    <w:rsid w:val="0063106B"/>
    <w:rsid w:val="006310E3"/>
    <w:rsid w:val="00631209"/>
    <w:rsid w:val="00631282"/>
    <w:rsid w:val="00631363"/>
    <w:rsid w:val="006314C3"/>
    <w:rsid w:val="006317FD"/>
    <w:rsid w:val="006321FA"/>
    <w:rsid w:val="006325AD"/>
    <w:rsid w:val="00632D3A"/>
    <w:rsid w:val="00632D53"/>
    <w:rsid w:val="00632E21"/>
    <w:rsid w:val="00632E4F"/>
    <w:rsid w:val="00632E68"/>
    <w:rsid w:val="00632EA8"/>
    <w:rsid w:val="00633C31"/>
    <w:rsid w:val="00633F22"/>
    <w:rsid w:val="00634612"/>
    <w:rsid w:val="006348BA"/>
    <w:rsid w:val="00634F2A"/>
    <w:rsid w:val="006350FA"/>
    <w:rsid w:val="00635AC9"/>
    <w:rsid w:val="00635DD2"/>
    <w:rsid w:val="0063667E"/>
    <w:rsid w:val="006372A4"/>
    <w:rsid w:val="00637A50"/>
    <w:rsid w:val="006401A4"/>
    <w:rsid w:val="0064023C"/>
    <w:rsid w:val="00640EC8"/>
    <w:rsid w:val="0064106A"/>
    <w:rsid w:val="0064141C"/>
    <w:rsid w:val="006418B8"/>
    <w:rsid w:val="00641946"/>
    <w:rsid w:val="00641C0D"/>
    <w:rsid w:val="00641C95"/>
    <w:rsid w:val="00643027"/>
    <w:rsid w:val="00643252"/>
    <w:rsid w:val="00643AE0"/>
    <w:rsid w:val="006442AE"/>
    <w:rsid w:val="00644400"/>
    <w:rsid w:val="006444A3"/>
    <w:rsid w:val="00644A8A"/>
    <w:rsid w:val="00644BCE"/>
    <w:rsid w:val="00644FD7"/>
    <w:rsid w:val="006450B4"/>
    <w:rsid w:val="00645B30"/>
    <w:rsid w:val="00646F2A"/>
    <w:rsid w:val="006478A2"/>
    <w:rsid w:val="00647ECE"/>
    <w:rsid w:val="0065062F"/>
    <w:rsid w:val="00650981"/>
    <w:rsid w:val="00650EA5"/>
    <w:rsid w:val="006511E1"/>
    <w:rsid w:val="00651337"/>
    <w:rsid w:val="00651510"/>
    <w:rsid w:val="006516B0"/>
    <w:rsid w:val="00653178"/>
    <w:rsid w:val="00653C53"/>
    <w:rsid w:val="0065465E"/>
    <w:rsid w:val="00655B08"/>
    <w:rsid w:val="00655CFA"/>
    <w:rsid w:val="006560DB"/>
    <w:rsid w:val="00656460"/>
    <w:rsid w:val="0065647C"/>
    <w:rsid w:val="00657446"/>
    <w:rsid w:val="006609F3"/>
    <w:rsid w:val="00660B84"/>
    <w:rsid w:val="00660E36"/>
    <w:rsid w:val="00660F40"/>
    <w:rsid w:val="0066141F"/>
    <w:rsid w:val="00661A0A"/>
    <w:rsid w:val="006621F0"/>
    <w:rsid w:val="00662D11"/>
    <w:rsid w:val="00662E4D"/>
    <w:rsid w:val="006632AF"/>
    <w:rsid w:val="00663358"/>
    <w:rsid w:val="00663594"/>
    <w:rsid w:val="00663B95"/>
    <w:rsid w:val="00663CD9"/>
    <w:rsid w:val="00663ED6"/>
    <w:rsid w:val="00665084"/>
    <w:rsid w:val="00665FE3"/>
    <w:rsid w:val="00666235"/>
    <w:rsid w:val="0066747C"/>
    <w:rsid w:val="006676A7"/>
    <w:rsid w:val="00667706"/>
    <w:rsid w:val="00667779"/>
    <w:rsid w:val="00667966"/>
    <w:rsid w:val="00667EA4"/>
    <w:rsid w:val="006700B7"/>
    <w:rsid w:val="00670403"/>
    <w:rsid w:val="0067045F"/>
    <w:rsid w:val="00670463"/>
    <w:rsid w:val="00670CD5"/>
    <w:rsid w:val="0067108E"/>
    <w:rsid w:val="00671575"/>
    <w:rsid w:val="00671ED3"/>
    <w:rsid w:val="00672479"/>
    <w:rsid w:val="0067253D"/>
    <w:rsid w:val="00672D22"/>
    <w:rsid w:val="00672E3A"/>
    <w:rsid w:val="00672F8D"/>
    <w:rsid w:val="00673888"/>
    <w:rsid w:val="0067409E"/>
    <w:rsid w:val="006742A5"/>
    <w:rsid w:val="006749D1"/>
    <w:rsid w:val="00674E21"/>
    <w:rsid w:val="00675616"/>
    <w:rsid w:val="00675A47"/>
    <w:rsid w:val="00675E39"/>
    <w:rsid w:val="006769CB"/>
    <w:rsid w:val="0067740A"/>
    <w:rsid w:val="00677D87"/>
    <w:rsid w:val="00680391"/>
    <w:rsid w:val="006804F0"/>
    <w:rsid w:val="00680504"/>
    <w:rsid w:val="00680CDC"/>
    <w:rsid w:val="00680DBF"/>
    <w:rsid w:val="006816E8"/>
    <w:rsid w:val="006819B6"/>
    <w:rsid w:val="00681A9F"/>
    <w:rsid w:val="006825C9"/>
    <w:rsid w:val="006830F7"/>
    <w:rsid w:val="00683969"/>
    <w:rsid w:val="00683DFB"/>
    <w:rsid w:val="00684711"/>
    <w:rsid w:val="006847DC"/>
    <w:rsid w:val="00685033"/>
    <w:rsid w:val="0068583D"/>
    <w:rsid w:val="006858B8"/>
    <w:rsid w:val="00685E3B"/>
    <w:rsid w:val="00685FB1"/>
    <w:rsid w:val="00686BFB"/>
    <w:rsid w:val="00686CB3"/>
    <w:rsid w:val="00686E4E"/>
    <w:rsid w:val="006870E9"/>
    <w:rsid w:val="006872FE"/>
    <w:rsid w:val="00687708"/>
    <w:rsid w:val="00687745"/>
    <w:rsid w:val="00687BDD"/>
    <w:rsid w:val="00687C3A"/>
    <w:rsid w:val="00690429"/>
    <w:rsid w:val="00690CED"/>
    <w:rsid w:val="00691582"/>
    <w:rsid w:val="00691E15"/>
    <w:rsid w:val="00692250"/>
    <w:rsid w:val="00692CC8"/>
    <w:rsid w:val="006937A2"/>
    <w:rsid w:val="006938D8"/>
    <w:rsid w:val="00693F2B"/>
    <w:rsid w:val="006948A5"/>
    <w:rsid w:val="006948D8"/>
    <w:rsid w:val="00694D7F"/>
    <w:rsid w:val="00695040"/>
    <w:rsid w:val="00695AD2"/>
    <w:rsid w:val="0069617C"/>
    <w:rsid w:val="0069720D"/>
    <w:rsid w:val="0069772C"/>
    <w:rsid w:val="00697CDA"/>
    <w:rsid w:val="00697F73"/>
    <w:rsid w:val="006A0774"/>
    <w:rsid w:val="006A0BDF"/>
    <w:rsid w:val="006A1142"/>
    <w:rsid w:val="006A1320"/>
    <w:rsid w:val="006A19DF"/>
    <w:rsid w:val="006A1F73"/>
    <w:rsid w:val="006A244E"/>
    <w:rsid w:val="006A322B"/>
    <w:rsid w:val="006A3AF4"/>
    <w:rsid w:val="006A4315"/>
    <w:rsid w:val="006A4501"/>
    <w:rsid w:val="006A4B51"/>
    <w:rsid w:val="006A5FDB"/>
    <w:rsid w:val="006A6475"/>
    <w:rsid w:val="006A68B9"/>
    <w:rsid w:val="006A6966"/>
    <w:rsid w:val="006A71AE"/>
    <w:rsid w:val="006A72B9"/>
    <w:rsid w:val="006A7E75"/>
    <w:rsid w:val="006B02B5"/>
    <w:rsid w:val="006B0EBE"/>
    <w:rsid w:val="006B249A"/>
    <w:rsid w:val="006B3129"/>
    <w:rsid w:val="006B3BB3"/>
    <w:rsid w:val="006B3BE5"/>
    <w:rsid w:val="006B43D0"/>
    <w:rsid w:val="006B483C"/>
    <w:rsid w:val="006B484B"/>
    <w:rsid w:val="006B4A13"/>
    <w:rsid w:val="006B4E65"/>
    <w:rsid w:val="006B5E9A"/>
    <w:rsid w:val="006B6AD7"/>
    <w:rsid w:val="006B7094"/>
    <w:rsid w:val="006B723F"/>
    <w:rsid w:val="006B7C40"/>
    <w:rsid w:val="006B7EB1"/>
    <w:rsid w:val="006C0334"/>
    <w:rsid w:val="006C042C"/>
    <w:rsid w:val="006C0608"/>
    <w:rsid w:val="006C0A15"/>
    <w:rsid w:val="006C0AF1"/>
    <w:rsid w:val="006C0D7D"/>
    <w:rsid w:val="006C0E4B"/>
    <w:rsid w:val="006C153E"/>
    <w:rsid w:val="006C1CA6"/>
    <w:rsid w:val="006C2097"/>
    <w:rsid w:val="006C2FC2"/>
    <w:rsid w:val="006C3027"/>
    <w:rsid w:val="006C38C8"/>
    <w:rsid w:val="006C3CD0"/>
    <w:rsid w:val="006C42C6"/>
    <w:rsid w:val="006C49CB"/>
    <w:rsid w:val="006C518D"/>
    <w:rsid w:val="006C5D95"/>
    <w:rsid w:val="006C610D"/>
    <w:rsid w:val="006C6413"/>
    <w:rsid w:val="006C7C49"/>
    <w:rsid w:val="006D0933"/>
    <w:rsid w:val="006D09B8"/>
    <w:rsid w:val="006D1584"/>
    <w:rsid w:val="006D164B"/>
    <w:rsid w:val="006D1E70"/>
    <w:rsid w:val="006D209E"/>
    <w:rsid w:val="006D2FCE"/>
    <w:rsid w:val="006D3654"/>
    <w:rsid w:val="006D3B18"/>
    <w:rsid w:val="006D3FA9"/>
    <w:rsid w:val="006D41D4"/>
    <w:rsid w:val="006D4DDB"/>
    <w:rsid w:val="006D4F96"/>
    <w:rsid w:val="006D535E"/>
    <w:rsid w:val="006D6107"/>
    <w:rsid w:val="006D641B"/>
    <w:rsid w:val="006D653B"/>
    <w:rsid w:val="006D685A"/>
    <w:rsid w:val="006D6933"/>
    <w:rsid w:val="006D6F8E"/>
    <w:rsid w:val="006D702B"/>
    <w:rsid w:val="006D77B7"/>
    <w:rsid w:val="006D7CA0"/>
    <w:rsid w:val="006E0883"/>
    <w:rsid w:val="006E16BC"/>
    <w:rsid w:val="006E1ABB"/>
    <w:rsid w:val="006E1B62"/>
    <w:rsid w:val="006E1DC1"/>
    <w:rsid w:val="006E2385"/>
    <w:rsid w:val="006E30BC"/>
    <w:rsid w:val="006E334E"/>
    <w:rsid w:val="006E3626"/>
    <w:rsid w:val="006E388D"/>
    <w:rsid w:val="006E3CBA"/>
    <w:rsid w:val="006E4D2E"/>
    <w:rsid w:val="006E51C7"/>
    <w:rsid w:val="006E523F"/>
    <w:rsid w:val="006E5B97"/>
    <w:rsid w:val="006E5C8E"/>
    <w:rsid w:val="006E5F20"/>
    <w:rsid w:val="006E67D2"/>
    <w:rsid w:val="006E686B"/>
    <w:rsid w:val="006E69CF"/>
    <w:rsid w:val="006E6C56"/>
    <w:rsid w:val="006E7853"/>
    <w:rsid w:val="006E78AD"/>
    <w:rsid w:val="006E7B27"/>
    <w:rsid w:val="006F050F"/>
    <w:rsid w:val="006F1090"/>
    <w:rsid w:val="006F1D55"/>
    <w:rsid w:val="006F2C25"/>
    <w:rsid w:val="006F3301"/>
    <w:rsid w:val="006F38FE"/>
    <w:rsid w:val="006F465C"/>
    <w:rsid w:val="006F4B16"/>
    <w:rsid w:val="006F5588"/>
    <w:rsid w:val="006F5E81"/>
    <w:rsid w:val="006F7D31"/>
    <w:rsid w:val="006F7D55"/>
    <w:rsid w:val="006F7F40"/>
    <w:rsid w:val="00700542"/>
    <w:rsid w:val="00700C02"/>
    <w:rsid w:val="00700F84"/>
    <w:rsid w:val="00701960"/>
    <w:rsid w:val="00701D3B"/>
    <w:rsid w:val="00702783"/>
    <w:rsid w:val="00702897"/>
    <w:rsid w:val="00702A6B"/>
    <w:rsid w:val="00702E5A"/>
    <w:rsid w:val="00702F8D"/>
    <w:rsid w:val="007030D5"/>
    <w:rsid w:val="00704041"/>
    <w:rsid w:val="00704256"/>
    <w:rsid w:val="00704C2D"/>
    <w:rsid w:val="00704EEF"/>
    <w:rsid w:val="007052E5"/>
    <w:rsid w:val="007052EB"/>
    <w:rsid w:val="00705424"/>
    <w:rsid w:val="0070598A"/>
    <w:rsid w:val="007059D9"/>
    <w:rsid w:val="00705D74"/>
    <w:rsid w:val="007068CF"/>
    <w:rsid w:val="00707158"/>
    <w:rsid w:val="00707350"/>
    <w:rsid w:val="00707A9D"/>
    <w:rsid w:val="007102C5"/>
    <w:rsid w:val="00710AAF"/>
    <w:rsid w:val="007118E9"/>
    <w:rsid w:val="00711F7F"/>
    <w:rsid w:val="00711FB3"/>
    <w:rsid w:val="00712690"/>
    <w:rsid w:val="00712D94"/>
    <w:rsid w:val="00712F72"/>
    <w:rsid w:val="0071341D"/>
    <w:rsid w:val="007139E4"/>
    <w:rsid w:val="00713B91"/>
    <w:rsid w:val="00713E61"/>
    <w:rsid w:val="007145FE"/>
    <w:rsid w:val="0071460F"/>
    <w:rsid w:val="0071499F"/>
    <w:rsid w:val="00714BE9"/>
    <w:rsid w:val="00714DD7"/>
    <w:rsid w:val="007150D6"/>
    <w:rsid w:val="00715449"/>
    <w:rsid w:val="0071568F"/>
    <w:rsid w:val="007157B3"/>
    <w:rsid w:val="00715951"/>
    <w:rsid w:val="00715DDC"/>
    <w:rsid w:val="007163D0"/>
    <w:rsid w:val="00716432"/>
    <w:rsid w:val="007164E6"/>
    <w:rsid w:val="0071710E"/>
    <w:rsid w:val="00717393"/>
    <w:rsid w:val="007178BA"/>
    <w:rsid w:val="00720434"/>
    <w:rsid w:val="007204C3"/>
    <w:rsid w:val="00720523"/>
    <w:rsid w:val="00720983"/>
    <w:rsid w:val="00720BAA"/>
    <w:rsid w:val="007214A2"/>
    <w:rsid w:val="007224FB"/>
    <w:rsid w:val="00722A9A"/>
    <w:rsid w:val="0072395D"/>
    <w:rsid w:val="00723B1F"/>
    <w:rsid w:val="00724B5D"/>
    <w:rsid w:val="00724BC5"/>
    <w:rsid w:val="00725D56"/>
    <w:rsid w:val="00725E09"/>
    <w:rsid w:val="00725F4E"/>
    <w:rsid w:val="00727950"/>
    <w:rsid w:val="00727D12"/>
    <w:rsid w:val="00730A25"/>
    <w:rsid w:val="00730FB7"/>
    <w:rsid w:val="007312CB"/>
    <w:rsid w:val="00731479"/>
    <w:rsid w:val="00731F68"/>
    <w:rsid w:val="0073224E"/>
    <w:rsid w:val="00732D61"/>
    <w:rsid w:val="00733272"/>
    <w:rsid w:val="00734069"/>
    <w:rsid w:val="00735E1B"/>
    <w:rsid w:val="00735E55"/>
    <w:rsid w:val="00736E6D"/>
    <w:rsid w:val="00737383"/>
    <w:rsid w:val="00737D7C"/>
    <w:rsid w:val="00740830"/>
    <w:rsid w:val="007418C4"/>
    <w:rsid w:val="007418E9"/>
    <w:rsid w:val="00741E12"/>
    <w:rsid w:val="0074227D"/>
    <w:rsid w:val="0074306F"/>
    <w:rsid w:val="007430E8"/>
    <w:rsid w:val="00743191"/>
    <w:rsid w:val="00744081"/>
    <w:rsid w:val="00744381"/>
    <w:rsid w:val="0074480F"/>
    <w:rsid w:val="007452AB"/>
    <w:rsid w:val="007459F1"/>
    <w:rsid w:val="00745AA1"/>
    <w:rsid w:val="00745BC3"/>
    <w:rsid w:val="007462C3"/>
    <w:rsid w:val="0074642B"/>
    <w:rsid w:val="007467A4"/>
    <w:rsid w:val="00746AAC"/>
    <w:rsid w:val="00746DA8"/>
    <w:rsid w:val="007472A7"/>
    <w:rsid w:val="007478B9"/>
    <w:rsid w:val="00747E10"/>
    <w:rsid w:val="00747F8A"/>
    <w:rsid w:val="00750234"/>
    <w:rsid w:val="0075026F"/>
    <w:rsid w:val="00750944"/>
    <w:rsid w:val="007515F4"/>
    <w:rsid w:val="0075266A"/>
    <w:rsid w:val="00753336"/>
    <w:rsid w:val="007536F7"/>
    <w:rsid w:val="00753873"/>
    <w:rsid w:val="0075399C"/>
    <w:rsid w:val="00753A3B"/>
    <w:rsid w:val="00753D94"/>
    <w:rsid w:val="00753FE8"/>
    <w:rsid w:val="0075463B"/>
    <w:rsid w:val="00754BA7"/>
    <w:rsid w:val="007550D8"/>
    <w:rsid w:val="007558F2"/>
    <w:rsid w:val="00755A71"/>
    <w:rsid w:val="00755B5E"/>
    <w:rsid w:val="00756643"/>
    <w:rsid w:val="007567F5"/>
    <w:rsid w:val="00756840"/>
    <w:rsid w:val="00756B3A"/>
    <w:rsid w:val="00756CBF"/>
    <w:rsid w:val="00756F4B"/>
    <w:rsid w:val="007576B8"/>
    <w:rsid w:val="0076008C"/>
    <w:rsid w:val="00760388"/>
    <w:rsid w:val="007612BE"/>
    <w:rsid w:val="00761846"/>
    <w:rsid w:val="007619E5"/>
    <w:rsid w:val="00761E58"/>
    <w:rsid w:val="00762689"/>
    <w:rsid w:val="00762DE7"/>
    <w:rsid w:val="00762E87"/>
    <w:rsid w:val="00762FC3"/>
    <w:rsid w:val="0076314B"/>
    <w:rsid w:val="007637A1"/>
    <w:rsid w:val="007653A2"/>
    <w:rsid w:val="00765765"/>
    <w:rsid w:val="00766419"/>
    <w:rsid w:val="007664EF"/>
    <w:rsid w:val="0076673A"/>
    <w:rsid w:val="007668C4"/>
    <w:rsid w:val="00766A02"/>
    <w:rsid w:val="00766F52"/>
    <w:rsid w:val="007701C4"/>
    <w:rsid w:val="00770514"/>
    <w:rsid w:val="00770E17"/>
    <w:rsid w:val="007713F5"/>
    <w:rsid w:val="007716C8"/>
    <w:rsid w:val="00771D0D"/>
    <w:rsid w:val="00772BD0"/>
    <w:rsid w:val="00773112"/>
    <w:rsid w:val="00773453"/>
    <w:rsid w:val="007735BA"/>
    <w:rsid w:val="00773817"/>
    <w:rsid w:val="007739DD"/>
    <w:rsid w:val="00773D43"/>
    <w:rsid w:val="00773F59"/>
    <w:rsid w:val="007750AF"/>
    <w:rsid w:val="0077590A"/>
    <w:rsid w:val="007759DC"/>
    <w:rsid w:val="00775BAF"/>
    <w:rsid w:val="00776120"/>
    <w:rsid w:val="00776B13"/>
    <w:rsid w:val="007774E2"/>
    <w:rsid w:val="0077762A"/>
    <w:rsid w:val="0077783C"/>
    <w:rsid w:val="007778E8"/>
    <w:rsid w:val="00777ABC"/>
    <w:rsid w:val="00780680"/>
    <w:rsid w:val="00781481"/>
    <w:rsid w:val="00781ABB"/>
    <w:rsid w:val="00782A91"/>
    <w:rsid w:val="0078368D"/>
    <w:rsid w:val="00783A8B"/>
    <w:rsid w:val="00783B99"/>
    <w:rsid w:val="0078427A"/>
    <w:rsid w:val="00784BCB"/>
    <w:rsid w:val="00784ECB"/>
    <w:rsid w:val="00785186"/>
    <w:rsid w:val="007851E2"/>
    <w:rsid w:val="00785C24"/>
    <w:rsid w:val="00786506"/>
    <w:rsid w:val="00787405"/>
    <w:rsid w:val="0078743E"/>
    <w:rsid w:val="00787A9A"/>
    <w:rsid w:val="007901F6"/>
    <w:rsid w:val="00790C93"/>
    <w:rsid w:val="00790ECF"/>
    <w:rsid w:val="00791F70"/>
    <w:rsid w:val="00793C8C"/>
    <w:rsid w:val="00793EA2"/>
    <w:rsid w:val="007940E0"/>
    <w:rsid w:val="007942CA"/>
    <w:rsid w:val="00794611"/>
    <w:rsid w:val="00794635"/>
    <w:rsid w:val="0079465D"/>
    <w:rsid w:val="007947C0"/>
    <w:rsid w:val="0079516B"/>
    <w:rsid w:val="00795244"/>
    <w:rsid w:val="0079537E"/>
    <w:rsid w:val="00795920"/>
    <w:rsid w:val="007959F1"/>
    <w:rsid w:val="00796076"/>
    <w:rsid w:val="00796224"/>
    <w:rsid w:val="0079645C"/>
    <w:rsid w:val="0079646C"/>
    <w:rsid w:val="00797F19"/>
    <w:rsid w:val="007A02EB"/>
    <w:rsid w:val="007A0483"/>
    <w:rsid w:val="007A05B2"/>
    <w:rsid w:val="007A1AC6"/>
    <w:rsid w:val="007A1BAB"/>
    <w:rsid w:val="007A398C"/>
    <w:rsid w:val="007A3E0F"/>
    <w:rsid w:val="007A4142"/>
    <w:rsid w:val="007A50F0"/>
    <w:rsid w:val="007A51A2"/>
    <w:rsid w:val="007A55EF"/>
    <w:rsid w:val="007A5752"/>
    <w:rsid w:val="007A6620"/>
    <w:rsid w:val="007A6623"/>
    <w:rsid w:val="007A68A9"/>
    <w:rsid w:val="007A6BD1"/>
    <w:rsid w:val="007A7570"/>
    <w:rsid w:val="007A77DD"/>
    <w:rsid w:val="007A7C0D"/>
    <w:rsid w:val="007A7E6B"/>
    <w:rsid w:val="007B0458"/>
    <w:rsid w:val="007B083E"/>
    <w:rsid w:val="007B0A41"/>
    <w:rsid w:val="007B0B5B"/>
    <w:rsid w:val="007B120C"/>
    <w:rsid w:val="007B154D"/>
    <w:rsid w:val="007B1BA0"/>
    <w:rsid w:val="007B2082"/>
    <w:rsid w:val="007B22D5"/>
    <w:rsid w:val="007B2466"/>
    <w:rsid w:val="007B26F1"/>
    <w:rsid w:val="007B2FD3"/>
    <w:rsid w:val="007B31AB"/>
    <w:rsid w:val="007B32AC"/>
    <w:rsid w:val="007B4023"/>
    <w:rsid w:val="007B4CFC"/>
    <w:rsid w:val="007B4E46"/>
    <w:rsid w:val="007B55FB"/>
    <w:rsid w:val="007B56DE"/>
    <w:rsid w:val="007B6124"/>
    <w:rsid w:val="007B62D8"/>
    <w:rsid w:val="007B6C02"/>
    <w:rsid w:val="007B6E37"/>
    <w:rsid w:val="007C0B85"/>
    <w:rsid w:val="007C1C92"/>
    <w:rsid w:val="007C2075"/>
    <w:rsid w:val="007C2879"/>
    <w:rsid w:val="007C3482"/>
    <w:rsid w:val="007C3489"/>
    <w:rsid w:val="007C3558"/>
    <w:rsid w:val="007C36E0"/>
    <w:rsid w:val="007C37EB"/>
    <w:rsid w:val="007C3963"/>
    <w:rsid w:val="007C3EDA"/>
    <w:rsid w:val="007C425D"/>
    <w:rsid w:val="007C44DF"/>
    <w:rsid w:val="007C4A5B"/>
    <w:rsid w:val="007C59AE"/>
    <w:rsid w:val="007C5ED9"/>
    <w:rsid w:val="007C69E5"/>
    <w:rsid w:val="007D0C44"/>
    <w:rsid w:val="007D1FCF"/>
    <w:rsid w:val="007D282D"/>
    <w:rsid w:val="007D3E19"/>
    <w:rsid w:val="007D5695"/>
    <w:rsid w:val="007D5ABB"/>
    <w:rsid w:val="007D5C23"/>
    <w:rsid w:val="007D5D4D"/>
    <w:rsid w:val="007D5DDC"/>
    <w:rsid w:val="007D644C"/>
    <w:rsid w:val="007D6B09"/>
    <w:rsid w:val="007D6F90"/>
    <w:rsid w:val="007D7045"/>
    <w:rsid w:val="007D787B"/>
    <w:rsid w:val="007D7E6E"/>
    <w:rsid w:val="007E0163"/>
    <w:rsid w:val="007E055F"/>
    <w:rsid w:val="007E1119"/>
    <w:rsid w:val="007E195B"/>
    <w:rsid w:val="007E2053"/>
    <w:rsid w:val="007E2302"/>
    <w:rsid w:val="007E2E4A"/>
    <w:rsid w:val="007E3097"/>
    <w:rsid w:val="007E399C"/>
    <w:rsid w:val="007E3BBA"/>
    <w:rsid w:val="007E3F3B"/>
    <w:rsid w:val="007E4F28"/>
    <w:rsid w:val="007E503B"/>
    <w:rsid w:val="007E529A"/>
    <w:rsid w:val="007E530F"/>
    <w:rsid w:val="007E563F"/>
    <w:rsid w:val="007E56C6"/>
    <w:rsid w:val="007E5711"/>
    <w:rsid w:val="007E57EC"/>
    <w:rsid w:val="007E5C5E"/>
    <w:rsid w:val="007E6871"/>
    <w:rsid w:val="007E7246"/>
    <w:rsid w:val="007E73BB"/>
    <w:rsid w:val="007E7F00"/>
    <w:rsid w:val="007E7FE5"/>
    <w:rsid w:val="007F0205"/>
    <w:rsid w:val="007F04EF"/>
    <w:rsid w:val="007F0DDB"/>
    <w:rsid w:val="007F14F1"/>
    <w:rsid w:val="007F192A"/>
    <w:rsid w:val="007F19BB"/>
    <w:rsid w:val="007F1C4F"/>
    <w:rsid w:val="007F27D8"/>
    <w:rsid w:val="007F3CE0"/>
    <w:rsid w:val="007F3DD1"/>
    <w:rsid w:val="007F42AA"/>
    <w:rsid w:val="007F42E8"/>
    <w:rsid w:val="007F433D"/>
    <w:rsid w:val="007F46CB"/>
    <w:rsid w:val="007F4A15"/>
    <w:rsid w:val="007F53DB"/>
    <w:rsid w:val="007F57EB"/>
    <w:rsid w:val="007F6441"/>
    <w:rsid w:val="007F6E87"/>
    <w:rsid w:val="007F76F7"/>
    <w:rsid w:val="008001D1"/>
    <w:rsid w:val="00800D99"/>
    <w:rsid w:val="008012DB"/>
    <w:rsid w:val="008018D0"/>
    <w:rsid w:val="00801BFE"/>
    <w:rsid w:val="00802533"/>
    <w:rsid w:val="00802E53"/>
    <w:rsid w:val="00804057"/>
    <w:rsid w:val="00804388"/>
    <w:rsid w:val="00804746"/>
    <w:rsid w:val="00804F9B"/>
    <w:rsid w:val="008054DB"/>
    <w:rsid w:val="008059D6"/>
    <w:rsid w:val="00805A49"/>
    <w:rsid w:val="00805B58"/>
    <w:rsid w:val="00805D98"/>
    <w:rsid w:val="008063C6"/>
    <w:rsid w:val="008064DE"/>
    <w:rsid w:val="00806ABD"/>
    <w:rsid w:val="00807347"/>
    <w:rsid w:val="008077E6"/>
    <w:rsid w:val="00807882"/>
    <w:rsid w:val="00807B4D"/>
    <w:rsid w:val="00810327"/>
    <w:rsid w:val="00811872"/>
    <w:rsid w:val="0081246C"/>
    <w:rsid w:val="00812514"/>
    <w:rsid w:val="00813573"/>
    <w:rsid w:val="00813637"/>
    <w:rsid w:val="008139A9"/>
    <w:rsid w:val="00813BB3"/>
    <w:rsid w:val="0081446A"/>
    <w:rsid w:val="008144D8"/>
    <w:rsid w:val="00814F24"/>
    <w:rsid w:val="0081502F"/>
    <w:rsid w:val="0081568E"/>
    <w:rsid w:val="00815B69"/>
    <w:rsid w:val="00816149"/>
    <w:rsid w:val="00816CA3"/>
    <w:rsid w:val="00816CF6"/>
    <w:rsid w:val="00816E8E"/>
    <w:rsid w:val="00817226"/>
    <w:rsid w:val="00817669"/>
    <w:rsid w:val="008176DF"/>
    <w:rsid w:val="00817ADD"/>
    <w:rsid w:val="00817EA3"/>
    <w:rsid w:val="00820309"/>
    <w:rsid w:val="00820B26"/>
    <w:rsid w:val="00820D8B"/>
    <w:rsid w:val="00820FC6"/>
    <w:rsid w:val="008214AD"/>
    <w:rsid w:val="008219C7"/>
    <w:rsid w:val="00821D5C"/>
    <w:rsid w:val="00822368"/>
    <w:rsid w:val="00822ADB"/>
    <w:rsid w:val="00822C8A"/>
    <w:rsid w:val="0082337A"/>
    <w:rsid w:val="00823514"/>
    <w:rsid w:val="00824900"/>
    <w:rsid w:val="00824A2E"/>
    <w:rsid w:val="00824EC9"/>
    <w:rsid w:val="00825E1E"/>
    <w:rsid w:val="0082716E"/>
    <w:rsid w:val="00827B33"/>
    <w:rsid w:val="008310C7"/>
    <w:rsid w:val="00831A06"/>
    <w:rsid w:val="00831AC5"/>
    <w:rsid w:val="008325DB"/>
    <w:rsid w:val="00832F3B"/>
    <w:rsid w:val="00834E6E"/>
    <w:rsid w:val="0083565C"/>
    <w:rsid w:val="00836D90"/>
    <w:rsid w:val="00837556"/>
    <w:rsid w:val="008375A3"/>
    <w:rsid w:val="00840327"/>
    <w:rsid w:val="0084093E"/>
    <w:rsid w:val="0084119C"/>
    <w:rsid w:val="00841B67"/>
    <w:rsid w:val="00841C3B"/>
    <w:rsid w:val="00842289"/>
    <w:rsid w:val="0084237E"/>
    <w:rsid w:val="008425A3"/>
    <w:rsid w:val="00842C3E"/>
    <w:rsid w:val="00842FA1"/>
    <w:rsid w:val="008435D0"/>
    <w:rsid w:val="0084375D"/>
    <w:rsid w:val="00843BFE"/>
    <w:rsid w:val="00844B3F"/>
    <w:rsid w:val="00845E7A"/>
    <w:rsid w:val="00845F45"/>
    <w:rsid w:val="00846579"/>
    <w:rsid w:val="008468FB"/>
    <w:rsid w:val="00846AE9"/>
    <w:rsid w:val="00847A75"/>
    <w:rsid w:val="00847CCD"/>
    <w:rsid w:val="00847E30"/>
    <w:rsid w:val="008505D7"/>
    <w:rsid w:val="00850821"/>
    <w:rsid w:val="00850867"/>
    <w:rsid w:val="00850CC5"/>
    <w:rsid w:val="00851143"/>
    <w:rsid w:val="008511C1"/>
    <w:rsid w:val="00851DD3"/>
    <w:rsid w:val="00852351"/>
    <w:rsid w:val="008524AC"/>
    <w:rsid w:val="00852B21"/>
    <w:rsid w:val="00852E04"/>
    <w:rsid w:val="00852E26"/>
    <w:rsid w:val="00852F13"/>
    <w:rsid w:val="008536B6"/>
    <w:rsid w:val="00853A5F"/>
    <w:rsid w:val="00854C7E"/>
    <w:rsid w:val="00856A95"/>
    <w:rsid w:val="00856CFF"/>
    <w:rsid w:val="00857010"/>
    <w:rsid w:val="00860305"/>
    <w:rsid w:val="00860D67"/>
    <w:rsid w:val="00860D93"/>
    <w:rsid w:val="00861A93"/>
    <w:rsid w:val="00862007"/>
    <w:rsid w:val="008629E1"/>
    <w:rsid w:val="0086308B"/>
    <w:rsid w:val="008632B8"/>
    <w:rsid w:val="00863927"/>
    <w:rsid w:val="0086398E"/>
    <w:rsid w:val="0086423F"/>
    <w:rsid w:val="00865836"/>
    <w:rsid w:val="00865B9C"/>
    <w:rsid w:val="0086617A"/>
    <w:rsid w:val="008664D6"/>
    <w:rsid w:val="00866B93"/>
    <w:rsid w:val="00866FC6"/>
    <w:rsid w:val="008673B7"/>
    <w:rsid w:val="00867733"/>
    <w:rsid w:val="00867771"/>
    <w:rsid w:val="00867B2F"/>
    <w:rsid w:val="00867E76"/>
    <w:rsid w:val="008704C4"/>
    <w:rsid w:val="00870581"/>
    <w:rsid w:val="00871241"/>
    <w:rsid w:val="00871505"/>
    <w:rsid w:val="0087195C"/>
    <w:rsid w:val="00871FBB"/>
    <w:rsid w:val="008722A6"/>
    <w:rsid w:val="00873189"/>
    <w:rsid w:val="0087335E"/>
    <w:rsid w:val="008736FE"/>
    <w:rsid w:val="00873756"/>
    <w:rsid w:val="00874116"/>
    <w:rsid w:val="008743E3"/>
    <w:rsid w:val="008751C4"/>
    <w:rsid w:val="00875AEF"/>
    <w:rsid w:val="00875AF4"/>
    <w:rsid w:val="00875C71"/>
    <w:rsid w:val="00875DB2"/>
    <w:rsid w:val="008762B5"/>
    <w:rsid w:val="0087688C"/>
    <w:rsid w:val="0087695E"/>
    <w:rsid w:val="00877485"/>
    <w:rsid w:val="00877780"/>
    <w:rsid w:val="00877784"/>
    <w:rsid w:val="00877C29"/>
    <w:rsid w:val="00877C32"/>
    <w:rsid w:val="0088084B"/>
    <w:rsid w:val="00880B73"/>
    <w:rsid w:val="00881B3D"/>
    <w:rsid w:val="00881E9A"/>
    <w:rsid w:val="00882661"/>
    <w:rsid w:val="008826AE"/>
    <w:rsid w:val="0088276D"/>
    <w:rsid w:val="00882BD8"/>
    <w:rsid w:val="00883017"/>
    <w:rsid w:val="00883461"/>
    <w:rsid w:val="008845FA"/>
    <w:rsid w:val="008851AA"/>
    <w:rsid w:val="00885BCA"/>
    <w:rsid w:val="00885F79"/>
    <w:rsid w:val="00885F9B"/>
    <w:rsid w:val="008873F8"/>
    <w:rsid w:val="00887930"/>
    <w:rsid w:val="00887B6D"/>
    <w:rsid w:val="00887EDA"/>
    <w:rsid w:val="00890239"/>
    <w:rsid w:val="0089101E"/>
    <w:rsid w:val="0089119B"/>
    <w:rsid w:val="0089129F"/>
    <w:rsid w:val="008916DE"/>
    <w:rsid w:val="00891AF2"/>
    <w:rsid w:val="00891D9E"/>
    <w:rsid w:val="00892037"/>
    <w:rsid w:val="00892A42"/>
    <w:rsid w:val="00893091"/>
    <w:rsid w:val="008935D5"/>
    <w:rsid w:val="00893845"/>
    <w:rsid w:val="00893AA1"/>
    <w:rsid w:val="00894670"/>
    <w:rsid w:val="0089474B"/>
    <w:rsid w:val="0089520E"/>
    <w:rsid w:val="0089555D"/>
    <w:rsid w:val="0089703D"/>
    <w:rsid w:val="0089710B"/>
    <w:rsid w:val="0089724A"/>
    <w:rsid w:val="00897377"/>
    <w:rsid w:val="00897687"/>
    <w:rsid w:val="008A0186"/>
    <w:rsid w:val="008A0718"/>
    <w:rsid w:val="008A08C2"/>
    <w:rsid w:val="008A0FBE"/>
    <w:rsid w:val="008A1001"/>
    <w:rsid w:val="008A1171"/>
    <w:rsid w:val="008A1A2F"/>
    <w:rsid w:val="008A1B99"/>
    <w:rsid w:val="008A1EA4"/>
    <w:rsid w:val="008A30F4"/>
    <w:rsid w:val="008A38EC"/>
    <w:rsid w:val="008A39F8"/>
    <w:rsid w:val="008A3FD3"/>
    <w:rsid w:val="008A4ED6"/>
    <w:rsid w:val="008A50F4"/>
    <w:rsid w:val="008A51E9"/>
    <w:rsid w:val="008A58E8"/>
    <w:rsid w:val="008A607D"/>
    <w:rsid w:val="008A6329"/>
    <w:rsid w:val="008A6644"/>
    <w:rsid w:val="008A69AB"/>
    <w:rsid w:val="008A6E87"/>
    <w:rsid w:val="008A7772"/>
    <w:rsid w:val="008A7AFC"/>
    <w:rsid w:val="008B0F4F"/>
    <w:rsid w:val="008B1DC9"/>
    <w:rsid w:val="008B2047"/>
    <w:rsid w:val="008B293C"/>
    <w:rsid w:val="008B2D17"/>
    <w:rsid w:val="008B33CA"/>
    <w:rsid w:val="008B34FD"/>
    <w:rsid w:val="008B38BD"/>
    <w:rsid w:val="008B3C48"/>
    <w:rsid w:val="008B3D23"/>
    <w:rsid w:val="008B3E07"/>
    <w:rsid w:val="008B435F"/>
    <w:rsid w:val="008B4936"/>
    <w:rsid w:val="008B4A0B"/>
    <w:rsid w:val="008B5821"/>
    <w:rsid w:val="008B5B7E"/>
    <w:rsid w:val="008B760C"/>
    <w:rsid w:val="008B7804"/>
    <w:rsid w:val="008B7ABF"/>
    <w:rsid w:val="008C01FA"/>
    <w:rsid w:val="008C0632"/>
    <w:rsid w:val="008C0C5F"/>
    <w:rsid w:val="008C1799"/>
    <w:rsid w:val="008C2F29"/>
    <w:rsid w:val="008C3098"/>
    <w:rsid w:val="008C3130"/>
    <w:rsid w:val="008C33D0"/>
    <w:rsid w:val="008C388D"/>
    <w:rsid w:val="008C3F53"/>
    <w:rsid w:val="008C3FEE"/>
    <w:rsid w:val="008C4619"/>
    <w:rsid w:val="008C4C53"/>
    <w:rsid w:val="008C512B"/>
    <w:rsid w:val="008C548A"/>
    <w:rsid w:val="008C5D54"/>
    <w:rsid w:val="008C6B00"/>
    <w:rsid w:val="008C75D2"/>
    <w:rsid w:val="008D0B5D"/>
    <w:rsid w:val="008D0C6D"/>
    <w:rsid w:val="008D180F"/>
    <w:rsid w:val="008D262D"/>
    <w:rsid w:val="008D2B32"/>
    <w:rsid w:val="008D2DAC"/>
    <w:rsid w:val="008D344A"/>
    <w:rsid w:val="008D37F2"/>
    <w:rsid w:val="008D3E00"/>
    <w:rsid w:val="008D4090"/>
    <w:rsid w:val="008D440A"/>
    <w:rsid w:val="008D44A3"/>
    <w:rsid w:val="008D461A"/>
    <w:rsid w:val="008D4A12"/>
    <w:rsid w:val="008D4ECE"/>
    <w:rsid w:val="008D4FAF"/>
    <w:rsid w:val="008D5080"/>
    <w:rsid w:val="008D5092"/>
    <w:rsid w:val="008D52BE"/>
    <w:rsid w:val="008D5637"/>
    <w:rsid w:val="008D5B52"/>
    <w:rsid w:val="008D62A5"/>
    <w:rsid w:val="008D6C62"/>
    <w:rsid w:val="008D7144"/>
    <w:rsid w:val="008D7574"/>
    <w:rsid w:val="008D75D2"/>
    <w:rsid w:val="008D7C83"/>
    <w:rsid w:val="008E062D"/>
    <w:rsid w:val="008E1447"/>
    <w:rsid w:val="008E2404"/>
    <w:rsid w:val="008E3101"/>
    <w:rsid w:val="008E31DB"/>
    <w:rsid w:val="008E384F"/>
    <w:rsid w:val="008E3E4B"/>
    <w:rsid w:val="008E40CC"/>
    <w:rsid w:val="008E49B0"/>
    <w:rsid w:val="008E4C24"/>
    <w:rsid w:val="008E4C3D"/>
    <w:rsid w:val="008E4CA6"/>
    <w:rsid w:val="008E5181"/>
    <w:rsid w:val="008E58D2"/>
    <w:rsid w:val="008E5AE5"/>
    <w:rsid w:val="008E5B0E"/>
    <w:rsid w:val="008E5C85"/>
    <w:rsid w:val="008E5F35"/>
    <w:rsid w:val="008E61A2"/>
    <w:rsid w:val="008E6259"/>
    <w:rsid w:val="008E6585"/>
    <w:rsid w:val="008E6DD7"/>
    <w:rsid w:val="008E6F31"/>
    <w:rsid w:val="008E7171"/>
    <w:rsid w:val="008E781E"/>
    <w:rsid w:val="008E7DC0"/>
    <w:rsid w:val="008E7EE5"/>
    <w:rsid w:val="008F062F"/>
    <w:rsid w:val="008F089B"/>
    <w:rsid w:val="008F0A74"/>
    <w:rsid w:val="008F0B54"/>
    <w:rsid w:val="008F0D91"/>
    <w:rsid w:val="008F1A4C"/>
    <w:rsid w:val="008F21B8"/>
    <w:rsid w:val="008F226A"/>
    <w:rsid w:val="008F2AE5"/>
    <w:rsid w:val="008F2D22"/>
    <w:rsid w:val="008F300E"/>
    <w:rsid w:val="008F3306"/>
    <w:rsid w:val="008F3981"/>
    <w:rsid w:val="008F3EAC"/>
    <w:rsid w:val="008F42C3"/>
    <w:rsid w:val="008F48E1"/>
    <w:rsid w:val="008F4C34"/>
    <w:rsid w:val="008F4FBF"/>
    <w:rsid w:val="008F54E4"/>
    <w:rsid w:val="008F6275"/>
    <w:rsid w:val="008F636D"/>
    <w:rsid w:val="008F663E"/>
    <w:rsid w:val="008F6AB9"/>
    <w:rsid w:val="008F7850"/>
    <w:rsid w:val="00900191"/>
    <w:rsid w:val="009004B8"/>
    <w:rsid w:val="00900A02"/>
    <w:rsid w:val="00900A35"/>
    <w:rsid w:val="0090146D"/>
    <w:rsid w:val="0090173D"/>
    <w:rsid w:val="00901E9C"/>
    <w:rsid w:val="009020BF"/>
    <w:rsid w:val="009020C8"/>
    <w:rsid w:val="00902161"/>
    <w:rsid w:val="00902DA0"/>
    <w:rsid w:val="0090390B"/>
    <w:rsid w:val="00903C8A"/>
    <w:rsid w:val="0090458F"/>
    <w:rsid w:val="009048B6"/>
    <w:rsid w:val="00904923"/>
    <w:rsid w:val="009052B0"/>
    <w:rsid w:val="00905B25"/>
    <w:rsid w:val="00905EF1"/>
    <w:rsid w:val="00906565"/>
    <w:rsid w:val="009065C7"/>
    <w:rsid w:val="009067F2"/>
    <w:rsid w:val="00906E1C"/>
    <w:rsid w:val="00907015"/>
    <w:rsid w:val="009073DE"/>
    <w:rsid w:val="00907A81"/>
    <w:rsid w:val="00907F8D"/>
    <w:rsid w:val="0091016E"/>
    <w:rsid w:val="0091094F"/>
    <w:rsid w:val="00910D86"/>
    <w:rsid w:val="0091123F"/>
    <w:rsid w:val="009120D0"/>
    <w:rsid w:val="00912845"/>
    <w:rsid w:val="00912E55"/>
    <w:rsid w:val="00913D9F"/>
    <w:rsid w:val="00914398"/>
    <w:rsid w:val="00914BCE"/>
    <w:rsid w:val="009155A6"/>
    <w:rsid w:val="00915B37"/>
    <w:rsid w:val="00915B9C"/>
    <w:rsid w:val="0091697F"/>
    <w:rsid w:val="00916D2F"/>
    <w:rsid w:val="0091751D"/>
    <w:rsid w:val="0091773A"/>
    <w:rsid w:val="00920608"/>
    <w:rsid w:val="00921103"/>
    <w:rsid w:val="00921142"/>
    <w:rsid w:val="009213B4"/>
    <w:rsid w:val="009217CD"/>
    <w:rsid w:val="009219C4"/>
    <w:rsid w:val="0092200A"/>
    <w:rsid w:val="0092229D"/>
    <w:rsid w:val="009226F9"/>
    <w:rsid w:val="009232D5"/>
    <w:rsid w:val="0092346A"/>
    <w:rsid w:val="009258BE"/>
    <w:rsid w:val="00925F48"/>
    <w:rsid w:val="0092681D"/>
    <w:rsid w:val="00926947"/>
    <w:rsid w:val="00926989"/>
    <w:rsid w:val="00930DED"/>
    <w:rsid w:val="0093122F"/>
    <w:rsid w:val="009312D6"/>
    <w:rsid w:val="00931942"/>
    <w:rsid w:val="00931BF6"/>
    <w:rsid w:val="0093227B"/>
    <w:rsid w:val="00932670"/>
    <w:rsid w:val="00932B9C"/>
    <w:rsid w:val="00932EC8"/>
    <w:rsid w:val="00932F20"/>
    <w:rsid w:val="00933C9A"/>
    <w:rsid w:val="00933E38"/>
    <w:rsid w:val="0093480F"/>
    <w:rsid w:val="00934FB1"/>
    <w:rsid w:val="009354C2"/>
    <w:rsid w:val="009355E5"/>
    <w:rsid w:val="00935672"/>
    <w:rsid w:val="009379BA"/>
    <w:rsid w:val="009405AA"/>
    <w:rsid w:val="0094110E"/>
    <w:rsid w:val="009430F6"/>
    <w:rsid w:val="00943252"/>
    <w:rsid w:val="009441F0"/>
    <w:rsid w:val="009448C2"/>
    <w:rsid w:val="00944A4E"/>
    <w:rsid w:val="00944DF2"/>
    <w:rsid w:val="00945002"/>
    <w:rsid w:val="0094528F"/>
    <w:rsid w:val="0094543D"/>
    <w:rsid w:val="009457BC"/>
    <w:rsid w:val="0094580D"/>
    <w:rsid w:val="00945C74"/>
    <w:rsid w:val="00945FBF"/>
    <w:rsid w:val="00946602"/>
    <w:rsid w:val="00946AD5"/>
    <w:rsid w:val="00946F49"/>
    <w:rsid w:val="00947306"/>
    <w:rsid w:val="009500AB"/>
    <w:rsid w:val="009506E3"/>
    <w:rsid w:val="00951ACE"/>
    <w:rsid w:val="00951C32"/>
    <w:rsid w:val="00951D1E"/>
    <w:rsid w:val="009528A4"/>
    <w:rsid w:val="00953257"/>
    <w:rsid w:val="00953398"/>
    <w:rsid w:val="00953611"/>
    <w:rsid w:val="009539AD"/>
    <w:rsid w:val="00955726"/>
    <w:rsid w:val="00956010"/>
    <w:rsid w:val="0095619F"/>
    <w:rsid w:val="009561B7"/>
    <w:rsid w:val="0095680E"/>
    <w:rsid w:val="00956944"/>
    <w:rsid w:val="00956B4E"/>
    <w:rsid w:val="00956C88"/>
    <w:rsid w:val="009571EC"/>
    <w:rsid w:val="009574AE"/>
    <w:rsid w:val="00957651"/>
    <w:rsid w:val="00957D1E"/>
    <w:rsid w:val="00957EF9"/>
    <w:rsid w:val="00960932"/>
    <w:rsid w:val="009619EA"/>
    <w:rsid w:val="00961F84"/>
    <w:rsid w:val="00962308"/>
    <w:rsid w:val="00962B9B"/>
    <w:rsid w:val="00963A84"/>
    <w:rsid w:val="0096465A"/>
    <w:rsid w:val="00965EFC"/>
    <w:rsid w:val="009662E5"/>
    <w:rsid w:val="009664F9"/>
    <w:rsid w:val="00966CC2"/>
    <w:rsid w:val="00966EDA"/>
    <w:rsid w:val="009673EF"/>
    <w:rsid w:val="00967C17"/>
    <w:rsid w:val="00967E55"/>
    <w:rsid w:val="009708C4"/>
    <w:rsid w:val="009709C9"/>
    <w:rsid w:val="00970B62"/>
    <w:rsid w:val="00970D1D"/>
    <w:rsid w:val="0097119B"/>
    <w:rsid w:val="00971D39"/>
    <w:rsid w:val="009723F7"/>
    <w:rsid w:val="0097240C"/>
    <w:rsid w:val="00972423"/>
    <w:rsid w:val="0097286F"/>
    <w:rsid w:val="00972CC4"/>
    <w:rsid w:val="00973136"/>
    <w:rsid w:val="00973855"/>
    <w:rsid w:val="00973897"/>
    <w:rsid w:val="009739F6"/>
    <w:rsid w:val="00973CAA"/>
    <w:rsid w:val="00973DEF"/>
    <w:rsid w:val="00973F19"/>
    <w:rsid w:val="009748D3"/>
    <w:rsid w:val="00974A2F"/>
    <w:rsid w:val="00974DC8"/>
    <w:rsid w:val="0097598A"/>
    <w:rsid w:val="00976E16"/>
    <w:rsid w:val="00976F22"/>
    <w:rsid w:val="009773A1"/>
    <w:rsid w:val="009775D9"/>
    <w:rsid w:val="00977BCC"/>
    <w:rsid w:val="00977CEA"/>
    <w:rsid w:val="00980037"/>
    <w:rsid w:val="00980551"/>
    <w:rsid w:val="0098079F"/>
    <w:rsid w:val="009807AA"/>
    <w:rsid w:val="00981796"/>
    <w:rsid w:val="0098230A"/>
    <w:rsid w:val="0098281F"/>
    <w:rsid w:val="00982972"/>
    <w:rsid w:val="00982A7F"/>
    <w:rsid w:val="00982E8B"/>
    <w:rsid w:val="00983B70"/>
    <w:rsid w:val="009843D5"/>
    <w:rsid w:val="009850CB"/>
    <w:rsid w:val="0098574A"/>
    <w:rsid w:val="00985BBD"/>
    <w:rsid w:val="00986139"/>
    <w:rsid w:val="009861DC"/>
    <w:rsid w:val="0098634C"/>
    <w:rsid w:val="00986749"/>
    <w:rsid w:val="00986D4F"/>
    <w:rsid w:val="00986F9D"/>
    <w:rsid w:val="0098735E"/>
    <w:rsid w:val="009879E4"/>
    <w:rsid w:val="00987AE2"/>
    <w:rsid w:val="00990076"/>
    <w:rsid w:val="0099039E"/>
    <w:rsid w:val="00990697"/>
    <w:rsid w:val="0099104B"/>
    <w:rsid w:val="00991D12"/>
    <w:rsid w:val="00992C76"/>
    <w:rsid w:val="009930CC"/>
    <w:rsid w:val="0099380E"/>
    <w:rsid w:val="00993FDE"/>
    <w:rsid w:val="0099413D"/>
    <w:rsid w:val="00994713"/>
    <w:rsid w:val="00995163"/>
    <w:rsid w:val="00995348"/>
    <w:rsid w:val="0099558C"/>
    <w:rsid w:val="00995A74"/>
    <w:rsid w:val="00997464"/>
    <w:rsid w:val="009974B8"/>
    <w:rsid w:val="0099790F"/>
    <w:rsid w:val="009A01D3"/>
    <w:rsid w:val="009A071A"/>
    <w:rsid w:val="009A071D"/>
    <w:rsid w:val="009A09EB"/>
    <w:rsid w:val="009A114F"/>
    <w:rsid w:val="009A1905"/>
    <w:rsid w:val="009A1B90"/>
    <w:rsid w:val="009A1F2F"/>
    <w:rsid w:val="009A22A3"/>
    <w:rsid w:val="009A2403"/>
    <w:rsid w:val="009A4267"/>
    <w:rsid w:val="009A434A"/>
    <w:rsid w:val="009A4359"/>
    <w:rsid w:val="009A47CC"/>
    <w:rsid w:val="009A4A65"/>
    <w:rsid w:val="009A4BCB"/>
    <w:rsid w:val="009A4E45"/>
    <w:rsid w:val="009A51B5"/>
    <w:rsid w:val="009A523E"/>
    <w:rsid w:val="009A5E45"/>
    <w:rsid w:val="009A6A89"/>
    <w:rsid w:val="009A6C8A"/>
    <w:rsid w:val="009A778E"/>
    <w:rsid w:val="009A7AEE"/>
    <w:rsid w:val="009A7BE2"/>
    <w:rsid w:val="009B001A"/>
    <w:rsid w:val="009B08D9"/>
    <w:rsid w:val="009B0FED"/>
    <w:rsid w:val="009B2AAA"/>
    <w:rsid w:val="009B4041"/>
    <w:rsid w:val="009B4370"/>
    <w:rsid w:val="009B46CF"/>
    <w:rsid w:val="009B5344"/>
    <w:rsid w:val="009B5821"/>
    <w:rsid w:val="009B5ADD"/>
    <w:rsid w:val="009B5D67"/>
    <w:rsid w:val="009B6126"/>
    <w:rsid w:val="009B666D"/>
    <w:rsid w:val="009B6AFA"/>
    <w:rsid w:val="009B729A"/>
    <w:rsid w:val="009B73E2"/>
    <w:rsid w:val="009B7BE0"/>
    <w:rsid w:val="009C006A"/>
    <w:rsid w:val="009C03C7"/>
    <w:rsid w:val="009C0497"/>
    <w:rsid w:val="009C0756"/>
    <w:rsid w:val="009C0D63"/>
    <w:rsid w:val="009C11E7"/>
    <w:rsid w:val="009C213C"/>
    <w:rsid w:val="009C2366"/>
    <w:rsid w:val="009C2632"/>
    <w:rsid w:val="009C2848"/>
    <w:rsid w:val="009C3145"/>
    <w:rsid w:val="009C31BF"/>
    <w:rsid w:val="009C42FD"/>
    <w:rsid w:val="009C4400"/>
    <w:rsid w:val="009C47E6"/>
    <w:rsid w:val="009C4F76"/>
    <w:rsid w:val="009C5261"/>
    <w:rsid w:val="009C52D2"/>
    <w:rsid w:val="009C55E2"/>
    <w:rsid w:val="009C5AD3"/>
    <w:rsid w:val="009C7CF5"/>
    <w:rsid w:val="009C7DD1"/>
    <w:rsid w:val="009D0315"/>
    <w:rsid w:val="009D03A5"/>
    <w:rsid w:val="009D0B64"/>
    <w:rsid w:val="009D0EAE"/>
    <w:rsid w:val="009D11D1"/>
    <w:rsid w:val="009D1A61"/>
    <w:rsid w:val="009D1A7F"/>
    <w:rsid w:val="009D2AFF"/>
    <w:rsid w:val="009D30E8"/>
    <w:rsid w:val="009D3581"/>
    <w:rsid w:val="009D368B"/>
    <w:rsid w:val="009D3706"/>
    <w:rsid w:val="009D3727"/>
    <w:rsid w:val="009D3F1D"/>
    <w:rsid w:val="009D4C77"/>
    <w:rsid w:val="009D4EB3"/>
    <w:rsid w:val="009D54CB"/>
    <w:rsid w:val="009D5AD2"/>
    <w:rsid w:val="009D769B"/>
    <w:rsid w:val="009D7F3E"/>
    <w:rsid w:val="009E07D8"/>
    <w:rsid w:val="009E0C80"/>
    <w:rsid w:val="009E0F64"/>
    <w:rsid w:val="009E1230"/>
    <w:rsid w:val="009E15C3"/>
    <w:rsid w:val="009E16D4"/>
    <w:rsid w:val="009E17FB"/>
    <w:rsid w:val="009E2021"/>
    <w:rsid w:val="009E2045"/>
    <w:rsid w:val="009E2589"/>
    <w:rsid w:val="009E2875"/>
    <w:rsid w:val="009E2A5D"/>
    <w:rsid w:val="009E3051"/>
    <w:rsid w:val="009E34E8"/>
    <w:rsid w:val="009E3673"/>
    <w:rsid w:val="009E3AC5"/>
    <w:rsid w:val="009E3F23"/>
    <w:rsid w:val="009E4057"/>
    <w:rsid w:val="009E4AF0"/>
    <w:rsid w:val="009E4B26"/>
    <w:rsid w:val="009E50E4"/>
    <w:rsid w:val="009E5413"/>
    <w:rsid w:val="009E603D"/>
    <w:rsid w:val="009E6193"/>
    <w:rsid w:val="009E6945"/>
    <w:rsid w:val="009E7115"/>
    <w:rsid w:val="009E7552"/>
    <w:rsid w:val="009E75BE"/>
    <w:rsid w:val="009E7829"/>
    <w:rsid w:val="009E7D39"/>
    <w:rsid w:val="009F01B8"/>
    <w:rsid w:val="009F16FB"/>
    <w:rsid w:val="009F1748"/>
    <w:rsid w:val="009F1921"/>
    <w:rsid w:val="009F207B"/>
    <w:rsid w:val="009F2756"/>
    <w:rsid w:val="009F28B7"/>
    <w:rsid w:val="009F29BA"/>
    <w:rsid w:val="009F2C69"/>
    <w:rsid w:val="009F2E46"/>
    <w:rsid w:val="009F30BB"/>
    <w:rsid w:val="009F48C7"/>
    <w:rsid w:val="009F4CF6"/>
    <w:rsid w:val="009F5490"/>
    <w:rsid w:val="009F56D4"/>
    <w:rsid w:val="009F5A2C"/>
    <w:rsid w:val="009F5D64"/>
    <w:rsid w:val="009F7710"/>
    <w:rsid w:val="009F792E"/>
    <w:rsid w:val="00A0006A"/>
    <w:rsid w:val="00A020B8"/>
    <w:rsid w:val="00A0233C"/>
    <w:rsid w:val="00A033B3"/>
    <w:rsid w:val="00A034CA"/>
    <w:rsid w:val="00A03A1E"/>
    <w:rsid w:val="00A03EC7"/>
    <w:rsid w:val="00A0409E"/>
    <w:rsid w:val="00A0449C"/>
    <w:rsid w:val="00A04A21"/>
    <w:rsid w:val="00A052E2"/>
    <w:rsid w:val="00A053FF"/>
    <w:rsid w:val="00A05560"/>
    <w:rsid w:val="00A05D35"/>
    <w:rsid w:val="00A06A8D"/>
    <w:rsid w:val="00A07180"/>
    <w:rsid w:val="00A07636"/>
    <w:rsid w:val="00A07D8E"/>
    <w:rsid w:val="00A10947"/>
    <w:rsid w:val="00A11095"/>
    <w:rsid w:val="00A11171"/>
    <w:rsid w:val="00A1181B"/>
    <w:rsid w:val="00A11A04"/>
    <w:rsid w:val="00A11B5A"/>
    <w:rsid w:val="00A12F8E"/>
    <w:rsid w:val="00A133D6"/>
    <w:rsid w:val="00A1351A"/>
    <w:rsid w:val="00A13A87"/>
    <w:rsid w:val="00A14036"/>
    <w:rsid w:val="00A16007"/>
    <w:rsid w:val="00A169AF"/>
    <w:rsid w:val="00A16C96"/>
    <w:rsid w:val="00A17D21"/>
    <w:rsid w:val="00A17E6F"/>
    <w:rsid w:val="00A2132A"/>
    <w:rsid w:val="00A21333"/>
    <w:rsid w:val="00A22A3F"/>
    <w:rsid w:val="00A23038"/>
    <w:rsid w:val="00A233F6"/>
    <w:rsid w:val="00A23489"/>
    <w:rsid w:val="00A23F1E"/>
    <w:rsid w:val="00A246A0"/>
    <w:rsid w:val="00A24E3C"/>
    <w:rsid w:val="00A27B8B"/>
    <w:rsid w:val="00A321ED"/>
    <w:rsid w:val="00A324EE"/>
    <w:rsid w:val="00A3362B"/>
    <w:rsid w:val="00A33672"/>
    <w:rsid w:val="00A33784"/>
    <w:rsid w:val="00A33E07"/>
    <w:rsid w:val="00A33E1B"/>
    <w:rsid w:val="00A343A6"/>
    <w:rsid w:val="00A3472C"/>
    <w:rsid w:val="00A34C7B"/>
    <w:rsid w:val="00A34DF3"/>
    <w:rsid w:val="00A35147"/>
    <w:rsid w:val="00A35A77"/>
    <w:rsid w:val="00A35E9B"/>
    <w:rsid w:val="00A3663A"/>
    <w:rsid w:val="00A36833"/>
    <w:rsid w:val="00A36B6E"/>
    <w:rsid w:val="00A376FB"/>
    <w:rsid w:val="00A405A8"/>
    <w:rsid w:val="00A40843"/>
    <w:rsid w:val="00A40887"/>
    <w:rsid w:val="00A40FCF"/>
    <w:rsid w:val="00A415FE"/>
    <w:rsid w:val="00A417DD"/>
    <w:rsid w:val="00A41814"/>
    <w:rsid w:val="00A41A01"/>
    <w:rsid w:val="00A41A97"/>
    <w:rsid w:val="00A42ABE"/>
    <w:rsid w:val="00A439BC"/>
    <w:rsid w:val="00A440E4"/>
    <w:rsid w:val="00A45E01"/>
    <w:rsid w:val="00A4608D"/>
    <w:rsid w:val="00A46FF8"/>
    <w:rsid w:val="00A4715D"/>
    <w:rsid w:val="00A47191"/>
    <w:rsid w:val="00A47F51"/>
    <w:rsid w:val="00A5122C"/>
    <w:rsid w:val="00A513DE"/>
    <w:rsid w:val="00A5184E"/>
    <w:rsid w:val="00A5199C"/>
    <w:rsid w:val="00A51CA0"/>
    <w:rsid w:val="00A51F58"/>
    <w:rsid w:val="00A522A3"/>
    <w:rsid w:val="00A52365"/>
    <w:rsid w:val="00A52595"/>
    <w:rsid w:val="00A52AFF"/>
    <w:rsid w:val="00A53472"/>
    <w:rsid w:val="00A5360D"/>
    <w:rsid w:val="00A541B4"/>
    <w:rsid w:val="00A54620"/>
    <w:rsid w:val="00A55983"/>
    <w:rsid w:val="00A5688E"/>
    <w:rsid w:val="00A56C89"/>
    <w:rsid w:val="00A56EC3"/>
    <w:rsid w:val="00A56F2C"/>
    <w:rsid w:val="00A5708A"/>
    <w:rsid w:val="00A572D3"/>
    <w:rsid w:val="00A5736A"/>
    <w:rsid w:val="00A57905"/>
    <w:rsid w:val="00A5798C"/>
    <w:rsid w:val="00A57DB4"/>
    <w:rsid w:val="00A602FA"/>
    <w:rsid w:val="00A624EA"/>
    <w:rsid w:val="00A62775"/>
    <w:rsid w:val="00A6348A"/>
    <w:rsid w:val="00A634F9"/>
    <w:rsid w:val="00A637CA"/>
    <w:rsid w:val="00A63DFC"/>
    <w:rsid w:val="00A64A86"/>
    <w:rsid w:val="00A64D17"/>
    <w:rsid w:val="00A650AC"/>
    <w:rsid w:val="00A654DF"/>
    <w:rsid w:val="00A65B7E"/>
    <w:rsid w:val="00A65CD6"/>
    <w:rsid w:val="00A65FC4"/>
    <w:rsid w:val="00A66A92"/>
    <w:rsid w:val="00A66CA9"/>
    <w:rsid w:val="00A67A2A"/>
    <w:rsid w:val="00A701BC"/>
    <w:rsid w:val="00A709C2"/>
    <w:rsid w:val="00A70CC3"/>
    <w:rsid w:val="00A712A3"/>
    <w:rsid w:val="00A7141A"/>
    <w:rsid w:val="00A71A61"/>
    <w:rsid w:val="00A72304"/>
    <w:rsid w:val="00A72D62"/>
    <w:rsid w:val="00A7342B"/>
    <w:rsid w:val="00A736FF"/>
    <w:rsid w:val="00A73761"/>
    <w:rsid w:val="00A73870"/>
    <w:rsid w:val="00A73BFD"/>
    <w:rsid w:val="00A73EFC"/>
    <w:rsid w:val="00A74297"/>
    <w:rsid w:val="00A74564"/>
    <w:rsid w:val="00A75830"/>
    <w:rsid w:val="00A77332"/>
    <w:rsid w:val="00A7749E"/>
    <w:rsid w:val="00A77982"/>
    <w:rsid w:val="00A77E4E"/>
    <w:rsid w:val="00A8004C"/>
    <w:rsid w:val="00A80751"/>
    <w:rsid w:val="00A807CD"/>
    <w:rsid w:val="00A81800"/>
    <w:rsid w:val="00A81937"/>
    <w:rsid w:val="00A82448"/>
    <w:rsid w:val="00A827E0"/>
    <w:rsid w:val="00A82A33"/>
    <w:rsid w:val="00A834C6"/>
    <w:rsid w:val="00A837C2"/>
    <w:rsid w:val="00A837E2"/>
    <w:rsid w:val="00A83E0F"/>
    <w:rsid w:val="00A83E18"/>
    <w:rsid w:val="00A84024"/>
    <w:rsid w:val="00A84314"/>
    <w:rsid w:val="00A84738"/>
    <w:rsid w:val="00A8489D"/>
    <w:rsid w:val="00A851E7"/>
    <w:rsid w:val="00A856BA"/>
    <w:rsid w:val="00A858E6"/>
    <w:rsid w:val="00A85C9A"/>
    <w:rsid w:val="00A85D36"/>
    <w:rsid w:val="00A869DF"/>
    <w:rsid w:val="00A86C89"/>
    <w:rsid w:val="00A9061D"/>
    <w:rsid w:val="00A911C8"/>
    <w:rsid w:val="00A919BB"/>
    <w:rsid w:val="00A91E0F"/>
    <w:rsid w:val="00A939E3"/>
    <w:rsid w:val="00A93A81"/>
    <w:rsid w:val="00A93AFC"/>
    <w:rsid w:val="00A94253"/>
    <w:rsid w:val="00A95303"/>
    <w:rsid w:val="00A95628"/>
    <w:rsid w:val="00A958D2"/>
    <w:rsid w:val="00A96274"/>
    <w:rsid w:val="00A9672C"/>
    <w:rsid w:val="00A96A2E"/>
    <w:rsid w:val="00A97C45"/>
    <w:rsid w:val="00A97EB6"/>
    <w:rsid w:val="00A97F55"/>
    <w:rsid w:val="00A97F75"/>
    <w:rsid w:val="00AA0728"/>
    <w:rsid w:val="00AA078F"/>
    <w:rsid w:val="00AA0E74"/>
    <w:rsid w:val="00AA142D"/>
    <w:rsid w:val="00AA14AA"/>
    <w:rsid w:val="00AA2243"/>
    <w:rsid w:val="00AA2838"/>
    <w:rsid w:val="00AA2ABD"/>
    <w:rsid w:val="00AA2ADE"/>
    <w:rsid w:val="00AA3232"/>
    <w:rsid w:val="00AA35A5"/>
    <w:rsid w:val="00AA3704"/>
    <w:rsid w:val="00AA3FA9"/>
    <w:rsid w:val="00AA426E"/>
    <w:rsid w:val="00AA446D"/>
    <w:rsid w:val="00AA61A1"/>
    <w:rsid w:val="00AA63DC"/>
    <w:rsid w:val="00AA65D2"/>
    <w:rsid w:val="00AA6B12"/>
    <w:rsid w:val="00AA7762"/>
    <w:rsid w:val="00AA7E48"/>
    <w:rsid w:val="00AB0852"/>
    <w:rsid w:val="00AB09A7"/>
    <w:rsid w:val="00AB0CB7"/>
    <w:rsid w:val="00AB0DB6"/>
    <w:rsid w:val="00AB11A8"/>
    <w:rsid w:val="00AB127D"/>
    <w:rsid w:val="00AB2CEC"/>
    <w:rsid w:val="00AB333F"/>
    <w:rsid w:val="00AB3CD3"/>
    <w:rsid w:val="00AB3ED7"/>
    <w:rsid w:val="00AB4B03"/>
    <w:rsid w:val="00AB4E9C"/>
    <w:rsid w:val="00AB4F9B"/>
    <w:rsid w:val="00AB6EC8"/>
    <w:rsid w:val="00AB733E"/>
    <w:rsid w:val="00AB7617"/>
    <w:rsid w:val="00AB7FB3"/>
    <w:rsid w:val="00AC00DA"/>
    <w:rsid w:val="00AC01FE"/>
    <w:rsid w:val="00AC1A7F"/>
    <w:rsid w:val="00AC20C9"/>
    <w:rsid w:val="00AC27BF"/>
    <w:rsid w:val="00AC3899"/>
    <w:rsid w:val="00AC3AD7"/>
    <w:rsid w:val="00AC4266"/>
    <w:rsid w:val="00AC4297"/>
    <w:rsid w:val="00AC5AEC"/>
    <w:rsid w:val="00AC5E9A"/>
    <w:rsid w:val="00AC6309"/>
    <w:rsid w:val="00AC6D63"/>
    <w:rsid w:val="00AC7428"/>
    <w:rsid w:val="00AC78BB"/>
    <w:rsid w:val="00AC7A3B"/>
    <w:rsid w:val="00AC7EE5"/>
    <w:rsid w:val="00AD06CA"/>
    <w:rsid w:val="00AD0823"/>
    <w:rsid w:val="00AD0A11"/>
    <w:rsid w:val="00AD0CD3"/>
    <w:rsid w:val="00AD0F1C"/>
    <w:rsid w:val="00AD0F75"/>
    <w:rsid w:val="00AD1486"/>
    <w:rsid w:val="00AD15EE"/>
    <w:rsid w:val="00AD16AD"/>
    <w:rsid w:val="00AD16DA"/>
    <w:rsid w:val="00AD1D29"/>
    <w:rsid w:val="00AD1E22"/>
    <w:rsid w:val="00AD26EE"/>
    <w:rsid w:val="00AD418A"/>
    <w:rsid w:val="00AD4995"/>
    <w:rsid w:val="00AD4B3C"/>
    <w:rsid w:val="00AD502A"/>
    <w:rsid w:val="00AD5818"/>
    <w:rsid w:val="00AD60EC"/>
    <w:rsid w:val="00AD6F30"/>
    <w:rsid w:val="00AD72C4"/>
    <w:rsid w:val="00AD7345"/>
    <w:rsid w:val="00AE00AA"/>
    <w:rsid w:val="00AE0C7D"/>
    <w:rsid w:val="00AE122B"/>
    <w:rsid w:val="00AE18DC"/>
    <w:rsid w:val="00AE1D54"/>
    <w:rsid w:val="00AE1DD7"/>
    <w:rsid w:val="00AE21C6"/>
    <w:rsid w:val="00AE290C"/>
    <w:rsid w:val="00AE2A50"/>
    <w:rsid w:val="00AE2D8C"/>
    <w:rsid w:val="00AE2EEB"/>
    <w:rsid w:val="00AE2F8A"/>
    <w:rsid w:val="00AE3AF0"/>
    <w:rsid w:val="00AE438F"/>
    <w:rsid w:val="00AE5050"/>
    <w:rsid w:val="00AE57D1"/>
    <w:rsid w:val="00AE59DC"/>
    <w:rsid w:val="00AE5D8E"/>
    <w:rsid w:val="00AE60E5"/>
    <w:rsid w:val="00AE618F"/>
    <w:rsid w:val="00AE76F7"/>
    <w:rsid w:val="00AF05E4"/>
    <w:rsid w:val="00AF0E36"/>
    <w:rsid w:val="00AF15AF"/>
    <w:rsid w:val="00AF1930"/>
    <w:rsid w:val="00AF19B7"/>
    <w:rsid w:val="00AF1CBD"/>
    <w:rsid w:val="00AF23AE"/>
    <w:rsid w:val="00AF2A9E"/>
    <w:rsid w:val="00AF31FD"/>
    <w:rsid w:val="00AF32CA"/>
    <w:rsid w:val="00AF3BD1"/>
    <w:rsid w:val="00AF46FE"/>
    <w:rsid w:val="00AF4F69"/>
    <w:rsid w:val="00AF5041"/>
    <w:rsid w:val="00AF5655"/>
    <w:rsid w:val="00AF5C13"/>
    <w:rsid w:val="00AF5EAD"/>
    <w:rsid w:val="00AF6286"/>
    <w:rsid w:val="00AF6909"/>
    <w:rsid w:val="00AF751D"/>
    <w:rsid w:val="00AF7A8E"/>
    <w:rsid w:val="00B00536"/>
    <w:rsid w:val="00B009DD"/>
    <w:rsid w:val="00B00E54"/>
    <w:rsid w:val="00B0146B"/>
    <w:rsid w:val="00B0170C"/>
    <w:rsid w:val="00B017B2"/>
    <w:rsid w:val="00B01A4D"/>
    <w:rsid w:val="00B01A92"/>
    <w:rsid w:val="00B01CB9"/>
    <w:rsid w:val="00B02353"/>
    <w:rsid w:val="00B024F1"/>
    <w:rsid w:val="00B02652"/>
    <w:rsid w:val="00B02C62"/>
    <w:rsid w:val="00B036F6"/>
    <w:rsid w:val="00B039C8"/>
    <w:rsid w:val="00B0437F"/>
    <w:rsid w:val="00B043DE"/>
    <w:rsid w:val="00B04434"/>
    <w:rsid w:val="00B050AB"/>
    <w:rsid w:val="00B0534B"/>
    <w:rsid w:val="00B055B0"/>
    <w:rsid w:val="00B056D2"/>
    <w:rsid w:val="00B05D67"/>
    <w:rsid w:val="00B05E1F"/>
    <w:rsid w:val="00B061E3"/>
    <w:rsid w:val="00B073E0"/>
    <w:rsid w:val="00B07A83"/>
    <w:rsid w:val="00B07C4B"/>
    <w:rsid w:val="00B10188"/>
    <w:rsid w:val="00B10BF8"/>
    <w:rsid w:val="00B115C3"/>
    <w:rsid w:val="00B1183B"/>
    <w:rsid w:val="00B11C37"/>
    <w:rsid w:val="00B11D65"/>
    <w:rsid w:val="00B125F1"/>
    <w:rsid w:val="00B12AA6"/>
    <w:rsid w:val="00B1357A"/>
    <w:rsid w:val="00B13D65"/>
    <w:rsid w:val="00B16B79"/>
    <w:rsid w:val="00B172CD"/>
    <w:rsid w:val="00B20019"/>
    <w:rsid w:val="00B207A7"/>
    <w:rsid w:val="00B20A72"/>
    <w:rsid w:val="00B20B50"/>
    <w:rsid w:val="00B20F00"/>
    <w:rsid w:val="00B21D65"/>
    <w:rsid w:val="00B22236"/>
    <w:rsid w:val="00B226E1"/>
    <w:rsid w:val="00B229B0"/>
    <w:rsid w:val="00B22EF0"/>
    <w:rsid w:val="00B235BB"/>
    <w:rsid w:val="00B23993"/>
    <w:rsid w:val="00B23EF6"/>
    <w:rsid w:val="00B23FE4"/>
    <w:rsid w:val="00B24336"/>
    <w:rsid w:val="00B25156"/>
    <w:rsid w:val="00B256B5"/>
    <w:rsid w:val="00B25C48"/>
    <w:rsid w:val="00B2659F"/>
    <w:rsid w:val="00B30240"/>
    <w:rsid w:val="00B30DB4"/>
    <w:rsid w:val="00B31459"/>
    <w:rsid w:val="00B31972"/>
    <w:rsid w:val="00B32001"/>
    <w:rsid w:val="00B32585"/>
    <w:rsid w:val="00B32F85"/>
    <w:rsid w:val="00B32FEA"/>
    <w:rsid w:val="00B33155"/>
    <w:rsid w:val="00B35B7B"/>
    <w:rsid w:val="00B35C2A"/>
    <w:rsid w:val="00B3725A"/>
    <w:rsid w:val="00B375FF"/>
    <w:rsid w:val="00B377EE"/>
    <w:rsid w:val="00B37B57"/>
    <w:rsid w:val="00B37B70"/>
    <w:rsid w:val="00B37FB5"/>
    <w:rsid w:val="00B400CB"/>
    <w:rsid w:val="00B40612"/>
    <w:rsid w:val="00B4076E"/>
    <w:rsid w:val="00B40A60"/>
    <w:rsid w:val="00B40EA7"/>
    <w:rsid w:val="00B4125D"/>
    <w:rsid w:val="00B41585"/>
    <w:rsid w:val="00B41741"/>
    <w:rsid w:val="00B41764"/>
    <w:rsid w:val="00B41B82"/>
    <w:rsid w:val="00B41C3F"/>
    <w:rsid w:val="00B41C57"/>
    <w:rsid w:val="00B41CFB"/>
    <w:rsid w:val="00B41D93"/>
    <w:rsid w:val="00B41DFE"/>
    <w:rsid w:val="00B42285"/>
    <w:rsid w:val="00B43004"/>
    <w:rsid w:val="00B431B4"/>
    <w:rsid w:val="00B43235"/>
    <w:rsid w:val="00B433FD"/>
    <w:rsid w:val="00B437E5"/>
    <w:rsid w:val="00B43B5D"/>
    <w:rsid w:val="00B4454D"/>
    <w:rsid w:val="00B44BAC"/>
    <w:rsid w:val="00B4503C"/>
    <w:rsid w:val="00B45DFE"/>
    <w:rsid w:val="00B460D7"/>
    <w:rsid w:val="00B46221"/>
    <w:rsid w:val="00B4644E"/>
    <w:rsid w:val="00B46B70"/>
    <w:rsid w:val="00B46E7C"/>
    <w:rsid w:val="00B470A5"/>
    <w:rsid w:val="00B47806"/>
    <w:rsid w:val="00B47AFA"/>
    <w:rsid w:val="00B47E18"/>
    <w:rsid w:val="00B5016E"/>
    <w:rsid w:val="00B501BF"/>
    <w:rsid w:val="00B5081B"/>
    <w:rsid w:val="00B516AA"/>
    <w:rsid w:val="00B51C93"/>
    <w:rsid w:val="00B524C2"/>
    <w:rsid w:val="00B52592"/>
    <w:rsid w:val="00B52A34"/>
    <w:rsid w:val="00B52D9F"/>
    <w:rsid w:val="00B52FDE"/>
    <w:rsid w:val="00B530B2"/>
    <w:rsid w:val="00B5317A"/>
    <w:rsid w:val="00B53D5F"/>
    <w:rsid w:val="00B53DAB"/>
    <w:rsid w:val="00B5458C"/>
    <w:rsid w:val="00B545CE"/>
    <w:rsid w:val="00B54B95"/>
    <w:rsid w:val="00B55571"/>
    <w:rsid w:val="00B56C1B"/>
    <w:rsid w:val="00B56F98"/>
    <w:rsid w:val="00B56FC9"/>
    <w:rsid w:val="00B575B5"/>
    <w:rsid w:val="00B57C05"/>
    <w:rsid w:val="00B57CF0"/>
    <w:rsid w:val="00B60331"/>
    <w:rsid w:val="00B603C2"/>
    <w:rsid w:val="00B60484"/>
    <w:rsid w:val="00B606E4"/>
    <w:rsid w:val="00B60A93"/>
    <w:rsid w:val="00B61A07"/>
    <w:rsid w:val="00B61AA2"/>
    <w:rsid w:val="00B61D0D"/>
    <w:rsid w:val="00B61E32"/>
    <w:rsid w:val="00B621DD"/>
    <w:rsid w:val="00B6231F"/>
    <w:rsid w:val="00B62629"/>
    <w:rsid w:val="00B6302A"/>
    <w:rsid w:val="00B63810"/>
    <w:rsid w:val="00B63E6A"/>
    <w:rsid w:val="00B64600"/>
    <w:rsid w:val="00B648A3"/>
    <w:rsid w:val="00B64CAC"/>
    <w:rsid w:val="00B64DB2"/>
    <w:rsid w:val="00B64F7B"/>
    <w:rsid w:val="00B6511D"/>
    <w:rsid w:val="00B65397"/>
    <w:rsid w:val="00B656D9"/>
    <w:rsid w:val="00B6580F"/>
    <w:rsid w:val="00B662FC"/>
    <w:rsid w:val="00B670C0"/>
    <w:rsid w:val="00B67DF8"/>
    <w:rsid w:val="00B70D87"/>
    <w:rsid w:val="00B70E83"/>
    <w:rsid w:val="00B734E4"/>
    <w:rsid w:val="00B7356E"/>
    <w:rsid w:val="00B73A59"/>
    <w:rsid w:val="00B74111"/>
    <w:rsid w:val="00B74233"/>
    <w:rsid w:val="00B748AC"/>
    <w:rsid w:val="00B74C9D"/>
    <w:rsid w:val="00B74EF6"/>
    <w:rsid w:val="00B751CC"/>
    <w:rsid w:val="00B75E0F"/>
    <w:rsid w:val="00B760F7"/>
    <w:rsid w:val="00B76C33"/>
    <w:rsid w:val="00B76F92"/>
    <w:rsid w:val="00B80144"/>
    <w:rsid w:val="00B8088E"/>
    <w:rsid w:val="00B81051"/>
    <w:rsid w:val="00B81AE0"/>
    <w:rsid w:val="00B81F2E"/>
    <w:rsid w:val="00B82254"/>
    <w:rsid w:val="00B8299C"/>
    <w:rsid w:val="00B833FB"/>
    <w:rsid w:val="00B83A68"/>
    <w:rsid w:val="00B83E60"/>
    <w:rsid w:val="00B84080"/>
    <w:rsid w:val="00B848FB"/>
    <w:rsid w:val="00B84A79"/>
    <w:rsid w:val="00B850FB"/>
    <w:rsid w:val="00B85307"/>
    <w:rsid w:val="00B858EC"/>
    <w:rsid w:val="00B85D02"/>
    <w:rsid w:val="00B85F21"/>
    <w:rsid w:val="00B862B3"/>
    <w:rsid w:val="00B86E00"/>
    <w:rsid w:val="00B87180"/>
    <w:rsid w:val="00B87757"/>
    <w:rsid w:val="00B906EB"/>
    <w:rsid w:val="00B90E23"/>
    <w:rsid w:val="00B91024"/>
    <w:rsid w:val="00B91476"/>
    <w:rsid w:val="00B914A1"/>
    <w:rsid w:val="00B91528"/>
    <w:rsid w:val="00B91718"/>
    <w:rsid w:val="00B91951"/>
    <w:rsid w:val="00B91D60"/>
    <w:rsid w:val="00B926F1"/>
    <w:rsid w:val="00B928D2"/>
    <w:rsid w:val="00B9292D"/>
    <w:rsid w:val="00B92F8A"/>
    <w:rsid w:val="00B9317D"/>
    <w:rsid w:val="00B93545"/>
    <w:rsid w:val="00B94DEC"/>
    <w:rsid w:val="00B9568B"/>
    <w:rsid w:val="00B95A69"/>
    <w:rsid w:val="00B96FEC"/>
    <w:rsid w:val="00B970FB"/>
    <w:rsid w:val="00B97199"/>
    <w:rsid w:val="00B97739"/>
    <w:rsid w:val="00B97874"/>
    <w:rsid w:val="00B9794C"/>
    <w:rsid w:val="00B97BC6"/>
    <w:rsid w:val="00B97D51"/>
    <w:rsid w:val="00BA07A5"/>
    <w:rsid w:val="00BA0A44"/>
    <w:rsid w:val="00BA0E4E"/>
    <w:rsid w:val="00BA12B7"/>
    <w:rsid w:val="00BA1358"/>
    <w:rsid w:val="00BA1539"/>
    <w:rsid w:val="00BA1775"/>
    <w:rsid w:val="00BA184E"/>
    <w:rsid w:val="00BA191A"/>
    <w:rsid w:val="00BA1E90"/>
    <w:rsid w:val="00BA3156"/>
    <w:rsid w:val="00BA3FC2"/>
    <w:rsid w:val="00BA4029"/>
    <w:rsid w:val="00BA4216"/>
    <w:rsid w:val="00BA446C"/>
    <w:rsid w:val="00BA4EA8"/>
    <w:rsid w:val="00BA508F"/>
    <w:rsid w:val="00BA51F2"/>
    <w:rsid w:val="00BA56DA"/>
    <w:rsid w:val="00BA64BD"/>
    <w:rsid w:val="00BA6E71"/>
    <w:rsid w:val="00BA7108"/>
    <w:rsid w:val="00BA72AC"/>
    <w:rsid w:val="00BA7687"/>
    <w:rsid w:val="00BA7826"/>
    <w:rsid w:val="00BA7877"/>
    <w:rsid w:val="00BA7D8F"/>
    <w:rsid w:val="00BB15DC"/>
    <w:rsid w:val="00BB2AFB"/>
    <w:rsid w:val="00BB2B35"/>
    <w:rsid w:val="00BB2D6F"/>
    <w:rsid w:val="00BB305B"/>
    <w:rsid w:val="00BB37E4"/>
    <w:rsid w:val="00BB40D9"/>
    <w:rsid w:val="00BB40E4"/>
    <w:rsid w:val="00BB5E86"/>
    <w:rsid w:val="00BB5F6C"/>
    <w:rsid w:val="00BB6207"/>
    <w:rsid w:val="00BB62D2"/>
    <w:rsid w:val="00BB6B10"/>
    <w:rsid w:val="00BB6DDE"/>
    <w:rsid w:val="00BB7AA6"/>
    <w:rsid w:val="00BC042C"/>
    <w:rsid w:val="00BC0683"/>
    <w:rsid w:val="00BC06DD"/>
    <w:rsid w:val="00BC25A6"/>
    <w:rsid w:val="00BC2E36"/>
    <w:rsid w:val="00BC2EA1"/>
    <w:rsid w:val="00BC32D8"/>
    <w:rsid w:val="00BC3B71"/>
    <w:rsid w:val="00BC3C58"/>
    <w:rsid w:val="00BC3E5B"/>
    <w:rsid w:val="00BC3E5D"/>
    <w:rsid w:val="00BC4616"/>
    <w:rsid w:val="00BC46D3"/>
    <w:rsid w:val="00BC4FA8"/>
    <w:rsid w:val="00BC5A01"/>
    <w:rsid w:val="00BC5C6D"/>
    <w:rsid w:val="00BC5FF8"/>
    <w:rsid w:val="00BC660B"/>
    <w:rsid w:val="00BC66E7"/>
    <w:rsid w:val="00BC7F45"/>
    <w:rsid w:val="00BD0B0B"/>
    <w:rsid w:val="00BD0B1A"/>
    <w:rsid w:val="00BD0CEC"/>
    <w:rsid w:val="00BD16E1"/>
    <w:rsid w:val="00BD1D86"/>
    <w:rsid w:val="00BD281B"/>
    <w:rsid w:val="00BD28C8"/>
    <w:rsid w:val="00BD2C08"/>
    <w:rsid w:val="00BD2E2F"/>
    <w:rsid w:val="00BD2FD8"/>
    <w:rsid w:val="00BD3966"/>
    <w:rsid w:val="00BD3DC4"/>
    <w:rsid w:val="00BD3F7D"/>
    <w:rsid w:val="00BD44E6"/>
    <w:rsid w:val="00BD4CD6"/>
    <w:rsid w:val="00BD5185"/>
    <w:rsid w:val="00BD524B"/>
    <w:rsid w:val="00BD550C"/>
    <w:rsid w:val="00BD575F"/>
    <w:rsid w:val="00BD5881"/>
    <w:rsid w:val="00BD5C96"/>
    <w:rsid w:val="00BD635D"/>
    <w:rsid w:val="00BD6455"/>
    <w:rsid w:val="00BD6654"/>
    <w:rsid w:val="00BD6A1E"/>
    <w:rsid w:val="00BD72B8"/>
    <w:rsid w:val="00BD7739"/>
    <w:rsid w:val="00BE073C"/>
    <w:rsid w:val="00BE1929"/>
    <w:rsid w:val="00BE19BB"/>
    <w:rsid w:val="00BE1DCD"/>
    <w:rsid w:val="00BE2AEB"/>
    <w:rsid w:val="00BE3072"/>
    <w:rsid w:val="00BE4419"/>
    <w:rsid w:val="00BE595A"/>
    <w:rsid w:val="00BE5F33"/>
    <w:rsid w:val="00BE6190"/>
    <w:rsid w:val="00BE67BE"/>
    <w:rsid w:val="00BE6B56"/>
    <w:rsid w:val="00BE6F76"/>
    <w:rsid w:val="00BE73F8"/>
    <w:rsid w:val="00BE7588"/>
    <w:rsid w:val="00BE77E3"/>
    <w:rsid w:val="00BE7D87"/>
    <w:rsid w:val="00BE7E73"/>
    <w:rsid w:val="00BF0AD1"/>
    <w:rsid w:val="00BF0DF3"/>
    <w:rsid w:val="00BF0F56"/>
    <w:rsid w:val="00BF0FC3"/>
    <w:rsid w:val="00BF1021"/>
    <w:rsid w:val="00BF1398"/>
    <w:rsid w:val="00BF1696"/>
    <w:rsid w:val="00BF1A00"/>
    <w:rsid w:val="00BF235D"/>
    <w:rsid w:val="00BF25A6"/>
    <w:rsid w:val="00BF5550"/>
    <w:rsid w:val="00BF6235"/>
    <w:rsid w:val="00BF6ED9"/>
    <w:rsid w:val="00BF74BB"/>
    <w:rsid w:val="00BF763E"/>
    <w:rsid w:val="00BF7FAA"/>
    <w:rsid w:val="00C008B3"/>
    <w:rsid w:val="00C00DC7"/>
    <w:rsid w:val="00C01856"/>
    <w:rsid w:val="00C01E1E"/>
    <w:rsid w:val="00C01F9C"/>
    <w:rsid w:val="00C01FE7"/>
    <w:rsid w:val="00C023B9"/>
    <w:rsid w:val="00C03168"/>
    <w:rsid w:val="00C035B3"/>
    <w:rsid w:val="00C03DC2"/>
    <w:rsid w:val="00C0437F"/>
    <w:rsid w:val="00C049CF"/>
    <w:rsid w:val="00C04CEB"/>
    <w:rsid w:val="00C05063"/>
    <w:rsid w:val="00C050D4"/>
    <w:rsid w:val="00C0677F"/>
    <w:rsid w:val="00C06AFE"/>
    <w:rsid w:val="00C07639"/>
    <w:rsid w:val="00C078CF"/>
    <w:rsid w:val="00C07A72"/>
    <w:rsid w:val="00C07B60"/>
    <w:rsid w:val="00C07E83"/>
    <w:rsid w:val="00C10659"/>
    <w:rsid w:val="00C1071C"/>
    <w:rsid w:val="00C10959"/>
    <w:rsid w:val="00C11203"/>
    <w:rsid w:val="00C11C08"/>
    <w:rsid w:val="00C1259B"/>
    <w:rsid w:val="00C12BB2"/>
    <w:rsid w:val="00C12D0E"/>
    <w:rsid w:val="00C1334F"/>
    <w:rsid w:val="00C135B4"/>
    <w:rsid w:val="00C13A1A"/>
    <w:rsid w:val="00C13C71"/>
    <w:rsid w:val="00C13DE4"/>
    <w:rsid w:val="00C13E62"/>
    <w:rsid w:val="00C142BD"/>
    <w:rsid w:val="00C14E6E"/>
    <w:rsid w:val="00C15344"/>
    <w:rsid w:val="00C15AF0"/>
    <w:rsid w:val="00C15B1C"/>
    <w:rsid w:val="00C15B5F"/>
    <w:rsid w:val="00C15E4E"/>
    <w:rsid w:val="00C15F2E"/>
    <w:rsid w:val="00C1605E"/>
    <w:rsid w:val="00C160F9"/>
    <w:rsid w:val="00C16183"/>
    <w:rsid w:val="00C16615"/>
    <w:rsid w:val="00C16B92"/>
    <w:rsid w:val="00C1723B"/>
    <w:rsid w:val="00C1765B"/>
    <w:rsid w:val="00C17A48"/>
    <w:rsid w:val="00C203C6"/>
    <w:rsid w:val="00C203D5"/>
    <w:rsid w:val="00C2084C"/>
    <w:rsid w:val="00C20AE6"/>
    <w:rsid w:val="00C211E5"/>
    <w:rsid w:val="00C21995"/>
    <w:rsid w:val="00C21EEF"/>
    <w:rsid w:val="00C22329"/>
    <w:rsid w:val="00C22ACB"/>
    <w:rsid w:val="00C2360F"/>
    <w:rsid w:val="00C23BD6"/>
    <w:rsid w:val="00C23DC8"/>
    <w:rsid w:val="00C23E22"/>
    <w:rsid w:val="00C23E52"/>
    <w:rsid w:val="00C23E5E"/>
    <w:rsid w:val="00C2411A"/>
    <w:rsid w:val="00C258CE"/>
    <w:rsid w:val="00C25978"/>
    <w:rsid w:val="00C25CB9"/>
    <w:rsid w:val="00C25E0D"/>
    <w:rsid w:val="00C264BA"/>
    <w:rsid w:val="00C300C3"/>
    <w:rsid w:val="00C3024B"/>
    <w:rsid w:val="00C308B2"/>
    <w:rsid w:val="00C31057"/>
    <w:rsid w:val="00C319E2"/>
    <w:rsid w:val="00C31C0A"/>
    <w:rsid w:val="00C31CB0"/>
    <w:rsid w:val="00C32374"/>
    <w:rsid w:val="00C3323B"/>
    <w:rsid w:val="00C3326F"/>
    <w:rsid w:val="00C335EE"/>
    <w:rsid w:val="00C34F40"/>
    <w:rsid w:val="00C350CA"/>
    <w:rsid w:val="00C35261"/>
    <w:rsid w:val="00C359A4"/>
    <w:rsid w:val="00C359C4"/>
    <w:rsid w:val="00C35E05"/>
    <w:rsid w:val="00C36C98"/>
    <w:rsid w:val="00C37273"/>
    <w:rsid w:val="00C3758D"/>
    <w:rsid w:val="00C40508"/>
    <w:rsid w:val="00C40923"/>
    <w:rsid w:val="00C41EA5"/>
    <w:rsid w:val="00C42587"/>
    <w:rsid w:val="00C42A3D"/>
    <w:rsid w:val="00C42D31"/>
    <w:rsid w:val="00C431ED"/>
    <w:rsid w:val="00C43BF5"/>
    <w:rsid w:val="00C43EA2"/>
    <w:rsid w:val="00C4428A"/>
    <w:rsid w:val="00C444EC"/>
    <w:rsid w:val="00C44D1D"/>
    <w:rsid w:val="00C4511B"/>
    <w:rsid w:val="00C4598F"/>
    <w:rsid w:val="00C45B24"/>
    <w:rsid w:val="00C45B64"/>
    <w:rsid w:val="00C45D29"/>
    <w:rsid w:val="00C45DC5"/>
    <w:rsid w:val="00C469A6"/>
    <w:rsid w:val="00C47099"/>
    <w:rsid w:val="00C47809"/>
    <w:rsid w:val="00C478F3"/>
    <w:rsid w:val="00C47E1B"/>
    <w:rsid w:val="00C51E06"/>
    <w:rsid w:val="00C5221D"/>
    <w:rsid w:val="00C522F9"/>
    <w:rsid w:val="00C5277E"/>
    <w:rsid w:val="00C52FFC"/>
    <w:rsid w:val="00C54843"/>
    <w:rsid w:val="00C54B4F"/>
    <w:rsid w:val="00C5576F"/>
    <w:rsid w:val="00C55DDA"/>
    <w:rsid w:val="00C56116"/>
    <w:rsid w:val="00C5634C"/>
    <w:rsid w:val="00C57DAA"/>
    <w:rsid w:val="00C60287"/>
    <w:rsid w:val="00C606AE"/>
    <w:rsid w:val="00C60781"/>
    <w:rsid w:val="00C6097D"/>
    <w:rsid w:val="00C60F17"/>
    <w:rsid w:val="00C61641"/>
    <w:rsid w:val="00C618FB"/>
    <w:rsid w:val="00C61BAF"/>
    <w:rsid w:val="00C62EF2"/>
    <w:rsid w:val="00C635C9"/>
    <w:rsid w:val="00C63A63"/>
    <w:rsid w:val="00C64296"/>
    <w:rsid w:val="00C70E4A"/>
    <w:rsid w:val="00C714ED"/>
    <w:rsid w:val="00C71A39"/>
    <w:rsid w:val="00C71C78"/>
    <w:rsid w:val="00C71FFA"/>
    <w:rsid w:val="00C72DD1"/>
    <w:rsid w:val="00C72FA5"/>
    <w:rsid w:val="00C73010"/>
    <w:rsid w:val="00C7324E"/>
    <w:rsid w:val="00C73DA1"/>
    <w:rsid w:val="00C73E9C"/>
    <w:rsid w:val="00C76C53"/>
    <w:rsid w:val="00C76E0D"/>
    <w:rsid w:val="00C77EF9"/>
    <w:rsid w:val="00C8092A"/>
    <w:rsid w:val="00C80DA1"/>
    <w:rsid w:val="00C80E1E"/>
    <w:rsid w:val="00C80FC0"/>
    <w:rsid w:val="00C80FDC"/>
    <w:rsid w:val="00C8168E"/>
    <w:rsid w:val="00C819CC"/>
    <w:rsid w:val="00C8290F"/>
    <w:rsid w:val="00C82C52"/>
    <w:rsid w:val="00C82D46"/>
    <w:rsid w:val="00C82E47"/>
    <w:rsid w:val="00C83B85"/>
    <w:rsid w:val="00C83CBE"/>
    <w:rsid w:val="00C84ACF"/>
    <w:rsid w:val="00C84B12"/>
    <w:rsid w:val="00C84BB6"/>
    <w:rsid w:val="00C84BEF"/>
    <w:rsid w:val="00C853CA"/>
    <w:rsid w:val="00C860A2"/>
    <w:rsid w:val="00C867BA"/>
    <w:rsid w:val="00C86922"/>
    <w:rsid w:val="00C86925"/>
    <w:rsid w:val="00C87EFE"/>
    <w:rsid w:val="00C87FB1"/>
    <w:rsid w:val="00C9014B"/>
    <w:rsid w:val="00C91ACB"/>
    <w:rsid w:val="00C91BE2"/>
    <w:rsid w:val="00C92671"/>
    <w:rsid w:val="00C92777"/>
    <w:rsid w:val="00C934B0"/>
    <w:rsid w:val="00C9384C"/>
    <w:rsid w:val="00C938F4"/>
    <w:rsid w:val="00C94483"/>
    <w:rsid w:val="00C94821"/>
    <w:rsid w:val="00C94D50"/>
    <w:rsid w:val="00C94E0F"/>
    <w:rsid w:val="00C94E71"/>
    <w:rsid w:val="00C9570D"/>
    <w:rsid w:val="00C957F4"/>
    <w:rsid w:val="00C9585B"/>
    <w:rsid w:val="00C95EF8"/>
    <w:rsid w:val="00C96E24"/>
    <w:rsid w:val="00C97140"/>
    <w:rsid w:val="00C97C1A"/>
    <w:rsid w:val="00CA002D"/>
    <w:rsid w:val="00CA09EC"/>
    <w:rsid w:val="00CA1469"/>
    <w:rsid w:val="00CA2097"/>
    <w:rsid w:val="00CA2121"/>
    <w:rsid w:val="00CA2B95"/>
    <w:rsid w:val="00CA2D92"/>
    <w:rsid w:val="00CA31B2"/>
    <w:rsid w:val="00CA32C0"/>
    <w:rsid w:val="00CA3D3A"/>
    <w:rsid w:val="00CA3E8E"/>
    <w:rsid w:val="00CA4135"/>
    <w:rsid w:val="00CA42EB"/>
    <w:rsid w:val="00CA48A8"/>
    <w:rsid w:val="00CA4F0E"/>
    <w:rsid w:val="00CA4F49"/>
    <w:rsid w:val="00CA525A"/>
    <w:rsid w:val="00CA6573"/>
    <w:rsid w:val="00CA70D9"/>
    <w:rsid w:val="00CA75EE"/>
    <w:rsid w:val="00CA76D2"/>
    <w:rsid w:val="00CA7749"/>
    <w:rsid w:val="00CB0315"/>
    <w:rsid w:val="00CB160F"/>
    <w:rsid w:val="00CB25D4"/>
    <w:rsid w:val="00CB2A82"/>
    <w:rsid w:val="00CB2ADA"/>
    <w:rsid w:val="00CB2C45"/>
    <w:rsid w:val="00CB2C49"/>
    <w:rsid w:val="00CB30AF"/>
    <w:rsid w:val="00CB39F6"/>
    <w:rsid w:val="00CB590E"/>
    <w:rsid w:val="00CB5F1A"/>
    <w:rsid w:val="00CB6DD8"/>
    <w:rsid w:val="00CB7091"/>
    <w:rsid w:val="00CB7D9C"/>
    <w:rsid w:val="00CC10B8"/>
    <w:rsid w:val="00CC1B07"/>
    <w:rsid w:val="00CC1F22"/>
    <w:rsid w:val="00CC30A9"/>
    <w:rsid w:val="00CC31D4"/>
    <w:rsid w:val="00CC340A"/>
    <w:rsid w:val="00CC3755"/>
    <w:rsid w:val="00CC3C87"/>
    <w:rsid w:val="00CC4915"/>
    <w:rsid w:val="00CC4B30"/>
    <w:rsid w:val="00CC4C0B"/>
    <w:rsid w:val="00CC55FE"/>
    <w:rsid w:val="00CC571F"/>
    <w:rsid w:val="00CC58EB"/>
    <w:rsid w:val="00CC5D52"/>
    <w:rsid w:val="00CC6223"/>
    <w:rsid w:val="00CC6422"/>
    <w:rsid w:val="00CC6501"/>
    <w:rsid w:val="00CC6762"/>
    <w:rsid w:val="00CC7053"/>
    <w:rsid w:val="00CC7521"/>
    <w:rsid w:val="00CC78E8"/>
    <w:rsid w:val="00CC7CDA"/>
    <w:rsid w:val="00CD06C4"/>
    <w:rsid w:val="00CD1833"/>
    <w:rsid w:val="00CD1B20"/>
    <w:rsid w:val="00CD20E3"/>
    <w:rsid w:val="00CD3043"/>
    <w:rsid w:val="00CD3C90"/>
    <w:rsid w:val="00CD4DD3"/>
    <w:rsid w:val="00CD51BC"/>
    <w:rsid w:val="00CD675A"/>
    <w:rsid w:val="00CD712A"/>
    <w:rsid w:val="00CD79B4"/>
    <w:rsid w:val="00CE0326"/>
    <w:rsid w:val="00CE0B85"/>
    <w:rsid w:val="00CE0FF0"/>
    <w:rsid w:val="00CE1518"/>
    <w:rsid w:val="00CE1F2D"/>
    <w:rsid w:val="00CE2FDE"/>
    <w:rsid w:val="00CE3822"/>
    <w:rsid w:val="00CE3D45"/>
    <w:rsid w:val="00CE41ED"/>
    <w:rsid w:val="00CE4E42"/>
    <w:rsid w:val="00CE4EB2"/>
    <w:rsid w:val="00CE5E06"/>
    <w:rsid w:val="00CE5F42"/>
    <w:rsid w:val="00CE60FE"/>
    <w:rsid w:val="00CE693A"/>
    <w:rsid w:val="00CE6F50"/>
    <w:rsid w:val="00CE73DB"/>
    <w:rsid w:val="00CE7A54"/>
    <w:rsid w:val="00CF0AA4"/>
    <w:rsid w:val="00CF0EBF"/>
    <w:rsid w:val="00CF1239"/>
    <w:rsid w:val="00CF1255"/>
    <w:rsid w:val="00CF12F2"/>
    <w:rsid w:val="00CF1311"/>
    <w:rsid w:val="00CF14E6"/>
    <w:rsid w:val="00CF1E47"/>
    <w:rsid w:val="00CF3C93"/>
    <w:rsid w:val="00CF41AF"/>
    <w:rsid w:val="00CF49CF"/>
    <w:rsid w:val="00CF5488"/>
    <w:rsid w:val="00CF57A9"/>
    <w:rsid w:val="00CF717F"/>
    <w:rsid w:val="00CF7238"/>
    <w:rsid w:val="00D014B7"/>
    <w:rsid w:val="00D034CB"/>
    <w:rsid w:val="00D03A82"/>
    <w:rsid w:val="00D03ACE"/>
    <w:rsid w:val="00D03BE2"/>
    <w:rsid w:val="00D03EF1"/>
    <w:rsid w:val="00D04E5B"/>
    <w:rsid w:val="00D04EC1"/>
    <w:rsid w:val="00D06119"/>
    <w:rsid w:val="00D11320"/>
    <w:rsid w:val="00D12B7A"/>
    <w:rsid w:val="00D137F2"/>
    <w:rsid w:val="00D13A08"/>
    <w:rsid w:val="00D13FA9"/>
    <w:rsid w:val="00D14A5F"/>
    <w:rsid w:val="00D14B1C"/>
    <w:rsid w:val="00D14D85"/>
    <w:rsid w:val="00D155B2"/>
    <w:rsid w:val="00D168AA"/>
    <w:rsid w:val="00D16ED1"/>
    <w:rsid w:val="00D17446"/>
    <w:rsid w:val="00D17D03"/>
    <w:rsid w:val="00D21410"/>
    <w:rsid w:val="00D2155B"/>
    <w:rsid w:val="00D2189B"/>
    <w:rsid w:val="00D21F07"/>
    <w:rsid w:val="00D223C6"/>
    <w:rsid w:val="00D22427"/>
    <w:rsid w:val="00D22BAC"/>
    <w:rsid w:val="00D235E4"/>
    <w:rsid w:val="00D236F0"/>
    <w:rsid w:val="00D2409C"/>
    <w:rsid w:val="00D24354"/>
    <w:rsid w:val="00D24AFC"/>
    <w:rsid w:val="00D258FE"/>
    <w:rsid w:val="00D25C5E"/>
    <w:rsid w:val="00D26057"/>
    <w:rsid w:val="00D263EA"/>
    <w:rsid w:val="00D26D69"/>
    <w:rsid w:val="00D2745A"/>
    <w:rsid w:val="00D2747F"/>
    <w:rsid w:val="00D2761F"/>
    <w:rsid w:val="00D277A4"/>
    <w:rsid w:val="00D2795C"/>
    <w:rsid w:val="00D3005F"/>
    <w:rsid w:val="00D301FA"/>
    <w:rsid w:val="00D3034D"/>
    <w:rsid w:val="00D3062E"/>
    <w:rsid w:val="00D309A8"/>
    <w:rsid w:val="00D30B1A"/>
    <w:rsid w:val="00D31AEB"/>
    <w:rsid w:val="00D323BF"/>
    <w:rsid w:val="00D32A5A"/>
    <w:rsid w:val="00D33152"/>
    <w:rsid w:val="00D33461"/>
    <w:rsid w:val="00D349E5"/>
    <w:rsid w:val="00D34D8D"/>
    <w:rsid w:val="00D34F23"/>
    <w:rsid w:val="00D35072"/>
    <w:rsid w:val="00D36493"/>
    <w:rsid w:val="00D367B0"/>
    <w:rsid w:val="00D370A2"/>
    <w:rsid w:val="00D40221"/>
    <w:rsid w:val="00D40C86"/>
    <w:rsid w:val="00D419C5"/>
    <w:rsid w:val="00D41B6B"/>
    <w:rsid w:val="00D41D3B"/>
    <w:rsid w:val="00D41F24"/>
    <w:rsid w:val="00D42CAC"/>
    <w:rsid w:val="00D42EC5"/>
    <w:rsid w:val="00D42F80"/>
    <w:rsid w:val="00D43F16"/>
    <w:rsid w:val="00D44EAA"/>
    <w:rsid w:val="00D454E2"/>
    <w:rsid w:val="00D457E6"/>
    <w:rsid w:val="00D45C2C"/>
    <w:rsid w:val="00D45EFF"/>
    <w:rsid w:val="00D46612"/>
    <w:rsid w:val="00D46B9F"/>
    <w:rsid w:val="00D46CBB"/>
    <w:rsid w:val="00D47574"/>
    <w:rsid w:val="00D52005"/>
    <w:rsid w:val="00D521FD"/>
    <w:rsid w:val="00D52564"/>
    <w:rsid w:val="00D52A44"/>
    <w:rsid w:val="00D5326F"/>
    <w:rsid w:val="00D532CC"/>
    <w:rsid w:val="00D53421"/>
    <w:rsid w:val="00D541BD"/>
    <w:rsid w:val="00D5480A"/>
    <w:rsid w:val="00D5489F"/>
    <w:rsid w:val="00D54A48"/>
    <w:rsid w:val="00D55058"/>
    <w:rsid w:val="00D5570A"/>
    <w:rsid w:val="00D557DB"/>
    <w:rsid w:val="00D55A8B"/>
    <w:rsid w:val="00D55B4F"/>
    <w:rsid w:val="00D55C81"/>
    <w:rsid w:val="00D56050"/>
    <w:rsid w:val="00D56065"/>
    <w:rsid w:val="00D56480"/>
    <w:rsid w:val="00D56C2E"/>
    <w:rsid w:val="00D5720D"/>
    <w:rsid w:val="00D577CA"/>
    <w:rsid w:val="00D577EB"/>
    <w:rsid w:val="00D57CDF"/>
    <w:rsid w:val="00D6049A"/>
    <w:rsid w:val="00D60A7F"/>
    <w:rsid w:val="00D61150"/>
    <w:rsid w:val="00D61758"/>
    <w:rsid w:val="00D61917"/>
    <w:rsid w:val="00D61D7A"/>
    <w:rsid w:val="00D61E10"/>
    <w:rsid w:val="00D6223A"/>
    <w:rsid w:val="00D6260F"/>
    <w:rsid w:val="00D62921"/>
    <w:rsid w:val="00D62FFE"/>
    <w:rsid w:val="00D63192"/>
    <w:rsid w:val="00D6397A"/>
    <w:rsid w:val="00D63CF8"/>
    <w:rsid w:val="00D63EA5"/>
    <w:rsid w:val="00D647D1"/>
    <w:rsid w:val="00D651DC"/>
    <w:rsid w:val="00D65381"/>
    <w:rsid w:val="00D653BE"/>
    <w:rsid w:val="00D65868"/>
    <w:rsid w:val="00D65DF0"/>
    <w:rsid w:val="00D65FC8"/>
    <w:rsid w:val="00D661E2"/>
    <w:rsid w:val="00D662A6"/>
    <w:rsid w:val="00D664D2"/>
    <w:rsid w:val="00D672A8"/>
    <w:rsid w:val="00D6783D"/>
    <w:rsid w:val="00D7029C"/>
    <w:rsid w:val="00D705B4"/>
    <w:rsid w:val="00D706B1"/>
    <w:rsid w:val="00D716C8"/>
    <w:rsid w:val="00D71E92"/>
    <w:rsid w:val="00D728CE"/>
    <w:rsid w:val="00D72A98"/>
    <w:rsid w:val="00D72DA3"/>
    <w:rsid w:val="00D735F7"/>
    <w:rsid w:val="00D73655"/>
    <w:rsid w:val="00D73A0C"/>
    <w:rsid w:val="00D745F2"/>
    <w:rsid w:val="00D74789"/>
    <w:rsid w:val="00D74DD7"/>
    <w:rsid w:val="00D75277"/>
    <w:rsid w:val="00D75384"/>
    <w:rsid w:val="00D75733"/>
    <w:rsid w:val="00D759B3"/>
    <w:rsid w:val="00D76150"/>
    <w:rsid w:val="00D763FB"/>
    <w:rsid w:val="00D777DE"/>
    <w:rsid w:val="00D77804"/>
    <w:rsid w:val="00D77C94"/>
    <w:rsid w:val="00D80457"/>
    <w:rsid w:val="00D80636"/>
    <w:rsid w:val="00D80D71"/>
    <w:rsid w:val="00D82006"/>
    <w:rsid w:val="00D8221A"/>
    <w:rsid w:val="00D823D5"/>
    <w:rsid w:val="00D82888"/>
    <w:rsid w:val="00D82CD3"/>
    <w:rsid w:val="00D837DF"/>
    <w:rsid w:val="00D83DF9"/>
    <w:rsid w:val="00D83FA7"/>
    <w:rsid w:val="00D8410A"/>
    <w:rsid w:val="00D84FFA"/>
    <w:rsid w:val="00D85102"/>
    <w:rsid w:val="00D853BF"/>
    <w:rsid w:val="00D85580"/>
    <w:rsid w:val="00D8580D"/>
    <w:rsid w:val="00D85C3E"/>
    <w:rsid w:val="00D8631A"/>
    <w:rsid w:val="00D867FE"/>
    <w:rsid w:val="00D871DF"/>
    <w:rsid w:val="00D8735F"/>
    <w:rsid w:val="00D87451"/>
    <w:rsid w:val="00D91036"/>
    <w:rsid w:val="00D91440"/>
    <w:rsid w:val="00D91DF7"/>
    <w:rsid w:val="00D9265D"/>
    <w:rsid w:val="00D92E91"/>
    <w:rsid w:val="00D93198"/>
    <w:rsid w:val="00D93846"/>
    <w:rsid w:val="00D939CF"/>
    <w:rsid w:val="00D9434F"/>
    <w:rsid w:val="00D948C5"/>
    <w:rsid w:val="00D95B97"/>
    <w:rsid w:val="00D95DAB"/>
    <w:rsid w:val="00D96071"/>
    <w:rsid w:val="00D9633E"/>
    <w:rsid w:val="00D96C50"/>
    <w:rsid w:val="00DA02B7"/>
    <w:rsid w:val="00DA0488"/>
    <w:rsid w:val="00DA063A"/>
    <w:rsid w:val="00DA0ECF"/>
    <w:rsid w:val="00DA18CE"/>
    <w:rsid w:val="00DA1D1B"/>
    <w:rsid w:val="00DA1FC8"/>
    <w:rsid w:val="00DA3113"/>
    <w:rsid w:val="00DA334F"/>
    <w:rsid w:val="00DA3A08"/>
    <w:rsid w:val="00DA566C"/>
    <w:rsid w:val="00DA5F31"/>
    <w:rsid w:val="00DA638A"/>
    <w:rsid w:val="00DA63E9"/>
    <w:rsid w:val="00DA6EC4"/>
    <w:rsid w:val="00DA6EF0"/>
    <w:rsid w:val="00DA7057"/>
    <w:rsid w:val="00DA7646"/>
    <w:rsid w:val="00DB07E2"/>
    <w:rsid w:val="00DB09DB"/>
    <w:rsid w:val="00DB09FE"/>
    <w:rsid w:val="00DB0F91"/>
    <w:rsid w:val="00DB1C6F"/>
    <w:rsid w:val="00DB2584"/>
    <w:rsid w:val="00DB2798"/>
    <w:rsid w:val="00DB308C"/>
    <w:rsid w:val="00DB3723"/>
    <w:rsid w:val="00DB38BD"/>
    <w:rsid w:val="00DB3D00"/>
    <w:rsid w:val="00DB4496"/>
    <w:rsid w:val="00DB4723"/>
    <w:rsid w:val="00DB4732"/>
    <w:rsid w:val="00DB4888"/>
    <w:rsid w:val="00DB5484"/>
    <w:rsid w:val="00DB55D5"/>
    <w:rsid w:val="00DB56A3"/>
    <w:rsid w:val="00DB5FC1"/>
    <w:rsid w:val="00DB65FD"/>
    <w:rsid w:val="00DB6974"/>
    <w:rsid w:val="00DB6F94"/>
    <w:rsid w:val="00DB7616"/>
    <w:rsid w:val="00DB76EA"/>
    <w:rsid w:val="00DB7A80"/>
    <w:rsid w:val="00DC06E5"/>
    <w:rsid w:val="00DC07EE"/>
    <w:rsid w:val="00DC0CBB"/>
    <w:rsid w:val="00DC118B"/>
    <w:rsid w:val="00DC1287"/>
    <w:rsid w:val="00DC17A0"/>
    <w:rsid w:val="00DC1A6E"/>
    <w:rsid w:val="00DC37B4"/>
    <w:rsid w:val="00DC3A12"/>
    <w:rsid w:val="00DC3FF9"/>
    <w:rsid w:val="00DC412A"/>
    <w:rsid w:val="00DC4678"/>
    <w:rsid w:val="00DC4896"/>
    <w:rsid w:val="00DC4B19"/>
    <w:rsid w:val="00DC4C47"/>
    <w:rsid w:val="00DC5CB2"/>
    <w:rsid w:val="00DC7450"/>
    <w:rsid w:val="00DC795F"/>
    <w:rsid w:val="00DC7B90"/>
    <w:rsid w:val="00DC7DF7"/>
    <w:rsid w:val="00DD01B2"/>
    <w:rsid w:val="00DD0968"/>
    <w:rsid w:val="00DD0DE5"/>
    <w:rsid w:val="00DD0F24"/>
    <w:rsid w:val="00DD24B6"/>
    <w:rsid w:val="00DD2A1B"/>
    <w:rsid w:val="00DD3C96"/>
    <w:rsid w:val="00DD4B67"/>
    <w:rsid w:val="00DD65C0"/>
    <w:rsid w:val="00DD7FE4"/>
    <w:rsid w:val="00DE0855"/>
    <w:rsid w:val="00DE0EF7"/>
    <w:rsid w:val="00DE2DFB"/>
    <w:rsid w:val="00DE3616"/>
    <w:rsid w:val="00DE3C08"/>
    <w:rsid w:val="00DE425C"/>
    <w:rsid w:val="00DE44AA"/>
    <w:rsid w:val="00DE4A18"/>
    <w:rsid w:val="00DE5168"/>
    <w:rsid w:val="00DE5330"/>
    <w:rsid w:val="00DE59BE"/>
    <w:rsid w:val="00DE5BDE"/>
    <w:rsid w:val="00DE60CD"/>
    <w:rsid w:val="00DE620F"/>
    <w:rsid w:val="00DE64F2"/>
    <w:rsid w:val="00DE6704"/>
    <w:rsid w:val="00DE6724"/>
    <w:rsid w:val="00DE6E33"/>
    <w:rsid w:val="00DE7E7A"/>
    <w:rsid w:val="00DF03BA"/>
    <w:rsid w:val="00DF0768"/>
    <w:rsid w:val="00DF09AE"/>
    <w:rsid w:val="00DF0B73"/>
    <w:rsid w:val="00DF0D11"/>
    <w:rsid w:val="00DF1DCE"/>
    <w:rsid w:val="00DF20D4"/>
    <w:rsid w:val="00DF2238"/>
    <w:rsid w:val="00DF2C73"/>
    <w:rsid w:val="00DF2F4D"/>
    <w:rsid w:val="00DF3E0C"/>
    <w:rsid w:val="00DF40D2"/>
    <w:rsid w:val="00DF515A"/>
    <w:rsid w:val="00DF60C4"/>
    <w:rsid w:val="00DF69F7"/>
    <w:rsid w:val="00DF6D27"/>
    <w:rsid w:val="00DF722F"/>
    <w:rsid w:val="00DF7D7E"/>
    <w:rsid w:val="00DF7DCD"/>
    <w:rsid w:val="00E007B9"/>
    <w:rsid w:val="00E009F9"/>
    <w:rsid w:val="00E00BBC"/>
    <w:rsid w:val="00E010C3"/>
    <w:rsid w:val="00E01664"/>
    <w:rsid w:val="00E01957"/>
    <w:rsid w:val="00E022C1"/>
    <w:rsid w:val="00E02F40"/>
    <w:rsid w:val="00E0409B"/>
    <w:rsid w:val="00E04154"/>
    <w:rsid w:val="00E04361"/>
    <w:rsid w:val="00E0443E"/>
    <w:rsid w:val="00E04691"/>
    <w:rsid w:val="00E04A61"/>
    <w:rsid w:val="00E04AF4"/>
    <w:rsid w:val="00E04CB2"/>
    <w:rsid w:val="00E05342"/>
    <w:rsid w:val="00E057EA"/>
    <w:rsid w:val="00E057F4"/>
    <w:rsid w:val="00E05F00"/>
    <w:rsid w:val="00E06619"/>
    <w:rsid w:val="00E06963"/>
    <w:rsid w:val="00E06DD7"/>
    <w:rsid w:val="00E06F64"/>
    <w:rsid w:val="00E06FDD"/>
    <w:rsid w:val="00E07197"/>
    <w:rsid w:val="00E07887"/>
    <w:rsid w:val="00E07966"/>
    <w:rsid w:val="00E107B4"/>
    <w:rsid w:val="00E10DC3"/>
    <w:rsid w:val="00E10F7A"/>
    <w:rsid w:val="00E116B9"/>
    <w:rsid w:val="00E117F1"/>
    <w:rsid w:val="00E11E07"/>
    <w:rsid w:val="00E12001"/>
    <w:rsid w:val="00E12467"/>
    <w:rsid w:val="00E12794"/>
    <w:rsid w:val="00E127BC"/>
    <w:rsid w:val="00E12943"/>
    <w:rsid w:val="00E12E6B"/>
    <w:rsid w:val="00E1301D"/>
    <w:rsid w:val="00E141E9"/>
    <w:rsid w:val="00E14200"/>
    <w:rsid w:val="00E14226"/>
    <w:rsid w:val="00E146FD"/>
    <w:rsid w:val="00E14915"/>
    <w:rsid w:val="00E14A33"/>
    <w:rsid w:val="00E153E3"/>
    <w:rsid w:val="00E1585E"/>
    <w:rsid w:val="00E163B8"/>
    <w:rsid w:val="00E168EA"/>
    <w:rsid w:val="00E17A1E"/>
    <w:rsid w:val="00E17D0E"/>
    <w:rsid w:val="00E20E5D"/>
    <w:rsid w:val="00E22531"/>
    <w:rsid w:val="00E22581"/>
    <w:rsid w:val="00E22587"/>
    <w:rsid w:val="00E22915"/>
    <w:rsid w:val="00E22F03"/>
    <w:rsid w:val="00E2360D"/>
    <w:rsid w:val="00E23867"/>
    <w:rsid w:val="00E23BB9"/>
    <w:rsid w:val="00E23DBA"/>
    <w:rsid w:val="00E240BC"/>
    <w:rsid w:val="00E24AFB"/>
    <w:rsid w:val="00E258A6"/>
    <w:rsid w:val="00E25A53"/>
    <w:rsid w:val="00E26249"/>
    <w:rsid w:val="00E26BDD"/>
    <w:rsid w:val="00E309EE"/>
    <w:rsid w:val="00E30A02"/>
    <w:rsid w:val="00E30C81"/>
    <w:rsid w:val="00E30CA5"/>
    <w:rsid w:val="00E31A41"/>
    <w:rsid w:val="00E31BBF"/>
    <w:rsid w:val="00E329C1"/>
    <w:rsid w:val="00E32A51"/>
    <w:rsid w:val="00E32D6B"/>
    <w:rsid w:val="00E33309"/>
    <w:rsid w:val="00E334B1"/>
    <w:rsid w:val="00E336F1"/>
    <w:rsid w:val="00E338E9"/>
    <w:rsid w:val="00E34344"/>
    <w:rsid w:val="00E34926"/>
    <w:rsid w:val="00E349E8"/>
    <w:rsid w:val="00E34A79"/>
    <w:rsid w:val="00E34EFF"/>
    <w:rsid w:val="00E355D5"/>
    <w:rsid w:val="00E3572C"/>
    <w:rsid w:val="00E3575C"/>
    <w:rsid w:val="00E35AB0"/>
    <w:rsid w:val="00E35AC8"/>
    <w:rsid w:val="00E35C5A"/>
    <w:rsid w:val="00E35DA8"/>
    <w:rsid w:val="00E35EDF"/>
    <w:rsid w:val="00E35FF9"/>
    <w:rsid w:val="00E36318"/>
    <w:rsid w:val="00E36C4C"/>
    <w:rsid w:val="00E372E3"/>
    <w:rsid w:val="00E373A9"/>
    <w:rsid w:val="00E3748D"/>
    <w:rsid w:val="00E37C5F"/>
    <w:rsid w:val="00E37CFD"/>
    <w:rsid w:val="00E402EF"/>
    <w:rsid w:val="00E404C7"/>
    <w:rsid w:val="00E4061E"/>
    <w:rsid w:val="00E4103A"/>
    <w:rsid w:val="00E4294E"/>
    <w:rsid w:val="00E43F33"/>
    <w:rsid w:val="00E43F65"/>
    <w:rsid w:val="00E444AE"/>
    <w:rsid w:val="00E4460A"/>
    <w:rsid w:val="00E44CED"/>
    <w:rsid w:val="00E44E64"/>
    <w:rsid w:val="00E458CF"/>
    <w:rsid w:val="00E45B8E"/>
    <w:rsid w:val="00E4655E"/>
    <w:rsid w:val="00E4687C"/>
    <w:rsid w:val="00E503B0"/>
    <w:rsid w:val="00E50429"/>
    <w:rsid w:val="00E50DE9"/>
    <w:rsid w:val="00E50F81"/>
    <w:rsid w:val="00E51A84"/>
    <w:rsid w:val="00E543D0"/>
    <w:rsid w:val="00E54DEB"/>
    <w:rsid w:val="00E55E91"/>
    <w:rsid w:val="00E56939"/>
    <w:rsid w:val="00E57206"/>
    <w:rsid w:val="00E57266"/>
    <w:rsid w:val="00E57970"/>
    <w:rsid w:val="00E60402"/>
    <w:rsid w:val="00E60A41"/>
    <w:rsid w:val="00E61175"/>
    <w:rsid w:val="00E61555"/>
    <w:rsid w:val="00E621D5"/>
    <w:rsid w:val="00E62844"/>
    <w:rsid w:val="00E628B4"/>
    <w:rsid w:val="00E629DD"/>
    <w:rsid w:val="00E62B13"/>
    <w:rsid w:val="00E62FED"/>
    <w:rsid w:val="00E6363B"/>
    <w:rsid w:val="00E63B23"/>
    <w:rsid w:val="00E63B25"/>
    <w:rsid w:val="00E640F7"/>
    <w:rsid w:val="00E64262"/>
    <w:rsid w:val="00E64492"/>
    <w:rsid w:val="00E6491A"/>
    <w:rsid w:val="00E7066E"/>
    <w:rsid w:val="00E70E15"/>
    <w:rsid w:val="00E7104D"/>
    <w:rsid w:val="00E728B8"/>
    <w:rsid w:val="00E72F2A"/>
    <w:rsid w:val="00E73206"/>
    <w:rsid w:val="00E7331E"/>
    <w:rsid w:val="00E734A3"/>
    <w:rsid w:val="00E736D1"/>
    <w:rsid w:val="00E73C3A"/>
    <w:rsid w:val="00E741C5"/>
    <w:rsid w:val="00E74DF9"/>
    <w:rsid w:val="00E7514F"/>
    <w:rsid w:val="00E755DF"/>
    <w:rsid w:val="00E75773"/>
    <w:rsid w:val="00E75E02"/>
    <w:rsid w:val="00E7652F"/>
    <w:rsid w:val="00E769F1"/>
    <w:rsid w:val="00E7741C"/>
    <w:rsid w:val="00E80439"/>
    <w:rsid w:val="00E80482"/>
    <w:rsid w:val="00E80FAA"/>
    <w:rsid w:val="00E8121B"/>
    <w:rsid w:val="00E81579"/>
    <w:rsid w:val="00E82ABE"/>
    <w:rsid w:val="00E83481"/>
    <w:rsid w:val="00E846C4"/>
    <w:rsid w:val="00E848FE"/>
    <w:rsid w:val="00E84EB2"/>
    <w:rsid w:val="00E8500B"/>
    <w:rsid w:val="00E85536"/>
    <w:rsid w:val="00E8600D"/>
    <w:rsid w:val="00E861BF"/>
    <w:rsid w:val="00E86501"/>
    <w:rsid w:val="00E877E3"/>
    <w:rsid w:val="00E87EF5"/>
    <w:rsid w:val="00E905F1"/>
    <w:rsid w:val="00E90FDA"/>
    <w:rsid w:val="00E914F5"/>
    <w:rsid w:val="00E91975"/>
    <w:rsid w:val="00E91A1D"/>
    <w:rsid w:val="00E91DB1"/>
    <w:rsid w:val="00E92993"/>
    <w:rsid w:val="00E92FA0"/>
    <w:rsid w:val="00E95B44"/>
    <w:rsid w:val="00E95F6E"/>
    <w:rsid w:val="00E972A7"/>
    <w:rsid w:val="00E97470"/>
    <w:rsid w:val="00E97F7F"/>
    <w:rsid w:val="00EA04EF"/>
    <w:rsid w:val="00EA063E"/>
    <w:rsid w:val="00EA0715"/>
    <w:rsid w:val="00EA0923"/>
    <w:rsid w:val="00EA0D62"/>
    <w:rsid w:val="00EA112B"/>
    <w:rsid w:val="00EA1478"/>
    <w:rsid w:val="00EA152B"/>
    <w:rsid w:val="00EA2B93"/>
    <w:rsid w:val="00EA3BEF"/>
    <w:rsid w:val="00EA4210"/>
    <w:rsid w:val="00EA425B"/>
    <w:rsid w:val="00EA575C"/>
    <w:rsid w:val="00EA6BC8"/>
    <w:rsid w:val="00EA6FEC"/>
    <w:rsid w:val="00EA7B12"/>
    <w:rsid w:val="00EB0EA4"/>
    <w:rsid w:val="00EB174E"/>
    <w:rsid w:val="00EB1928"/>
    <w:rsid w:val="00EB1B14"/>
    <w:rsid w:val="00EB1D62"/>
    <w:rsid w:val="00EB2109"/>
    <w:rsid w:val="00EB2ABA"/>
    <w:rsid w:val="00EB31D1"/>
    <w:rsid w:val="00EB40D6"/>
    <w:rsid w:val="00EB40DA"/>
    <w:rsid w:val="00EB497B"/>
    <w:rsid w:val="00EB4B80"/>
    <w:rsid w:val="00EB4BB7"/>
    <w:rsid w:val="00EB4D00"/>
    <w:rsid w:val="00EB523A"/>
    <w:rsid w:val="00EB5257"/>
    <w:rsid w:val="00EB53F8"/>
    <w:rsid w:val="00EB5613"/>
    <w:rsid w:val="00EB62F4"/>
    <w:rsid w:val="00EB6320"/>
    <w:rsid w:val="00EB6B0C"/>
    <w:rsid w:val="00EB6B66"/>
    <w:rsid w:val="00EB751A"/>
    <w:rsid w:val="00EB7C33"/>
    <w:rsid w:val="00EB7F1D"/>
    <w:rsid w:val="00EC038E"/>
    <w:rsid w:val="00EC06AB"/>
    <w:rsid w:val="00EC16BC"/>
    <w:rsid w:val="00EC197E"/>
    <w:rsid w:val="00EC1CC3"/>
    <w:rsid w:val="00EC284B"/>
    <w:rsid w:val="00EC2EFA"/>
    <w:rsid w:val="00EC2FB1"/>
    <w:rsid w:val="00EC3235"/>
    <w:rsid w:val="00EC3C0B"/>
    <w:rsid w:val="00EC4E42"/>
    <w:rsid w:val="00EC505B"/>
    <w:rsid w:val="00EC5297"/>
    <w:rsid w:val="00EC52B1"/>
    <w:rsid w:val="00EC5451"/>
    <w:rsid w:val="00EC5479"/>
    <w:rsid w:val="00EC57DA"/>
    <w:rsid w:val="00EC59BD"/>
    <w:rsid w:val="00EC5D23"/>
    <w:rsid w:val="00EC6C24"/>
    <w:rsid w:val="00EC79FC"/>
    <w:rsid w:val="00EC7E0B"/>
    <w:rsid w:val="00EC7F6B"/>
    <w:rsid w:val="00ED09C1"/>
    <w:rsid w:val="00ED0B24"/>
    <w:rsid w:val="00ED0C4F"/>
    <w:rsid w:val="00ED0F12"/>
    <w:rsid w:val="00ED1359"/>
    <w:rsid w:val="00ED156B"/>
    <w:rsid w:val="00ED1922"/>
    <w:rsid w:val="00ED1B67"/>
    <w:rsid w:val="00ED1D24"/>
    <w:rsid w:val="00ED1EB1"/>
    <w:rsid w:val="00ED264F"/>
    <w:rsid w:val="00ED27EE"/>
    <w:rsid w:val="00ED3864"/>
    <w:rsid w:val="00ED38CD"/>
    <w:rsid w:val="00ED406D"/>
    <w:rsid w:val="00ED674C"/>
    <w:rsid w:val="00ED713F"/>
    <w:rsid w:val="00ED7492"/>
    <w:rsid w:val="00ED74F7"/>
    <w:rsid w:val="00ED7A6C"/>
    <w:rsid w:val="00EE096E"/>
    <w:rsid w:val="00EE2097"/>
    <w:rsid w:val="00EE4863"/>
    <w:rsid w:val="00EE4EE3"/>
    <w:rsid w:val="00EE554A"/>
    <w:rsid w:val="00EE5E4D"/>
    <w:rsid w:val="00EE61D6"/>
    <w:rsid w:val="00EE6EFE"/>
    <w:rsid w:val="00EF0740"/>
    <w:rsid w:val="00EF0CC9"/>
    <w:rsid w:val="00EF0EA3"/>
    <w:rsid w:val="00EF14BC"/>
    <w:rsid w:val="00EF1683"/>
    <w:rsid w:val="00EF1C02"/>
    <w:rsid w:val="00EF1C2C"/>
    <w:rsid w:val="00EF21A4"/>
    <w:rsid w:val="00EF25F2"/>
    <w:rsid w:val="00EF2923"/>
    <w:rsid w:val="00EF2AAB"/>
    <w:rsid w:val="00EF2C7A"/>
    <w:rsid w:val="00EF2DC0"/>
    <w:rsid w:val="00EF3424"/>
    <w:rsid w:val="00EF34F7"/>
    <w:rsid w:val="00EF357D"/>
    <w:rsid w:val="00EF49B7"/>
    <w:rsid w:val="00EF559B"/>
    <w:rsid w:val="00EF5A77"/>
    <w:rsid w:val="00EF623E"/>
    <w:rsid w:val="00EF62DE"/>
    <w:rsid w:val="00EF63BE"/>
    <w:rsid w:val="00EF7351"/>
    <w:rsid w:val="00EF7476"/>
    <w:rsid w:val="00EF76D9"/>
    <w:rsid w:val="00EF7986"/>
    <w:rsid w:val="00EF79FC"/>
    <w:rsid w:val="00F005FA"/>
    <w:rsid w:val="00F00647"/>
    <w:rsid w:val="00F01B48"/>
    <w:rsid w:val="00F024ED"/>
    <w:rsid w:val="00F02F58"/>
    <w:rsid w:val="00F03208"/>
    <w:rsid w:val="00F03B1A"/>
    <w:rsid w:val="00F03CA9"/>
    <w:rsid w:val="00F03DAB"/>
    <w:rsid w:val="00F04138"/>
    <w:rsid w:val="00F046C3"/>
    <w:rsid w:val="00F04D70"/>
    <w:rsid w:val="00F04E08"/>
    <w:rsid w:val="00F050A8"/>
    <w:rsid w:val="00F05508"/>
    <w:rsid w:val="00F05704"/>
    <w:rsid w:val="00F0571F"/>
    <w:rsid w:val="00F05B5C"/>
    <w:rsid w:val="00F05BD7"/>
    <w:rsid w:val="00F07301"/>
    <w:rsid w:val="00F105CE"/>
    <w:rsid w:val="00F10662"/>
    <w:rsid w:val="00F106D8"/>
    <w:rsid w:val="00F10C19"/>
    <w:rsid w:val="00F10E3D"/>
    <w:rsid w:val="00F112DD"/>
    <w:rsid w:val="00F116B7"/>
    <w:rsid w:val="00F11864"/>
    <w:rsid w:val="00F12199"/>
    <w:rsid w:val="00F122CE"/>
    <w:rsid w:val="00F13A1D"/>
    <w:rsid w:val="00F13D25"/>
    <w:rsid w:val="00F147ED"/>
    <w:rsid w:val="00F1562B"/>
    <w:rsid w:val="00F156B8"/>
    <w:rsid w:val="00F157A3"/>
    <w:rsid w:val="00F15EFB"/>
    <w:rsid w:val="00F16470"/>
    <w:rsid w:val="00F16D22"/>
    <w:rsid w:val="00F178CC"/>
    <w:rsid w:val="00F179FB"/>
    <w:rsid w:val="00F2046B"/>
    <w:rsid w:val="00F20D5B"/>
    <w:rsid w:val="00F20E6E"/>
    <w:rsid w:val="00F22572"/>
    <w:rsid w:val="00F23220"/>
    <w:rsid w:val="00F234F0"/>
    <w:rsid w:val="00F2400E"/>
    <w:rsid w:val="00F25263"/>
    <w:rsid w:val="00F255A0"/>
    <w:rsid w:val="00F25ACF"/>
    <w:rsid w:val="00F25E3F"/>
    <w:rsid w:val="00F274E8"/>
    <w:rsid w:val="00F275E5"/>
    <w:rsid w:val="00F2789D"/>
    <w:rsid w:val="00F30242"/>
    <w:rsid w:val="00F30D6C"/>
    <w:rsid w:val="00F314BB"/>
    <w:rsid w:val="00F31676"/>
    <w:rsid w:val="00F31CC1"/>
    <w:rsid w:val="00F31FAD"/>
    <w:rsid w:val="00F320E4"/>
    <w:rsid w:val="00F32284"/>
    <w:rsid w:val="00F325EB"/>
    <w:rsid w:val="00F32EAF"/>
    <w:rsid w:val="00F33456"/>
    <w:rsid w:val="00F33555"/>
    <w:rsid w:val="00F3385F"/>
    <w:rsid w:val="00F33CB5"/>
    <w:rsid w:val="00F3420B"/>
    <w:rsid w:val="00F34C01"/>
    <w:rsid w:val="00F351B9"/>
    <w:rsid w:val="00F36095"/>
    <w:rsid w:val="00F3624C"/>
    <w:rsid w:val="00F375C1"/>
    <w:rsid w:val="00F37AD9"/>
    <w:rsid w:val="00F37D45"/>
    <w:rsid w:val="00F37FDE"/>
    <w:rsid w:val="00F40C72"/>
    <w:rsid w:val="00F4189F"/>
    <w:rsid w:val="00F42261"/>
    <w:rsid w:val="00F42865"/>
    <w:rsid w:val="00F42A4A"/>
    <w:rsid w:val="00F44245"/>
    <w:rsid w:val="00F4507B"/>
    <w:rsid w:val="00F4519F"/>
    <w:rsid w:val="00F4539A"/>
    <w:rsid w:val="00F465B1"/>
    <w:rsid w:val="00F46A55"/>
    <w:rsid w:val="00F46CFA"/>
    <w:rsid w:val="00F47BEA"/>
    <w:rsid w:val="00F501E6"/>
    <w:rsid w:val="00F50615"/>
    <w:rsid w:val="00F506BB"/>
    <w:rsid w:val="00F5074D"/>
    <w:rsid w:val="00F5094E"/>
    <w:rsid w:val="00F50D08"/>
    <w:rsid w:val="00F50FC9"/>
    <w:rsid w:val="00F5148D"/>
    <w:rsid w:val="00F51931"/>
    <w:rsid w:val="00F51B05"/>
    <w:rsid w:val="00F51DE7"/>
    <w:rsid w:val="00F523E5"/>
    <w:rsid w:val="00F52D67"/>
    <w:rsid w:val="00F5341A"/>
    <w:rsid w:val="00F53860"/>
    <w:rsid w:val="00F543FB"/>
    <w:rsid w:val="00F54621"/>
    <w:rsid w:val="00F54A44"/>
    <w:rsid w:val="00F54EC9"/>
    <w:rsid w:val="00F54F92"/>
    <w:rsid w:val="00F552EF"/>
    <w:rsid w:val="00F5543C"/>
    <w:rsid w:val="00F55CE8"/>
    <w:rsid w:val="00F561D9"/>
    <w:rsid w:val="00F565A8"/>
    <w:rsid w:val="00F56A7F"/>
    <w:rsid w:val="00F5726C"/>
    <w:rsid w:val="00F57A88"/>
    <w:rsid w:val="00F603B9"/>
    <w:rsid w:val="00F605AF"/>
    <w:rsid w:val="00F6085B"/>
    <w:rsid w:val="00F60CF6"/>
    <w:rsid w:val="00F61B43"/>
    <w:rsid w:val="00F623F7"/>
    <w:rsid w:val="00F625C7"/>
    <w:rsid w:val="00F628E0"/>
    <w:rsid w:val="00F63C57"/>
    <w:rsid w:val="00F63C98"/>
    <w:rsid w:val="00F6466C"/>
    <w:rsid w:val="00F6528C"/>
    <w:rsid w:val="00F65DC4"/>
    <w:rsid w:val="00F66645"/>
    <w:rsid w:val="00F66E16"/>
    <w:rsid w:val="00F66EB0"/>
    <w:rsid w:val="00F67150"/>
    <w:rsid w:val="00F67B10"/>
    <w:rsid w:val="00F70360"/>
    <w:rsid w:val="00F7061E"/>
    <w:rsid w:val="00F706D3"/>
    <w:rsid w:val="00F70AB5"/>
    <w:rsid w:val="00F71D11"/>
    <w:rsid w:val="00F72040"/>
    <w:rsid w:val="00F73B7A"/>
    <w:rsid w:val="00F745CB"/>
    <w:rsid w:val="00F746F0"/>
    <w:rsid w:val="00F748C9"/>
    <w:rsid w:val="00F74AB5"/>
    <w:rsid w:val="00F7526A"/>
    <w:rsid w:val="00F7552E"/>
    <w:rsid w:val="00F761D6"/>
    <w:rsid w:val="00F76674"/>
    <w:rsid w:val="00F76BA4"/>
    <w:rsid w:val="00F76FE8"/>
    <w:rsid w:val="00F77C37"/>
    <w:rsid w:val="00F77EA5"/>
    <w:rsid w:val="00F77EEF"/>
    <w:rsid w:val="00F8080B"/>
    <w:rsid w:val="00F809C6"/>
    <w:rsid w:val="00F81F68"/>
    <w:rsid w:val="00F830FD"/>
    <w:rsid w:val="00F83203"/>
    <w:rsid w:val="00F8345B"/>
    <w:rsid w:val="00F83ADC"/>
    <w:rsid w:val="00F84E38"/>
    <w:rsid w:val="00F85060"/>
    <w:rsid w:val="00F85604"/>
    <w:rsid w:val="00F856BE"/>
    <w:rsid w:val="00F85E27"/>
    <w:rsid w:val="00F871E9"/>
    <w:rsid w:val="00F87273"/>
    <w:rsid w:val="00F90E59"/>
    <w:rsid w:val="00F9149F"/>
    <w:rsid w:val="00F91767"/>
    <w:rsid w:val="00F91F72"/>
    <w:rsid w:val="00F920A4"/>
    <w:rsid w:val="00F92304"/>
    <w:rsid w:val="00F9298B"/>
    <w:rsid w:val="00F94A82"/>
    <w:rsid w:val="00F95FC6"/>
    <w:rsid w:val="00F9643D"/>
    <w:rsid w:val="00F96635"/>
    <w:rsid w:val="00F96BFB"/>
    <w:rsid w:val="00F96D8F"/>
    <w:rsid w:val="00F9708B"/>
    <w:rsid w:val="00FA032E"/>
    <w:rsid w:val="00FA04FA"/>
    <w:rsid w:val="00FA07B6"/>
    <w:rsid w:val="00FA134A"/>
    <w:rsid w:val="00FA2978"/>
    <w:rsid w:val="00FA2A14"/>
    <w:rsid w:val="00FA2E03"/>
    <w:rsid w:val="00FA2F85"/>
    <w:rsid w:val="00FA364E"/>
    <w:rsid w:val="00FA40FC"/>
    <w:rsid w:val="00FA41C6"/>
    <w:rsid w:val="00FA4342"/>
    <w:rsid w:val="00FA59D7"/>
    <w:rsid w:val="00FA69B1"/>
    <w:rsid w:val="00FA72DD"/>
    <w:rsid w:val="00FA7666"/>
    <w:rsid w:val="00FA7688"/>
    <w:rsid w:val="00FA7D10"/>
    <w:rsid w:val="00FA7E24"/>
    <w:rsid w:val="00FB06FE"/>
    <w:rsid w:val="00FB1379"/>
    <w:rsid w:val="00FB1A06"/>
    <w:rsid w:val="00FB1F60"/>
    <w:rsid w:val="00FB2359"/>
    <w:rsid w:val="00FB2880"/>
    <w:rsid w:val="00FB2A74"/>
    <w:rsid w:val="00FB2C4F"/>
    <w:rsid w:val="00FB2CAC"/>
    <w:rsid w:val="00FB3308"/>
    <w:rsid w:val="00FB3DB1"/>
    <w:rsid w:val="00FB415A"/>
    <w:rsid w:val="00FB42BC"/>
    <w:rsid w:val="00FB4498"/>
    <w:rsid w:val="00FB4515"/>
    <w:rsid w:val="00FB4804"/>
    <w:rsid w:val="00FB5364"/>
    <w:rsid w:val="00FB5856"/>
    <w:rsid w:val="00FB58FF"/>
    <w:rsid w:val="00FB60D1"/>
    <w:rsid w:val="00FB6BE7"/>
    <w:rsid w:val="00FB7096"/>
    <w:rsid w:val="00FB71E6"/>
    <w:rsid w:val="00FB72FB"/>
    <w:rsid w:val="00FB742C"/>
    <w:rsid w:val="00FB7927"/>
    <w:rsid w:val="00FC0415"/>
    <w:rsid w:val="00FC086E"/>
    <w:rsid w:val="00FC0D93"/>
    <w:rsid w:val="00FC12F0"/>
    <w:rsid w:val="00FC1B03"/>
    <w:rsid w:val="00FC24E6"/>
    <w:rsid w:val="00FC2E90"/>
    <w:rsid w:val="00FC37DB"/>
    <w:rsid w:val="00FC38B4"/>
    <w:rsid w:val="00FC3C18"/>
    <w:rsid w:val="00FC4780"/>
    <w:rsid w:val="00FC4901"/>
    <w:rsid w:val="00FC4EC0"/>
    <w:rsid w:val="00FC5900"/>
    <w:rsid w:val="00FC643F"/>
    <w:rsid w:val="00FD107A"/>
    <w:rsid w:val="00FD13E0"/>
    <w:rsid w:val="00FD168F"/>
    <w:rsid w:val="00FD1E93"/>
    <w:rsid w:val="00FD307D"/>
    <w:rsid w:val="00FD4847"/>
    <w:rsid w:val="00FD51A5"/>
    <w:rsid w:val="00FD5511"/>
    <w:rsid w:val="00FD6769"/>
    <w:rsid w:val="00FD6B56"/>
    <w:rsid w:val="00FD73D2"/>
    <w:rsid w:val="00FD7D07"/>
    <w:rsid w:val="00FE07A9"/>
    <w:rsid w:val="00FE0E00"/>
    <w:rsid w:val="00FE1312"/>
    <w:rsid w:val="00FE2073"/>
    <w:rsid w:val="00FE2082"/>
    <w:rsid w:val="00FE259B"/>
    <w:rsid w:val="00FE29FA"/>
    <w:rsid w:val="00FE2D8B"/>
    <w:rsid w:val="00FE3706"/>
    <w:rsid w:val="00FE5997"/>
    <w:rsid w:val="00FE6DE4"/>
    <w:rsid w:val="00FE7071"/>
    <w:rsid w:val="00FE78F5"/>
    <w:rsid w:val="00FF0B48"/>
    <w:rsid w:val="00FF0DDA"/>
    <w:rsid w:val="00FF1011"/>
    <w:rsid w:val="00FF206F"/>
    <w:rsid w:val="00FF208E"/>
    <w:rsid w:val="00FF28A8"/>
    <w:rsid w:val="00FF2FFB"/>
    <w:rsid w:val="00FF31C0"/>
    <w:rsid w:val="00FF3392"/>
    <w:rsid w:val="00FF479C"/>
    <w:rsid w:val="00FF508D"/>
    <w:rsid w:val="00FF59FB"/>
    <w:rsid w:val="00FF640A"/>
    <w:rsid w:val="00FF6A10"/>
    <w:rsid w:val="00FF7E56"/>
    <w:rsid w:val="01E46355"/>
    <w:rsid w:val="034B2E38"/>
    <w:rsid w:val="04EA4CFE"/>
    <w:rsid w:val="07064019"/>
    <w:rsid w:val="07D47C34"/>
    <w:rsid w:val="07ED44BE"/>
    <w:rsid w:val="0A7809B7"/>
    <w:rsid w:val="0B780D2A"/>
    <w:rsid w:val="0C906FBD"/>
    <w:rsid w:val="0CB832EC"/>
    <w:rsid w:val="100F08E2"/>
    <w:rsid w:val="11021249"/>
    <w:rsid w:val="11CC62EB"/>
    <w:rsid w:val="13004CD8"/>
    <w:rsid w:val="132B2AAE"/>
    <w:rsid w:val="1C9D5FD9"/>
    <w:rsid w:val="1DEE6EA8"/>
    <w:rsid w:val="1FB42039"/>
    <w:rsid w:val="222D60D3"/>
    <w:rsid w:val="22C2565B"/>
    <w:rsid w:val="26822E23"/>
    <w:rsid w:val="27F27785"/>
    <w:rsid w:val="2ABD576C"/>
    <w:rsid w:val="31E949FA"/>
    <w:rsid w:val="32C93BA1"/>
    <w:rsid w:val="34115D09"/>
    <w:rsid w:val="36B017B3"/>
    <w:rsid w:val="37875F6D"/>
    <w:rsid w:val="3B1662FE"/>
    <w:rsid w:val="3B240A3A"/>
    <w:rsid w:val="414D5A7D"/>
    <w:rsid w:val="417F398A"/>
    <w:rsid w:val="45510B8E"/>
    <w:rsid w:val="48D628DC"/>
    <w:rsid w:val="4B4A7DCA"/>
    <w:rsid w:val="4BD67ED0"/>
    <w:rsid w:val="4D3A7893"/>
    <w:rsid w:val="4D8712BE"/>
    <w:rsid w:val="4DAA7A1F"/>
    <w:rsid w:val="4EAA4484"/>
    <w:rsid w:val="4FE319FB"/>
    <w:rsid w:val="4FEB787C"/>
    <w:rsid w:val="5002526A"/>
    <w:rsid w:val="52ED0DE3"/>
    <w:rsid w:val="539D7374"/>
    <w:rsid w:val="559342F8"/>
    <w:rsid w:val="58592B0E"/>
    <w:rsid w:val="5AF45C50"/>
    <w:rsid w:val="5DF11787"/>
    <w:rsid w:val="5E0026DC"/>
    <w:rsid w:val="5ED20E90"/>
    <w:rsid w:val="60717F32"/>
    <w:rsid w:val="623F4D56"/>
    <w:rsid w:val="63D332D7"/>
    <w:rsid w:val="6580766F"/>
    <w:rsid w:val="67492634"/>
    <w:rsid w:val="68253479"/>
    <w:rsid w:val="68472284"/>
    <w:rsid w:val="6E755ABD"/>
    <w:rsid w:val="706933FF"/>
    <w:rsid w:val="72810756"/>
    <w:rsid w:val="73497C27"/>
    <w:rsid w:val="76A22074"/>
    <w:rsid w:val="779F3F85"/>
    <w:rsid w:val="786434B7"/>
    <w:rsid w:val="7B3D7962"/>
    <w:rsid w:val="7D44474B"/>
    <w:rsid w:val="7E803C5E"/>
    <w:rsid w:val="7EF46E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109"/>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3"/>
    <w:next w:val="3"/>
    <w:link w:val="11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6"/>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7">
    <w:name w:val="heading 4"/>
    <w:basedOn w:val="1"/>
    <w:next w:val="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111"/>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11">
    <w:name w:val="heading 8"/>
    <w:basedOn w:val="1"/>
    <w:next w:val="1"/>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customStyle="1" w:styleId="3">
    <w:name w:val="方案正文"/>
    <w:basedOn w:val="1"/>
    <w:qFormat/>
    <w:uiPriority w:val="0"/>
    <w:pPr>
      <w:snapToGrid w:val="0"/>
      <w:spacing w:afterLines="50"/>
    </w:pPr>
    <w:rPr>
      <w:rFonts w:ascii="仿宋" w:hAnsi="仿宋" w:eastAsia="仿宋"/>
      <w:color w:val="000000"/>
      <w:kern w:val="0"/>
      <w:sz w:val="28"/>
      <w:szCs w:val="28"/>
    </w:rPr>
  </w:style>
  <w:style w:type="paragraph" w:customStyle="1" w:styleId="6">
    <w:name w:val="技术正文"/>
    <w:basedOn w:val="1"/>
    <w:link w:val="105"/>
    <w:qFormat/>
    <w:uiPriority w:val="0"/>
    <w:pPr>
      <w:wordWrap w:val="0"/>
      <w:spacing w:before="30" w:beforeLines="30" w:after="30" w:afterLines="30" w:line="300" w:lineRule="auto"/>
      <w:ind w:firstLine="200" w:firstLineChars="200"/>
    </w:pPr>
    <w:rPr>
      <w:rFonts w:ascii="Times New Roman" w:hAnsi="Times New Roman"/>
      <w:sz w:val="24"/>
    </w:rPr>
  </w:style>
  <w:style w:type="paragraph" w:styleId="13">
    <w:name w:val="List 3"/>
    <w:basedOn w:val="1"/>
    <w:link w:val="112"/>
    <w:qFormat/>
    <w:uiPriority w:val="0"/>
    <w:pPr>
      <w:ind w:left="100" w:leftChars="400" w:hanging="200" w:hangingChars="200"/>
    </w:pPr>
  </w:style>
  <w:style w:type="paragraph" w:styleId="14">
    <w:name w:val="Normal Indent"/>
    <w:basedOn w:val="1"/>
    <w:unhideWhenUsed/>
    <w:qFormat/>
    <w:uiPriority w:val="0"/>
    <w:pPr>
      <w:ind w:firstLine="420" w:firstLineChars="200"/>
    </w:pPr>
    <w:rPr>
      <w:rFonts w:ascii="Calibri" w:hAnsi="Calibri"/>
      <w:szCs w:val="22"/>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toa heading"/>
    <w:basedOn w:val="1"/>
    <w:next w:val="1"/>
    <w:qFormat/>
    <w:uiPriority w:val="0"/>
    <w:pPr>
      <w:spacing w:before="120"/>
    </w:pPr>
    <w:rPr>
      <w:rFonts w:ascii="Cambria" w:hAnsi="Cambria"/>
      <w:sz w:val="24"/>
      <w:szCs w:val="24"/>
    </w:rPr>
  </w:style>
  <w:style w:type="paragraph" w:styleId="18">
    <w:name w:val="annotation text"/>
    <w:basedOn w:val="1"/>
    <w:link w:val="48"/>
    <w:semiHidden/>
    <w:qFormat/>
    <w:uiPriority w:val="0"/>
    <w:pPr>
      <w:jc w:val="left"/>
    </w:pPr>
  </w:style>
  <w:style w:type="paragraph" w:styleId="19">
    <w:name w:val="Body Text 3"/>
    <w:basedOn w:val="1"/>
    <w:qFormat/>
    <w:uiPriority w:val="0"/>
    <w:pPr>
      <w:spacing w:after="120"/>
    </w:pPr>
    <w:rPr>
      <w:sz w:val="16"/>
      <w:szCs w:val="16"/>
    </w:rPr>
  </w:style>
  <w:style w:type="paragraph" w:styleId="20">
    <w:name w:val="Body Text"/>
    <w:basedOn w:val="1"/>
    <w:next w:val="21"/>
    <w:link w:val="49"/>
    <w:qFormat/>
    <w:uiPriority w:val="0"/>
    <w:pPr>
      <w:spacing w:after="120"/>
    </w:pPr>
  </w:style>
  <w:style w:type="paragraph" w:styleId="21">
    <w:name w:val="Body Text First Indent"/>
    <w:basedOn w:val="20"/>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22">
    <w:name w:val="Body Text Indent"/>
    <w:basedOn w:val="1"/>
    <w:link w:val="47"/>
    <w:qFormat/>
    <w:uiPriority w:val="0"/>
    <w:pPr>
      <w:spacing w:line="500" w:lineRule="exact"/>
      <w:ind w:left="1588" w:leftChars="832" w:firstLine="433" w:firstLineChars="196"/>
    </w:pPr>
    <w:rPr>
      <w:sz w:val="24"/>
    </w:rPr>
  </w:style>
  <w:style w:type="paragraph" w:styleId="23">
    <w:name w:val="List 2"/>
    <w:basedOn w:val="1"/>
    <w:qFormat/>
    <w:uiPriority w:val="0"/>
    <w:pPr>
      <w:ind w:left="100" w:leftChars="200" w:hanging="200" w:hangingChars="200"/>
    </w:pPr>
  </w:style>
  <w:style w:type="paragraph" w:styleId="24">
    <w:name w:val="toc 3"/>
    <w:basedOn w:val="1"/>
    <w:next w:val="1"/>
    <w:qFormat/>
    <w:uiPriority w:val="39"/>
    <w:pPr>
      <w:ind w:left="840" w:leftChars="400"/>
    </w:pPr>
  </w:style>
  <w:style w:type="paragraph" w:styleId="25">
    <w:name w:val="Plain Text"/>
    <w:basedOn w:val="1"/>
    <w:link w:val="50"/>
    <w:qFormat/>
    <w:uiPriority w:val="0"/>
    <w:rPr>
      <w:rFonts w:ascii="宋体" w:hAnsi="Courier New"/>
      <w:szCs w:val="21"/>
    </w:rPr>
  </w:style>
  <w:style w:type="paragraph" w:styleId="26">
    <w:name w:val="Date"/>
    <w:basedOn w:val="1"/>
    <w:next w:val="1"/>
    <w:qFormat/>
    <w:uiPriority w:val="0"/>
    <w:pPr>
      <w:ind w:left="100" w:leftChars="2500"/>
    </w:pPr>
  </w:style>
  <w:style w:type="paragraph" w:styleId="27">
    <w:name w:val="Body Text Indent 2"/>
    <w:basedOn w:val="1"/>
    <w:qFormat/>
    <w:uiPriority w:val="0"/>
    <w:pPr>
      <w:spacing w:after="120" w:line="480" w:lineRule="auto"/>
      <w:ind w:left="420" w:leftChars="200"/>
    </w:pPr>
  </w:style>
  <w:style w:type="paragraph" w:styleId="28">
    <w:name w:val="Balloon Text"/>
    <w:basedOn w:val="1"/>
    <w:semiHidden/>
    <w:qFormat/>
    <w:uiPriority w:val="0"/>
    <w:rPr>
      <w:sz w:val="18"/>
      <w:szCs w:val="18"/>
    </w:rPr>
  </w:style>
  <w:style w:type="paragraph" w:styleId="29">
    <w:name w:val="footer"/>
    <w:basedOn w:val="1"/>
    <w:link w:val="52"/>
    <w:qFormat/>
    <w:uiPriority w:val="99"/>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33">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4">
    <w:name w:val="toc 2"/>
    <w:basedOn w:val="1"/>
    <w:next w:val="1"/>
    <w:qFormat/>
    <w:uiPriority w:val="39"/>
    <w:pPr>
      <w:ind w:left="420" w:leftChars="200"/>
    </w:pPr>
  </w:style>
  <w:style w:type="paragraph" w:styleId="35">
    <w:name w:val="Normal (Web)"/>
    <w:basedOn w:val="1"/>
    <w:qFormat/>
    <w:uiPriority w:val="0"/>
    <w:rPr>
      <w:sz w:val="24"/>
    </w:rPr>
  </w:style>
  <w:style w:type="paragraph" w:styleId="36">
    <w:name w:val="annotation subject"/>
    <w:basedOn w:val="18"/>
    <w:next w:val="18"/>
    <w:semiHidden/>
    <w:qFormat/>
    <w:uiPriority w:val="0"/>
    <w:rPr>
      <w:b/>
      <w:bCs/>
    </w:rPr>
  </w:style>
  <w:style w:type="paragraph" w:styleId="37">
    <w:name w:val="Body Text First Indent 2"/>
    <w:basedOn w:val="22"/>
    <w:qFormat/>
    <w:uiPriority w:val="0"/>
    <w:pPr>
      <w:spacing w:after="0"/>
      <w:ind w:firstLine="420" w:firstLineChars="200"/>
    </w:pPr>
    <w:rPr>
      <w:rFonts w:ascii="Calibri" w:hAnsi="Calibri" w:eastAsia="宋体"/>
      <w:szCs w:val="21"/>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kern w:val="2"/>
      <w:sz w:val="21"/>
      <w:szCs w:val="24"/>
      <w:lang w:val="en-US" w:eastAsia="zh-CN" w:bidi="ar-SA"/>
    </w:rPr>
  </w:style>
  <w:style w:type="character" w:styleId="42">
    <w:name w:val="page number"/>
    <w:basedOn w:val="40"/>
    <w:qFormat/>
    <w:uiPriority w:val="0"/>
  </w:style>
  <w:style w:type="character" w:styleId="43">
    <w:name w:val="Hyperlink"/>
    <w:qFormat/>
    <w:uiPriority w:val="99"/>
    <w:rPr>
      <w:color w:val="0000FF"/>
      <w:u w:val="single"/>
    </w:rPr>
  </w:style>
  <w:style w:type="character" w:styleId="44">
    <w:name w:val="annotation reference"/>
    <w:semiHidden/>
    <w:qFormat/>
    <w:uiPriority w:val="0"/>
    <w:rPr>
      <w:sz w:val="21"/>
      <w:szCs w:val="21"/>
    </w:rPr>
  </w:style>
  <w:style w:type="paragraph" w:customStyle="1" w:styleId="45">
    <w:name w:val="UserStyle_0"/>
    <w:next w:val="1"/>
    <w:autoRedefine/>
    <w:qFormat/>
    <w:uiPriority w:val="0"/>
    <w:pPr>
      <w:textAlignment w:val="baseline"/>
    </w:pPr>
    <w:rPr>
      <w:rFonts w:ascii="宋体" w:hAnsi="宋体" w:eastAsia="宋体" w:cs="Times New Roman"/>
      <w:color w:val="000000"/>
      <w:sz w:val="24"/>
      <w:szCs w:val="24"/>
      <w:lang w:val="en-US" w:eastAsia="zh-CN" w:bidi="ar-SA"/>
    </w:rPr>
  </w:style>
  <w:style w:type="paragraph" w:customStyle="1" w:styleId="46">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47">
    <w:name w:val="正文文本缩进 Char"/>
    <w:link w:val="22"/>
    <w:qFormat/>
    <w:uiPriority w:val="0"/>
    <w:rPr>
      <w:rFonts w:eastAsia="宋体"/>
      <w:kern w:val="2"/>
      <w:sz w:val="24"/>
      <w:szCs w:val="24"/>
      <w:lang w:val="en-US" w:eastAsia="zh-CN" w:bidi="ar-SA"/>
    </w:rPr>
  </w:style>
  <w:style w:type="character" w:customStyle="1" w:styleId="48">
    <w:name w:val="批注文字 Char"/>
    <w:link w:val="18"/>
    <w:qFormat/>
    <w:uiPriority w:val="0"/>
    <w:rPr>
      <w:rFonts w:eastAsia="宋体"/>
      <w:kern w:val="2"/>
      <w:sz w:val="21"/>
      <w:szCs w:val="24"/>
      <w:lang w:val="en-US" w:eastAsia="zh-CN" w:bidi="ar-SA"/>
    </w:rPr>
  </w:style>
  <w:style w:type="character" w:customStyle="1" w:styleId="49">
    <w:name w:val="正文文本 Char"/>
    <w:link w:val="20"/>
    <w:qFormat/>
    <w:uiPriority w:val="0"/>
    <w:rPr>
      <w:rFonts w:eastAsia="宋体"/>
      <w:kern w:val="2"/>
      <w:sz w:val="21"/>
      <w:szCs w:val="24"/>
      <w:lang w:val="en-US" w:eastAsia="zh-CN" w:bidi="ar-SA"/>
    </w:rPr>
  </w:style>
  <w:style w:type="character" w:customStyle="1" w:styleId="50">
    <w:name w:val="纯文本 Char"/>
    <w:link w:val="25"/>
    <w:qFormat/>
    <w:uiPriority w:val="0"/>
    <w:rPr>
      <w:rFonts w:ascii="宋体" w:hAnsi="Courier New" w:eastAsia="宋体"/>
      <w:kern w:val="2"/>
      <w:sz w:val="21"/>
      <w:szCs w:val="21"/>
      <w:lang w:val="en-US" w:eastAsia="zh-CN" w:bidi="ar-SA"/>
    </w:rPr>
  </w:style>
  <w:style w:type="paragraph" w:customStyle="1" w:styleId="51">
    <w:name w:val="Normal_0"/>
    <w:qFormat/>
    <w:uiPriority w:val="0"/>
    <w:rPr>
      <w:rFonts w:ascii="Times New Roman" w:hAnsi="Times New Roman" w:eastAsia="Times New Roman" w:cs="Times New Roman"/>
      <w:sz w:val="24"/>
      <w:szCs w:val="24"/>
      <w:lang w:bidi="ar-SA"/>
    </w:rPr>
  </w:style>
  <w:style w:type="character" w:customStyle="1" w:styleId="52">
    <w:name w:val="页脚 Char"/>
    <w:link w:val="29"/>
    <w:qFormat/>
    <w:uiPriority w:val="99"/>
    <w:rPr>
      <w:kern w:val="2"/>
      <w:sz w:val="18"/>
      <w:szCs w:val="18"/>
    </w:rPr>
  </w:style>
  <w:style w:type="character" w:customStyle="1" w:styleId="53">
    <w:name w:val="NormalCharacter"/>
    <w:link w:val="54"/>
    <w:qFormat/>
    <w:uiPriority w:val="0"/>
    <w:rPr>
      <w:rFonts w:ascii="仿宋_GB2312" w:hAnsi="Calibri" w:eastAsia="仿宋_GB2312" w:cs="Times New Roman"/>
      <w:b/>
      <w:sz w:val="32"/>
      <w:szCs w:val="32"/>
    </w:rPr>
  </w:style>
  <w:style w:type="paragraph" w:customStyle="1" w:styleId="54">
    <w:name w:val="UserStyle_5"/>
    <w:basedOn w:val="1"/>
    <w:link w:val="53"/>
    <w:qFormat/>
    <w:uiPriority w:val="0"/>
    <w:pPr>
      <w:widowControl/>
      <w:spacing w:after="160" w:line="240" w:lineRule="exact"/>
      <w:jc w:val="left"/>
      <w:textAlignment w:val="baseline"/>
    </w:pPr>
  </w:style>
  <w:style w:type="paragraph" w:customStyle="1" w:styleId="55">
    <w:name w:val="UserStyle_461"/>
    <w:basedOn w:val="1"/>
    <w:link w:val="53"/>
    <w:autoRedefine/>
    <w:qFormat/>
    <w:uiPriority w:val="0"/>
    <w:pPr>
      <w:widowControl/>
      <w:textAlignment w:val="baseline"/>
    </w:pPr>
    <w:rPr>
      <w:rFonts w:ascii="仿宋_GB2312" w:hAnsi="Calibri" w:eastAsia="仿宋_GB2312" w:cs="Times New Roman"/>
      <w:b/>
      <w:sz w:val="32"/>
      <w:szCs w:val="32"/>
    </w:rPr>
  </w:style>
  <w:style w:type="character" w:customStyle="1" w:styleId="56">
    <w:name w:val=" Char Char3"/>
    <w:qFormat/>
    <w:uiPriority w:val="0"/>
    <w:rPr>
      <w:rFonts w:eastAsia="宋体"/>
      <w:kern w:val="2"/>
      <w:sz w:val="21"/>
      <w:szCs w:val="24"/>
      <w:lang w:val="en-US" w:eastAsia="zh-CN" w:bidi="ar-SA"/>
    </w:rPr>
  </w:style>
  <w:style w:type="character" w:customStyle="1" w:styleId="57">
    <w:name w:val="标题 3 Char_0"/>
    <w:link w:val="58"/>
    <w:qFormat/>
    <w:uiPriority w:val="0"/>
    <w:rPr>
      <w:rFonts w:ascii="宋体" w:hAnsi="宋体"/>
      <w:b/>
      <w:kern w:val="2"/>
      <w:sz w:val="28"/>
      <w:szCs w:val="28"/>
    </w:rPr>
  </w:style>
  <w:style w:type="paragraph" w:customStyle="1" w:styleId="58">
    <w:name w:val="标题 3_0"/>
    <w:basedOn w:val="59"/>
    <w:next w:val="59"/>
    <w:link w:val="57"/>
    <w:qFormat/>
    <w:uiPriority w:val="0"/>
    <w:pPr>
      <w:autoSpaceDE w:val="0"/>
      <w:autoSpaceDN w:val="0"/>
      <w:adjustRightInd w:val="0"/>
      <w:spacing w:line="500" w:lineRule="exact"/>
      <w:jc w:val="center"/>
      <w:outlineLvl w:val="2"/>
    </w:pPr>
    <w:rPr>
      <w:rFonts w:ascii="宋体" w:hAnsi="宋体"/>
      <w:b/>
      <w:szCs w:val="28"/>
    </w:rPr>
  </w:style>
  <w:style w:type="paragraph" w:customStyle="1" w:styleId="59">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60">
    <w:name w:val=" Char Char6"/>
    <w:qFormat/>
    <w:uiPriority w:val="0"/>
    <w:rPr>
      <w:rFonts w:eastAsia="宋体"/>
      <w:kern w:val="2"/>
      <w:sz w:val="21"/>
      <w:szCs w:val="24"/>
      <w:lang w:val="en-US" w:eastAsia="zh-CN" w:bidi="ar-SA"/>
    </w:rPr>
  </w:style>
  <w:style w:type="paragraph" w:customStyle="1" w:styleId="61">
    <w:name w:val="Char Char Char1 Char8"/>
    <w:basedOn w:val="1"/>
    <w:semiHidden/>
    <w:qFormat/>
    <w:uiPriority w:val="0"/>
    <w:pPr>
      <w:spacing w:line="360" w:lineRule="auto"/>
      <w:ind w:firstLine="200" w:firstLineChars="200"/>
    </w:pPr>
    <w:rPr>
      <w:rFonts w:ascii="宋体" w:hAnsi="宋体" w:cs="宋体"/>
      <w:sz w:val="24"/>
    </w:rPr>
  </w:style>
  <w:style w:type="paragraph" w:customStyle="1" w:styleId="62">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6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4">
    <w:name w:val="Char Char Char Char Char Char"/>
    <w:basedOn w:val="16"/>
    <w:qFormat/>
    <w:uiPriority w:val="0"/>
    <w:rPr>
      <w:rFonts w:ascii="Tahoma" w:hAnsi="Tahoma"/>
      <w:sz w:val="24"/>
    </w:rPr>
  </w:style>
  <w:style w:type="paragraph" w:customStyle="1" w:styleId="6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6">
    <w:name w:val="List Paragraph"/>
    <w:basedOn w:val="1"/>
    <w:qFormat/>
    <w:uiPriority w:val="0"/>
    <w:pPr>
      <w:ind w:firstLine="420" w:firstLineChars="200"/>
    </w:pPr>
    <w:rPr>
      <w:rFonts w:ascii="Calibri" w:hAnsi="Calibri"/>
      <w:szCs w:val="22"/>
    </w:rPr>
  </w:style>
  <w:style w:type="paragraph" w:customStyle="1" w:styleId="67">
    <w:name w:val=" Char"/>
    <w:basedOn w:val="1"/>
    <w:qFormat/>
    <w:uiPriority w:val="0"/>
    <w:pPr>
      <w:tabs>
        <w:tab w:val="left" w:pos="432"/>
      </w:tabs>
      <w:spacing w:before="156" w:beforeLines="50" w:after="156" w:afterLines="50"/>
      <w:ind w:left="432" w:hanging="432"/>
    </w:pPr>
  </w:style>
  <w:style w:type="paragraph" w:customStyle="1" w:styleId="68">
    <w:name w:val="样式 标题 2 + 宋体 五号 非加粗 黑色"/>
    <w:basedOn w:val="4"/>
    <w:qFormat/>
    <w:uiPriority w:val="0"/>
    <w:rPr>
      <w:rFonts w:ascii="宋体" w:hAnsi="宋体" w:eastAsia="宋体"/>
      <w:b w:val="0"/>
      <w:bCs w:val="0"/>
      <w:color w:val="000000"/>
      <w:sz w:val="21"/>
    </w:rPr>
  </w:style>
  <w:style w:type="paragraph" w:customStyle="1" w:styleId="69">
    <w:name w:val="附件正文"/>
    <w:basedOn w:val="1"/>
    <w:qFormat/>
    <w:uiPriority w:val="0"/>
    <w:pPr>
      <w:snapToGrid w:val="0"/>
      <w:spacing w:line="500" w:lineRule="exact"/>
      <w:ind w:firstLine="540" w:firstLineChars="225"/>
    </w:pPr>
    <w:rPr>
      <w:kern w:val="0"/>
      <w:sz w:val="24"/>
    </w:rPr>
  </w:style>
  <w:style w:type="paragraph" w:customStyle="1" w:styleId="70">
    <w:name w:val="默认段落字体 Para Char Char Char Char Char Char Char Char Char Char Char Char Char Char Char Char"/>
    <w:basedOn w:val="1"/>
    <w:qFormat/>
    <w:uiPriority w:val="0"/>
    <w:rPr>
      <w:rFonts w:ascii="Tahoma" w:hAnsi="Tahoma"/>
      <w:sz w:val="24"/>
      <w:szCs w:val="20"/>
    </w:rPr>
  </w:style>
  <w:style w:type="paragraph" w:customStyle="1" w:styleId="71">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72">
    <w:name w:val="Char"/>
    <w:basedOn w:val="1"/>
    <w:qFormat/>
    <w:uiPriority w:val="0"/>
    <w:pPr>
      <w:tabs>
        <w:tab w:val="left" w:pos="360"/>
      </w:tabs>
      <w:spacing w:line="360" w:lineRule="auto"/>
      <w:ind w:firstLine="480" w:firstLineChars="200"/>
    </w:pPr>
    <w:rPr>
      <w:rFonts w:ascii="楷体_GB2312" w:eastAsia="楷体_GB2312"/>
      <w:sz w:val="24"/>
    </w:rPr>
  </w:style>
  <w:style w:type="paragraph" w:customStyle="1" w:styleId="73">
    <w:name w:val="样式 标题 4 + 段前: 5 磅 段后: 5 磅 行距: 单倍行距"/>
    <w:basedOn w:val="7"/>
    <w:qFormat/>
    <w:uiPriority w:val="0"/>
    <w:pPr>
      <w:spacing w:before="100" w:after="100" w:line="240" w:lineRule="auto"/>
    </w:pPr>
    <w:rPr>
      <w:rFonts w:cs="宋体"/>
      <w:szCs w:val="20"/>
    </w:rPr>
  </w:style>
  <w:style w:type="paragraph" w:customStyle="1" w:styleId="74">
    <w:name w:val="Char Char Char"/>
    <w:basedOn w:val="1"/>
    <w:qFormat/>
    <w:uiPriority w:val="0"/>
    <w:pPr>
      <w:widowControl/>
      <w:spacing w:after="160" w:line="240" w:lineRule="exact"/>
      <w:jc w:val="left"/>
    </w:pPr>
  </w:style>
  <w:style w:type="paragraph" w:customStyle="1" w:styleId="75">
    <w:name w:val="_Style 71"/>
    <w:basedOn w:val="2"/>
    <w:next w:val="1"/>
    <w:qFormat/>
    <w:uiPriority w:val="39"/>
    <w:pPr>
      <w:widowControl/>
      <w:adjustRightInd/>
      <w:spacing w:before="480" w:after="0" w:line="276" w:lineRule="auto"/>
      <w:ind w:firstLine="0"/>
      <w:textAlignment w:val="auto"/>
      <w:outlineLvl w:val="9"/>
    </w:pPr>
    <w:rPr>
      <w:rFonts w:ascii="Cambria" w:hAnsi="Cambria" w:eastAsia="宋体" w:cs="Times New Roman"/>
      <w:color w:val="365F91"/>
      <w:kern w:val="0"/>
      <w:sz w:val="28"/>
      <w:szCs w:val="28"/>
    </w:rPr>
  </w:style>
  <w:style w:type="paragraph" w:customStyle="1" w:styleId="76">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77">
    <w:name w:val="UserStyle_22"/>
    <w:basedOn w:val="78"/>
    <w:qFormat/>
    <w:uiPriority w:val="0"/>
    <w:pPr>
      <w:jc w:val="both"/>
      <w:textAlignment w:val="baseline"/>
    </w:pPr>
    <w:rPr>
      <w:kern w:val="2"/>
      <w:sz w:val="21"/>
      <w:szCs w:val="24"/>
      <w:lang w:val="en-US" w:eastAsia="zh-CN" w:bidi="ar-SA"/>
    </w:rPr>
  </w:style>
  <w:style w:type="paragraph" w:customStyle="1" w:styleId="78">
    <w:name w:val="UserStyle_23"/>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79">
    <w:name w:val="BodyTextIndent"/>
    <w:basedOn w:val="1"/>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80">
    <w:name w:val="UserStyle_32"/>
    <w:qFormat/>
    <w:uiPriority w:val="0"/>
    <w:pPr>
      <w:widowControl/>
      <w:textAlignment w:val="baseline"/>
    </w:pPr>
    <w:rPr>
      <w:rFonts w:ascii="黑体" w:hAnsi="黑体" w:eastAsia="黑体" w:cs="Times New Roman"/>
      <w:b/>
      <w:sz w:val="32"/>
      <w:szCs w:val="24"/>
      <w:lang w:val="en-US" w:bidi="ar-SA"/>
    </w:rPr>
  </w:style>
  <w:style w:type="paragraph" w:customStyle="1" w:styleId="81">
    <w:name w:val="UserStyle_37"/>
    <w:qFormat/>
    <w:uiPriority w:val="0"/>
    <w:pPr>
      <w:widowControl/>
      <w:textAlignment w:val="baseline"/>
    </w:pPr>
    <w:rPr>
      <w:rFonts w:ascii="黑体" w:hAnsi="黑体" w:eastAsia="黑体" w:cs="Times New Roman"/>
      <w:b/>
      <w:sz w:val="32"/>
      <w:szCs w:val="24"/>
      <w:lang w:val="en-US" w:bidi="ar-SA"/>
    </w:rPr>
  </w:style>
  <w:style w:type="paragraph" w:customStyle="1" w:styleId="82">
    <w:name w:val="UserStyle_38"/>
    <w:qFormat/>
    <w:uiPriority w:val="0"/>
    <w:pPr>
      <w:widowControl/>
      <w:textAlignment w:val="baseline"/>
    </w:pPr>
    <w:rPr>
      <w:rFonts w:ascii="黑体" w:hAnsi="黑体" w:eastAsia="黑体" w:cs="Times New Roman"/>
      <w:b/>
      <w:sz w:val="32"/>
      <w:szCs w:val="24"/>
      <w:lang w:val="en-US" w:bidi="ar-SA"/>
    </w:rPr>
  </w:style>
  <w:style w:type="paragraph" w:customStyle="1" w:styleId="83">
    <w:name w:val="UserStyle_66"/>
    <w:basedOn w:val="84"/>
    <w:qFormat/>
    <w:uiPriority w:val="0"/>
    <w:pPr>
      <w:jc w:val="both"/>
      <w:textAlignment w:val="baseline"/>
    </w:pPr>
    <w:rPr>
      <w:rFonts w:ascii="Calibri" w:hAnsi="Calibri" w:eastAsia="宋体"/>
      <w:kern w:val="2"/>
      <w:sz w:val="21"/>
      <w:szCs w:val="22"/>
      <w:lang w:val="en-US" w:eastAsia="zh-CN" w:bidi="ar-SA"/>
    </w:rPr>
  </w:style>
  <w:style w:type="paragraph" w:customStyle="1" w:styleId="84">
    <w:name w:val="UserStyle_67"/>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5">
    <w:name w:val="UserStyle_122"/>
    <w:basedOn w:val="84"/>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86">
    <w:name w:val="UserStyle_123"/>
    <w:basedOn w:val="84"/>
    <w:next w:val="87"/>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87">
    <w:name w:val="UserStyle_124"/>
    <w:basedOn w:val="86"/>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88">
    <w:name w:val="UserStyle_10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9">
    <w:name w:val="UserStyle_125"/>
    <w:basedOn w:val="84"/>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0">
    <w:name w:val="UserStyle_74"/>
    <w:qFormat/>
    <w:uiPriority w:val="0"/>
    <w:pPr>
      <w:widowControl/>
      <w:textAlignment w:val="baseline"/>
    </w:pPr>
    <w:rPr>
      <w:rFonts w:ascii="黑体" w:hAnsi="黑体" w:eastAsia="黑体" w:cs="Times New Roman"/>
      <w:b/>
      <w:sz w:val="32"/>
      <w:szCs w:val="24"/>
      <w:lang w:val="en-US" w:bidi="ar-SA"/>
    </w:rPr>
  </w:style>
  <w:style w:type="paragraph" w:customStyle="1" w:styleId="91">
    <w:name w:val="正"/>
    <w:basedOn w:val="92"/>
    <w:qFormat/>
    <w:uiPriority w:val="0"/>
    <w:pPr>
      <w:ind w:firstLine="525"/>
    </w:pPr>
    <w:rPr>
      <w:spacing w:val="20"/>
      <w:szCs w:val="20"/>
    </w:rPr>
  </w:style>
  <w:style w:type="paragraph" w:customStyle="1" w:styleId="92">
    <w:name w:val="正文_1"/>
    <w:basedOn w:val="93"/>
    <w:next w:val="91"/>
    <w:qFormat/>
    <w:uiPriority w:val="0"/>
    <w:rPr>
      <w:rFonts w:ascii="Calibri" w:hAnsi="Calibri" w:cs="Calibri"/>
      <w:szCs w:val="21"/>
    </w:rPr>
  </w:style>
  <w:style w:type="paragraph" w:customStyle="1" w:styleId="93">
    <w:name w:val="正文_2"/>
    <w:basedOn w:val="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13_0"/>
    <w:next w:val="9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正文文本_2_0"/>
    <w:basedOn w:val="95"/>
    <w:qFormat/>
    <w:uiPriority w:val="0"/>
    <w:pPr>
      <w:spacing w:after="120"/>
    </w:pPr>
  </w:style>
  <w:style w:type="paragraph" w:customStyle="1" w:styleId="97">
    <w:name w:val="UserStyle_34"/>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8">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UserStyle_8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00">
    <w:name w:val="UserStyle_43"/>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101">
    <w:name w:val="yhw3"/>
    <w:basedOn w:val="1"/>
    <w:qFormat/>
    <w:uiPriority w:val="0"/>
    <w:pPr>
      <w:ind w:firstLine="640" w:firstLineChars="200"/>
    </w:pPr>
    <w:rPr>
      <w:rFonts w:cs="宋体"/>
    </w:rPr>
  </w:style>
  <w:style w:type="paragraph" w:styleId="10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104">
    <w:name w:val="_Style 2"/>
    <w:basedOn w:val="1"/>
    <w:qFormat/>
    <w:uiPriority w:val="99"/>
    <w:pPr>
      <w:ind w:firstLine="420" w:firstLineChars="200"/>
    </w:pPr>
    <w:rPr>
      <w:rFonts w:ascii="Calibri" w:hAnsi="Calibri" w:eastAsia="宋体" w:cs="Times New Roman"/>
    </w:rPr>
  </w:style>
  <w:style w:type="character" w:customStyle="1" w:styleId="105">
    <w:name w:val="技术正文 Char"/>
    <w:link w:val="6"/>
    <w:autoRedefine/>
    <w:qFormat/>
    <w:uiPriority w:val="0"/>
    <w:rPr>
      <w:rFonts w:ascii="Times New Roman" w:hAnsi="Times New Roman"/>
      <w:sz w:val="24"/>
    </w:rPr>
  </w:style>
  <w:style w:type="paragraph" w:customStyle="1" w:styleId="106">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107">
    <w:name w:val="索引 11"/>
    <w:basedOn w:val="1"/>
    <w:next w:val="1"/>
    <w:autoRedefine/>
    <w:qFormat/>
    <w:uiPriority w:val="0"/>
    <w:pPr>
      <w:spacing w:line="360" w:lineRule="auto"/>
    </w:pPr>
    <w:rPr>
      <w:rFonts w:ascii="仿宋_GB2312" w:eastAsia="仿宋_GB2312"/>
      <w:sz w:val="24"/>
      <w:szCs w:val="20"/>
    </w:rPr>
  </w:style>
  <w:style w:type="paragraph" w:customStyle="1" w:styleId="108">
    <w:name w:val="纯文本1"/>
    <w:basedOn w:val="1"/>
    <w:autoRedefine/>
    <w:qFormat/>
    <w:uiPriority w:val="0"/>
    <w:rPr>
      <w:rFonts w:ascii="宋体" w:hAnsi="Courier New"/>
      <w:kern w:val="0"/>
      <w:sz w:val="20"/>
      <w:szCs w:val="20"/>
    </w:rPr>
  </w:style>
  <w:style w:type="character" w:customStyle="1" w:styleId="109">
    <w:name w:val="标题 1 Char"/>
    <w:link w:val="2"/>
    <w:qFormat/>
    <w:uiPriority w:val="0"/>
    <w:rPr>
      <w:b/>
      <w:bCs/>
      <w:kern w:val="44"/>
      <w:sz w:val="44"/>
      <w:szCs w:val="44"/>
    </w:rPr>
  </w:style>
  <w:style w:type="character" w:customStyle="1" w:styleId="110">
    <w:name w:val="标题 2 Char"/>
    <w:link w:val="4"/>
    <w:qFormat/>
    <w:uiPriority w:val="0"/>
    <w:rPr>
      <w:rFonts w:ascii="Arial" w:hAnsi="Arial" w:eastAsia="黑体"/>
      <w:b/>
      <w:bCs/>
      <w:kern w:val="0"/>
      <w:sz w:val="32"/>
      <w:szCs w:val="32"/>
    </w:rPr>
  </w:style>
  <w:style w:type="character" w:customStyle="1" w:styleId="111">
    <w:name w:val="标题 5 Char"/>
    <w:link w:val="8"/>
    <w:qFormat/>
    <w:uiPriority w:val="0"/>
    <w:rPr>
      <w:b/>
      <w:bCs/>
      <w:kern w:val="0"/>
      <w:sz w:val="28"/>
      <w:szCs w:val="28"/>
    </w:rPr>
  </w:style>
  <w:style w:type="character" w:customStyle="1" w:styleId="112">
    <w:name w:val="列表 3 Char"/>
    <w:link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4727</Words>
  <Characters>5401</Characters>
  <Lines>250</Lines>
  <Paragraphs>70</Paragraphs>
  <TotalTime>19</TotalTime>
  <ScaleCrop>false</ScaleCrop>
  <LinksUpToDate>false</LinksUpToDate>
  <CharactersWithSpaces>5592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2015-04-19T07:05:00Z</dcterms:created>
  <dc:creator>王峰</dc:creator>
  <cp:lastModifiedBy>马琴琴琴琴琴</cp:lastModifiedBy>
  <cp:lastPrinted>2013-12-16T03:12:00Z</cp:lastPrinted>
  <dcterms:modified xsi:type="dcterms:W3CDTF">2025-07-01T03:37:32Z</dcterms:modified>
  <dc:title>滨州市政府采购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13557CD480934EEAADD25F1858AAE96D_13</vt:lpwstr>
  </property>
  <property fmtid="{D5CDD505-2E9C-101B-9397-08002B2CF9AE}" pid="4" name="KSOTemplateDocerSaveRecord">
    <vt:lpwstr>eyJoZGlkIjoiNGIyNjIzOTAxZWMyN2Y5YzVhNGJlODQ3YjIwZjk2YmYiLCJ1c2VySWQiOiIyNDIzOTU1MjAifQ==</vt:lpwstr>
  </property>
</Properties>
</file>