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DF434B">
      <w:pPr>
        <w:bidi w:val="0"/>
        <w:rPr>
          <w:rFonts w:hint="eastAsia"/>
          <w:color w:val="auto"/>
          <w:highlight w:val="none"/>
          <w:lang w:eastAsia="zh-CN"/>
        </w:rPr>
      </w:pPr>
    </w:p>
    <w:p w14:paraId="0A0926F9">
      <w:pPr>
        <w:pageBreakBefore w:val="0"/>
        <w:tabs>
          <w:tab w:val="left" w:pos="1134"/>
          <w:tab w:val="left" w:pos="5481"/>
          <w:tab w:val="left" w:pos="5859"/>
        </w:tabs>
        <w:kinsoku/>
        <w:wordWrap/>
        <w:overflowPunct/>
        <w:topLinePunct w:val="0"/>
        <w:bidi w:val="0"/>
        <w:jc w:val="center"/>
        <w:rPr>
          <w:rFonts w:hint="eastAsia" w:ascii="宋体" w:hAnsi="宋体" w:eastAsia="宋体" w:cs="宋体"/>
          <w:b/>
          <w:bCs/>
          <w:color w:val="auto"/>
          <w:spacing w:val="0"/>
          <w:position w:val="0"/>
          <w:sz w:val="96"/>
          <w:szCs w:val="96"/>
          <w:highlight w:val="none"/>
          <w:lang w:eastAsia="zh-CN"/>
        </w:rPr>
      </w:pPr>
      <w:r>
        <w:rPr>
          <w:rFonts w:hint="eastAsia" w:ascii="宋体" w:hAnsi="宋体" w:eastAsia="宋体" w:cs="宋体"/>
          <w:b/>
          <w:bCs/>
          <w:color w:val="auto"/>
          <w:spacing w:val="0"/>
          <w:position w:val="0"/>
          <w:sz w:val="96"/>
          <w:szCs w:val="96"/>
          <w:highlight w:val="none"/>
          <w:lang w:eastAsia="zh-CN"/>
        </w:rPr>
        <w:t>政府采购</w:t>
      </w:r>
    </w:p>
    <w:p w14:paraId="6FBCE113">
      <w:pPr>
        <w:pageBreakBefore w:val="0"/>
        <w:tabs>
          <w:tab w:val="left" w:pos="1134"/>
          <w:tab w:val="left" w:pos="5481"/>
          <w:tab w:val="left" w:pos="5859"/>
        </w:tabs>
        <w:kinsoku/>
        <w:wordWrap/>
        <w:overflowPunct/>
        <w:topLinePunct w:val="0"/>
        <w:bidi w:val="0"/>
        <w:jc w:val="center"/>
        <w:rPr>
          <w:rFonts w:hint="eastAsia" w:ascii="宋体" w:hAnsi="宋体" w:eastAsia="宋体" w:cs="宋体"/>
          <w:b/>
          <w:bCs/>
          <w:color w:val="auto"/>
          <w:spacing w:val="0"/>
          <w:position w:val="0"/>
          <w:sz w:val="96"/>
          <w:szCs w:val="96"/>
          <w:highlight w:val="none"/>
        </w:rPr>
      </w:pPr>
      <w:r>
        <w:rPr>
          <w:rFonts w:hint="eastAsia" w:ascii="宋体" w:hAnsi="宋体" w:eastAsia="宋体" w:cs="宋体"/>
          <w:b/>
          <w:bCs/>
          <w:color w:val="auto"/>
          <w:spacing w:val="0"/>
          <w:position w:val="0"/>
          <w:sz w:val="96"/>
          <w:szCs w:val="96"/>
          <w:highlight w:val="none"/>
          <w:lang w:eastAsia="zh-CN"/>
        </w:rPr>
        <w:t>公开招标</w:t>
      </w:r>
      <w:r>
        <w:rPr>
          <w:rFonts w:hint="eastAsia" w:ascii="宋体" w:hAnsi="宋体" w:eastAsia="宋体" w:cs="宋体"/>
          <w:b/>
          <w:bCs/>
          <w:color w:val="auto"/>
          <w:spacing w:val="0"/>
          <w:position w:val="0"/>
          <w:sz w:val="96"/>
          <w:szCs w:val="96"/>
          <w:highlight w:val="none"/>
        </w:rPr>
        <w:t>文件</w:t>
      </w:r>
    </w:p>
    <w:p w14:paraId="567026A7">
      <w:pPr>
        <w:pStyle w:val="29"/>
        <w:pageBreakBefore w:val="0"/>
        <w:kinsoku/>
        <w:wordWrap/>
        <w:overflowPunct/>
        <w:topLinePunct w:val="0"/>
        <w:bidi w:val="0"/>
        <w:spacing w:line="480" w:lineRule="auto"/>
        <w:rPr>
          <w:rFonts w:hint="eastAsia" w:ascii="宋体" w:hAnsi="宋体" w:eastAsia="宋体" w:cs="宋体"/>
          <w:b/>
          <w:bCs/>
          <w:color w:val="auto"/>
          <w:spacing w:val="0"/>
          <w:position w:val="0"/>
          <w:sz w:val="28"/>
          <w:szCs w:val="28"/>
          <w:highlight w:val="none"/>
          <w:lang w:eastAsia="zh-CN"/>
        </w:rPr>
      </w:pPr>
    </w:p>
    <w:p w14:paraId="3DF8357B">
      <w:pPr>
        <w:pStyle w:val="29"/>
        <w:pageBreakBefore w:val="0"/>
        <w:kinsoku/>
        <w:wordWrap/>
        <w:overflowPunct/>
        <w:topLinePunct w:val="0"/>
        <w:bidi w:val="0"/>
        <w:spacing w:line="480" w:lineRule="auto"/>
        <w:rPr>
          <w:rFonts w:hint="eastAsia" w:ascii="宋体" w:hAnsi="宋体" w:eastAsia="宋体" w:cs="宋体"/>
          <w:b/>
          <w:bCs/>
          <w:color w:val="auto"/>
          <w:spacing w:val="0"/>
          <w:position w:val="0"/>
          <w:sz w:val="28"/>
          <w:szCs w:val="28"/>
          <w:highlight w:val="none"/>
          <w:lang w:eastAsia="zh-CN"/>
        </w:rPr>
      </w:pPr>
      <w:r>
        <w:rPr>
          <w:rFonts w:hint="eastAsia" w:ascii="宋体" w:hAnsi="宋体" w:eastAsia="宋体" w:cs="宋体"/>
          <w:b/>
          <w:bCs/>
          <w:color w:val="auto"/>
          <w:spacing w:val="0"/>
          <w:position w:val="0"/>
          <w:sz w:val="28"/>
          <w:szCs w:val="28"/>
          <w:highlight w:val="none"/>
          <w:lang w:eastAsia="zh-CN"/>
        </w:rPr>
        <w:drawing>
          <wp:anchor distT="0" distB="0" distL="114300" distR="114300" simplePos="0" relativeHeight="251659264" behindDoc="1" locked="0" layoutInCell="1" allowOverlap="1">
            <wp:simplePos x="0" y="0"/>
            <wp:positionH relativeFrom="column">
              <wp:posOffset>1746250</wp:posOffset>
            </wp:positionH>
            <wp:positionV relativeFrom="paragraph">
              <wp:posOffset>76835</wp:posOffset>
            </wp:positionV>
            <wp:extent cx="2305050" cy="1809750"/>
            <wp:effectExtent l="0" t="0" r="0" b="0"/>
            <wp:wrapNone/>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1"/>
                    <a:stretch>
                      <a:fillRect/>
                    </a:stretch>
                  </pic:blipFill>
                  <pic:spPr>
                    <a:xfrm>
                      <a:off x="0" y="0"/>
                      <a:ext cx="2305050" cy="1809750"/>
                    </a:xfrm>
                    <a:prstGeom prst="rect">
                      <a:avLst/>
                    </a:prstGeom>
                    <a:noFill/>
                    <a:ln>
                      <a:noFill/>
                    </a:ln>
                  </pic:spPr>
                </pic:pic>
              </a:graphicData>
            </a:graphic>
          </wp:anchor>
        </w:drawing>
      </w:r>
    </w:p>
    <w:p w14:paraId="2FBBF90A">
      <w:pPr>
        <w:pStyle w:val="22"/>
        <w:pageBreakBefore w:val="0"/>
        <w:kinsoku/>
        <w:wordWrap/>
        <w:overflowPunct/>
        <w:topLinePunct w:val="0"/>
        <w:bidi w:val="0"/>
        <w:spacing w:line="360" w:lineRule="auto"/>
        <w:ind w:firstLine="723" w:firstLineChars="300"/>
        <w:rPr>
          <w:rFonts w:hint="eastAsia" w:ascii="宋体" w:hAnsi="宋体" w:eastAsia="宋体" w:cs="宋体"/>
          <w:b/>
          <w:bCs/>
          <w:color w:val="auto"/>
          <w:spacing w:val="0"/>
          <w:position w:val="0"/>
          <w:highlight w:val="none"/>
        </w:rPr>
      </w:pPr>
    </w:p>
    <w:p w14:paraId="2FFFD638">
      <w:pPr>
        <w:pStyle w:val="22"/>
        <w:pageBreakBefore w:val="0"/>
        <w:kinsoku/>
        <w:wordWrap/>
        <w:overflowPunct/>
        <w:topLinePunct w:val="0"/>
        <w:bidi w:val="0"/>
        <w:spacing w:line="360" w:lineRule="auto"/>
        <w:ind w:firstLine="723" w:firstLineChars="300"/>
        <w:rPr>
          <w:rFonts w:hint="eastAsia" w:ascii="宋体" w:hAnsi="宋体" w:eastAsia="宋体" w:cs="宋体"/>
          <w:b/>
          <w:bCs/>
          <w:color w:val="auto"/>
          <w:spacing w:val="0"/>
          <w:position w:val="0"/>
          <w:highlight w:val="none"/>
        </w:rPr>
      </w:pPr>
    </w:p>
    <w:p w14:paraId="03A6B29F">
      <w:pPr>
        <w:pStyle w:val="22"/>
        <w:pageBreakBefore w:val="0"/>
        <w:kinsoku/>
        <w:wordWrap/>
        <w:overflowPunct/>
        <w:topLinePunct w:val="0"/>
        <w:bidi w:val="0"/>
        <w:spacing w:line="360" w:lineRule="auto"/>
        <w:ind w:left="0" w:leftChars="0" w:firstLine="0" w:firstLineChars="0"/>
        <w:rPr>
          <w:rFonts w:hint="eastAsia" w:ascii="宋体" w:hAnsi="宋体" w:eastAsia="宋体" w:cs="宋体"/>
          <w:b/>
          <w:bCs/>
          <w:color w:val="auto"/>
          <w:spacing w:val="0"/>
          <w:position w:val="0"/>
          <w:highlight w:val="none"/>
          <w:lang w:eastAsia="zh-CN"/>
        </w:rPr>
      </w:pPr>
    </w:p>
    <w:p w14:paraId="1F3E9834">
      <w:pPr>
        <w:pStyle w:val="22"/>
        <w:pageBreakBefore w:val="0"/>
        <w:kinsoku/>
        <w:wordWrap/>
        <w:overflowPunct/>
        <w:topLinePunct w:val="0"/>
        <w:bidi w:val="0"/>
        <w:spacing w:line="360" w:lineRule="auto"/>
        <w:ind w:left="0" w:leftChars="0" w:firstLine="0" w:firstLineChars="0"/>
        <w:rPr>
          <w:rFonts w:hint="eastAsia" w:ascii="宋体" w:hAnsi="宋体" w:eastAsia="宋体" w:cs="宋体"/>
          <w:b/>
          <w:bCs/>
          <w:color w:val="auto"/>
          <w:spacing w:val="0"/>
          <w:position w:val="0"/>
          <w:sz w:val="28"/>
          <w:szCs w:val="28"/>
          <w:highlight w:val="none"/>
          <w:lang w:eastAsia="zh-CN"/>
        </w:rPr>
      </w:pPr>
    </w:p>
    <w:p w14:paraId="59E95948">
      <w:pPr>
        <w:pStyle w:val="22"/>
        <w:pageBreakBefore w:val="0"/>
        <w:kinsoku/>
        <w:wordWrap/>
        <w:overflowPunct/>
        <w:topLinePunct w:val="0"/>
        <w:bidi w:val="0"/>
        <w:spacing w:line="360" w:lineRule="auto"/>
        <w:ind w:left="0" w:leftChars="0" w:firstLine="0" w:firstLineChars="0"/>
        <w:rPr>
          <w:rFonts w:hint="eastAsia" w:ascii="宋体" w:hAnsi="宋体" w:eastAsia="宋体" w:cs="宋体"/>
          <w:b/>
          <w:bCs/>
          <w:color w:val="auto"/>
          <w:spacing w:val="0"/>
          <w:position w:val="0"/>
          <w:sz w:val="28"/>
          <w:szCs w:val="28"/>
          <w:highlight w:val="none"/>
          <w:lang w:eastAsia="zh-CN"/>
        </w:rPr>
      </w:pPr>
    </w:p>
    <w:p w14:paraId="5A168EE0">
      <w:pPr>
        <w:pStyle w:val="22"/>
        <w:pageBreakBefore w:val="0"/>
        <w:kinsoku/>
        <w:wordWrap/>
        <w:overflowPunct/>
        <w:topLinePunct w:val="0"/>
        <w:bidi w:val="0"/>
        <w:spacing w:line="360" w:lineRule="auto"/>
        <w:ind w:left="0" w:leftChars="0" w:firstLine="0" w:firstLineChars="0"/>
        <w:rPr>
          <w:rFonts w:hint="eastAsia" w:ascii="宋体" w:hAnsi="宋体" w:eastAsia="宋体" w:cs="宋体"/>
          <w:b/>
          <w:bCs/>
          <w:color w:val="auto"/>
          <w:spacing w:val="0"/>
          <w:position w:val="0"/>
          <w:sz w:val="32"/>
          <w:szCs w:val="32"/>
          <w:highlight w:val="none"/>
          <w:lang w:eastAsia="zh-CN"/>
        </w:rPr>
      </w:pPr>
    </w:p>
    <w:p w14:paraId="66405CA7">
      <w:pPr>
        <w:pStyle w:val="22"/>
        <w:pageBreakBefore w:val="0"/>
        <w:kinsoku/>
        <w:wordWrap/>
        <w:overflowPunct/>
        <w:topLinePunct w:val="0"/>
        <w:bidi w:val="0"/>
        <w:spacing w:line="360" w:lineRule="auto"/>
        <w:ind w:left="0" w:leftChars="0" w:firstLine="0" w:firstLineChars="0"/>
        <w:rPr>
          <w:rFonts w:hint="eastAsia" w:ascii="宋体" w:hAnsi="宋体" w:eastAsia="宋体" w:cs="宋体"/>
          <w:b/>
          <w:bCs/>
          <w:color w:val="auto"/>
          <w:spacing w:val="0"/>
          <w:position w:val="0"/>
          <w:sz w:val="32"/>
          <w:szCs w:val="32"/>
          <w:highlight w:val="none"/>
          <w:lang w:eastAsia="zh-CN"/>
        </w:rPr>
      </w:pPr>
      <w:r>
        <w:rPr>
          <w:rFonts w:hint="eastAsia" w:ascii="宋体" w:hAnsi="宋体" w:eastAsia="宋体" w:cs="宋体"/>
          <w:b/>
          <w:bCs/>
          <w:color w:val="auto"/>
          <w:spacing w:val="0"/>
          <w:position w:val="0"/>
          <w:sz w:val="32"/>
          <w:szCs w:val="32"/>
          <w:highlight w:val="none"/>
          <w:lang w:eastAsia="zh-CN"/>
        </w:rPr>
        <w:t>项目名称：</w:t>
      </w:r>
      <w:r>
        <w:rPr>
          <w:rFonts w:hint="eastAsia" w:ascii="宋体" w:hAnsi="宋体" w:cs="宋体"/>
          <w:b/>
          <w:bCs/>
          <w:color w:val="auto"/>
          <w:spacing w:val="0"/>
          <w:position w:val="0"/>
          <w:sz w:val="32"/>
          <w:szCs w:val="32"/>
          <w:highlight w:val="none"/>
          <w:lang w:eastAsia="zh-CN"/>
        </w:rPr>
        <w:t>新疆维吾尔自治区总工会协同办公平台采购项目</w:t>
      </w:r>
    </w:p>
    <w:p w14:paraId="23DC9AD9">
      <w:pPr>
        <w:pStyle w:val="22"/>
        <w:pageBreakBefore w:val="0"/>
        <w:kinsoku/>
        <w:wordWrap/>
        <w:overflowPunct/>
        <w:topLinePunct w:val="0"/>
        <w:bidi w:val="0"/>
        <w:spacing w:line="360" w:lineRule="auto"/>
        <w:ind w:left="0" w:leftChars="0" w:firstLine="0" w:firstLineChars="0"/>
        <w:rPr>
          <w:rFonts w:hint="eastAsia" w:ascii="宋体" w:hAnsi="宋体" w:eastAsia="宋体" w:cs="宋体"/>
          <w:b/>
          <w:bCs/>
          <w:color w:val="auto"/>
          <w:spacing w:val="0"/>
          <w:position w:val="0"/>
          <w:sz w:val="32"/>
          <w:szCs w:val="32"/>
          <w:highlight w:val="none"/>
          <w:lang w:eastAsia="zh-CN"/>
        </w:rPr>
      </w:pPr>
      <w:r>
        <w:rPr>
          <w:rFonts w:hint="eastAsia" w:ascii="宋体" w:hAnsi="宋体" w:eastAsia="宋体" w:cs="宋体"/>
          <w:b/>
          <w:bCs/>
          <w:color w:val="auto"/>
          <w:spacing w:val="0"/>
          <w:position w:val="0"/>
          <w:sz w:val="32"/>
          <w:szCs w:val="32"/>
          <w:highlight w:val="none"/>
          <w:lang w:eastAsia="zh-CN"/>
        </w:rPr>
        <w:t>招标编号：</w:t>
      </w:r>
      <w:r>
        <w:rPr>
          <w:rFonts w:hint="eastAsia" w:ascii="宋体" w:hAnsi="宋体" w:cs="宋体"/>
          <w:b/>
          <w:bCs/>
          <w:color w:val="auto"/>
          <w:spacing w:val="0"/>
          <w:position w:val="0"/>
          <w:sz w:val="32"/>
          <w:szCs w:val="32"/>
          <w:highlight w:val="none"/>
          <w:lang w:eastAsia="zh-CN"/>
        </w:rPr>
        <w:t>XJCC-ZB-2025-124</w:t>
      </w:r>
    </w:p>
    <w:p w14:paraId="022C66C8">
      <w:pPr>
        <w:pStyle w:val="22"/>
        <w:pageBreakBefore w:val="0"/>
        <w:kinsoku/>
        <w:wordWrap/>
        <w:overflowPunct/>
        <w:topLinePunct w:val="0"/>
        <w:bidi w:val="0"/>
        <w:spacing w:line="360" w:lineRule="auto"/>
        <w:ind w:left="0" w:leftChars="0" w:firstLine="0" w:firstLineChars="0"/>
        <w:rPr>
          <w:rFonts w:hint="eastAsia" w:ascii="宋体" w:hAnsi="宋体" w:eastAsia="宋体" w:cs="宋体"/>
          <w:b/>
          <w:bCs/>
          <w:color w:val="auto"/>
          <w:spacing w:val="0"/>
          <w:position w:val="0"/>
          <w:sz w:val="32"/>
          <w:szCs w:val="32"/>
          <w:highlight w:val="none"/>
        </w:rPr>
      </w:pPr>
    </w:p>
    <w:p w14:paraId="5E7B1BC5">
      <w:pPr>
        <w:pStyle w:val="22"/>
        <w:pageBreakBefore w:val="0"/>
        <w:kinsoku/>
        <w:wordWrap/>
        <w:overflowPunct/>
        <w:topLinePunct w:val="0"/>
        <w:bidi w:val="0"/>
        <w:spacing w:line="360" w:lineRule="auto"/>
        <w:ind w:left="0" w:leftChars="0" w:firstLine="0" w:firstLineChars="0"/>
        <w:rPr>
          <w:rFonts w:hint="eastAsia" w:ascii="宋体" w:hAnsi="宋体" w:eastAsia="宋体" w:cs="宋体"/>
          <w:b/>
          <w:bCs/>
          <w:color w:val="auto"/>
          <w:spacing w:val="0"/>
          <w:position w:val="0"/>
          <w:sz w:val="32"/>
          <w:szCs w:val="32"/>
          <w:highlight w:val="none"/>
          <w:lang w:eastAsia="zh-CN"/>
        </w:rPr>
      </w:pPr>
      <w:r>
        <w:rPr>
          <w:rFonts w:hint="eastAsia" w:ascii="宋体" w:hAnsi="宋体" w:eastAsia="宋体" w:cs="宋体"/>
          <w:b/>
          <w:bCs/>
          <w:color w:val="auto"/>
          <w:spacing w:val="0"/>
          <w:position w:val="0"/>
          <w:sz w:val="32"/>
          <w:szCs w:val="32"/>
          <w:highlight w:val="none"/>
        </w:rPr>
        <w:t>采购人</w:t>
      </w:r>
      <w:r>
        <w:rPr>
          <w:rFonts w:hint="eastAsia" w:ascii="宋体" w:hAnsi="宋体" w:eastAsia="宋体" w:cs="宋体"/>
          <w:b/>
          <w:bCs/>
          <w:color w:val="auto"/>
          <w:spacing w:val="0"/>
          <w:position w:val="0"/>
          <w:sz w:val="32"/>
          <w:szCs w:val="32"/>
          <w:highlight w:val="none"/>
          <w:lang w:eastAsia="zh-CN"/>
        </w:rPr>
        <w:t>（盖章）</w:t>
      </w:r>
      <w:r>
        <w:rPr>
          <w:rFonts w:hint="eastAsia" w:ascii="宋体" w:hAnsi="宋体" w:eastAsia="宋体" w:cs="宋体"/>
          <w:b/>
          <w:bCs/>
          <w:color w:val="auto"/>
          <w:spacing w:val="0"/>
          <w:position w:val="0"/>
          <w:sz w:val="32"/>
          <w:szCs w:val="32"/>
          <w:highlight w:val="none"/>
        </w:rPr>
        <w:t>：</w:t>
      </w:r>
      <w:r>
        <w:rPr>
          <w:rFonts w:hint="eastAsia" w:ascii="宋体" w:hAnsi="宋体" w:eastAsia="宋体" w:cs="宋体"/>
          <w:b/>
          <w:bCs/>
          <w:color w:val="auto"/>
          <w:spacing w:val="0"/>
          <w:position w:val="0"/>
          <w:sz w:val="32"/>
          <w:szCs w:val="32"/>
          <w:highlight w:val="none"/>
          <w:lang w:val="en-US" w:eastAsia="zh-CN"/>
        </w:rPr>
        <w:t xml:space="preserve"> 新疆维吾尔自治区总工会</w:t>
      </w:r>
    </w:p>
    <w:p w14:paraId="53E7BB48">
      <w:pPr>
        <w:pStyle w:val="22"/>
        <w:pageBreakBefore w:val="0"/>
        <w:kinsoku/>
        <w:wordWrap/>
        <w:overflowPunct/>
        <w:topLinePunct w:val="0"/>
        <w:bidi w:val="0"/>
        <w:spacing w:line="360" w:lineRule="auto"/>
        <w:ind w:left="0" w:leftChars="0" w:firstLine="0" w:firstLineChars="0"/>
        <w:rPr>
          <w:rFonts w:hint="eastAsia" w:ascii="宋体" w:hAnsi="宋体" w:eastAsia="宋体" w:cs="宋体"/>
          <w:b/>
          <w:bCs/>
          <w:color w:val="auto"/>
          <w:spacing w:val="0"/>
          <w:position w:val="0"/>
          <w:sz w:val="32"/>
          <w:szCs w:val="32"/>
          <w:highlight w:val="none"/>
        </w:rPr>
      </w:pPr>
    </w:p>
    <w:p w14:paraId="6C74BF7F">
      <w:pPr>
        <w:pStyle w:val="22"/>
        <w:pageBreakBefore w:val="0"/>
        <w:kinsoku/>
        <w:wordWrap/>
        <w:overflowPunct/>
        <w:topLinePunct w:val="0"/>
        <w:bidi w:val="0"/>
        <w:spacing w:line="360" w:lineRule="auto"/>
        <w:ind w:left="0" w:leftChars="0" w:firstLine="0" w:firstLineChars="0"/>
        <w:rPr>
          <w:rFonts w:hint="eastAsia" w:ascii="宋体" w:hAnsi="宋体" w:eastAsia="宋体" w:cs="宋体"/>
          <w:b/>
          <w:bCs/>
          <w:color w:val="auto"/>
          <w:spacing w:val="0"/>
          <w:position w:val="0"/>
          <w:sz w:val="32"/>
          <w:szCs w:val="32"/>
          <w:highlight w:val="none"/>
          <w:u w:val="single"/>
          <w:lang w:eastAsia="zh-CN"/>
        </w:rPr>
      </w:pPr>
      <w:r>
        <w:rPr>
          <w:rFonts w:hint="eastAsia" w:ascii="宋体" w:hAnsi="宋体" w:eastAsia="宋体" w:cs="宋体"/>
          <w:b/>
          <w:bCs/>
          <w:color w:val="auto"/>
          <w:spacing w:val="0"/>
          <w:position w:val="0"/>
          <w:sz w:val="32"/>
          <w:szCs w:val="32"/>
          <w:highlight w:val="none"/>
        </w:rPr>
        <w:t>采购代理机构</w:t>
      </w:r>
      <w:r>
        <w:rPr>
          <w:rFonts w:hint="eastAsia" w:ascii="宋体" w:hAnsi="宋体" w:eastAsia="宋体" w:cs="宋体"/>
          <w:b/>
          <w:bCs/>
          <w:color w:val="auto"/>
          <w:spacing w:val="0"/>
          <w:position w:val="0"/>
          <w:sz w:val="32"/>
          <w:szCs w:val="32"/>
          <w:highlight w:val="none"/>
          <w:lang w:eastAsia="zh-CN"/>
        </w:rPr>
        <w:t>（盖章）</w:t>
      </w:r>
      <w:r>
        <w:rPr>
          <w:rFonts w:hint="eastAsia" w:ascii="宋体" w:hAnsi="宋体" w:eastAsia="宋体" w:cs="宋体"/>
          <w:b/>
          <w:bCs/>
          <w:color w:val="auto"/>
          <w:spacing w:val="0"/>
          <w:position w:val="0"/>
          <w:sz w:val="32"/>
          <w:szCs w:val="32"/>
          <w:highlight w:val="none"/>
        </w:rPr>
        <w:t>：</w:t>
      </w:r>
      <w:r>
        <w:rPr>
          <w:rFonts w:hint="eastAsia" w:ascii="宋体" w:hAnsi="宋体" w:eastAsia="宋体" w:cs="宋体"/>
          <w:b/>
          <w:bCs/>
          <w:color w:val="auto"/>
          <w:spacing w:val="0"/>
          <w:position w:val="0"/>
          <w:sz w:val="32"/>
          <w:szCs w:val="32"/>
          <w:highlight w:val="none"/>
          <w:lang w:eastAsia="zh-CN"/>
        </w:rPr>
        <w:t>新疆诚成工程项目管理有限公司</w:t>
      </w:r>
    </w:p>
    <w:p w14:paraId="4222F241">
      <w:pPr>
        <w:pStyle w:val="22"/>
        <w:spacing w:line="240" w:lineRule="auto"/>
        <w:ind w:left="0" w:leftChars="0" w:firstLine="0" w:firstLineChars="0"/>
        <w:jc w:val="left"/>
        <w:rPr>
          <w:rFonts w:hint="eastAsia" w:ascii="宋体" w:hAnsi="宋体" w:eastAsia="宋体" w:cs="宋体"/>
          <w:b/>
          <w:bCs/>
          <w:color w:val="auto"/>
          <w:spacing w:val="0"/>
          <w:position w:val="0"/>
          <w:sz w:val="32"/>
          <w:szCs w:val="32"/>
          <w:highlight w:val="none"/>
        </w:rPr>
      </w:pPr>
    </w:p>
    <w:p w14:paraId="37555912">
      <w:pPr>
        <w:pStyle w:val="22"/>
        <w:spacing w:line="240" w:lineRule="auto"/>
        <w:ind w:left="0" w:leftChars="0" w:firstLine="0" w:firstLineChars="0"/>
        <w:jc w:val="left"/>
        <w:rPr>
          <w:rFonts w:hint="eastAsia" w:ascii="宋体" w:hAnsi="宋体" w:eastAsia="宋体" w:cs="宋体"/>
          <w:b/>
          <w:bCs/>
          <w:color w:val="auto"/>
          <w:spacing w:val="0"/>
          <w:position w:val="0"/>
          <w:sz w:val="32"/>
          <w:szCs w:val="32"/>
          <w:highlight w:val="none"/>
        </w:rPr>
      </w:pPr>
    </w:p>
    <w:p w14:paraId="1DAB1280">
      <w:pPr>
        <w:pStyle w:val="22"/>
        <w:spacing w:line="240" w:lineRule="auto"/>
        <w:ind w:left="0" w:leftChars="0" w:firstLine="0" w:firstLineChars="0"/>
        <w:jc w:val="center"/>
        <w:rPr>
          <w:rFonts w:hint="eastAsia" w:ascii="宋体" w:hAnsi="宋体" w:eastAsia="宋体" w:cs="宋体"/>
          <w:b/>
          <w:bCs/>
          <w:color w:val="auto"/>
          <w:spacing w:val="0"/>
          <w:position w:val="0"/>
          <w:sz w:val="28"/>
          <w:szCs w:val="28"/>
          <w:highlight w:val="none"/>
        </w:rPr>
      </w:pPr>
      <w:r>
        <w:rPr>
          <w:rFonts w:hint="eastAsia" w:ascii="宋体" w:hAnsi="宋体" w:eastAsia="宋体" w:cs="宋体"/>
          <w:b/>
          <w:bCs/>
          <w:color w:val="auto"/>
          <w:spacing w:val="0"/>
          <w:position w:val="0"/>
          <w:sz w:val="32"/>
          <w:szCs w:val="32"/>
          <w:highlight w:val="none"/>
        </w:rPr>
        <w:t>日期：</w:t>
      </w:r>
      <w:bookmarkStart w:id="0" w:name="EBad5fb9b79797401bae5ba8a0a3b3cb20"/>
      <w:r>
        <w:rPr>
          <w:rFonts w:hint="eastAsia" w:ascii="宋体" w:hAnsi="宋体" w:eastAsia="宋体" w:cs="宋体"/>
          <w:b/>
          <w:bCs/>
          <w:color w:val="auto"/>
          <w:spacing w:val="0"/>
          <w:position w:val="0"/>
          <w:sz w:val="32"/>
          <w:szCs w:val="32"/>
          <w:highlight w:val="none"/>
        </w:rPr>
        <w:t>202</w:t>
      </w:r>
      <w:r>
        <w:rPr>
          <w:rFonts w:hint="eastAsia" w:ascii="宋体" w:hAnsi="宋体" w:cs="宋体"/>
          <w:b/>
          <w:bCs/>
          <w:color w:val="auto"/>
          <w:spacing w:val="0"/>
          <w:position w:val="0"/>
          <w:sz w:val="32"/>
          <w:szCs w:val="32"/>
          <w:highlight w:val="none"/>
          <w:lang w:val="en-US" w:eastAsia="zh-CN"/>
        </w:rPr>
        <w:t>5</w:t>
      </w:r>
      <w:r>
        <w:rPr>
          <w:rFonts w:hint="eastAsia" w:ascii="宋体" w:hAnsi="宋体" w:eastAsia="宋体" w:cs="宋体"/>
          <w:b/>
          <w:bCs/>
          <w:color w:val="auto"/>
          <w:spacing w:val="0"/>
          <w:position w:val="0"/>
          <w:sz w:val="32"/>
          <w:szCs w:val="32"/>
          <w:highlight w:val="none"/>
        </w:rPr>
        <w:t>年</w:t>
      </w:r>
      <w:r>
        <w:rPr>
          <w:rFonts w:hint="eastAsia" w:ascii="宋体" w:hAnsi="宋体" w:cs="宋体"/>
          <w:b/>
          <w:bCs/>
          <w:color w:val="auto"/>
          <w:spacing w:val="0"/>
          <w:position w:val="0"/>
          <w:sz w:val="32"/>
          <w:szCs w:val="32"/>
          <w:highlight w:val="none"/>
          <w:lang w:val="en-US" w:eastAsia="zh-CN"/>
        </w:rPr>
        <w:t>06</w:t>
      </w:r>
      <w:r>
        <w:rPr>
          <w:rFonts w:hint="eastAsia" w:ascii="宋体" w:hAnsi="宋体" w:eastAsia="宋体" w:cs="宋体"/>
          <w:b/>
          <w:bCs/>
          <w:color w:val="auto"/>
          <w:spacing w:val="0"/>
          <w:position w:val="0"/>
          <w:sz w:val="32"/>
          <w:szCs w:val="32"/>
          <w:highlight w:val="none"/>
        </w:rPr>
        <w:t>月</w:t>
      </w:r>
      <w:bookmarkEnd w:id="0"/>
    </w:p>
    <w:p w14:paraId="15B61125">
      <w:pPr>
        <w:pStyle w:val="22"/>
        <w:spacing w:line="240" w:lineRule="auto"/>
        <w:ind w:left="0" w:leftChars="0" w:firstLine="0" w:firstLineChars="0"/>
        <w:jc w:val="left"/>
        <w:rPr>
          <w:rFonts w:hint="eastAsia" w:ascii="宋体" w:hAnsi="宋体" w:eastAsia="宋体" w:cs="宋体"/>
          <w:b/>
          <w:bCs/>
          <w:color w:val="auto"/>
          <w:spacing w:val="0"/>
          <w:position w:val="0"/>
          <w:sz w:val="28"/>
          <w:szCs w:val="28"/>
          <w:highlight w:val="none"/>
        </w:rPr>
      </w:pPr>
    </w:p>
    <w:p w14:paraId="6F95E252">
      <w:pPr>
        <w:pStyle w:val="22"/>
        <w:spacing w:line="240" w:lineRule="auto"/>
        <w:ind w:left="0" w:leftChars="0" w:firstLine="0" w:firstLineChars="0"/>
        <w:jc w:val="left"/>
        <w:rPr>
          <w:rFonts w:hint="eastAsia" w:ascii="宋体" w:hAnsi="宋体" w:eastAsia="宋体" w:cs="宋体"/>
          <w:b/>
          <w:bCs/>
          <w:color w:val="auto"/>
          <w:spacing w:val="0"/>
          <w:position w:val="0"/>
          <w:sz w:val="28"/>
          <w:szCs w:val="28"/>
          <w:highlight w:val="none"/>
        </w:rPr>
      </w:pPr>
    </w:p>
    <w:p w14:paraId="17BBF2DB">
      <w:pPr>
        <w:pStyle w:val="22"/>
        <w:spacing w:line="240" w:lineRule="auto"/>
        <w:ind w:left="0" w:leftChars="0" w:firstLine="0" w:firstLineChars="0"/>
        <w:jc w:val="both"/>
        <w:rPr>
          <w:rFonts w:hint="eastAsia" w:ascii="宋体" w:hAnsi="宋体" w:eastAsia="宋体" w:cs="宋体"/>
          <w:b/>
          <w:bCs/>
          <w:color w:val="auto"/>
          <w:spacing w:val="0"/>
          <w:position w:val="0"/>
          <w:sz w:val="28"/>
          <w:szCs w:val="28"/>
          <w:highlight w:val="none"/>
        </w:rPr>
        <w:sectPr>
          <w:footerReference r:id="rId3" w:type="first"/>
          <w:pgSz w:w="11920" w:h="16840"/>
          <w:pgMar w:top="1440" w:right="1800" w:bottom="1440" w:left="1800" w:header="0" w:footer="773" w:gutter="0"/>
          <w:pgNumType w:start="0"/>
          <w:cols w:space="720" w:num="1"/>
        </w:sectPr>
      </w:pPr>
    </w:p>
    <w:p w14:paraId="32346C14">
      <w:pPr>
        <w:pStyle w:val="22"/>
        <w:spacing w:line="240" w:lineRule="auto"/>
        <w:ind w:left="0" w:leftChars="0" w:firstLine="0" w:firstLineChars="0"/>
        <w:jc w:val="center"/>
        <w:rPr>
          <w:rFonts w:hint="eastAsia" w:ascii="宋体" w:hAnsi="宋体" w:eastAsia="宋体" w:cs="宋体"/>
          <w:b/>
          <w:bCs/>
          <w:color w:val="auto"/>
          <w:spacing w:val="0"/>
          <w:position w:val="0"/>
          <w:sz w:val="28"/>
          <w:szCs w:val="28"/>
          <w:highlight w:val="none"/>
        </w:rPr>
      </w:pPr>
    </w:p>
    <w:p w14:paraId="36C14130">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zh-CN"/>
        </w:rPr>
        <w:t>目 录</w:t>
      </w:r>
    </w:p>
    <w:p w14:paraId="1E950C4A">
      <w:pPr>
        <w:pStyle w:val="31"/>
        <w:tabs>
          <w:tab w:val="right" w:leader="dot" w:pos="952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"1-3" \h \z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_Toc27548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第一部分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_Toc27548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C3ABC3B">
      <w:pPr>
        <w:pStyle w:val="31"/>
        <w:tabs>
          <w:tab w:val="right" w:leader="dot" w:pos="9520"/>
        </w:tabs>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 HYPERLINK \l _Toc6755 </w:instrText>
      </w:r>
      <w:r>
        <w:rPr>
          <w:rFonts w:hint="eastAsia" w:ascii="宋体" w:hAnsi="宋体" w:eastAsia="宋体" w:cs="宋体"/>
          <w:bCs/>
          <w:color w:val="auto"/>
          <w:sz w:val="24"/>
          <w:szCs w:val="24"/>
          <w:highlight w:val="none"/>
          <w:lang w:val="zh-CN"/>
        </w:rPr>
        <w:fldChar w:fldCharType="separate"/>
      </w:r>
      <w:r>
        <w:rPr>
          <w:rFonts w:hint="eastAsia" w:ascii="宋体" w:hAnsi="宋体" w:eastAsia="宋体" w:cs="宋体"/>
          <w:color w:val="auto"/>
          <w:sz w:val="24"/>
          <w:szCs w:val="24"/>
          <w:highlight w:val="none"/>
        </w:rPr>
        <w:t xml:space="preserve">第二部分  </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_Toc6755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lang w:val="zh-CN"/>
        </w:rPr>
        <w:fldChar w:fldCharType="end"/>
      </w:r>
    </w:p>
    <w:p w14:paraId="783C31B0">
      <w:pPr>
        <w:pStyle w:val="31"/>
        <w:tabs>
          <w:tab w:val="right" w:leader="dot" w:pos="9520"/>
        </w:tabs>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 HYPERLINK \l _Toc3569 </w:instrText>
      </w:r>
      <w:r>
        <w:rPr>
          <w:rFonts w:hint="eastAsia" w:ascii="宋体" w:hAnsi="宋体" w:eastAsia="宋体" w:cs="宋体"/>
          <w:bCs/>
          <w:color w:val="auto"/>
          <w:sz w:val="24"/>
          <w:szCs w:val="24"/>
          <w:highlight w:val="none"/>
          <w:lang w:val="zh-CN"/>
        </w:rPr>
        <w:fldChar w:fldCharType="separate"/>
      </w:r>
      <w:r>
        <w:rPr>
          <w:rFonts w:hint="eastAsia" w:ascii="宋体" w:hAnsi="宋体" w:eastAsia="宋体" w:cs="宋体"/>
          <w:color w:val="auto"/>
          <w:sz w:val="24"/>
          <w:szCs w:val="24"/>
          <w:highlight w:val="none"/>
        </w:rPr>
        <w:t xml:space="preserve">第三部分   </w:t>
      </w:r>
      <w:r>
        <w:rPr>
          <w:rFonts w:hint="eastAsia" w:ascii="宋体" w:hAnsi="宋体" w:eastAsia="宋体" w:cs="宋体"/>
          <w:color w:val="auto"/>
          <w:sz w:val="24"/>
          <w:szCs w:val="24"/>
          <w:highlight w:val="none"/>
          <w:lang w:eastAsia="zh-CN"/>
        </w:rPr>
        <w:t>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_Toc3569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29</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lang w:val="zh-CN"/>
        </w:rPr>
        <w:fldChar w:fldCharType="end"/>
      </w:r>
    </w:p>
    <w:p w14:paraId="3823496F">
      <w:pPr>
        <w:pStyle w:val="31"/>
        <w:tabs>
          <w:tab w:val="right" w:leader="dot" w:pos="9520"/>
        </w:tabs>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 HYPERLINK \l _Toc20014 </w:instrText>
      </w:r>
      <w:r>
        <w:rPr>
          <w:rFonts w:hint="eastAsia" w:ascii="宋体" w:hAnsi="宋体" w:eastAsia="宋体" w:cs="宋体"/>
          <w:bCs/>
          <w:color w:val="auto"/>
          <w:sz w:val="24"/>
          <w:szCs w:val="24"/>
          <w:highlight w:val="none"/>
          <w:lang w:val="zh-CN"/>
        </w:rPr>
        <w:fldChar w:fldCharType="separate"/>
      </w:r>
      <w:r>
        <w:rPr>
          <w:rFonts w:hint="eastAsia" w:ascii="宋体" w:hAnsi="宋体" w:eastAsia="宋体" w:cs="宋体"/>
          <w:color w:val="auto"/>
          <w:sz w:val="24"/>
          <w:szCs w:val="24"/>
          <w:highlight w:val="none"/>
        </w:rPr>
        <w:t>第四部分   评审方法（综合评分法）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_Toc20014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lang w:val="zh-CN"/>
        </w:rPr>
        <w:fldChar w:fldCharType="end"/>
      </w:r>
    </w:p>
    <w:p w14:paraId="3929D454">
      <w:pPr>
        <w:pStyle w:val="31"/>
        <w:tabs>
          <w:tab w:val="right" w:leader="dot" w:pos="9520"/>
        </w:tabs>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 HYPERLINK \l _Toc8152 </w:instrText>
      </w:r>
      <w:r>
        <w:rPr>
          <w:rFonts w:hint="eastAsia" w:ascii="宋体" w:hAnsi="宋体" w:eastAsia="宋体" w:cs="宋体"/>
          <w:bCs/>
          <w:color w:val="auto"/>
          <w:sz w:val="24"/>
          <w:szCs w:val="24"/>
          <w:highlight w:val="none"/>
          <w:lang w:val="zh-CN"/>
        </w:rPr>
        <w:fldChar w:fldCharType="separate"/>
      </w:r>
      <w:r>
        <w:rPr>
          <w:rFonts w:hint="eastAsia" w:ascii="宋体" w:hAnsi="宋体" w:eastAsia="宋体" w:cs="宋体"/>
          <w:color w:val="auto"/>
          <w:sz w:val="24"/>
          <w:szCs w:val="24"/>
          <w:highlight w:val="none"/>
        </w:rPr>
        <w:t>第五部分   政府采购合同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_Toc8152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lang w:val="zh-CN"/>
        </w:rPr>
        <w:fldChar w:fldCharType="end"/>
      </w:r>
    </w:p>
    <w:p w14:paraId="44C82EED">
      <w:pPr>
        <w:pStyle w:val="31"/>
        <w:tabs>
          <w:tab w:val="right" w:leader="dot" w:pos="9520"/>
        </w:tabs>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 HYPERLINK \l _Toc4203 </w:instrText>
      </w:r>
      <w:r>
        <w:rPr>
          <w:rFonts w:hint="eastAsia" w:ascii="宋体" w:hAnsi="宋体" w:eastAsia="宋体" w:cs="宋体"/>
          <w:bCs/>
          <w:color w:val="auto"/>
          <w:sz w:val="24"/>
          <w:szCs w:val="24"/>
          <w:highlight w:val="none"/>
          <w:lang w:val="zh-CN"/>
        </w:rPr>
        <w:fldChar w:fldCharType="separate"/>
      </w:r>
      <w:r>
        <w:rPr>
          <w:rFonts w:hint="eastAsia" w:ascii="宋体" w:hAnsi="宋体" w:eastAsia="宋体" w:cs="宋体"/>
          <w:color w:val="auto"/>
          <w:sz w:val="24"/>
          <w:szCs w:val="24"/>
          <w:highlight w:val="none"/>
        </w:rPr>
        <w:t>第六部分   投标文件格式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_Toc4203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37</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lang w:val="zh-CN"/>
        </w:rPr>
        <w:fldChar w:fldCharType="end"/>
      </w:r>
    </w:p>
    <w:p w14:paraId="1BA8CC43">
      <w:pPr>
        <w:pStyle w:val="34"/>
        <w:tabs>
          <w:tab w:val="right" w:leader="dot" w:pos="9520"/>
        </w:tabs>
        <w:spacing w:line="360" w:lineRule="auto"/>
        <w:rPr>
          <w:rFonts w:hint="eastAsia" w:ascii="宋体" w:hAnsi="宋体" w:eastAsia="宋体" w:cs="宋体"/>
          <w:color w:val="auto"/>
          <w:sz w:val="24"/>
          <w:szCs w:val="24"/>
          <w:highlight w:val="none"/>
        </w:rPr>
      </w:pPr>
    </w:p>
    <w:p w14:paraId="6B4DBFC6">
      <w:pPr>
        <w:spacing w:line="360" w:lineRule="auto"/>
        <w:rPr>
          <w:rFonts w:hint="eastAsia" w:ascii="宋体" w:hAnsi="宋体" w:eastAsia="宋体" w:cs="宋体"/>
          <w:bCs/>
          <w:color w:val="auto"/>
          <w:highlight w:val="none"/>
          <w:lang w:val="zh-CN"/>
        </w:rPr>
      </w:pPr>
      <w:r>
        <w:rPr>
          <w:rFonts w:hint="eastAsia" w:ascii="宋体" w:hAnsi="宋体" w:eastAsia="宋体" w:cs="宋体"/>
          <w:bCs/>
          <w:color w:val="auto"/>
          <w:sz w:val="24"/>
          <w:szCs w:val="24"/>
          <w:highlight w:val="none"/>
          <w:lang w:val="zh-CN"/>
        </w:rPr>
        <w:fldChar w:fldCharType="end"/>
      </w:r>
      <w:bookmarkStart w:id="1" w:name="_Toc480368397"/>
    </w:p>
    <w:p w14:paraId="164DB3E3">
      <w:pPr>
        <w:pStyle w:val="2"/>
        <w:rPr>
          <w:rFonts w:hint="eastAsia" w:ascii="宋体" w:hAnsi="宋体" w:eastAsia="宋体" w:cs="宋体"/>
          <w:bCs/>
          <w:color w:val="auto"/>
          <w:highlight w:val="none"/>
          <w:lang w:val="zh-CN"/>
        </w:rPr>
      </w:pPr>
    </w:p>
    <w:p w14:paraId="2DFE2D2F">
      <w:pPr>
        <w:rPr>
          <w:rFonts w:hint="eastAsia" w:ascii="宋体" w:hAnsi="宋体" w:eastAsia="宋体" w:cs="宋体"/>
          <w:bCs/>
          <w:color w:val="auto"/>
          <w:highlight w:val="none"/>
          <w:lang w:val="zh-CN"/>
        </w:rPr>
      </w:pPr>
    </w:p>
    <w:p w14:paraId="4DE5DC6E">
      <w:pPr>
        <w:pStyle w:val="2"/>
        <w:rPr>
          <w:rFonts w:hint="eastAsia" w:ascii="宋体" w:hAnsi="宋体" w:eastAsia="宋体" w:cs="宋体"/>
          <w:bCs/>
          <w:color w:val="auto"/>
          <w:highlight w:val="none"/>
          <w:lang w:val="zh-CN"/>
        </w:rPr>
      </w:pPr>
    </w:p>
    <w:p w14:paraId="66C0F4D8">
      <w:pPr>
        <w:rPr>
          <w:rFonts w:hint="eastAsia" w:ascii="宋体" w:hAnsi="宋体" w:eastAsia="宋体" w:cs="宋体"/>
          <w:bCs/>
          <w:color w:val="auto"/>
          <w:highlight w:val="none"/>
          <w:lang w:val="zh-CN"/>
        </w:rPr>
      </w:pPr>
    </w:p>
    <w:p w14:paraId="5B5F2866">
      <w:pPr>
        <w:pStyle w:val="2"/>
        <w:rPr>
          <w:rFonts w:hint="eastAsia" w:ascii="宋体" w:hAnsi="宋体" w:eastAsia="宋体" w:cs="宋体"/>
          <w:bCs/>
          <w:color w:val="auto"/>
          <w:highlight w:val="none"/>
          <w:lang w:val="zh-CN"/>
        </w:rPr>
      </w:pPr>
    </w:p>
    <w:p w14:paraId="778E7D60">
      <w:pPr>
        <w:rPr>
          <w:rFonts w:hint="eastAsia" w:ascii="宋体" w:hAnsi="宋体" w:eastAsia="宋体" w:cs="宋体"/>
          <w:bCs/>
          <w:color w:val="auto"/>
          <w:highlight w:val="none"/>
          <w:lang w:val="zh-CN"/>
        </w:rPr>
      </w:pPr>
    </w:p>
    <w:p w14:paraId="6E03AE44">
      <w:pPr>
        <w:pStyle w:val="2"/>
        <w:rPr>
          <w:rFonts w:hint="eastAsia" w:ascii="宋体" w:hAnsi="宋体" w:eastAsia="宋体" w:cs="宋体"/>
          <w:bCs/>
          <w:color w:val="auto"/>
          <w:highlight w:val="none"/>
          <w:lang w:val="zh-CN"/>
        </w:rPr>
      </w:pPr>
    </w:p>
    <w:p w14:paraId="2CDDF261">
      <w:pPr>
        <w:rPr>
          <w:rFonts w:hint="eastAsia" w:ascii="宋体" w:hAnsi="宋体" w:eastAsia="宋体" w:cs="宋体"/>
          <w:bCs/>
          <w:color w:val="auto"/>
          <w:highlight w:val="none"/>
          <w:lang w:val="zh-CN"/>
        </w:rPr>
      </w:pPr>
    </w:p>
    <w:p w14:paraId="199E13F2">
      <w:pPr>
        <w:pStyle w:val="2"/>
        <w:rPr>
          <w:rFonts w:hint="eastAsia" w:ascii="宋体" w:hAnsi="宋体" w:eastAsia="宋体" w:cs="宋体"/>
          <w:bCs/>
          <w:color w:val="auto"/>
          <w:highlight w:val="none"/>
          <w:lang w:val="zh-CN"/>
        </w:rPr>
      </w:pPr>
    </w:p>
    <w:p w14:paraId="00C9C09F">
      <w:pPr>
        <w:rPr>
          <w:rFonts w:hint="eastAsia" w:ascii="宋体" w:hAnsi="宋体" w:eastAsia="宋体" w:cs="宋体"/>
          <w:bCs/>
          <w:color w:val="auto"/>
          <w:highlight w:val="none"/>
          <w:lang w:val="zh-CN"/>
        </w:rPr>
      </w:pPr>
    </w:p>
    <w:p w14:paraId="5BC66384">
      <w:pPr>
        <w:pStyle w:val="2"/>
        <w:rPr>
          <w:rFonts w:hint="eastAsia" w:ascii="宋体" w:hAnsi="宋体" w:eastAsia="宋体" w:cs="宋体"/>
          <w:bCs/>
          <w:color w:val="auto"/>
          <w:highlight w:val="none"/>
          <w:lang w:val="zh-CN"/>
        </w:rPr>
      </w:pPr>
    </w:p>
    <w:p w14:paraId="19D3082E">
      <w:pPr>
        <w:rPr>
          <w:rFonts w:hint="eastAsia" w:ascii="宋体" w:hAnsi="宋体" w:eastAsia="宋体" w:cs="宋体"/>
          <w:bCs/>
          <w:color w:val="auto"/>
          <w:highlight w:val="none"/>
          <w:lang w:val="zh-CN"/>
        </w:rPr>
      </w:pPr>
    </w:p>
    <w:p w14:paraId="0C201707">
      <w:pPr>
        <w:pStyle w:val="2"/>
        <w:rPr>
          <w:rFonts w:hint="eastAsia" w:ascii="宋体" w:hAnsi="宋体" w:eastAsia="宋体" w:cs="宋体"/>
          <w:bCs/>
          <w:color w:val="auto"/>
          <w:highlight w:val="none"/>
          <w:lang w:val="zh-CN"/>
        </w:rPr>
      </w:pPr>
    </w:p>
    <w:p w14:paraId="028414B7">
      <w:pPr>
        <w:rPr>
          <w:rFonts w:hint="eastAsia" w:ascii="宋体" w:hAnsi="宋体" w:eastAsia="宋体" w:cs="宋体"/>
          <w:bCs/>
          <w:color w:val="auto"/>
          <w:highlight w:val="none"/>
          <w:lang w:val="zh-CN"/>
        </w:rPr>
      </w:pPr>
    </w:p>
    <w:p w14:paraId="3FAC2CC6">
      <w:pPr>
        <w:pStyle w:val="2"/>
        <w:rPr>
          <w:rFonts w:hint="eastAsia" w:ascii="宋体" w:hAnsi="宋体" w:eastAsia="宋体" w:cs="宋体"/>
          <w:bCs/>
          <w:color w:val="auto"/>
          <w:highlight w:val="none"/>
          <w:lang w:val="zh-CN"/>
        </w:rPr>
      </w:pPr>
    </w:p>
    <w:p w14:paraId="46340CAE">
      <w:pPr>
        <w:rPr>
          <w:rFonts w:hint="eastAsia" w:ascii="宋体" w:hAnsi="宋体" w:eastAsia="宋体" w:cs="宋体"/>
          <w:bCs/>
          <w:color w:val="auto"/>
          <w:highlight w:val="none"/>
          <w:lang w:val="zh-CN"/>
        </w:rPr>
      </w:pPr>
    </w:p>
    <w:p w14:paraId="2494D9B9">
      <w:pPr>
        <w:pStyle w:val="2"/>
        <w:rPr>
          <w:rFonts w:hint="eastAsia" w:ascii="宋体" w:hAnsi="宋体" w:eastAsia="宋体" w:cs="宋体"/>
          <w:bCs/>
          <w:color w:val="auto"/>
          <w:highlight w:val="none"/>
          <w:lang w:val="zh-CN"/>
        </w:rPr>
      </w:pPr>
    </w:p>
    <w:p w14:paraId="17630346">
      <w:pPr>
        <w:rPr>
          <w:rFonts w:hint="eastAsia" w:ascii="宋体" w:hAnsi="宋体" w:eastAsia="宋体" w:cs="宋体"/>
          <w:bCs/>
          <w:color w:val="auto"/>
          <w:highlight w:val="none"/>
          <w:lang w:val="zh-CN"/>
        </w:rPr>
      </w:pPr>
    </w:p>
    <w:p w14:paraId="0BC0B49A">
      <w:pPr>
        <w:pStyle w:val="2"/>
        <w:rPr>
          <w:rFonts w:hint="eastAsia" w:ascii="宋体" w:hAnsi="宋体" w:eastAsia="宋体" w:cs="宋体"/>
          <w:bCs/>
          <w:color w:val="auto"/>
          <w:highlight w:val="none"/>
          <w:lang w:val="zh-CN"/>
        </w:rPr>
      </w:pPr>
    </w:p>
    <w:p w14:paraId="52DB6BB7">
      <w:pPr>
        <w:rPr>
          <w:rFonts w:hint="eastAsia" w:ascii="宋体" w:hAnsi="宋体" w:eastAsia="宋体" w:cs="宋体"/>
          <w:bCs/>
          <w:color w:val="auto"/>
          <w:highlight w:val="none"/>
          <w:lang w:val="zh-CN"/>
        </w:rPr>
      </w:pPr>
    </w:p>
    <w:p w14:paraId="6EF77113">
      <w:pPr>
        <w:pStyle w:val="2"/>
        <w:rPr>
          <w:rFonts w:hint="eastAsia" w:ascii="宋体" w:hAnsi="宋体" w:eastAsia="宋体" w:cs="宋体"/>
          <w:bCs/>
          <w:color w:val="auto"/>
          <w:highlight w:val="none"/>
          <w:lang w:val="zh-CN"/>
        </w:rPr>
      </w:pPr>
    </w:p>
    <w:p w14:paraId="0CF9C0C8">
      <w:pPr>
        <w:rPr>
          <w:rFonts w:hint="eastAsia" w:ascii="宋体" w:hAnsi="宋体" w:eastAsia="宋体" w:cs="宋体"/>
          <w:bCs/>
          <w:color w:val="auto"/>
          <w:highlight w:val="none"/>
          <w:lang w:val="zh-CN"/>
        </w:rPr>
      </w:pPr>
    </w:p>
    <w:p w14:paraId="1695EEA5">
      <w:pPr>
        <w:pStyle w:val="2"/>
        <w:rPr>
          <w:rFonts w:hint="eastAsia" w:ascii="宋体" w:hAnsi="宋体" w:eastAsia="宋体" w:cs="宋体"/>
          <w:bCs/>
          <w:color w:val="auto"/>
          <w:highlight w:val="none"/>
          <w:lang w:val="zh-CN"/>
        </w:rPr>
      </w:pPr>
    </w:p>
    <w:p w14:paraId="1E686AB9">
      <w:pPr>
        <w:rPr>
          <w:rFonts w:hint="eastAsia" w:ascii="宋体" w:hAnsi="宋体" w:eastAsia="宋体" w:cs="宋体"/>
          <w:bCs/>
          <w:color w:val="auto"/>
          <w:highlight w:val="none"/>
          <w:lang w:val="zh-CN"/>
        </w:rPr>
      </w:pPr>
    </w:p>
    <w:p w14:paraId="1256F7E1">
      <w:pPr>
        <w:pStyle w:val="2"/>
        <w:rPr>
          <w:rFonts w:hint="eastAsia" w:ascii="宋体" w:hAnsi="宋体" w:eastAsia="宋体" w:cs="宋体"/>
          <w:bCs/>
          <w:color w:val="auto"/>
          <w:highlight w:val="none"/>
          <w:lang w:val="zh-CN"/>
        </w:rPr>
      </w:pPr>
    </w:p>
    <w:p w14:paraId="7CBCC03C">
      <w:pPr>
        <w:rPr>
          <w:rFonts w:hint="eastAsia" w:ascii="宋体" w:hAnsi="宋体" w:eastAsia="宋体" w:cs="宋体"/>
          <w:color w:val="auto"/>
          <w:highlight w:val="none"/>
          <w:lang w:val="zh-CN"/>
        </w:rPr>
      </w:pPr>
    </w:p>
    <w:p w14:paraId="6B98EBC2">
      <w:pPr>
        <w:pStyle w:val="3"/>
        <w:jc w:val="center"/>
        <w:rPr>
          <w:rFonts w:hint="eastAsia" w:ascii="宋体" w:hAnsi="宋体" w:eastAsia="宋体" w:cs="宋体"/>
          <w:color w:val="auto"/>
          <w:sz w:val="32"/>
          <w:szCs w:val="32"/>
          <w:highlight w:val="none"/>
        </w:rPr>
      </w:pPr>
      <w:bookmarkStart w:id="2" w:name="_Toc27548"/>
      <w:r>
        <w:rPr>
          <w:rFonts w:hint="eastAsia" w:ascii="宋体" w:hAnsi="宋体" w:eastAsia="宋体" w:cs="宋体"/>
          <w:color w:val="auto"/>
          <w:sz w:val="32"/>
          <w:szCs w:val="32"/>
          <w:highlight w:val="none"/>
        </w:rPr>
        <w:t>第一部分 招标公告</w:t>
      </w:r>
      <w:bookmarkEnd w:id="1"/>
      <w:bookmarkEnd w:id="2"/>
    </w:p>
    <w:tbl>
      <w:tblPr>
        <w:tblStyle w:val="38"/>
        <w:tblW w:w="90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059"/>
      </w:tblGrid>
      <w:tr w14:paraId="5268D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059" w:type="dxa"/>
            <w:tcBorders>
              <w:top w:val="single" w:color="000000" w:sz="4" w:space="0"/>
              <w:left w:val="single" w:color="000000" w:sz="4" w:space="0"/>
              <w:bottom w:val="single" w:color="000000" w:sz="4" w:space="0"/>
              <w:right w:val="single" w:color="000000" w:sz="4" w:space="0"/>
            </w:tcBorders>
            <w:noWrap w:val="0"/>
            <w:vAlign w:val="top"/>
          </w:tcPr>
          <w:p w14:paraId="7D426231">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firstLine="480" w:firstLineChars="200"/>
              <w:jc w:val="both"/>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项目概况</w:t>
            </w:r>
          </w:p>
          <w:p w14:paraId="7B5E0C75">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firstLine="480" w:firstLineChars="200"/>
              <w:jc w:val="both"/>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Fonts w:hint="eastAsia" w:ascii="宋体" w:hAnsi="宋体" w:cs="宋体"/>
                <w:b w:val="0"/>
                <w:bCs w:val="0"/>
                <w:color w:val="auto"/>
                <w:spacing w:val="0"/>
                <w:position w:val="0"/>
                <w:sz w:val="24"/>
                <w:szCs w:val="24"/>
                <w:highlight w:val="none"/>
                <w:u w:val="single"/>
                <w:lang w:eastAsia="zh-CN"/>
              </w:rPr>
              <w:t>新疆维吾尔自治区总工会协同办公平台采购项目</w:t>
            </w: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的潜在供应商应在</w:t>
            </w:r>
            <w:r>
              <w:rPr>
                <w:rStyle w:val="53"/>
                <w:rFonts w:hint="eastAsia" w:ascii="宋体" w:hAnsi="宋体" w:eastAsia="宋体" w:cs="宋体"/>
                <w:b w:val="0"/>
                <w:i w:val="0"/>
                <w:caps w:val="0"/>
                <w:color w:val="auto"/>
                <w:spacing w:val="0"/>
                <w:w w:val="100"/>
                <w:kern w:val="2"/>
                <w:position w:val="0"/>
                <w:sz w:val="24"/>
                <w:szCs w:val="24"/>
                <w:highlight w:val="none"/>
                <w:u w:val="single"/>
                <w:lang w:val="en-US" w:eastAsia="zh-CN" w:bidi="ar-SA"/>
              </w:rPr>
              <w:t>政采云线上平台</w:t>
            </w: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获取（下载）招标文件，并于</w:t>
            </w:r>
            <w:r>
              <w:rPr>
                <w:rStyle w:val="53"/>
                <w:rFonts w:hint="eastAsia" w:ascii="宋体" w:hAnsi="宋体" w:cs="宋体"/>
                <w:b w:val="0"/>
                <w:i w:val="0"/>
                <w:caps w:val="0"/>
                <w:color w:val="auto"/>
                <w:spacing w:val="0"/>
                <w:w w:val="100"/>
                <w:kern w:val="2"/>
                <w:position w:val="0"/>
                <w:sz w:val="24"/>
                <w:szCs w:val="24"/>
                <w:highlight w:val="none"/>
                <w:u w:val="single" w:color="000000"/>
                <w:lang w:val="en-US" w:eastAsia="zh-CN" w:bidi="ar-SA"/>
              </w:rPr>
              <w:t>2025年07月17日11：00（北京时间）</w:t>
            </w: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前递交（上传）投标文件。</w:t>
            </w:r>
          </w:p>
        </w:tc>
      </w:tr>
    </w:tbl>
    <w:p w14:paraId="4BFB77A6">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bCs/>
          <w:i w:val="0"/>
          <w:caps w:val="0"/>
          <w:color w:val="auto"/>
          <w:spacing w:val="0"/>
          <w:w w:val="100"/>
          <w:kern w:val="2"/>
          <w:position w:val="0"/>
          <w:sz w:val="24"/>
          <w:szCs w:val="24"/>
          <w:highlight w:val="none"/>
          <w:lang w:val="en-US" w:eastAsia="zh-CN" w:bidi="ar-SA"/>
        </w:rPr>
        <w:t>一、项目基本情况</w:t>
      </w:r>
    </w:p>
    <w:p w14:paraId="047EABE3">
      <w:pPr>
        <w:pStyle w:val="35"/>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项目编号：</w:t>
      </w:r>
      <w:r>
        <w:rPr>
          <w:rFonts w:hint="eastAsia" w:ascii="宋体" w:hAnsi="宋体" w:cs="宋体"/>
          <w:color w:val="auto"/>
          <w:spacing w:val="0"/>
          <w:position w:val="0"/>
          <w:highlight w:val="none"/>
          <w:lang w:eastAsia="zh-CN"/>
        </w:rPr>
        <w:t>XJCC-ZB-2025-124</w:t>
      </w:r>
      <w:r>
        <w:rPr>
          <w:rFonts w:hint="eastAsia" w:ascii="宋体" w:hAnsi="宋体" w:eastAsia="宋体" w:cs="宋体"/>
          <w:color w:val="auto"/>
          <w:spacing w:val="0"/>
          <w:position w:val="0"/>
          <w:highlight w:val="none"/>
        </w:rPr>
        <w:t> </w:t>
      </w:r>
    </w:p>
    <w:p w14:paraId="2577C476">
      <w:pPr>
        <w:pStyle w:val="35"/>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项目名称：</w:t>
      </w:r>
      <w:r>
        <w:rPr>
          <w:rFonts w:hint="eastAsia" w:ascii="宋体" w:hAnsi="宋体" w:cs="宋体"/>
          <w:color w:val="auto"/>
          <w:spacing w:val="0"/>
          <w:position w:val="0"/>
          <w:highlight w:val="none"/>
          <w:lang w:eastAsia="zh-CN"/>
        </w:rPr>
        <w:t>新疆维吾尔自治区总工会协同办公平台采购项目</w:t>
      </w:r>
      <w:r>
        <w:rPr>
          <w:rFonts w:hint="eastAsia" w:ascii="宋体" w:hAnsi="宋体" w:eastAsia="宋体" w:cs="宋体"/>
          <w:color w:val="auto"/>
          <w:spacing w:val="0"/>
          <w:position w:val="0"/>
          <w:highlight w:val="none"/>
        </w:rPr>
        <w:t> </w:t>
      </w:r>
    </w:p>
    <w:p w14:paraId="16FC693A">
      <w:pPr>
        <w:pStyle w:val="35"/>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highlight w:val="none"/>
        </w:rPr>
        <w:t>预算金额：</w:t>
      </w:r>
      <w:r>
        <w:rPr>
          <w:rFonts w:hint="eastAsia" w:ascii="宋体" w:hAnsi="宋体" w:cs="宋体"/>
          <w:color w:val="auto"/>
          <w:spacing w:val="0"/>
          <w:position w:val="0"/>
          <w:highlight w:val="none"/>
          <w:lang w:eastAsia="zh-CN"/>
        </w:rPr>
        <w:t>1355000.00元</w:t>
      </w:r>
      <w:r>
        <w:rPr>
          <w:rFonts w:hint="eastAsia" w:ascii="宋体" w:hAnsi="宋体" w:eastAsia="宋体" w:cs="宋体"/>
          <w:color w:val="auto"/>
          <w:spacing w:val="0"/>
          <w:position w:val="0"/>
          <w:highlight w:val="none"/>
        </w:rPr>
        <w:t xml:space="preserve"> </w:t>
      </w:r>
    </w:p>
    <w:p w14:paraId="7EB11900">
      <w:pPr>
        <w:pStyle w:val="35"/>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 xml:space="preserve">采购需求：  </w:t>
      </w:r>
    </w:p>
    <w:p w14:paraId="6E9F59CB">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宋体" w:hAnsi="宋体" w:eastAsia="宋体" w:cs="宋体"/>
          <w:color w:val="auto"/>
          <w:spacing w:val="0"/>
          <w:position w:val="0"/>
          <w:highlight w:val="none"/>
        </w:rPr>
      </w:pPr>
    </w:p>
    <w:p w14:paraId="3BFE5575">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highlight w:val="none"/>
        </w:rPr>
        <w:t>标项</w:t>
      </w:r>
      <w:r>
        <w:rPr>
          <w:rFonts w:hint="eastAsia" w:ascii="宋体" w:hAnsi="宋体" w:eastAsia="宋体" w:cs="宋体"/>
          <w:color w:val="auto"/>
          <w:spacing w:val="0"/>
          <w:position w:val="0"/>
          <w:highlight w:val="none"/>
          <w:lang w:val="en-US" w:eastAsia="zh-CN"/>
        </w:rPr>
        <w:t>一</w:t>
      </w:r>
    </w:p>
    <w:p w14:paraId="1850E0D3">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pacing w:val="0"/>
          <w:position w:val="0"/>
          <w:highlight w:val="none"/>
          <w:lang w:eastAsia="zh-CN"/>
        </w:rPr>
      </w:pPr>
      <w:r>
        <w:rPr>
          <w:rFonts w:hint="eastAsia" w:ascii="宋体" w:hAnsi="宋体" w:eastAsia="宋体" w:cs="宋体"/>
          <w:color w:val="auto"/>
          <w:spacing w:val="0"/>
          <w:position w:val="0"/>
          <w:highlight w:val="none"/>
        </w:rPr>
        <w:t>标项名称</w:t>
      </w:r>
      <w:r>
        <w:rPr>
          <w:rFonts w:hint="eastAsia" w:ascii="宋体" w:hAnsi="宋体" w:eastAsia="宋体" w:cs="宋体"/>
          <w:color w:val="auto"/>
          <w:spacing w:val="0"/>
          <w:position w:val="0"/>
          <w:highlight w:val="none"/>
          <w:lang w:eastAsia="zh-CN"/>
        </w:rPr>
        <w:t>：</w:t>
      </w:r>
      <w:r>
        <w:rPr>
          <w:rFonts w:hint="eastAsia" w:ascii="宋体" w:hAnsi="宋体" w:cs="宋体"/>
          <w:color w:val="auto"/>
          <w:spacing w:val="0"/>
          <w:position w:val="0"/>
          <w:highlight w:val="none"/>
          <w:lang w:eastAsia="zh-CN"/>
        </w:rPr>
        <w:t>新疆维吾尔自治区总工会协同办公平台采购项目</w:t>
      </w:r>
    </w:p>
    <w:p w14:paraId="71EA1F08">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highlight w:val="none"/>
        </w:rPr>
        <w:t>数量</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lang w:val="en-US" w:eastAsia="zh-CN"/>
        </w:rPr>
        <w:t>1项</w:t>
      </w:r>
    </w:p>
    <w:p w14:paraId="62B953A2">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pacing w:val="0"/>
          <w:position w:val="0"/>
          <w:highlight w:val="none"/>
          <w:lang w:eastAsia="zh-CN"/>
        </w:rPr>
      </w:pPr>
      <w:r>
        <w:rPr>
          <w:rFonts w:hint="eastAsia" w:ascii="宋体" w:hAnsi="宋体" w:eastAsia="宋体" w:cs="宋体"/>
          <w:color w:val="auto"/>
          <w:spacing w:val="0"/>
          <w:position w:val="0"/>
          <w:highlight w:val="none"/>
        </w:rPr>
        <w:t>预算金额（元）</w:t>
      </w:r>
      <w:r>
        <w:rPr>
          <w:rFonts w:hint="eastAsia" w:ascii="宋体" w:hAnsi="宋体" w:eastAsia="宋体" w:cs="宋体"/>
          <w:color w:val="auto"/>
          <w:spacing w:val="0"/>
          <w:position w:val="0"/>
          <w:highlight w:val="none"/>
          <w:lang w:eastAsia="zh-CN"/>
        </w:rPr>
        <w:t>：</w:t>
      </w:r>
      <w:r>
        <w:rPr>
          <w:rFonts w:hint="eastAsia" w:ascii="宋体" w:hAnsi="宋体" w:cs="宋体"/>
          <w:color w:val="auto"/>
          <w:spacing w:val="0"/>
          <w:position w:val="0"/>
          <w:highlight w:val="none"/>
          <w:lang w:eastAsia="zh-CN"/>
        </w:rPr>
        <w:t>1355000.00元</w:t>
      </w:r>
    </w:p>
    <w:p w14:paraId="0B3809C7">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pacing w:val="0"/>
          <w:position w:val="0"/>
          <w:highlight w:val="none"/>
          <w:lang w:eastAsia="zh-CN"/>
        </w:rPr>
      </w:pPr>
      <w:r>
        <w:rPr>
          <w:rFonts w:hint="eastAsia" w:ascii="宋体" w:hAnsi="宋体" w:eastAsia="宋体" w:cs="宋体"/>
          <w:color w:val="auto"/>
          <w:spacing w:val="0"/>
          <w:position w:val="0"/>
          <w:highlight w:val="none"/>
        </w:rPr>
        <w:t>简要规格描述或项目基本概况介绍、用途：具体参数要求详见招标文件</w:t>
      </w:r>
      <w:r>
        <w:rPr>
          <w:rFonts w:hint="eastAsia" w:ascii="宋体" w:hAnsi="宋体" w:eastAsia="宋体" w:cs="宋体"/>
          <w:color w:val="auto"/>
          <w:spacing w:val="0"/>
          <w:position w:val="0"/>
          <w:highlight w:val="none"/>
          <w:lang w:eastAsia="zh-CN"/>
        </w:rPr>
        <w:t>。</w:t>
      </w:r>
    </w:p>
    <w:p w14:paraId="5F88F060">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备注：</w:t>
      </w:r>
    </w:p>
    <w:p w14:paraId="2544D699">
      <w:pPr>
        <w:pStyle w:val="103"/>
        <w:ind w:left="0" w:leftChars="0" w:firstLine="0" w:firstLineChars="0"/>
        <w:rPr>
          <w:rFonts w:hint="eastAsia" w:ascii="宋体" w:hAnsi="宋体" w:eastAsia="宋体" w:cs="宋体"/>
          <w:color w:val="auto"/>
          <w:highlight w:val="none"/>
        </w:rPr>
      </w:pPr>
    </w:p>
    <w:p w14:paraId="6C83F6D0">
      <w:pPr>
        <w:pStyle w:val="35"/>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default"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highlight w:val="none"/>
        </w:rPr>
        <w:t>合同履行期限：</w:t>
      </w:r>
      <w:r>
        <w:rPr>
          <w:rFonts w:hint="eastAsia" w:ascii="宋体" w:hAnsi="宋体" w:cs="宋体"/>
          <w:color w:val="auto"/>
          <w:sz w:val="24"/>
          <w:szCs w:val="24"/>
          <w:highlight w:val="none"/>
          <w:lang w:val="en-US" w:eastAsia="zh-CN"/>
        </w:rPr>
        <w:t>按合同约定执行</w:t>
      </w:r>
    </w:p>
    <w:p w14:paraId="627BA3A7">
      <w:pPr>
        <w:pStyle w:val="35"/>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本项目（否）接受联合体投标。</w:t>
      </w:r>
    </w:p>
    <w:p w14:paraId="463119A8">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bCs/>
          <w:i w:val="0"/>
          <w:caps w:val="0"/>
          <w:color w:val="auto"/>
          <w:spacing w:val="0"/>
          <w:w w:val="100"/>
          <w:kern w:val="2"/>
          <w:position w:val="0"/>
          <w:sz w:val="24"/>
          <w:szCs w:val="24"/>
          <w:highlight w:val="none"/>
          <w:lang w:val="en-US" w:eastAsia="zh-CN" w:bidi="ar-SA"/>
        </w:rPr>
        <w:t>二、申请人的资格要求：</w:t>
      </w:r>
    </w:p>
    <w:p w14:paraId="7BD2D75B">
      <w:pPr>
        <w:pStyle w:val="3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1.满足《中华人民共和国政府采购法》第二十二条规定；</w:t>
      </w:r>
    </w:p>
    <w:p w14:paraId="696BFB2C">
      <w:pPr>
        <w:pStyle w:val="3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2.落实政府采购政策需满足的资格要求：</w:t>
      </w:r>
      <w:r>
        <w:rPr>
          <w:rFonts w:hint="eastAsia" w:ascii="宋体" w:hAnsi="宋体" w:eastAsia="宋体" w:cs="宋体"/>
          <w:color w:val="auto"/>
          <w:spacing w:val="0"/>
          <w:position w:val="0"/>
          <w:sz w:val="24"/>
          <w:szCs w:val="24"/>
          <w:highlight w:val="none"/>
          <w:lang w:eastAsia="zh-CN"/>
        </w:rPr>
        <w:t>本项目专门面向中小企业</w:t>
      </w:r>
      <w:r>
        <w:rPr>
          <w:rFonts w:hint="eastAsia" w:ascii="宋体" w:hAnsi="宋体" w:eastAsia="宋体" w:cs="宋体"/>
          <w:color w:val="auto"/>
          <w:spacing w:val="0"/>
          <w:position w:val="0"/>
          <w:sz w:val="24"/>
          <w:szCs w:val="24"/>
          <w:highlight w:val="none"/>
        </w:rPr>
        <w:t xml:space="preserve"> </w:t>
      </w:r>
    </w:p>
    <w:p w14:paraId="18884A96">
      <w:pPr>
        <w:pStyle w:val="3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kern w:val="0"/>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rPr>
        <w:t>3.本项目的特定资格要求：</w:t>
      </w:r>
      <w:r>
        <w:rPr>
          <w:rFonts w:hint="eastAsia" w:ascii="宋体" w:hAnsi="宋体" w:eastAsia="宋体" w:cs="宋体"/>
          <w:color w:val="auto"/>
          <w:spacing w:val="0"/>
          <w:position w:val="0"/>
          <w:sz w:val="24"/>
          <w:szCs w:val="24"/>
          <w:highlight w:val="none"/>
          <w:lang w:val="en-US" w:eastAsia="zh-CN"/>
        </w:rPr>
        <w:t>无</w:t>
      </w:r>
    </w:p>
    <w:p w14:paraId="6756399D">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41"/>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bCs/>
          <w:i w:val="0"/>
          <w:caps w:val="0"/>
          <w:color w:val="auto"/>
          <w:spacing w:val="0"/>
          <w:w w:val="100"/>
          <w:kern w:val="2"/>
          <w:position w:val="0"/>
          <w:sz w:val="24"/>
          <w:szCs w:val="24"/>
          <w:highlight w:val="none"/>
          <w:lang w:val="en-US" w:eastAsia="zh-CN" w:bidi="ar-SA"/>
        </w:rPr>
        <w:t>三、获取采购文件</w:t>
      </w:r>
    </w:p>
    <w:p w14:paraId="5C62C80A">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right="0" w:firstLine="480" w:firstLineChars="200"/>
        <w:jc w:val="both"/>
        <w:textAlignment w:val="baseline"/>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t>时间：</w:t>
      </w:r>
      <w:r>
        <w:rPr>
          <w:rStyle w:val="41"/>
          <w:rFonts w:hint="eastAsia" w:ascii="宋体" w:hAnsi="宋体" w:cs="宋体"/>
          <w:b w:val="0"/>
          <w:bCs w:val="0"/>
          <w:i w:val="0"/>
          <w:caps w:val="0"/>
          <w:color w:val="auto"/>
          <w:spacing w:val="0"/>
          <w:w w:val="100"/>
          <w:kern w:val="2"/>
          <w:position w:val="0"/>
          <w:sz w:val="24"/>
          <w:szCs w:val="24"/>
          <w:highlight w:val="none"/>
          <w:lang w:val="en-US" w:eastAsia="zh-CN" w:bidi="ar-SA"/>
        </w:rPr>
        <w:t>2025年06</w:t>
      </w:r>
      <w:r>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t>月</w:t>
      </w:r>
      <w:r>
        <w:rPr>
          <w:rStyle w:val="41"/>
          <w:rFonts w:hint="eastAsia" w:ascii="宋体" w:hAnsi="宋体" w:cs="宋体"/>
          <w:b w:val="0"/>
          <w:bCs w:val="0"/>
          <w:i w:val="0"/>
          <w:caps w:val="0"/>
          <w:color w:val="auto"/>
          <w:spacing w:val="0"/>
          <w:w w:val="100"/>
          <w:kern w:val="2"/>
          <w:position w:val="0"/>
          <w:sz w:val="24"/>
          <w:szCs w:val="24"/>
          <w:highlight w:val="none"/>
          <w:lang w:val="en-US" w:eastAsia="zh-CN" w:bidi="ar-SA"/>
        </w:rPr>
        <w:t>27</w:t>
      </w:r>
      <w:r>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t>日至</w:t>
      </w:r>
      <w:r>
        <w:rPr>
          <w:rStyle w:val="41"/>
          <w:rFonts w:hint="eastAsia" w:ascii="宋体" w:hAnsi="宋体" w:cs="宋体"/>
          <w:b w:val="0"/>
          <w:bCs w:val="0"/>
          <w:i w:val="0"/>
          <w:caps w:val="0"/>
          <w:color w:val="auto"/>
          <w:spacing w:val="0"/>
          <w:w w:val="100"/>
          <w:kern w:val="2"/>
          <w:position w:val="0"/>
          <w:sz w:val="24"/>
          <w:szCs w:val="24"/>
          <w:highlight w:val="none"/>
          <w:lang w:val="en-US" w:eastAsia="zh-CN" w:bidi="ar-SA"/>
        </w:rPr>
        <w:t>2025年07</w:t>
      </w:r>
      <w:r>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t>月</w:t>
      </w:r>
      <w:r>
        <w:rPr>
          <w:rStyle w:val="41"/>
          <w:rFonts w:hint="eastAsia" w:ascii="宋体" w:hAnsi="宋体" w:cs="宋体"/>
          <w:b w:val="0"/>
          <w:bCs w:val="0"/>
          <w:i w:val="0"/>
          <w:caps w:val="0"/>
          <w:color w:val="auto"/>
          <w:spacing w:val="0"/>
          <w:w w:val="100"/>
          <w:kern w:val="2"/>
          <w:position w:val="0"/>
          <w:sz w:val="24"/>
          <w:szCs w:val="24"/>
          <w:highlight w:val="none"/>
          <w:lang w:val="en-US" w:eastAsia="zh-CN" w:bidi="ar-SA"/>
        </w:rPr>
        <w:t>04</w:t>
      </w:r>
      <w:r>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t>日，每天上午00:00至12:00，下午12:00至23:59（北京时间，法定节假日除外）</w:t>
      </w:r>
    </w:p>
    <w:p w14:paraId="3231915C">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t>地点：政采云线上平台</w:t>
      </w:r>
    </w:p>
    <w:p w14:paraId="315CC798">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t>方式：供应商登录政采云平台https://www.zcygov.cn/在线申请获取采购文件（进入“项目采购”应用，在获取采购文件菜单中选择项目，申请获取采购文件） </w:t>
      </w:r>
    </w:p>
    <w:p w14:paraId="7E663204">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41"/>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bCs/>
          <w:i w:val="0"/>
          <w:caps w:val="0"/>
          <w:color w:val="auto"/>
          <w:spacing w:val="0"/>
          <w:w w:val="100"/>
          <w:kern w:val="2"/>
          <w:position w:val="0"/>
          <w:sz w:val="24"/>
          <w:szCs w:val="24"/>
          <w:highlight w:val="none"/>
          <w:lang w:val="en-US" w:eastAsia="zh-CN" w:bidi="ar-SA"/>
        </w:rPr>
        <w:t>四、提交投标文件截止时间、开标时间和地点</w:t>
      </w:r>
    </w:p>
    <w:p w14:paraId="68BD4D14">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53"/>
          <w:rFonts w:hint="eastAsia" w:ascii="宋体" w:hAnsi="宋体" w:eastAsia="宋体" w:cs="宋体"/>
          <w:b w:val="0"/>
          <w:i w:val="0"/>
          <w:iCs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i w:val="0"/>
          <w:iCs w:val="0"/>
          <w:caps w:val="0"/>
          <w:color w:val="auto"/>
          <w:spacing w:val="0"/>
          <w:w w:val="100"/>
          <w:kern w:val="2"/>
          <w:position w:val="0"/>
          <w:sz w:val="24"/>
          <w:szCs w:val="24"/>
          <w:highlight w:val="none"/>
          <w:lang w:val="en-US" w:eastAsia="zh-CN" w:bidi="ar-SA"/>
        </w:rPr>
        <w:t>提交投标文件截止时间：</w:t>
      </w:r>
      <w:r>
        <w:rPr>
          <w:rStyle w:val="53"/>
          <w:rFonts w:hint="eastAsia" w:ascii="宋体" w:hAnsi="宋体" w:cs="宋体"/>
          <w:b w:val="0"/>
          <w:i w:val="0"/>
          <w:iCs w:val="0"/>
          <w:caps w:val="0"/>
          <w:color w:val="auto"/>
          <w:spacing w:val="0"/>
          <w:w w:val="100"/>
          <w:kern w:val="2"/>
          <w:position w:val="0"/>
          <w:sz w:val="24"/>
          <w:szCs w:val="24"/>
          <w:highlight w:val="none"/>
          <w:lang w:val="en-US" w:eastAsia="zh-CN" w:bidi="ar-SA"/>
        </w:rPr>
        <w:t>2025年07月17日11：00（北京时间）</w:t>
      </w:r>
    </w:p>
    <w:p w14:paraId="354E6B1E">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53"/>
          <w:rFonts w:hint="eastAsia" w:ascii="宋体" w:hAnsi="宋体" w:eastAsia="宋体" w:cs="宋体"/>
          <w:b w:val="0"/>
          <w:i w:val="0"/>
          <w:iCs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i w:val="0"/>
          <w:iCs w:val="0"/>
          <w:caps w:val="0"/>
          <w:color w:val="auto"/>
          <w:spacing w:val="0"/>
          <w:w w:val="100"/>
          <w:kern w:val="2"/>
          <w:position w:val="0"/>
          <w:sz w:val="24"/>
          <w:szCs w:val="24"/>
          <w:highlight w:val="none"/>
          <w:lang w:val="en-US" w:eastAsia="zh-CN" w:bidi="ar-SA"/>
        </w:rPr>
        <w:t>投标地点：请登录政采云投标客户端投标 </w:t>
      </w:r>
    </w:p>
    <w:p w14:paraId="4E8AACBA">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53"/>
          <w:rFonts w:hint="eastAsia" w:ascii="宋体" w:hAnsi="宋体" w:eastAsia="宋体" w:cs="宋体"/>
          <w:b w:val="0"/>
          <w:i w:val="0"/>
          <w:iCs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i w:val="0"/>
          <w:iCs w:val="0"/>
          <w:caps w:val="0"/>
          <w:color w:val="auto"/>
          <w:spacing w:val="0"/>
          <w:w w:val="100"/>
          <w:kern w:val="2"/>
          <w:position w:val="0"/>
          <w:sz w:val="24"/>
          <w:szCs w:val="24"/>
          <w:highlight w:val="none"/>
          <w:lang w:val="en-US" w:eastAsia="zh-CN" w:bidi="ar-SA"/>
        </w:rPr>
        <w:t>开标时间：</w:t>
      </w:r>
      <w:r>
        <w:rPr>
          <w:rStyle w:val="53"/>
          <w:rFonts w:hint="eastAsia" w:ascii="宋体" w:hAnsi="宋体" w:cs="宋体"/>
          <w:b w:val="0"/>
          <w:i w:val="0"/>
          <w:iCs w:val="0"/>
          <w:caps w:val="0"/>
          <w:color w:val="auto"/>
          <w:spacing w:val="0"/>
          <w:w w:val="100"/>
          <w:kern w:val="2"/>
          <w:position w:val="0"/>
          <w:sz w:val="24"/>
          <w:szCs w:val="24"/>
          <w:highlight w:val="none"/>
          <w:lang w:val="en-US" w:eastAsia="zh-CN" w:bidi="ar-SA"/>
        </w:rPr>
        <w:t>2025年07月17日11：00（北京时间）</w:t>
      </w:r>
    </w:p>
    <w:p w14:paraId="3CF626EE">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i w:val="0"/>
          <w:iCs w:val="0"/>
          <w:caps w:val="0"/>
          <w:color w:val="auto"/>
          <w:spacing w:val="0"/>
          <w:w w:val="100"/>
          <w:kern w:val="2"/>
          <w:position w:val="0"/>
          <w:sz w:val="24"/>
          <w:szCs w:val="24"/>
          <w:highlight w:val="none"/>
          <w:lang w:val="en-US" w:eastAsia="zh-CN" w:bidi="ar-SA"/>
        </w:rPr>
        <w:t>开标地点：新疆政府采购网（http://www.ccgp-xinjiang.gov.cn）政采云线上平台 </w:t>
      </w:r>
    </w:p>
    <w:p w14:paraId="6763278E">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41"/>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bCs/>
          <w:i w:val="0"/>
          <w:caps w:val="0"/>
          <w:color w:val="auto"/>
          <w:spacing w:val="0"/>
          <w:w w:val="100"/>
          <w:kern w:val="2"/>
          <w:position w:val="0"/>
          <w:sz w:val="24"/>
          <w:szCs w:val="24"/>
          <w:highlight w:val="none"/>
          <w:lang w:val="en-US" w:eastAsia="zh-CN" w:bidi="ar-SA"/>
        </w:rPr>
        <w:t>五、公告期限</w:t>
      </w:r>
    </w:p>
    <w:p w14:paraId="6D88F463">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53"/>
          <w:rFonts w:hint="eastAsia" w:ascii="宋体" w:hAnsi="宋体" w:eastAsia="宋体" w:cs="宋体"/>
          <w:b w:val="0"/>
          <w:i w:val="0"/>
          <w:iCs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i w:val="0"/>
          <w:iCs w:val="0"/>
          <w:caps w:val="0"/>
          <w:color w:val="auto"/>
          <w:spacing w:val="0"/>
          <w:w w:val="100"/>
          <w:kern w:val="2"/>
          <w:position w:val="0"/>
          <w:sz w:val="24"/>
          <w:szCs w:val="24"/>
          <w:highlight w:val="none"/>
          <w:lang w:val="en-US" w:eastAsia="zh-CN" w:bidi="ar-SA"/>
        </w:rPr>
        <w:t>   自本公告发布之日起5个工作日。</w:t>
      </w:r>
    </w:p>
    <w:p w14:paraId="3E7B43E5">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41"/>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bCs/>
          <w:i w:val="0"/>
          <w:caps w:val="0"/>
          <w:color w:val="auto"/>
          <w:spacing w:val="0"/>
          <w:w w:val="100"/>
          <w:kern w:val="2"/>
          <w:position w:val="0"/>
          <w:sz w:val="24"/>
          <w:szCs w:val="24"/>
          <w:highlight w:val="none"/>
          <w:lang w:val="en-US" w:eastAsia="zh-CN" w:bidi="ar-SA"/>
        </w:rPr>
        <w:t>六、其他补充事宜 </w:t>
      </w:r>
    </w:p>
    <w:p w14:paraId="3B03C3E4">
      <w:pPr>
        <w:pStyle w:val="10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both"/>
        <w:textAlignment w:val="baseline"/>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t>1、本公告在新疆政府采购网发布。</w:t>
      </w:r>
    </w:p>
    <w:p w14:paraId="7463EF64">
      <w:pPr>
        <w:pStyle w:val="10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both"/>
        <w:textAlignment w:val="baseline"/>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t>2、请投标单位随时关注本项目的澄清、答疑、变更事项。</w:t>
      </w:r>
    </w:p>
    <w:p w14:paraId="25B00DC3">
      <w:pPr>
        <w:pStyle w:val="10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both"/>
        <w:textAlignment w:val="baseline"/>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t>3、本项目实行电子招投标，供应商须登录政采云平台申请获取招标文件，并通过政采云电子投标客户端制作响应文件，同时自行承担与投标有关的一切费用。</w:t>
      </w:r>
    </w:p>
    <w:p w14:paraId="1CE8749F">
      <w:pPr>
        <w:pStyle w:val="10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both"/>
        <w:textAlignment w:val="baseline"/>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11817A91">
      <w:pPr>
        <w:pStyle w:val="10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both"/>
        <w:textAlignment w:val="baseline"/>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t>5、有意向参与新疆区域电子开评标的供应商，可访问新疆数字证书认证中心官方网站（https://www.xjca.com.cn/）或下载“新疆政务通”APP自行进行申领。如需咨询，请联系新疆CA服务热线0991-2819290。</w:t>
      </w:r>
    </w:p>
    <w:p w14:paraId="51F8AD45">
      <w:pPr>
        <w:pStyle w:val="10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both"/>
        <w:textAlignment w:val="baseline"/>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t>6、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14:paraId="4A143650">
      <w:pPr>
        <w:pStyle w:val="10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both"/>
        <w:textAlignment w:val="baseline"/>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t>7、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18415433">
      <w:pPr>
        <w:pStyle w:val="10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80" w:firstLineChars="200"/>
        <w:jc w:val="both"/>
        <w:textAlignment w:val="baseline"/>
        <w:rPr>
          <w:rStyle w:val="41"/>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val="0"/>
          <w:bCs w:val="0"/>
          <w:i w:val="0"/>
          <w:caps w:val="0"/>
          <w:color w:val="auto"/>
          <w:spacing w:val="0"/>
          <w:w w:val="100"/>
          <w:kern w:val="2"/>
          <w:position w:val="0"/>
          <w:sz w:val="24"/>
          <w:szCs w:val="24"/>
          <w:highlight w:val="none"/>
          <w:lang w:val="en-US" w:eastAsia="zh-CN" w:bidi="ar-SA"/>
        </w:rPr>
        <w:t>8、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 </w:t>
      </w:r>
      <w:r>
        <w:rPr>
          <w:rStyle w:val="41"/>
          <w:rFonts w:hint="eastAsia" w:ascii="宋体" w:hAnsi="宋体" w:eastAsia="宋体" w:cs="宋体"/>
          <w:b/>
          <w:bCs/>
          <w:i w:val="0"/>
          <w:caps w:val="0"/>
          <w:color w:val="auto"/>
          <w:spacing w:val="0"/>
          <w:w w:val="100"/>
          <w:kern w:val="2"/>
          <w:position w:val="0"/>
          <w:sz w:val="24"/>
          <w:szCs w:val="24"/>
          <w:highlight w:val="none"/>
          <w:lang w:val="en-US" w:eastAsia="zh-CN" w:bidi="ar-SA"/>
        </w:rPr>
        <w:t> </w:t>
      </w:r>
    </w:p>
    <w:p w14:paraId="3E5E82D1">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41"/>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41"/>
          <w:rFonts w:hint="eastAsia" w:ascii="宋体" w:hAnsi="宋体" w:eastAsia="宋体" w:cs="宋体"/>
          <w:b/>
          <w:bCs/>
          <w:i w:val="0"/>
          <w:caps w:val="0"/>
          <w:color w:val="auto"/>
          <w:spacing w:val="0"/>
          <w:w w:val="100"/>
          <w:kern w:val="2"/>
          <w:position w:val="0"/>
          <w:sz w:val="24"/>
          <w:szCs w:val="24"/>
          <w:highlight w:val="none"/>
          <w:lang w:val="en-US" w:eastAsia="zh-CN" w:bidi="ar-SA"/>
        </w:rPr>
        <w:t>七、凡对本次招标提出询问，请按以下方式联系</w:t>
      </w:r>
    </w:p>
    <w:p w14:paraId="0AB0FC72">
      <w:pPr>
        <w:pStyle w:val="3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1.采购人信息</w:t>
      </w:r>
    </w:p>
    <w:p w14:paraId="4EF204CB">
      <w:pPr>
        <w:pStyle w:val="3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名称：新疆维吾尔自治区总工会</w:t>
      </w:r>
    </w:p>
    <w:p w14:paraId="414180EA">
      <w:pPr>
        <w:pStyle w:val="3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rPr>
        <w:t>地址：乌鲁木齐市民主路326号</w:t>
      </w:r>
    </w:p>
    <w:p w14:paraId="64521698">
      <w:pPr>
        <w:pStyle w:val="3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rPr>
        <w:t>联系方式：13319801055</w:t>
      </w:r>
    </w:p>
    <w:p w14:paraId="3576935A">
      <w:pPr>
        <w:pStyle w:val="3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2.采购代理机构信息</w:t>
      </w:r>
    </w:p>
    <w:p w14:paraId="5BB6B0FE">
      <w:pPr>
        <w:pStyle w:val="3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rPr>
        <w:t>名称：</w:t>
      </w:r>
      <w:r>
        <w:rPr>
          <w:rFonts w:hint="eastAsia" w:ascii="宋体" w:hAnsi="宋体" w:eastAsia="宋体" w:cs="宋体"/>
          <w:color w:val="auto"/>
          <w:spacing w:val="0"/>
          <w:position w:val="0"/>
          <w:sz w:val="24"/>
          <w:szCs w:val="24"/>
          <w:highlight w:val="none"/>
          <w:u w:val="none"/>
          <w:lang w:eastAsia="zh-CN"/>
        </w:rPr>
        <w:t>新疆诚成工程项目管理有限公司</w:t>
      </w:r>
    </w:p>
    <w:p w14:paraId="788A2D7B">
      <w:pPr>
        <w:pStyle w:val="3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rPr>
        <w:t>地址：</w:t>
      </w:r>
      <w:r>
        <w:rPr>
          <w:rFonts w:hint="eastAsia" w:ascii="宋体" w:hAnsi="宋体" w:eastAsia="宋体" w:cs="宋体"/>
          <w:color w:val="auto"/>
          <w:spacing w:val="0"/>
          <w:position w:val="0"/>
          <w:sz w:val="24"/>
          <w:szCs w:val="24"/>
          <w:highlight w:val="none"/>
          <w:u w:val="none"/>
          <w:lang w:eastAsia="zh-CN"/>
        </w:rPr>
        <w:t>乌鲁木齐市水磨沟区红光山路2588号绿地中心101栋1806室</w:t>
      </w:r>
    </w:p>
    <w:p w14:paraId="17048D4E">
      <w:pPr>
        <w:pStyle w:val="3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rPr>
        <w:t>联系方式：13199858738、18690136275</w:t>
      </w:r>
    </w:p>
    <w:p w14:paraId="7614393C">
      <w:pPr>
        <w:pStyle w:val="3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3.项目联系方式</w:t>
      </w:r>
    </w:p>
    <w:p w14:paraId="2DD02AC1">
      <w:pPr>
        <w:pStyle w:val="3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lang w:eastAsia="zh-CN"/>
        </w:rPr>
        <w:t>项目联系人：</w:t>
      </w:r>
      <w:r>
        <w:rPr>
          <w:rFonts w:hint="eastAsia" w:ascii="宋体" w:hAnsi="宋体" w:cs="宋体"/>
          <w:color w:val="auto"/>
          <w:spacing w:val="0"/>
          <w:position w:val="0"/>
          <w:sz w:val="24"/>
          <w:szCs w:val="24"/>
          <w:highlight w:val="none"/>
          <w:u w:val="none"/>
          <w:lang w:eastAsia="zh-CN"/>
        </w:rPr>
        <w:t>马琴、马洁</w:t>
      </w:r>
      <w:r>
        <w:rPr>
          <w:rFonts w:hint="eastAsia" w:ascii="宋体" w:hAnsi="宋体" w:eastAsia="宋体" w:cs="宋体"/>
          <w:color w:val="auto"/>
          <w:spacing w:val="0"/>
          <w:position w:val="0"/>
          <w:sz w:val="24"/>
          <w:szCs w:val="24"/>
          <w:highlight w:val="none"/>
          <w:u w:val="none"/>
          <w:lang w:eastAsia="zh-CN"/>
        </w:rPr>
        <w:t> </w:t>
      </w:r>
    </w:p>
    <w:p w14:paraId="10D9F88D">
      <w:pPr>
        <w:pStyle w:val="3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lang w:eastAsia="zh-CN"/>
        </w:rPr>
        <w:t>联系电话：13199858738、17767622798</w:t>
      </w:r>
    </w:p>
    <w:p w14:paraId="0F4BA7CE">
      <w:pPr>
        <w:ind w:firstLine="1320" w:firstLineChars="550"/>
        <w:rPr>
          <w:rFonts w:hint="eastAsia" w:ascii="宋体" w:hAnsi="宋体" w:eastAsia="宋体" w:cs="宋体"/>
          <w:color w:val="auto"/>
          <w:kern w:val="0"/>
          <w:sz w:val="24"/>
          <w:highlight w:val="none"/>
          <w:u w:val="single"/>
        </w:rPr>
      </w:pPr>
    </w:p>
    <w:p w14:paraId="01AD3D69">
      <w:pPr>
        <w:spacing w:line="500" w:lineRule="exact"/>
        <w:ind w:left="420"/>
        <w:jc w:val="right"/>
        <w:rPr>
          <w:rFonts w:hint="eastAsia" w:ascii="宋体" w:hAnsi="宋体" w:eastAsia="宋体" w:cs="宋体"/>
          <w:color w:val="auto"/>
          <w:sz w:val="24"/>
          <w:highlight w:val="none"/>
        </w:rPr>
      </w:pPr>
    </w:p>
    <w:p w14:paraId="366BFA7F">
      <w:pPr>
        <w:spacing w:line="500" w:lineRule="exact"/>
        <w:ind w:left="420"/>
        <w:jc w:val="right"/>
        <w:rPr>
          <w:rFonts w:hint="eastAsia" w:ascii="宋体" w:hAnsi="宋体" w:eastAsia="宋体" w:cs="宋体"/>
          <w:color w:val="auto"/>
          <w:sz w:val="24"/>
          <w:highlight w:val="none"/>
        </w:rPr>
      </w:pPr>
    </w:p>
    <w:p w14:paraId="2BE0FE34">
      <w:pPr>
        <w:spacing w:line="500" w:lineRule="exact"/>
        <w:ind w:left="420"/>
        <w:jc w:val="right"/>
        <w:rPr>
          <w:rFonts w:hint="eastAsia" w:ascii="宋体" w:hAnsi="宋体" w:eastAsia="宋体" w:cs="宋体"/>
          <w:color w:val="auto"/>
          <w:sz w:val="24"/>
          <w:highlight w:val="none"/>
        </w:rPr>
      </w:pPr>
    </w:p>
    <w:p w14:paraId="72EA09F9">
      <w:pPr>
        <w:spacing w:line="500" w:lineRule="exact"/>
        <w:ind w:left="420"/>
        <w:jc w:val="right"/>
        <w:rPr>
          <w:rFonts w:hint="eastAsia" w:ascii="宋体" w:hAnsi="宋体" w:eastAsia="宋体" w:cs="宋体"/>
          <w:color w:val="auto"/>
          <w:sz w:val="24"/>
          <w:highlight w:val="none"/>
        </w:rPr>
      </w:pPr>
    </w:p>
    <w:p w14:paraId="0D3B828F">
      <w:pPr>
        <w:spacing w:line="500" w:lineRule="exact"/>
        <w:ind w:left="420"/>
        <w:jc w:val="right"/>
        <w:rPr>
          <w:rFonts w:hint="eastAsia" w:ascii="宋体" w:hAnsi="宋体" w:eastAsia="宋体" w:cs="宋体"/>
          <w:color w:val="auto"/>
          <w:sz w:val="24"/>
          <w:highlight w:val="none"/>
        </w:rPr>
      </w:pPr>
    </w:p>
    <w:p w14:paraId="74747ADE">
      <w:pPr>
        <w:spacing w:line="500" w:lineRule="exact"/>
        <w:ind w:left="420"/>
        <w:jc w:val="right"/>
        <w:rPr>
          <w:rFonts w:hint="eastAsia" w:ascii="宋体" w:hAnsi="宋体" w:eastAsia="宋体" w:cs="宋体"/>
          <w:color w:val="auto"/>
          <w:sz w:val="24"/>
          <w:highlight w:val="none"/>
        </w:rPr>
      </w:pPr>
    </w:p>
    <w:p w14:paraId="08AA6B75">
      <w:pPr>
        <w:spacing w:line="500" w:lineRule="exact"/>
        <w:ind w:left="420"/>
        <w:jc w:val="right"/>
        <w:rPr>
          <w:rFonts w:hint="eastAsia" w:ascii="宋体" w:hAnsi="宋体" w:eastAsia="宋体" w:cs="宋体"/>
          <w:color w:val="auto"/>
          <w:sz w:val="24"/>
          <w:highlight w:val="none"/>
        </w:rPr>
      </w:pPr>
    </w:p>
    <w:p w14:paraId="299B2767">
      <w:pPr>
        <w:spacing w:line="500" w:lineRule="exact"/>
        <w:ind w:left="420"/>
        <w:jc w:val="right"/>
        <w:rPr>
          <w:rFonts w:hint="eastAsia" w:ascii="宋体" w:hAnsi="宋体" w:eastAsia="宋体" w:cs="宋体"/>
          <w:color w:val="auto"/>
          <w:szCs w:val="21"/>
          <w:highlight w:val="none"/>
        </w:rPr>
      </w:pPr>
    </w:p>
    <w:p w14:paraId="32678273">
      <w:pPr>
        <w:spacing w:line="500" w:lineRule="exact"/>
        <w:ind w:left="420"/>
        <w:jc w:val="right"/>
        <w:rPr>
          <w:rFonts w:hint="eastAsia" w:ascii="宋体" w:hAnsi="宋体" w:eastAsia="宋体" w:cs="宋体"/>
          <w:color w:val="auto"/>
          <w:szCs w:val="21"/>
          <w:highlight w:val="none"/>
        </w:rPr>
      </w:pPr>
    </w:p>
    <w:p w14:paraId="69E2FF20">
      <w:pPr>
        <w:spacing w:line="500" w:lineRule="exact"/>
        <w:ind w:left="420"/>
        <w:jc w:val="right"/>
        <w:rPr>
          <w:rFonts w:hint="eastAsia" w:ascii="宋体" w:hAnsi="宋体" w:eastAsia="宋体" w:cs="宋体"/>
          <w:color w:val="auto"/>
          <w:szCs w:val="21"/>
          <w:highlight w:val="none"/>
        </w:rPr>
      </w:pPr>
    </w:p>
    <w:p w14:paraId="0FE87144">
      <w:pPr>
        <w:spacing w:line="500" w:lineRule="exact"/>
        <w:ind w:left="420"/>
        <w:jc w:val="right"/>
        <w:rPr>
          <w:rFonts w:hint="eastAsia" w:ascii="宋体" w:hAnsi="宋体" w:eastAsia="宋体" w:cs="宋体"/>
          <w:color w:val="auto"/>
          <w:szCs w:val="21"/>
          <w:highlight w:val="none"/>
        </w:rPr>
      </w:pPr>
    </w:p>
    <w:p w14:paraId="38E079B4">
      <w:pPr>
        <w:spacing w:line="500" w:lineRule="exact"/>
        <w:ind w:right="420"/>
        <w:rPr>
          <w:rFonts w:hint="eastAsia" w:ascii="宋体" w:hAnsi="宋体" w:eastAsia="宋体" w:cs="宋体"/>
          <w:color w:val="auto"/>
          <w:szCs w:val="21"/>
          <w:highlight w:val="none"/>
        </w:rPr>
      </w:pPr>
    </w:p>
    <w:p w14:paraId="2E2750C4">
      <w:pPr>
        <w:spacing w:line="500" w:lineRule="exact"/>
        <w:ind w:right="420"/>
        <w:rPr>
          <w:rFonts w:hint="eastAsia" w:ascii="宋体" w:hAnsi="宋体" w:eastAsia="宋体" w:cs="宋体"/>
          <w:color w:val="auto"/>
          <w:szCs w:val="21"/>
          <w:highlight w:val="none"/>
        </w:rPr>
      </w:pPr>
    </w:p>
    <w:p w14:paraId="255BA349">
      <w:pPr>
        <w:spacing w:line="500" w:lineRule="exact"/>
        <w:jc w:val="center"/>
        <w:outlineLvl w:val="0"/>
        <w:rPr>
          <w:rFonts w:hint="eastAsia" w:ascii="宋体" w:hAnsi="宋体" w:eastAsia="宋体" w:cs="宋体"/>
          <w:b/>
          <w:color w:val="auto"/>
          <w:sz w:val="32"/>
          <w:szCs w:val="32"/>
          <w:highlight w:val="none"/>
        </w:rPr>
      </w:pPr>
      <w:bookmarkStart w:id="3" w:name="_Toc467246830"/>
      <w:bookmarkStart w:id="4" w:name="_Toc6755"/>
      <w:bookmarkStart w:id="5" w:name="_Toc467246734"/>
      <w:bookmarkStart w:id="6" w:name="_Toc467248735"/>
      <w:bookmarkStart w:id="7" w:name="_Toc480368398"/>
      <w:r>
        <w:rPr>
          <w:rFonts w:hint="eastAsia" w:ascii="宋体" w:hAnsi="宋体" w:eastAsia="宋体" w:cs="宋体"/>
          <w:b/>
          <w:color w:val="auto"/>
          <w:sz w:val="32"/>
          <w:szCs w:val="32"/>
          <w:highlight w:val="none"/>
        </w:rPr>
        <w:t xml:space="preserve">第二部分  </w:t>
      </w:r>
      <w:r>
        <w:rPr>
          <w:rFonts w:hint="eastAsia" w:ascii="宋体" w:hAnsi="宋体" w:cs="宋体"/>
          <w:b/>
          <w:color w:val="auto"/>
          <w:sz w:val="32"/>
          <w:szCs w:val="32"/>
          <w:highlight w:val="none"/>
          <w:lang w:eastAsia="zh-CN"/>
        </w:rPr>
        <w:t>供应商</w:t>
      </w:r>
      <w:r>
        <w:rPr>
          <w:rFonts w:hint="eastAsia" w:ascii="宋体" w:hAnsi="宋体" w:eastAsia="宋体" w:cs="宋体"/>
          <w:b/>
          <w:color w:val="auto"/>
          <w:sz w:val="32"/>
          <w:szCs w:val="32"/>
          <w:highlight w:val="none"/>
        </w:rPr>
        <w:t>须知</w:t>
      </w:r>
      <w:bookmarkEnd w:id="3"/>
      <w:bookmarkEnd w:id="4"/>
      <w:bookmarkEnd w:id="5"/>
      <w:bookmarkEnd w:id="6"/>
      <w:bookmarkEnd w:id="7"/>
    </w:p>
    <w:p w14:paraId="3D03A44A">
      <w:pPr>
        <w:spacing w:line="500" w:lineRule="exact"/>
        <w:jc w:val="center"/>
        <w:outlineLvl w:val="1"/>
        <w:rPr>
          <w:rFonts w:hint="eastAsia" w:ascii="宋体" w:hAnsi="宋体" w:eastAsia="宋体" w:cs="宋体"/>
          <w:b/>
          <w:color w:val="auto"/>
          <w:sz w:val="28"/>
          <w:szCs w:val="28"/>
          <w:highlight w:val="none"/>
        </w:rPr>
      </w:pPr>
      <w:bookmarkStart w:id="8" w:name="_Toc467246735"/>
      <w:bookmarkStart w:id="9" w:name="_Toc467246831"/>
      <w:bookmarkStart w:id="10" w:name="_Toc2718"/>
      <w:bookmarkStart w:id="11" w:name="_Toc480368399"/>
      <w:bookmarkStart w:id="12" w:name="_Toc467248736"/>
      <w:r>
        <w:rPr>
          <w:rFonts w:hint="eastAsia" w:ascii="宋体" w:hAnsi="宋体" w:cs="宋体"/>
          <w:b/>
          <w:color w:val="auto"/>
          <w:sz w:val="28"/>
          <w:szCs w:val="28"/>
          <w:highlight w:val="none"/>
          <w:lang w:eastAsia="zh-CN"/>
        </w:rPr>
        <w:t>供应商</w:t>
      </w:r>
      <w:r>
        <w:rPr>
          <w:rFonts w:hint="eastAsia" w:ascii="宋体" w:hAnsi="宋体" w:eastAsia="宋体" w:cs="宋体"/>
          <w:b/>
          <w:color w:val="auto"/>
          <w:sz w:val="28"/>
          <w:szCs w:val="28"/>
          <w:highlight w:val="none"/>
        </w:rPr>
        <w:t>须知前附表</w:t>
      </w:r>
      <w:bookmarkEnd w:id="8"/>
      <w:bookmarkEnd w:id="9"/>
      <w:bookmarkEnd w:id="10"/>
      <w:bookmarkEnd w:id="11"/>
      <w:bookmarkEnd w:id="12"/>
    </w:p>
    <w:tbl>
      <w:tblPr>
        <w:tblStyle w:val="38"/>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2431"/>
        <w:gridCol w:w="6318"/>
      </w:tblGrid>
      <w:tr w14:paraId="4F35A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center"/>
          </w:tcPr>
          <w:p w14:paraId="3AF07FC6">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2431" w:type="dxa"/>
            <w:noWrap w:val="0"/>
            <w:vAlign w:val="center"/>
          </w:tcPr>
          <w:p w14:paraId="6738B713">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内容</w:t>
            </w:r>
          </w:p>
        </w:tc>
        <w:tc>
          <w:tcPr>
            <w:tcW w:w="6318" w:type="dxa"/>
            <w:noWrap w:val="0"/>
            <w:vAlign w:val="center"/>
          </w:tcPr>
          <w:p w14:paraId="6316DE41">
            <w:pPr>
              <w:pStyle w:val="72"/>
              <w:keepNext w:val="0"/>
              <w:keepLines w:val="0"/>
              <w:pageBreakBefore w:val="0"/>
              <w:numPr>
                <w:ilvl w:val="0"/>
                <w:numId w:val="0"/>
              </w:numPr>
              <w:kinsoku/>
              <w:wordWrap/>
              <w:overflowPunct/>
              <w:topLinePunct w:val="0"/>
              <w:bidi w:val="0"/>
              <w:adjustRightInd w:val="0"/>
              <w:snapToGrid w:val="0"/>
              <w:spacing w:before="0" w:after="0" w:line="440" w:lineRule="exact"/>
              <w:ind w:left="0" w:firstLine="0"/>
              <w:jc w:val="center"/>
              <w:outlineLvl w:val="9"/>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说明与要求</w:t>
            </w:r>
          </w:p>
        </w:tc>
      </w:tr>
      <w:tr w14:paraId="098ED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center"/>
          </w:tcPr>
          <w:p w14:paraId="547AC810">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w:t>
            </w:r>
          </w:p>
        </w:tc>
        <w:tc>
          <w:tcPr>
            <w:tcW w:w="2431" w:type="dxa"/>
            <w:noWrap w:val="0"/>
            <w:vAlign w:val="center"/>
          </w:tcPr>
          <w:p w14:paraId="6960D4ED">
            <w:pPr>
              <w:pStyle w:val="72"/>
              <w:keepNext w:val="0"/>
              <w:keepLines w:val="0"/>
              <w:pageBreakBefore w:val="0"/>
              <w:numPr>
                <w:ilvl w:val="0"/>
                <w:numId w:val="0"/>
              </w:numPr>
              <w:kinsoku/>
              <w:wordWrap/>
              <w:overflowPunct/>
              <w:topLinePunct w:val="0"/>
              <w:bidi w:val="0"/>
              <w:adjustRightInd w:val="0"/>
              <w:snapToGrid w:val="0"/>
              <w:spacing w:before="0" w:after="0" w:line="440" w:lineRule="exact"/>
              <w:ind w:left="0" w:firstLine="0"/>
              <w:jc w:val="center"/>
              <w:outlineLvl w:val="9"/>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项目名称</w:t>
            </w:r>
          </w:p>
        </w:tc>
        <w:tc>
          <w:tcPr>
            <w:tcW w:w="6318" w:type="dxa"/>
            <w:noWrap w:val="0"/>
            <w:vAlign w:val="center"/>
          </w:tcPr>
          <w:p w14:paraId="242BA4E9">
            <w:pPr>
              <w:keepNext w:val="0"/>
              <w:keepLines w:val="0"/>
              <w:pageBreakBefore w:val="0"/>
              <w:kinsoku/>
              <w:wordWrap/>
              <w:overflowPunct/>
              <w:topLinePunct w:val="0"/>
              <w:bidi w:val="0"/>
              <w:adjustRightInd w:val="0"/>
              <w:snapToGrid w:val="0"/>
              <w:spacing w:line="440" w:lineRule="exact"/>
              <w:ind w:left="0" w:firstLine="0"/>
              <w:rPr>
                <w:rFonts w:hint="eastAsia" w:ascii="宋体" w:hAnsi="宋体" w:eastAsia="宋体" w:cs="宋体"/>
                <w:color w:val="auto"/>
                <w:sz w:val="24"/>
                <w:szCs w:val="24"/>
                <w:highlight w:val="none"/>
              </w:rPr>
            </w:pPr>
            <w:r>
              <w:rPr>
                <w:rFonts w:hint="eastAsia" w:ascii="宋体" w:hAnsi="宋体" w:cs="宋体"/>
                <w:b w:val="0"/>
                <w:bCs w:val="0"/>
                <w:color w:val="auto"/>
                <w:kern w:val="0"/>
                <w:sz w:val="24"/>
                <w:szCs w:val="24"/>
                <w:highlight w:val="none"/>
                <w:lang w:val="en-US" w:eastAsia="zh-CN" w:bidi="ar-SA"/>
              </w:rPr>
              <w:t>新疆维吾尔自治区总工会协同办公平台采购项目</w:t>
            </w:r>
          </w:p>
        </w:tc>
      </w:tr>
      <w:tr w14:paraId="55B75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center"/>
          </w:tcPr>
          <w:p w14:paraId="3F05E16D">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w:t>
            </w:r>
          </w:p>
        </w:tc>
        <w:tc>
          <w:tcPr>
            <w:tcW w:w="2431" w:type="dxa"/>
            <w:noWrap w:val="0"/>
            <w:vAlign w:val="center"/>
          </w:tcPr>
          <w:p w14:paraId="51BC1473">
            <w:pPr>
              <w:pStyle w:val="72"/>
              <w:keepNext w:val="0"/>
              <w:keepLines w:val="0"/>
              <w:pageBreakBefore w:val="0"/>
              <w:numPr>
                <w:ilvl w:val="0"/>
                <w:numId w:val="0"/>
              </w:numPr>
              <w:kinsoku/>
              <w:wordWrap/>
              <w:overflowPunct/>
              <w:topLinePunct w:val="0"/>
              <w:bidi w:val="0"/>
              <w:adjustRightInd w:val="0"/>
              <w:snapToGrid w:val="0"/>
              <w:spacing w:before="0" w:after="0" w:line="440" w:lineRule="exact"/>
              <w:ind w:left="0" w:firstLine="0"/>
              <w:jc w:val="center"/>
              <w:outlineLvl w:val="9"/>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采购人</w:t>
            </w:r>
          </w:p>
        </w:tc>
        <w:tc>
          <w:tcPr>
            <w:tcW w:w="6318" w:type="dxa"/>
            <w:noWrap w:val="0"/>
            <w:vAlign w:val="center"/>
          </w:tcPr>
          <w:p w14:paraId="02E840E5">
            <w:pPr>
              <w:keepNext w:val="0"/>
              <w:keepLines w:val="0"/>
              <w:pageBreakBefore w:val="0"/>
              <w:kinsoku/>
              <w:wordWrap/>
              <w:overflowPunct/>
              <w:topLinePunct w:val="0"/>
              <w:bidi w:val="0"/>
              <w:adjustRightInd w:val="0"/>
              <w:snapToGrid w:val="0"/>
              <w:spacing w:line="440" w:lineRule="exact"/>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名称：新疆维吾尔自治区总工会 </w:t>
            </w:r>
          </w:p>
          <w:p w14:paraId="0F07690A">
            <w:pPr>
              <w:keepNext w:val="0"/>
              <w:keepLines w:val="0"/>
              <w:pageBreakBefore w:val="0"/>
              <w:kinsoku/>
              <w:wordWrap/>
              <w:overflowPunct/>
              <w:topLinePunct w:val="0"/>
              <w:bidi w:val="0"/>
              <w:adjustRightInd w:val="0"/>
              <w:snapToGrid w:val="0"/>
              <w:spacing w:line="440" w:lineRule="exact"/>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地址：乌鲁木齐市民主路326号</w:t>
            </w:r>
          </w:p>
          <w:p w14:paraId="57199825">
            <w:pPr>
              <w:keepNext w:val="0"/>
              <w:keepLines w:val="0"/>
              <w:pageBreakBefore w:val="0"/>
              <w:kinsoku/>
              <w:wordWrap/>
              <w:overflowPunct/>
              <w:topLinePunct w:val="0"/>
              <w:bidi w:val="0"/>
              <w:adjustRightInd w:val="0"/>
              <w:snapToGrid w:val="0"/>
              <w:spacing w:line="440" w:lineRule="exact"/>
              <w:ind w:left="0" w:firstLine="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联系人：裴宝全</w:t>
            </w:r>
          </w:p>
          <w:p w14:paraId="048F3DDD">
            <w:pPr>
              <w:keepNext w:val="0"/>
              <w:keepLines w:val="0"/>
              <w:pageBreakBefore w:val="0"/>
              <w:kinsoku/>
              <w:wordWrap/>
              <w:overflowPunct/>
              <w:topLinePunct w:val="0"/>
              <w:bidi w:val="0"/>
              <w:adjustRightInd w:val="0"/>
              <w:snapToGrid w:val="0"/>
              <w:spacing w:line="440" w:lineRule="exact"/>
              <w:ind w:left="0" w:firstLine="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pacing w:val="0"/>
                <w:position w:val="0"/>
                <w:sz w:val="24"/>
                <w:szCs w:val="24"/>
                <w:highlight w:val="none"/>
                <w:u w:val="none"/>
              </w:rPr>
              <w:t>13319801055</w:t>
            </w:r>
            <w:r>
              <w:rPr>
                <w:rFonts w:hint="eastAsia" w:ascii="宋体" w:hAnsi="宋体" w:eastAsia="宋体" w:cs="宋体"/>
                <w:color w:val="auto"/>
                <w:sz w:val="24"/>
                <w:szCs w:val="24"/>
                <w:highlight w:val="none"/>
              </w:rPr>
              <w:t>　</w:t>
            </w:r>
          </w:p>
        </w:tc>
      </w:tr>
      <w:tr w14:paraId="0BCBD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center"/>
          </w:tcPr>
          <w:p w14:paraId="37C8ECE8">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w:t>
            </w:r>
          </w:p>
        </w:tc>
        <w:tc>
          <w:tcPr>
            <w:tcW w:w="2431" w:type="dxa"/>
            <w:noWrap w:val="0"/>
            <w:vAlign w:val="center"/>
          </w:tcPr>
          <w:p w14:paraId="337DDA3B">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采购代理机构</w:t>
            </w:r>
          </w:p>
        </w:tc>
        <w:tc>
          <w:tcPr>
            <w:tcW w:w="6318" w:type="dxa"/>
            <w:noWrap w:val="0"/>
            <w:vAlign w:val="center"/>
          </w:tcPr>
          <w:p w14:paraId="6A9C139C">
            <w:pPr>
              <w:keepNext w:val="0"/>
              <w:keepLines w:val="0"/>
              <w:pageBreakBefore w:val="0"/>
              <w:widowControl/>
              <w:kinsoku/>
              <w:wordWrap/>
              <w:overflowPunct/>
              <w:topLinePunct w:val="0"/>
              <w:bidi w:val="0"/>
              <w:adjustRightInd w:val="0"/>
              <w:snapToGrid w:val="0"/>
              <w:spacing w:line="440" w:lineRule="exact"/>
              <w:ind w:lef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采购代理机构名称：新疆诚成工程项目管理有限公司</w:t>
            </w:r>
          </w:p>
          <w:p w14:paraId="235D3404">
            <w:pPr>
              <w:keepNext w:val="0"/>
              <w:keepLines w:val="0"/>
              <w:pageBreakBefore w:val="0"/>
              <w:widowControl/>
              <w:kinsoku/>
              <w:wordWrap/>
              <w:overflowPunct/>
              <w:topLinePunct w:val="0"/>
              <w:bidi w:val="0"/>
              <w:adjustRightInd w:val="0"/>
              <w:snapToGrid w:val="0"/>
              <w:spacing w:line="440" w:lineRule="exact"/>
              <w:ind w:lef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eastAsia="zh-CN"/>
              </w:rPr>
              <w:t>马琴、马洁</w:t>
            </w:r>
            <w:r>
              <w:rPr>
                <w:rFonts w:hint="eastAsia" w:ascii="宋体" w:hAnsi="宋体" w:eastAsia="宋体" w:cs="宋体"/>
                <w:color w:val="auto"/>
                <w:sz w:val="24"/>
                <w:szCs w:val="24"/>
                <w:highlight w:val="none"/>
              </w:rPr>
              <w:t> </w:t>
            </w:r>
          </w:p>
          <w:p w14:paraId="4A268B8B">
            <w:pPr>
              <w:keepNext w:val="0"/>
              <w:keepLines w:val="0"/>
              <w:pageBreakBefore w:val="0"/>
              <w:widowControl/>
              <w:kinsoku/>
              <w:wordWrap/>
              <w:overflowPunct/>
              <w:topLinePunct w:val="0"/>
              <w:bidi w:val="0"/>
              <w:adjustRightInd w:val="0"/>
              <w:snapToGrid w:val="0"/>
              <w:spacing w:line="440" w:lineRule="exact"/>
              <w:ind w:lef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联系电话：13199858738、17767622798</w:t>
            </w:r>
          </w:p>
          <w:p w14:paraId="6FF2C9DD">
            <w:pPr>
              <w:keepNext w:val="0"/>
              <w:keepLines w:val="0"/>
              <w:pageBreakBefore w:val="0"/>
              <w:widowControl/>
              <w:kinsoku/>
              <w:wordWrap/>
              <w:overflowPunct/>
              <w:topLinePunct w:val="0"/>
              <w:bidi w:val="0"/>
              <w:adjustRightInd w:val="0"/>
              <w:snapToGrid w:val="0"/>
              <w:spacing w:line="440" w:lineRule="exact"/>
              <w:ind w:lef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地址：乌鲁木齐市水磨沟区红光山路2588号绿地中心领海大厦1806       </w:t>
            </w:r>
          </w:p>
        </w:tc>
      </w:tr>
      <w:tr w14:paraId="097BB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center"/>
          </w:tcPr>
          <w:p w14:paraId="53B415B2">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4</w:t>
            </w:r>
          </w:p>
        </w:tc>
        <w:tc>
          <w:tcPr>
            <w:tcW w:w="2431" w:type="dxa"/>
            <w:noWrap w:val="0"/>
            <w:vAlign w:val="center"/>
          </w:tcPr>
          <w:p w14:paraId="55CD37E3">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采购内容</w:t>
            </w:r>
          </w:p>
        </w:tc>
        <w:tc>
          <w:tcPr>
            <w:tcW w:w="6318" w:type="dxa"/>
            <w:noWrap w:val="0"/>
            <w:vAlign w:val="center"/>
          </w:tcPr>
          <w:p w14:paraId="5BE4A01C">
            <w:pPr>
              <w:keepNext w:val="0"/>
              <w:keepLines w:val="0"/>
              <w:pageBreakBefore w:val="0"/>
              <w:widowControl/>
              <w:kinsoku/>
              <w:wordWrap/>
              <w:overflowPunct/>
              <w:topLinePunct w:val="0"/>
              <w:bidi w:val="0"/>
              <w:adjustRightInd w:val="0"/>
              <w:snapToGrid w:val="0"/>
              <w:spacing w:line="440" w:lineRule="exact"/>
              <w:ind w:lef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详见招标文件第三部分</w:t>
            </w:r>
            <w:r>
              <w:rPr>
                <w:rFonts w:hint="eastAsia" w:ascii="宋体" w:hAnsi="宋体" w:eastAsia="宋体" w:cs="宋体"/>
                <w:color w:val="auto"/>
                <w:sz w:val="24"/>
                <w:szCs w:val="24"/>
                <w:highlight w:val="none"/>
                <w:lang w:eastAsia="zh-CN"/>
              </w:rPr>
              <w:t>采购需求</w:t>
            </w:r>
            <w:r>
              <w:rPr>
                <w:rFonts w:hint="eastAsia" w:ascii="宋体" w:hAnsi="宋体" w:eastAsia="宋体" w:cs="宋体"/>
                <w:color w:val="auto"/>
                <w:sz w:val="24"/>
                <w:szCs w:val="24"/>
                <w:highlight w:val="none"/>
              </w:rPr>
              <w:t>；</w:t>
            </w:r>
          </w:p>
        </w:tc>
      </w:tr>
      <w:tr w14:paraId="5EDBE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center"/>
          </w:tcPr>
          <w:p w14:paraId="0C5B7007">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5</w:t>
            </w:r>
          </w:p>
        </w:tc>
        <w:tc>
          <w:tcPr>
            <w:tcW w:w="2431" w:type="dxa"/>
            <w:noWrap w:val="0"/>
            <w:vAlign w:val="center"/>
          </w:tcPr>
          <w:p w14:paraId="6EDC276E">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rPr>
            </w:pPr>
            <w:r>
              <w:rPr>
                <w:rFonts w:hint="eastAsia" w:ascii="宋体" w:hAnsi="宋体" w:cs="宋体"/>
                <w:b/>
                <w:color w:val="auto"/>
                <w:kern w:val="0"/>
                <w:sz w:val="24"/>
                <w:szCs w:val="24"/>
                <w:highlight w:val="none"/>
                <w:lang w:eastAsia="zh-CN"/>
              </w:rPr>
              <w:t>供应商</w:t>
            </w:r>
            <w:r>
              <w:rPr>
                <w:rFonts w:hint="eastAsia" w:ascii="宋体" w:hAnsi="宋体" w:eastAsia="宋体" w:cs="宋体"/>
                <w:b/>
                <w:color w:val="auto"/>
                <w:kern w:val="0"/>
                <w:sz w:val="24"/>
                <w:szCs w:val="24"/>
                <w:highlight w:val="none"/>
              </w:rPr>
              <w:t>资格要求</w:t>
            </w:r>
          </w:p>
        </w:tc>
        <w:tc>
          <w:tcPr>
            <w:tcW w:w="6318" w:type="dxa"/>
            <w:noWrap w:val="0"/>
            <w:vAlign w:val="center"/>
          </w:tcPr>
          <w:p w14:paraId="57116630">
            <w:pPr>
              <w:keepNext w:val="0"/>
              <w:keepLines w:val="0"/>
              <w:pageBreakBefore w:val="0"/>
              <w:widowControl/>
              <w:kinsoku/>
              <w:wordWrap/>
              <w:overflowPunct/>
              <w:topLinePunct w:val="0"/>
              <w:bidi w:val="0"/>
              <w:adjustRightInd w:val="0"/>
              <w:snapToGrid w:val="0"/>
              <w:spacing w:line="440" w:lineRule="exact"/>
              <w:ind w:left="0" w:firstLine="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1.满足《中华人民共和国政府采购法》第二十二条规定；</w:t>
            </w:r>
          </w:p>
          <w:p w14:paraId="611B5A2F">
            <w:pPr>
              <w:keepNext w:val="0"/>
              <w:keepLines w:val="0"/>
              <w:pageBreakBefore w:val="0"/>
              <w:widowControl/>
              <w:kinsoku/>
              <w:wordWrap/>
              <w:overflowPunct/>
              <w:topLinePunct w:val="0"/>
              <w:bidi w:val="0"/>
              <w:adjustRightInd w:val="0"/>
              <w:snapToGrid w:val="0"/>
              <w:spacing w:line="440" w:lineRule="exact"/>
              <w:ind w:left="0" w:firstLine="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2.落实政府采购政策需满足的资格要求：本项目专门面向中小企业 </w:t>
            </w:r>
          </w:p>
          <w:p w14:paraId="06458E8B">
            <w:pPr>
              <w:keepNext w:val="0"/>
              <w:keepLines w:val="0"/>
              <w:pageBreakBefore w:val="0"/>
              <w:widowControl/>
              <w:kinsoku/>
              <w:wordWrap/>
              <w:overflowPunct/>
              <w:topLinePunct w:val="0"/>
              <w:bidi w:val="0"/>
              <w:adjustRightInd w:val="0"/>
              <w:snapToGrid w:val="0"/>
              <w:spacing w:line="440" w:lineRule="exact"/>
              <w:ind w:left="0" w:firstLine="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3.本项目的特定资格要求：无</w:t>
            </w:r>
          </w:p>
        </w:tc>
      </w:tr>
      <w:tr w14:paraId="451AD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center"/>
          </w:tcPr>
          <w:p w14:paraId="7662BB54">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lang w:val="en-US" w:eastAsia="zh-CN"/>
              </w:rPr>
              <w:t>6</w:t>
            </w:r>
          </w:p>
        </w:tc>
        <w:tc>
          <w:tcPr>
            <w:tcW w:w="2431" w:type="dxa"/>
            <w:noWrap w:val="0"/>
            <w:vAlign w:val="center"/>
          </w:tcPr>
          <w:p w14:paraId="1C222C5E">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是否允许联合体投标</w:t>
            </w:r>
          </w:p>
        </w:tc>
        <w:tc>
          <w:tcPr>
            <w:tcW w:w="6318" w:type="dxa"/>
            <w:noWrap w:val="0"/>
            <w:vAlign w:val="center"/>
          </w:tcPr>
          <w:p w14:paraId="273F5B70">
            <w:pPr>
              <w:keepNext w:val="0"/>
              <w:keepLines w:val="0"/>
              <w:pageBreakBefore w:val="0"/>
              <w:kinsoku/>
              <w:wordWrap/>
              <w:overflowPunct/>
              <w:topLinePunct w:val="0"/>
              <w:autoSpaceDE w:val="0"/>
              <w:autoSpaceDN w:val="0"/>
              <w:bidi w:val="0"/>
              <w:adjustRightInd w:val="0"/>
              <w:snapToGrid w:val="0"/>
              <w:spacing w:line="440" w:lineRule="exact"/>
              <w:ind w:left="0" w:firstLine="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否</w:t>
            </w:r>
          </w:p>
        </w:tc>
      </w:tr>
      <w:tr w14:paraId="4542C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center"/>
          </w:tcPr>
          <w:p w14:paraId="7D49125E">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lang w:val="en-US" w:eastAsia="zh-CN"/>
              </w:rPr>
              <w:t>7</w:t>
            </w:r>
          </w:p>
        </w:tc>
        <w:tc>
          <w:tcPr>
            <w:tcW w:w="2431" w:type="dxa"/>
            <w:noWrap w:val="0"/>
            <w:vAlign w:val="center"/>
          </w:tcPr>
          <w:p w14:paraId="2C7E9C65">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是否允许</w:t>
            </w:r>
            <w:r>
              <w:rPr>
                <w:rFonts w:hint="eastAsia" w:ascii="宋体" w:hAnsi="宋体" w:cs="宋体"/>
                <w:b/>
                <w:color w:val="auto"/>
                <w:sz w:val="24"/>
                <w:szCs w:val="24"/>
                <w:highlight w:val="none"/>
                <w:lang w:eastAsia="zh-CN"/>
              </w:rPr>
              <w:t>供应商</w:t>
            </w:r>
            <w:r>
              <w:rPr>
                <w:rFonts w:hint="eastAsia" w:ascii="宋体" w:hAnsi="宋体" w:eastAsia="宋体" w:cs="宋体"/>
                <w:b/>
                <w:color w:val="auto"/>
                <w:sz w:val="24"/>
                <w:szCs w:val="24"/>
                <w:highlight w:val="none"/>
              </w:rPr>
              <w:t>将项目非主体、非关键性工作交由他人完成</w:t>
            </w:r>
          </w:p>
        </w:tc>
        <w:tc>
          <w:tcPr>
            <w:tcW w:w="6318" w:type="dxa"/>
            <w:noWrap w:val="0"/>
            <w:vAlign w:val="center"/>
          </w:tcPr>
          <w:p w14:paraId="01720D3C">
            <w:pPr>
              <w:keepNext w:val="0"/>
              <w:keepLines w:val="0"/>
              <w:pageBreakBefore w:val="0"/>
              <w:kinsoku/>
              <w:wordWrap/>
              <w:overflowPunct/>
              <w:topLinePunct w:val="0"/>
              <w:bidi w:val="0"/>
              <w:adjustRightInd w:val="0"/>
              <w:snapToGrid w:val="0"/>
              <w:spacing w:line="440" w:lineRule="exact"/>
              <w:ind w:left="0" w:firstLine="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否</w:t>
            </w:r>
          </w:p>
        </w:tc>
      </w:tr>
      <w:tr w14:paraId="31DED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center"/>
          </w:tcPr>
          <w:p w14:paraId="4A5F4BEA">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lang w:val="en-US" w:eastAsia="zh-CN"/>
              </w:rPr>
              <w:t>8</w:t>
            </w:r>
          </w:p>
        </w:tc>
        <w:tc>
          <w:tcPr>
            <w:tcW w:w="2431" w:type="dxa"/>
            <w:noWrap w:val="0"/>
            <w:vAlign w:val="center"/>
          </w:tcPr>
          <w:p w14:paraId="69D8FB44">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踏勘现场</w:t>
            </w:r>
          </w:p>
        </w:tc>
        <w:tc>
          <w:tcPr>
            <w:tcW w:w="6318" w:type="dxa"/>
            <w:noWrap w:val="0"/>
            <w:vAlign w:val="center"/>
          </w:tcPr>
          <w:p w14:paraId="751E231B">
            <w:pPr>
              <w:keepNext w:val="0"/>
              <w:keepLines w:val="0"/>
              <w:pageBreakBefore w:val="0"/>
              <w:kinsoku/>
              <w:wordWrap/>
              <w:overflowPunct/>
              <w:topLinePunct w:val="0"/>
              <w:autoSpaceDE w:val="0"/>
              <w:autoSpaceDN w:val="0"/>
              <w:bidi w:val="0"/>
              <w:adjustRightInd w:val="0"/>
              <w:snapToGrid w:val="0"/>
              <w:spacing w:line="440" w:lineRule="exact"/>
              <w:ind w:left="0" w:firstLine="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不组织</w:t>
            </w:r>
          </w:p>
        </w:tc>
      </w:tr>
      <w:tr w14:paraId="2137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center"/>
          </w:tcPr>
          <w:p w14:paraId="0F37AF9B">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lang w:val="en-US" w:eastAsia="zh-CN"/>
              </w:rPr>
              <w:t>9</w:t>
            </w:r>
          </w:p>
        </w:tc>
        <w:tc>
          <w:tcPr>
            <w:tcW w:w="2431" w:type="dxa"/>
            <w:noWrap w:val="0"/>
            <w:vAlign w:val="center"/>
          </w:tcPr>
          <w:p w14:paraId="2AAFC999">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答疑接受时间</w:t>
            </w:r>
          </w:p>
        </w:tc>
        <w:tc>
          <w:tcPr>
            <w:tcW w:w="6318" w:type="dxa"/>
            <w:noWrap w:val="0"/>
            <w:vAlign w:val="center"/>
          </w:tcPr>
          <w:p w14:paraId="7994086F">
            <w:pPr>
              <w:keepNext w:val="0"/>
              <w:keepLines w:val="0"/>
              <w:pageBreakBefore w:val="0"/>
              <w:kinsoku/>
              <w:wordWrap/>
              <w:overflowPunct/>
              <w:topLinePunct w:val="0"/>
              <w:autoSpaceDE/>
              <w:autoSpaceDN/>
              <w:bidi w:val="0"/>
              <w:adjustRightInd w:val="0"/>
              <w:spacing w:line="440" w:lineRule="exact"/>
              <w:ind w:left="0" w:firstLine="0"/>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联系人：</w:t>
            </w:r>
            <w:r>
              <w:rPr>
                <w:rFonts w:hint="eastAsia" w:ascii="宋体" w:hAnsi="宋体" w:cs="宋体"/>
                <w:color w:val="auto"/>
                <w:spacing w:val="0"/>
                <w:kern w:val="0"/>
                <w:position w:val="0"/>
                <w:sz w:val="24"/>
                <w:szCs w:val="24"/>
                <w:highlight w:val="none"/>
                <w:lang w:eastAsia="zh-CN"/>
              </w:rPr>
              <w:t>马琴、马洁</w:t>
            </w:r>
            <w:r>
              <w:rPr>
                <w:rFonts w:hint="eastAsia" w:ascii="宋体" w:hAnsi="宋体" w:eastAsia="宋体" w:cs="宋体"/>
                <w:color w:val="auto"/>
                <w:spacing w:val="0"/>
                <w:kern w:val="0"/>
                <w:position w:val="0"/>
                <w:sz w:val="24"/>
                <w:szCs w:val="24"/>
                <w:highlight w:val="none"/>
              </w:rPr>
              <w:t xml:space="preserve">   </w:t>
            </w:r>
          </w:p>
          <w:p w14:paraId="6D30EFB8">
            <w:pPr>
              <w:keepNext w:val="0"/>
              <w:keepLines w:val="0"/>
              <w:pageBreakBefore w:val="0"/>
              <w:kinsoku/>
              <w:wordWrap/>
              <w:overflowPunct/>
              <w:topLinePunct w:val="0"/>
              <w:autoSpaceDE/>
              <w:autoSpaceDN/>
              <w:bidi w:val="0"/>
              <w:adjustRightInd w:val="0"/>
              <w:spacing w:line="440" w:lineRule="exact"/>
              <w:ind w:left="0" w:firstLine="0"/>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联系电话：13199858738、17767622798</w:t>
            </w:r>
          </w:p>
          <w:p w14:paraId="2A46A593">
            <w:pPr>
              <w:keepNext w:val="0"/>
              <w:keepLines w:val="0"/>
              <w:pageBreakBefore w:val="0"/>
              <w:kinsoku/>
              <w:wordWrap/>
              <w:overflowPunct/>
              <w:topLinePunct w:val="0"/>
              <w:autoSpaceDE/>
              <w:autoSpaceDN/>
              <w:bidi w:val="0"/>
              <w:spacing w:line="440" w:lineRule="exact"/>
              <w:ind w:left="0" w:firstLine="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kern w:val="0"/>
                <w:position w:val="0"/>
                <w:sz w:val="24"/>
                <w:szCs w:val="24"/>
                <w:highlight w:val="none"/>
              </w:rPr>
              <w:t>提交方式：以加盖供应商公章的书面形式（参照财政部令第94号）</w:t>
            </w:r>
          </w:p>
          <w:p w14:paraId="75BAC7B9">
            <w:pPr>
              <w:keepNext w:val="0"/>
              <w:keepLines w:val="0"/>
              <w:pageBreakBefore w:val="0"/>
              <w:kinsoku/>
              <w:wordWrap/>
              <w:overflowPunct/>
              <w:topLinePunct w:val="0"/>
              <w:autoSpaceDE w:val="0"/>
              <w:autoSpaceDN w:val="0"/>
              <w:bidi w:val="0"/>
              <w:adjustRightInd w:val="0"/>
              <w:snapToGrid w:val="0"/>
              <w:spacing w:line="440" w:lineRule="exact"/>
              <w:ind w:left="0" w:firstLine="0"/>
              <w:rPr>
                <w:rFonts w:hint="eastAsia" w:ascii="宋体" w:hAnsi="宋体" w:eastAsia="宋体" w:cs="宋体"/>
                <w:color w:val="auto"/>
                <w:kern w:val="0"/>
                <w:sz w:val="24"/>
                <w:szCs w:val="24"/>
                <w:highlight w:val="none"/>
              </w:rPr>
            </w:pPr>
            <w:r>
              <w:rPr>
                <w:rFonts w:hint="eastAsia" w:ascii="宋体" w:hAnsi="宋体" w:eastAsia="宋体" w:cs="宋体"/>
                <w:bCs/>
                <w:color w:val="auto"/>
                <w:spacing w:val="0"/>
                <w:position w:val="0"/>
                <w:sz w:val="24"/>
                <w:szCs w:val="24"/>
                <w:highlight w:val="none"/>
              </w:rPr>
              <w:t>注：澄清、修改文件发出后，</w:t>
            </w:r>
            <w:r>
              <w:rPr>
                <w:rFonts w:hint="eastAsia" w:ascii="宋体" w:hAnsi="宋体" w:cs="宋体"/>
                <w:bCs/>
                <w:color w:val="auto"/>
                <w:spacing w:val="0"/>
                <w:position w:val="0"/>
                <w:sz w:val="24"/>
                <w:szCs w:val="24"/>
                <w:highlight w:val="none"/>
                <w:lang w:eastAsia="zh-CN"/>
              </w:rPr>
              <w:t>供应商</w:t>
            </w:r>
            <w:r>
              <w:rPr>
                <w:rFonts w:hint="eastAsia" w:ascii="宋体" w:hAnsi="宋体" w:eastAsia="宋体" w:cs="宋体"/>
                <w:bCs/>
                <w:color w:val="auto"/>
                <w:spacing w:val="0"/>
                <w:position w:val="0"/>
                <w:sz w:val="24"/>
                <w:szCs w:val="24"/>
                <w:highlight w:val="none"/>
              </w:rPr>
              <w:t>必须使用最新的澄清文件制作投标文件。</w:t>
            </w:r>
          </w:p>
        </w:tc>
      </w:tr>
      <w:tr w14:paraId="1C00F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center"/>
          </w:tcPr>
          <w:p w14:paraId="61A7ACB3">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rPr>
              <w:t>1</w:t>
            </w:r>
            <w:r>
              <w:rPr>
                <w:rFonts w:hint="eastAsia" w:ascii="宋体" w:hAnsi="宋体" w:eastAsia="宋体" w:cs="宋体"/>
                <w:b/>
                <w:color w:val="auto"/>
                <w:kern w:val="0"/>
                <w:sz w:val="24"/>
                <w:szCs w:val="24"/>
                <w:highlight w:val="none"/>
                <w:lang w:val="en-US" w:eastAsia="zh-CN"/>
              </w:rPr>
              <w:t>0</w:t>
            </w:r>
          </w:p>
        </w:tc>
        <w:tc>
          <w:tcPr>
            <w:tcW w:w="2431" w:type="dxa"/>
            <w:noWrap w:val="0"/>
            <w:vAlign w:val="center"/>
          </w:tcPr>
          <w:p w14:paraId="7726DDA4">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投标有效期</w:t>
            </w:r>
          </w:p>
        </w:tc>
        <w:tc>
          <w:tcPr>
            <w:tcW w:w="6318" w:type="dxa"/>
            <w:noWrap w:val="0"/>
            <w:vAlign w:val="center"/>
          </w:tcPr>
          <w:p w14:paraId="08A428C6">
            <w:pPr>
              <w:keepNext w:val="0"/>
              <w:keepLines w:val="0"/>
              <w:pageBreakBefore w:val="0"/>
              <w:kinsoku/>
              <w:wordWrap/>
              <w:overflowPunct/>
              <w:topLinePunct w:val="0"/>
              <w:bidi w:val="0"/>
              <w:adjustRightInd w:val="0"/>
              <w:snapToGrid w:val="0"/>
              <w:spacing w:line="440" w:lineRule="exact"/>
              <w:ind w:left="0" w:firstLine="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zh-CN"/>
              </w:rPr>
              <w:t>自投标截止之日起</w:t>
            </w:r>
            <w:r>
              <w:rPr>
                <w:rFonts w:hint="eastAsia" w:ascii="宋体" w:hAnsi="宋体" w:eastAsia="宋体" w:cs="宋体"/>
                <w:color w:val="auto"/>
                <w:sz w:val="24"/>
                <w:szCs w:val="24"/>
                <w:highlight w:val="none"/>
                <w:u w:val="single"/>
                <w:lang w:val="en-US" w:eastAsia="zh-CN"/>
              </w:rPr>
              <w:t>90</w:t>
            </w:r>
            <w:r>
              <w:rPr>
                <w:rFonts w:hint="eastAsia" w:ascii="宋体" w:hAnsi="宋体" w:eastAsia="宋体" w:cs="宋体"/>
                <w:color w:val="auto"/>
                <w:sz w:val="24"/>
                <w:szCs w:val="24"/>
                <w:highlight w:val="none"/>
                <w:lang w:val="zh-CN"/>
              </w:rPr>
              <w:t>日历天。</w:t>
            </w:r>
          </w:p>
        </w:tc>
      </w:tr>
      <w:tr w14:paraId="3B53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center"/>
          </w:tcPr>
          <w:p w14:paraId="173D0B96">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11</w:t>
            </w:r>
          </w:p>
        </w:tc>
        <w:tc>
          <w:tcPr>
            <w:tcW w:w="2431" w:type="dxa"/>
            <w:noWrap w:val="0"/>
            <w:vAlign w:val="center"/>
          </w:tcPr>
          <w:p w14:paraId="1C62A15C">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投标截止时间（开标时间）</w:t>
            </w:r>
          </w:p>
        </w:tc>
        <w:tc>
          <w:tcPr>
            <w:tcW w:w="6318" w:type="dxa"/>
            <w:noWrap w:val="0"/>
            <w:vAlign w:val="center"/>
          </w:tcPr>
          <w:p w14:paraId="4D8696AC">
            <w:pPr>
              <w:keepNext w:val="0"/>
              <w:keepLines w:val="0"/>
              <w:pageBreakBefore w:val="0"/>
              <w:kinsoku/>
              <w:wordWrap/>
              <w:overflowPunct/>
              <w:topLinePunct w:val="0"/>
              <w:bidi w:val="0"/>
              <w:adjustRightInd w:val="0"/>
              <w:snapToGrid w:val="0"/>
              <w:spacing w:line="440" w:lineRule="exact"/>
              <w:ind w:left="0" w:firstLine="0"/>
              <w:rPr>
                <w:rFonts w:hint="eastAsia" w:ascii="宋体" w:hAnsi="宋体" w:eastAsia="宋体" w:cs="宋体"/>
                <w:color w:val="auto"/>
                <w:sz w:val="24"/>
                <w:szCs w:val="24"/>
                <w:highlight w:val="none"/>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截止时间：</w:t>
            </w:r>
            <w:r>
              <w:rPr>
                <w:rStyle w:val="53"/>
                <w:rFonts w:hint="eastAsia" w:ascii="宋体" w:hAnsi="宋体" w:cs="宋体"/>
                <w:b w:val="0"/>
                <w:i w:val="0"/>
                <w:iCs w:val="0"/>
                <w:caps w:val="0"/>
                <w:color w:val="auto"/>
                <w:spacing w:val="0"/>
                <w:w w:val="100"/>
                <w:kern w:val="2"/>
                <w:position w:val="0"/>
                <w:sz w:val="24"/>
                <w:szCs w:val="24"/>
                <w:highlight w:val="none"/>
                <w:lang w:val="en-US" w:eastAsia="zh-CN" w:bidi="ar-SA"/>
              </w:rPr>
              <w:t>2025年07月17日11：00（北京时间）</w:t>
            </w:r>
          </w:p>
        </w:tc>
      </w:tr>
      <w:tr w14:paraId="702AA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70" w:type="dxa"/>
            <w:noWrap w:val="0"/>
            <w:vAlign w:val="center"/>
          </w:tcPr>
          <w:p w14:paraId="21C0198E">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rPr>
              <w:t>1</w:t>
            </w:r>
            <w:r>
              <w:rPr>
                <w:rFonts w:hint="eastAsia" w:ascii="宋体" w:hAnsi="宋体" w:eastAsia="宋体" w:cs="宋体"/>
                <w:b/>
                <w:color w:val="auto"/>
                <w:kern w:val="0"/>
                <w:sz w:val="24"/>
                <w:szCs w:val="24"/>
                <w:highlight w:val="none"/>
                <w:lang w:val="en-US" w:eastAsia="zh-CN"/>
              </w:rPr>
              <w:t>2</w:t>
            </w:r>
          </w:p>
        </w:tc>
        <w:tc>
          <w:tcPr>
            <w:tcW w:w="2431" w:type="dxa"/>
            <w:noWrap w:val="0"/>
            <w:vAlign w:val="center"/>
          </w:tcPr>
          <w:p w14:paraId="7DF69AE7">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rPr>
            </w:pPr>
            <w:r>
              <w:rPr>
                <w:rFonts w:hint="eastAsia" w:ascii="宋体" w:hAnsi="宋体" w:cs="宋体"/>
                <w:b/>
                <w:color w:val="auto"/>
                <w:kern w:val="0"/>
                <w:sz w:val="24"/>
                <w:szCs w:val="24"/>
                <w:highlight w:val="none"/>
                <w:lang w:eastAsia="zh-CN"/>
              </w:rPr>
              <w:t>供应商</w:t>
            </w:r>
            <w:r>
              <w:rPr>
                <w:rFonts w:hint="eastAsia" w:ascii="宋体" w:hAnsi="宋体" w:eastAsia="宋体" w:cs="宋体"/>
                <w:b/>
                <w:color w:val="auto"/>
                <w:kern w:val="0"/>
                <w:sz w:val="24"/>
                <w:szCs w:val="24"/>
                <w:highlight w:val="none"/>
              </w:rPr>
              <w:t>在投标截止时间前提交的文件</w:t>
            </w:r>
          </w:p>
        </w:tc>
        <w:tc>
          <w:tcPr>
            <w:tcW w:w="6318" w:type="dxa"/>
            <w:noWrap w:val="0"/>
            <w:vAlign w:val="center"/>
          </w:tcPr>
          <w:p w14:paraId="44D4E805">
            <w:pPr>
              <w:keepNext w:val="0"/>
              <w:keepLines w:val="0"/>
              <w:pageBreakBefore w:val="0"/>
              <w:kinsoku/>
              <w:wordWrap/>
              <w:overflowPunct/>
              <w:topLinePunct w:val="0"/>
              <w:bidi w:val="0"/>
              <w:adjustRightInd w:val="0"/>
              <w:snapToGrid w:val="0"/>
              <w:spacing w:line="440" w:lineRule="exact"/>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投标文件（具体要求见本表第1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项）</w:t>
            </w:r>
          </w:p>
        </w:tc>
      </w:tr>
      <w:tr w14:paraId="5F213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970" w:type="dxa"/>
            <w:noWrap w:val="0"/>
            <w:vAlign w:val="center"/>
          </w:tcPr>
          <w:p w14:paraId="75FA8A2F">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rPr>
              <w:t>1</w:t>
            </w:r>
            <w:r>
              <w:rPr>
                <w:rFonts w:hint="eastAsia" w:ascii="宋体" w:hAnsi="宋体" w:eastAsia="宋体" w:cs="宋体"/>
                <w:b/>
                <w:color w:val="auto"/>
                <w:kern w:val="0"/>
                <w:sz w:val="24"/>
                <w:szCs w:val="24"/>
                <w:highlight w:val="none"/>
                <w:lang w:val="en-US" w:eastAsia="zh-CN"/>
              </w:rPr>
              <w:t>3</w:t>
            </w:r>
          </w:p>
        </w:tc>
        <w:tc>
          <w:tcPr>
            <w:tcW w:w="2431" w:type="dxa"/>
            <w:noWrap w:val="0"/>
            <w:vAlign w:val="center"/>
          </w:tcPr>
          <w:p w14:paraId="34835B51">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kern w:val="0"/>
                <w:sz w:val="24"/>
                <w:szCs w:val="24"/>
                <w:highlight w:val="none"/>
              </w:rPr>
            </w:pPr>
            <w:r>
              <w:rPr>
                <w:rStyle w:val="53"/>
                <w:rFonts w:hint="eastAsia" w:ascii="宋体" w:hAnsi="宋体" w:eastAsia="宋体" w:cs="宋体"/>
                <w:b/>
                <w:i w:val="0"/>
                <w:caps w:val="0"/>
                <w:color w:val="auto"/>
                <w:spacing w:val="0"/>
                <w:w w:val="100"/>
                <w:kern w:val="0"/>
                <w:position w:val="0"/>
                <w:sz w:val="24"/>
                <w:szCs w:val="24"/>
                <w:highlight w:val="none"/>
                <w:lang w:val="en-US" w:eastAsia="zh-CN" w:bidi="ar-SA"/>
              </w:rPr>
              <w:t>投标文件</w:t>
            </w:r>
          </w:p>
        </w:tc>
        <w:tc>
          <w:tcPr>
            <w:tcW w:w="6318" w:type="dxa"/>
            <w:noWrap w:val="0"/>
            <w:vAlign w:val="center"/>
          </w:tcPr>
          <w:p w14:paraId="5E7D6554">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both"/>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1．本项目采用不见面开标、</w:t>
            </w:r>
            <w:r>
              <w:rPr>
                <w:rStyle w:val="53"/>
                <w:rFonts w:hint="eastAsia" w:ascii="宋体" w:hAnsi="宋体" w:cs="宋体"/>
                <w:b w:val="0"/>
                <w:i w:val="0"/>
                <w:caps w:val="0"/>
                <w:color w:val="auto"/>
                <w:spacing w:val="0"/>
                <w:w w:val="100"/>
                <w:kern w:val="2"/>
                <w:position w:val="0"/>
                <w:sz w:val="24"/>
                <w:szCs w:val="24"/>
                <w:highlight w:val="none"/>
                <w:lang w:val="en-US" w:eastAsia="zh-CN" w:bidi="ar-SA"/>
              </w:rPr>
              <w:t>供应商</w:t>
            </w: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需要递交电子投标文件，加密的电子投标文件，在投标截止时间前通过新疆政府采购云平台：https://www.zcygov.cn/上传到指定位置。无需递交纸质文件。</w:t>
            </w:r>
          </w:p>
          <w:p w14:paraId="41DCF457">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both"/>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2.本项目采用远程不见面交易的模式。开标当日，</w:t>
            </w:r>
            <w:r>
              <w:rPr>
                <w:rStyle w:val="53"/>
                <w:rFonts w:hint="eastAsia" w:ascii="宋体" w:hAnsi="宋体" w:cs="宋体"/>
                <w:b w:val="0"/>
                <w:i w:val="0"/>
                <w:caps w:val="0"/>
                <w:color w:val="auto"/>
                <w:spacing w:val="0"/>
                <w:w w:val="100"/>
                <w:kern w:val="2"/>
                <w:position w:val="0"/>
                <w:sz w:val="24"/>
                <w:szCs w:val="24"/>
                <w:highlight w:val="none"/>
                <w:lang w:val="en-US" w:eastAsia="zh-CN" w:bidi="ar-SA"/>
              </w:rPr>
              <w:t>供应商</w:t>
            </w: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无需到达开标现场，仅需在任意地点通过新疆政府采购云平台不见面开标系统（登录地址详见网站操作手册）完成远程解密、提疑澄清、开标唱标、结果公布等交互环节。</w:t>
            </w:r>
            <w:r>
              <w:rPr>
                <w:rStyle w:val="53"/>
                <w:rFonts w:hint="eastAsia" w:ascii="宋体" w:hAnsi="宋体" w:cs="宋体"/>
                <w:b w:val="0"/>
                <w:i w:val="0"/>
                <w:caps w:val="0"/>
                <w:color w:val="auto"/>
                <w:spacing w:val="0"/>
                <w:w w:val="100"/>
                <w:kern w:val="2"/>
                <w:position w:val="0"/>
                <w:sz w:val="24"/>
                <w:szCs w:val="24"/>
                <w:highlight w:val="none"/>
                <w:lang w:val="en-US" w:eastAsia="zh-CN" w:bidi="ar-SA"/>
              </w:rPr>
              <w:t>供应商</w:t>
            </w: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必须使用能正确解密投标文件的“CA锁”在规定的时间内完成远程解密，因</w:t>
            </w:r>
            <w:r>
              <w:rPr>
                <w:rStyle w:val="53"/>
                <w:rFonts w:hint="eastAsia" w:ascii="宋体" w:hAnsi="宋体" w:cs="宋体"/>
                <w:b w:val="0"/>
                <w:i w:val="0"/>
                <w:caps w:val="0"/>
                <w:color w:val="auto"/>
                <w:spacing w:val="0"/>
                <w:w w:val="100"/>
                <w:kern w:val="2"/>
                <w:position w:val="0"/>
                <w:sz w:val="24"/>
                <w:szCs w:val="24"/>
                <w:highlight w:val="none"/>
                <w:lang w:val="en-US" w:eastAsia="zh-CN" w:bidi="ar-SA"/>
              </w:rPr>
              <w:t>供应商</w:t>
            </w: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原因未能解密、解密失败或解密超时，视为</w:t>
            </w:r>
            <w:r>
              <w:rPr>
                <w:rStyle w:val="53"/>
                <w:rFonts w:hint="eastAsia" w:ascii="宋体" w:hAnsi="宋体" w:cs="宋体"/>
                <w:b w:val="0"/>
                <w:i w:val="0"/>
                <w:caps w:val="0"/>
                <w:color w:val="auto"/>
                <w:spacing w:val="0"/>
                <w:w w:val="100"/>
                <w:kern w:val="2"/>
                <w:position w:val="0"/>
                <w:sz w:val="24"/>
                <w:szCs w:val="24"/>
                <w:highlight w:val="none"/>
                <w:lang w:val="en-US" w:eastAsia="zh-CN" w:bidi="ar-SA"/>
              </w:rPr>
              <w:t>供应商</w:t>
            </w: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撤销其投标文件，系统内投标文件将被退回；因采购人原因或网上招投标平台发生故障，导致无法按时完成投标文件解密或开、评标工作无法进行的，可根据实际情况相应延迟解密时间或调整开、评标时间（友情提示：若</w:t>
            </w:r>
            <w:r>
              <w:rPr>
                <w:rStyle w:val="53"/>
                <w:rFonts w:hint="eastAsia" w:ascii="宋体" w:hAnsi="宋体" w:cs="宋体"/>
                <w:b w:val="0"/>
                <w:i w:val="0"/>
                <w:caps w:val="0"/>
                <w:color w:val="auto"/>
                <w:spacing w:val="0"/>
                <w:w w:val="100"/>
                <w:kern w:val="2"/>
                <w:position w:val="0"/>
                <w:sz w:val="24"/>
                <w:szCs w:val="24"/>
                <w:highlight w:val="none"/>
                <w:lang w:val="en-US" w:eastAsia="zh-CN" w:bidi="ar-SA"/>
              </w:rPr>
              <w:t>供应商</w:t>
            </w: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已领取副锁（含多把副锁）请注意正副锁的使用差别，务必使用生成投标文件的那把锁解密）。</w:t>
            </w:r>
          </w:p>
          <w:p w14:paraId="1C9566DB">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both"/>
              <w:textAlignment w:val="baseline"/>
              <w:rPr>
                <w:rFonts w:hint="eastAsia" w:ascii="宋体" w:hAnsi="宋体" w:eastAsia="宋体" w:cs="宋体"/>
                <w:color w:val="auto"/>
                <w:kern w:val="0"/>
                <w:sz w:val="24"/>
                <w:szCs w:val="24"/>
                <w:highlight w:val="none"/>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3.远程开标前，</w:t>
            </w:r>
            <w:r>
              <w:rPr>
                <w:rStyle w:val="53"/>
                <w:rFonts w:hint="eastAsia" w:ascii="宋体" w:hAnsi="宋体" w:cs="宋体"/>
                <w:b w:val="0"/>
                <w:i w:val="0"/>
                <w:caps w:val="0"/>
                <w:color w:val="auto"/>
                <w:spacing w:val="0"/>
                <w:w w:val="100"/>
                <w:kern w:val="2"/>
                <w:position w:val="0"/>
                <w:sz w:val="24"/>
                <w:szCs w:val="24"/>
                <w:highlight w:val="none"/>
                <w:lang w:val="en-US" w:eastAsia="zh-CN" w:bidi="ar-SA"/>
              </w:rPr>
              <w:t>供应商</w:t>
            </w: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务必在新疆政府采购云平台：https://www.zcygov.cn/投标文件上传模块中使用“模拟解密”功能，验证本机远程自助解密环境。</w:t>
            </w:r>
          </w:p>
        </w:tc>
      </w:tr>
      <w:tr w14:paraId="5127A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center"/>
          </w:tcPr>
          <w:p w14:paraId="6CDE30BD">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rPr>
              <w:t>1</w:t>
            </w:r>
            <w:r>
              <w:rPr>
                <w:rFonts w:hint="eastAsia" w:ascii="宋体" w:hAnsi="宋体" w:eastAsia="宋体" w:cs="宋体"/>
                <w:b/>
                <w:color w:val="auto"/>
                <w:kern w:val="0"/>
                <w:sz w:val="24"/>
                <w:szCs w:val="24"/>
                <w:highlight w:val="none"/>
                <w:lang w:val="en-US" w:eastAsia="zh-CN"/>
              </w:rPr>
              <w:t>4</w:t>
            </w:r>
          </w:p>
        </w:tc>
        <w:tc>
          <w:tcPr>
            <w:tcW w:w="2431" w:type="dxa"/>
            <w:noWrap w:val="0"/>
            <w:vAlign w:val="center"/>
          </w:tcPr>
          <w:p w14:paraId="53FC2098">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kern w:val="0"/>
                <w:sz w:val="24"/>
                <w:szCs w:val="24"/>
                <w:highlight w:val="none"/>
              </w:rPr>
            </w:pPr>
            <w:r>
              <w:rPr>
                <w:rStyle w:val="53"/>
                <w:rFonts w:hint="eastAsia" w:ascii="宋体" w:hAnsi="宋体" w:eastAsia="宋体" w:cs="宋体"/>
                <w:b/>
                <w:i w:val="0"/>
                <w:caps w:val="0"/>
                <w:color w:val="auto"/>
                <w:spacing w:val="0"/>
                <w:w w:val="100"/>
                <w:kern w:val="0"/>
                <w:position w:val="0"/>
                <w:sz w:val="24"/>
                <w:szCs w:val="24"/>
                <w:highlight w:val="none"/>
                <w:lang w:val="en-US" w:eastAsia="zh-CN" w:bidi="ar-SA"/>
              </w:rPr>
              <w:t>开标时间及地点</w:t>
            </w:r>
          </w:p>
        </w:tc>
        <w:tc>
          <w:tcPr>
            <w:tcW w:w="6318" w:type="dxa"/>
            <w:noWrap w:val="0"/>
            <w:vAlign w:val="center"/>
          </w:tcPr>
          <w:p w14:paraId="2DC4B457">
            <w:pPr>
              <w:pStyle w:val="75"/>
              <w:keepNext w:val="0"/>
              <w:keepLines w:val="0"/>
              <w:pageBreakBefore w:val="0"/>
              <w:kinsoku/>
              <w:wordWrap/>
              <w:overflowPunct/>
              <w:topLinePunct w:val="0"/>
              <w:bidi w:val="0"/>
              <w:adjustRightInd w:val="0"/>
              <w:snapToGrid w:val="0"/>
              <w:spacing w:line="440" w:lineRule="exact"/>
              <w:ind w:left="0" w:firstLine="0" w:firstLineChars="0"/>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采用不见面开标</w:t>
            </w:r>
          </w:p>
          <w:p w14:paraId="2A715D02">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both"/>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开标时间：</w:t>
            </w:r>
            <w:r>
              <w:rPr>
                <w:rStyle w:val="53"/>
                <w:rFonts w:hint="eastAsia" w:ascii="宋体" w:hAnsi="宋体" w:cs="宋体"/>
                <w:b w:val="0"/>
                <w:i w:val="0"/>
                <w:iCs w:val="0"/>
                <w:caps w:val="0"/>
                <w:color w:val="auto"/>
                <w:spacing w:val="0"/>
                <w:w w:val="100"/>
                <w:kern w:val="2"/>
                <w:position w:val="0"/>
                <w:sz w:val="24"/>
                <w:szCs w:val="24"/>
                <w:highlight w:val="none"/>
                <w:lang w:val="en-US" w:eastAsia="zh-CN" w:bidi="ar-SA"/>
              </w:rPr>
              <w:t>2025年07月17日11：00（北京时间）</w:t>
            </w:r>
          </w:p>
          <w:p w14:paraId="6D183AB3">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left"/>
              <w:textAlignment w:val="baseline"/>
              <w:rPr>
                <w:rFonts w:hint="eastAsia" w:ascii="宋体" w:hAnsi="宋体" w:eastAsia="宋体" w:cs="宋体"/>
                <w:color w:val="auto"/>
                <w:sz w:val="24"/>
                <w:szCs w:val="24"/>
                <w:highlight w:val="none"/>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开标地点：本项目采用不见面开标，</w:t>
            </w:r>
            <w:r>
              <w:rPr>
                <w:rStyle w:val="53"/>
                <w:rFonts w:hint="eastAsia" w:ascii="宋体" w:hAnsi="宋体" w:cs="宋体"/>
                <w:b w:val="0"/>
                <w:i w:val="0"/>
                <w:caps w:val="0"/>
                <w:color w:val="auto"/>
                <w:spacing w:val="0"/>
                <w:w w:val="100"/>
                <w:kern w:val="2"/>
                <w:position w:val="0"/>
                <w:sz w:val="24"/>
                <w:szCs w:val="24"/>
                <w:highlight w:val="none"/>
                <w:lang w:val="en-US" w:eastAsia="zh-CN" w:bidi="ar-SA"/>
              </w:rPr>
              <w:t>供应商</w:t>
            </w: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需要递交加密的电子投标文件，在投标截止时间前通过新疆政府采购云平台https://www.zcygov.cn/开标系统上传到指定位置。逾期未上传的或不符合规定的投标文件将被拒绝接收。</w:t>
            </w:r>
          </w:p>
        </w:tc>
      </w:tr>
      <w:tr w14:paraId="1440D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center"/>
          </w:tcPr>
          <w:p w14:paraId="51469932">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rPr>
              <w:t>1</w:t>
            </w:r>
            <w:r>
              <w:rPr>
                <w:rFonts w:hint="eastAsia" w:ascii="宋体" w:hAnsi="宋体" w:eastAsia="宋体" w:cs="宋体"/>
                <w:b/>
                <w:color w:val="auto"/>
                <w:kern w:val="0"/>
                <w:sz w:val="24"/>
                <w:szCs w:val="24"/>
                <w:highlight w:val="none"/>
                <w:lang w:val="en-US" w:eastAsia="zh-CN"/>
              </w:rPr>
              <w:t>5</w:t>
            </w:r>
          </w:p>
        </w:tc>
        <w:tc>
          <w:tcPr>
            <w:tcW w:w="2431" w:type="dxa"/>
            <w:noWrap w:val="0"/>
            <w:vAlign w:val="center"/>
          </w:tcPr>
          <w:p w14:paraId="294B881D">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kern w:val="0"/>
                <w:sz w:val="24"/>
                <w:szCs w:val="24"/>
                <w:highlight w:val="none"/>
              </w:rPr>
            </w:pPr>
            <w:r>
              <w:rPr>
                <w:rStyle w:val="53"/>
                <w:rFonts w:hint="eastAsia" w:ascii="宋体" w:hAnsi="宋体" w:eastAsia="宋体" w:cs="宋体"/>
                <w:b/>
                <w:i w:val="0"/>
                <w:caps w:val="0"/>
                <w:color w:val="auto"/>
                <w:spacing w:val="0"/>
                <w:w w:val="100"/>
                <w:kern w:val="0"/>
                <w:position w:val="0"/>
                <w:sz w:val="24"/>
                <w:szCs w:val="24"/>
                <w:highlight w:val="none"/>
                <w:lang w:val="en-US" w:eastAsia="zh-CN" w:bidi="ar-SA"/>
              </w:rPr>
              <w:t>评标委员会的组成</w:t>
            </w:r>
          </w:p>
        </w:tc>
        <w:tc>
          <w:tcPr>
            <w:tcW w:w="6318" w:type="dxa"/>
            <w:noWrap w:val="0"/>
            <w:vAlign w:val="center"/>
          </w:tcPr>
          <w:p w14:paraId="16D1C8B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评标委员会由采购人代表和评审专家组成，成员人数应当为5人以上单数，其中评审专家不得少于成员总数的三分之二。</w:t>
            </w:r>
          </w:p>
          <w:p w14:paraId="52BB7AA6">
            <w:pPr>
              <w:keepNext w:val="0"/>
              <w:keepLines w:val="0"/>
              <w:pageBreakBefore w:val="0"/>
              <w:kinsoku/>
              <w:wordWrap/>
              <w:overflowPunct/>
              <w:topLinePunct w:val="0"/>
              <w:autoSpaceDE/>
              <w:autoSpaceDN/>
              <w:bidi w:val="0"/>
              <w:adjustRightInd w:val="0"/>
              <w:snapToGrid w:val="0"/>
              <w:spacing w:line="440" w:lineRule="exact"/>
              <w:ind w:left="0" w:firstLine="0"/>
              <w:rPr>
                <w:rFonts w:hint="eastAsia" w:ascii="宋体" w:hAnsi="宋体" w:eastAsia="宋体" w:cs="宋体"/>
                <w:color w:val="auto"/>
                <w:sz w:val="24"/>
                <w:szCs w:val="24"/>
                <w:highlight w:val="none"/>
              </w:rPr>
            </w:pPr>
            <w:r>
              <w:rPr>
                <w:rFonts w:hint="eastAsia" w:ascii="宋体" w:hAnsi="宋体" w:eastAsia="宋体" w:cs="宋体"/>
                <w:color w:val="auto"/>
                <w:spacing w:val="0"/>
                <w:position w:val="0"/>
                <w:sz w:val="24"/>
                <w:szCs w:val="24"/>
                <w:highlight w:val="none"/>
              </w:rPr>
              <w:t>小组确定方式：</w:t>
            </w:r>
            <w:r>
              <w:rPr>
                <w:rStyle w:val="53"/>
                <w:rFonts w:hint="eastAsia" w:ascii="宋体" w:hAnsi="宋体" w:eastAsia="宋体" w:cs="宋体"/>
                <w:b/>
                <w:i w:val="0"/>
                <w:caps w:val="0"/>
                <w:color w:val="auto"/>
                <w:spacing w:val="0"/>
                <w:w w:val="100"/>
                <w:kern w:val="2"/>
                <w:position w:val="0"/>
                <w:sz w:val="24"/>
                <w:szCs w:val="24"/>
                <w:highlight w:val="none"/>
                <w:lang w:val="en-US" w:eastAsia="zh-CN" w:bidi="ar-SA"/>
              </w:rPr>
              <w:t>开标前于政采云专家库随机抽取</w:t>
            </w:r>
          </w:p>
        </w:tc>
      </w:tr>
      <w:tr w14:paraId="20CB8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0" w:type="dxa"/>
            <w:noWrap w:val="0"/>
            <w:vAlign w:val="center"/>
          </w:tcPr>
          <w:p w14:paraId="34B87797">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rPr>
              <w:t>1</w:t>
            </w:r>
            <w:r>
              <w:rPr>
                <w:rFonts w:hint="eastAsia" w:ascii="宋体" w:hAnsi="宋体" w:eastAsia="宋体" w:cs="宋体"/>
                <w:b/>
                <w:color w:val="auto"/>
                <w:kern w:val="0"/>
                <w:sz w:val="24"/>
                <w:szCs w:val="24"/>
                <w:highlight w:val="none"/>
                <w:lang w:val="en-US" w:eastAsia="zh-CN"/>
              </w:rPr>
              <w:t>6</w:t>
            </w:r>
          </w:p>
        </w:tc>
        <w:tc>
          <w:tcPr>
            <w:tcW w:w="2431" w:type="dxa"/>
            <w:noWrap w:val="0"/>
            <w:vAlign w:val="center"/>
          </w:tcPr>
          <w:p w14:paraId="53B7DFAF">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kern w:val="0"/>
                <w:sz w:val="24"/>
                <w:szCs w:val="24"/>
                <w:highlight w:val="none"/>
                <w:lang w:eastAsia="zh-CN"/>
              </w:rPr>
            </w:pPr>
            <w:r>
              <w:rPr>
                <w:rStyle w:val="53"/>
                <w:rFonts w:hint="eastAsia" w:ascii="宋体" w:hAnsi="宋体" w:eastAsia="宋体" w:cs="宋体"/>
                <w:b/>
                <w:i w:val="0"/>
                <w:caps w:val="0"/>
                <w:color w:val="auto"/>
                <w:spacing w:val="0"/>
                <w:w w:val="100"/>
                <w:kern w:val="0"/>
                <w:position w:val="0"/>
                <w:sz w:val="24"/>
                <w:szCs w:val="24"/>
                <w:highlight w:val="none"/>
                <w:lang w:val="en-US" w:eastAsia="zh-CN" w:bidi="ar-SA"/>
              </w:rPr>
              <w:t>投标保证金</w:t>
            </w:r>
          </w:p>
        </w:tc>
        <w:tc>
          <w:tcPr>
            <w:tcW w:w="6318" w:type="dxa"/>
            <w:noWrap w:val="0"/>
            <w:vAlign w:val="center"/>
          </w:tcPr>
          <w:p w14:paraId="4638EC72">
            <w:pPr>
              <w:keepNext w:val="0"/>
              <w:keepLines w:val="0"/>
              <w:pageBreakBefore w:val="0"/>
              <w:kinsoku/>
              <w:wordWrap/>
              <w:overflowPunct/>
              <w:topLinePunct w:val="0"/>
              <w:bidi w:val="0"/>
              <w:snapToGrid/>
              <w:spacing w:beforeAutospacing="0" w:after="0" w:afterAutospacing="0" w:line="440" w:lineRule="exact"/>
              <w:ind w:left="0" w:right="0" w:firstLine="0" w:firstLineChars="0"/>
              <w:jc w:val="left"/>
              <w:rPr>
                <w:rStyle w:val="53"/>
                <w:rFonts w:hint="default" w:ascii="宋体" w:hAnsi="宋体" w:eastAsia="宋体" w:cs="宋体"/>
                <w:b w:val="0"/>
                <w:i w:val="0"/>
                <w:color w:val="auto"/>
                <w:spacing w:val="0"/>
                <w:w w:val="100"/>
                <w:kern w:val="0"/>
                <w:position w:val="0"/>
                <w:sz w:val="24"/>
                <w:szCs w:val="24"/>
                <w:highlight w:val="none"/>
                <w:lang w:val="en-US" w:eastAsia="zh-CN" w:bidi="ar-SA"/>
              </w:rPr>
            </w:pPr>
            <w:r>
              <w:rPr>
                <w:rStyle w:val="53"/>
                <w:rFonts w:hint="eastAsia" w:ascii="宋体" w:hAnsi="宋体" w:eastAsia="宋体" w:cs="宋体"/>
                <w:b w:val="0"/>
                <w:i w:val="0"/>
                <w:color w:val="auto"/>
                <w:spacing w:val="0"/>
                <w:w w:val="100"/>
                <w:kern w:val="0"/>
                <w:position w:val="0"/>
                <w:sz w:val="24"/>
                <w:szCs w:val="24"/>
                <w:highlight w:val="none"/>
                <w:lang w:val="en-US" w:eastAsia="zh-CN" w:bidi="ar-SA"/>
              </w:rPr>
              <w:t>投标保证金额为：</w:t>
            </w:r>
            <w:r>
              <w:rPr>
                <w:rStyle w:val="53"/>
                <w:rFonts w:hint="eastAsia" w:ascii="宋体" w:hAnsi="宋体" w:cs="宋体"/>
                <w:b w:val="0"/>
                <w:i w:val="0"/>
                <w:color w:val="auto"/>
                <w:spacing w:val="0"/>
                <w:w w:val="100"/>
                <w:kern w:val="0"/>
                <w:position w:val="0"/>
                <w:sz w:val="24"/>
                <w:szCs w:val="24"/>
                <w:highlight w:val="none"/>
                <w:lang w:val="en-US" w:eastAsia="zh-CN" w:bidi="ar-SA"/>
              </w:rPr>
              <w:t>27000.00元</w:t>
            </w:r>
          </w:p>
          <w:p w14:paraId="378B4C2B">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t>投标保证金缴纳方式：银行汇票、银行电汇、转账、本票或者金融机构、担保机构出具的保函等非现金形式提交。</w:t>
            </w:r>
          </w:p>
          <w:p w14:paraId="176C3145">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t>1、若采用银行汇票、银行电汇、转账、本票时，投标保证金于</w:t>
            </w:r>
            <w:r>
              <w:rPr>
                <w:rStyle w:val="53"/>
                <w:rFonts w:hint="eastAsia" w:ascii="宋体" w:hAnsi="宋体" w:cs="宋体"/>
                <w:b w:val="0"/>
                <w:i w:val="0"/>
                <w:iCs w:val="0"/>
                <w:caps w:val="0"/>
                <w:color w:val="auto"/>
                <w:spacing w:val="0"/>
                <w:w w:val="100"/>
                <w:kern w:val="2"/>
                <w:position w:val="0"/>
                <w:sz w:val="24"/>
                <w:szCs w:val="24"/>
                <w:highlight w:val="none"/>
                <w:lang w:val="en-US" w:eastAsia="zh-CN" w:bidi="ar-SA"/>
              </w:rPr>
              <w:t>2025年07月17日11：00（北京时间）</w:t>
            </w:r>
            <w:r>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t>（以到账时间为准）之前从供应商账户汇至新疆诚成工程项目管理有限公司账户，否则其投标文件将被拒绝评审，供应商提交投标保证金应充分考虑资金在途时间。</w:t>
            </w:r>
          </w:p>
          <w:p w14:paraId="6CFA466C">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t>注：供应商向银行办理投标保证金汇（转）款时，应在用途栏（备注栏）准确注明"本项目招标编号（例如：XJCC-ZB-202</w:t>
            </w:r>
            <w:r>
              <w:rPr>
                <w:rStyle w:val="53"/>
                <w:rFonts w:hint="eastAsia" w:ascii="宋体" w:hAnsi="宋体" w:cs="宋体"/>
                <w:b w:val="0"/>
                <w:i w:val="0"/>
                <w:caps w:val="0"/>
                <w:color w:val="auto"/>
                <w:spacing w:val="0"/>
                <w:w w:val="100"/>
                <w:kern w:val="0"/>
                <w:position w:val="0"/>
                <w:sz w:val="24"/>
                <w:szCs w:val="24"/>
                <w:highlight w:val="none"/>
                <w:lang w:val="en-US" w:eastAsia="zh-CN" w:bidi="ar-SA"/>
              </w:rPr>
              <w:t>5</w:t>
            </w:r>
            <w:r>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t>-</w:t>
            </w:r>
            <w:r>
              <w:rPr>
                <w:rFonts w:hint="eastAsia" w:ascii="宋体" w:hAnsi="宋体" w:eastAsia="宋体" w:cs="宋体"/>
                <w:bCs/>
                <w:color w:val="auto"/>
                <w:spacing w:val="0"/>
                <w:kern w:val="0"/>
                <w:position w:val="0"/>
                <w:sz w:val="24"/>
                <w:szCs w:val="24"/>
                <w:highlight w:val="none"/>
                <w:u w:val="none"/>
                <w:lang w:val="en-US" w:eastAsia="zh-CN"/>
              </w:rPr>
              <w:t>XX</w:t>
            </w:r>
            <w:r>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t>投标保证金）"字样（每个标段应分别汇款），由于未按要求准确注明信息而导致的一切后果由供应商承担。</w:t>
            </w:r>
          </w:p>
          <w:p w14:paraId="52A9C806">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t>户名：新疆诚成工程项目管理有限公司</w:t>
            </w:r>
          </w:p>
          <w:p w14:paraId="1A372AAA">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t>开户行名称：乌鲁木齐银行新华南路支行</w:t>
            </w:r>
          </w:p>
          <w:p w14:paraId="14CFFDC7">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t>账号：0000001211121500053685</w:t>
            </w:r>
          </w:p>
          <w:p w14:paraId="0393A0A3">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t>开户行号：313881000176</w:t>
            </w:r>
          </w:p>
          <w:p w14:paraId="02D925BD">
            <w:pPr>
              <w:keepNext w:val="0"/>
              <w:keepLines w:val="0"/>
              <w:pageBreakBefore w:val="0"/>
              <w:numPr>
                <w:ilvl w:val="0"/>
                <w:numId w:val="2"/>
              </w:numPr>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t>若采用金融机构、担保机构出具的保函形式递交时，须出具对本项目（项目名称）的保函，提供原件的扫描件于投标文件中，否则视为无效。保函有效期不少于投标有效期。</w:t>
            </w:r>
          </w:p>
          <w:p w14:paraId="6959C116">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t>3、如采用电子保函方式缴纳可按照新疆政府采购网-电子保函模块。采用电子保函形式应按以下要求办理：</w:t>
            </w:r>
          </w:p>
          <w:p w14:paraId="05BF1F48">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t>（1）电子保函按照“一分包一保函”的原则。</w:t>
            </w:r>
          </w:p>
          <w:p w14:paraId="757DDC42">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left"/>
              <w:textAlignment w:val="baseline"/>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t>（2）电子保函须在招标文件规定的投标截止时间前办理完成。</w:t>
            </w:r>
          </w:p>
          <w:p w14:paraId="77B9C80D">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left"/>
              <w:textAlignment w:val="baseline"/>
              <w:rPr>
                <w:rFonts w:hint="eastAsia" w:ascii="宋体" w:hAnsi="宋体" w:eastAsia="宋体" w:cs="宋体"/>
                <w:b/>
                <w:color w:val="auto"/>
                <w:sz w:val="24"/>
                <w:szCs w:val="24"/>
                <w:highlight w:val="none"/>
              </w:rPr>
            </w:pPr>
            <w:r>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t>★备注：（1）投标保证金保证金缴纳截止时间同开标时间一致。（2）供应商未按照采购文件上述要求提交投标保证金的，投标将被否决。</w:t>
            </w:r>
          </w:p>
        </w:tc>
      </w:tr>
      <w:tr w14:paraId="1D5F4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970" w:type="dxa"/>
            <w:noWrap w:val="0"/>
            <w:vAlign w:val="center"/>
          </w:tcPr>
          <w:p w14:paraId="590EE2E1">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rPr>
              <w:t>1</w:t>
            </w:r>
            <w:r>
              <w:rPr>
                <w:rFonts w:hint="eastAsia" w:ascii="宋体" w:hAnsi="宋体" w:eastAsia="宋体" w:cs="宋体"/>
                <w:b/>
                <w:color w:val="auto"/>
                <w:kern w:val="0"/>
                <w:sz w:val="24"/>
                <w:szCs w:val="24"/>
                <w:highlight w:val="none"/>
                <w:lang w:val="en-US" w:eastAsia="zh-CN"/>
              </w:rPr>
              <w:t>7</w:t>
            </w:r>
          </w:p>
        </w:tc>
        <w:tc>
          <w:tcPr>
            <w:tcW w:w="2431" w:type="dxa"/>
            <w:noWrap w:val="0"/>
            <w:vAlign w:val="center"/>
          </w:tcPr>
          <w:p w14:paraId="16F4BB3B">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i w:val="0"/>
                <w:caps w:val="0"/>
                <w:color w:val="auto"/>
                <w:spacing w:val="0"/>
                <w:w w:val="100"/>
                <w:kern w:val="0"/>
                <w:position w:val="0"/>
                <w:sz w:val="24"/>
                <w:szCs w:val="24"/>
                <w:highlight w:val="none"/>
                <w:lang w:val="en-US" w:eastAsia="zh-CN" w:bidi="ar-SA"/>
              </w:rPr>
              <w:t>政府采购政策落实</w:t>
            </w:r>
          </w:p>
        </w:tc>
        <w:tc>
          <w:tcPr>
            <w:tcW w:w="6318" w:type="dxa"/>
            <w:tcBorders>
              <w:top w:val="single" w:color="auto" w:sz="4" w:space="0"/>
            </w:tcBorders>
            <w:noWrap w:val="0"/>
            <w:vAlign w:val="center"/>
          </w:tcPr>
          <w:p w14:paraId="1CC4D4F2">
            <w:pPr>
              <w:keepNext w:val="0"/>
              <w:keepLines w:val="0"/>
              <w:pageBreakBefore w:val="0"/>
              <w:kinsoku/>
              <w:wordWrap/>
              <w:overflowPunct/>
              <w:topLinePunct w:val="0"/>
              <w:bidi w:val="0"/>
              <w:snapToGrid/>
              <w:spacing w:beforeAutospacing="0" w:after="0" w:afterAutospacing="0" w:line="440" w:lineRule="exact"/>
              <w:ind w:left="0" w:right="0" w:firstLine="0" w:firstLineChars="0"/>
              <w:jc w:val="both"/>
              <w:textAlignment w:val="baseline"/>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3"/>
                <w:rFonts w:hint="eastAsia" w:ascii="宋体" w:hAnsi="宋体" w:cs="宋体"/>
                <w:b w:val="0"/>
                <w:i w:val="0"/>
                <w:caps w:val="0"/>
                <w:color w:val="auto"/>
                <w:spacing w:val="0"/>
                <w:w w:val="100"/>
                <w:kern w:val="0"/>
                <w:position w:val="0"/>
                <w:sz w:val="24"/>
                <w:szCs w:val="24"/>
                <w:highlight w:val="none"/>
                <w:lang w:val="en-US" w:eastAsia="zh-CN" w:bidi="ar-SA"/>
              </w:rPr>
              <w:t>1、</w:t>
            </w:r>
            <w:r>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t>本项目专门面向中小企业，各供应商须提供《中小企业申明函》（由供应商声明其所投货物的生产厂家为中小微企业），否则视为无效投标。</w:t>
            </w:r>
          </w:p>
          <w:p w14:paraId="21E9BC8B">
            <w:pPr>
              <w:keepNext w:val="0"/>
              <w:keepLines w:val="0"/>
              <w:pageBreakBefore w:val="0"/>
              <w:kinsoku/>
              <w:wordWrap/>
              <w:overflowPunct/>
              <w:topLinePunct w:val="0"/>
              <w:bidi w:val="0"/>
              <w:snapToGrid/>
              <w:spacing w:beforeAutospacing="0" w:after="0" w:afterAutospacing="0" w:line="440" w:lineRule="exact"/>
              <w:ind w:left="0" w:right="0" w:firstLine="0" w:firstLineChars="0"/>
              <w:jc w:val="both"/>
              <w:textAlignment w:val="baseline"/>
              <w:rPr>
                <w:rFonts w:hint="eastAsia" w:ascii="宋体" w:hAnsi="宋体" w:eastAsia="宋体" w:cs="宋体"/>
                <w:color w:val="auto"/>
                <w:kern w:val="0"/>
                <w:sz w:val="24"/>
                <w:szCs w:val="24"/>
                <w:highlight w:val="none"/>
              </w:rPr>
            </w:pPr>
            <w:r>
              <w:rPr>
                <w:rStyle w:val="53"/>
                <w:rFonts w:hint="eastAsia" w:ascii="宋体" w:hAnsi="宋体" w:cs="宋体"/>
                <w:b w:val="0"/>
                <w:i w:val="0"/>
                <w:caps w:val="0"/>
                <w:color w:val="auto"/>
                <w:spacing w:val="0"/>
                <w:w w:val="100"/>
                <w:kern w:val="0"/>
                <w:position w:val="0"/>
                <w:sz w:val="24"/>
                <w:szCs w:val="24"/>
                <w:highlight w:val="none"/>
                <w:lang w:val="en-US" w:eastAsia="zh-CN" w:bidi="ar-SA"/>
              </w:rPr>
              <w:t>2、</w:t>
            </w:r>
            <w:r>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t>根据工信部等部委发布的《关于印发中小企业划型标准规定的通知》（工信部联企业〔2011〕300号）、财政部、工业和信息化部《政府采购促进中小企业发展管理办法 》（财库[2020]46号文）规定，本次采购标的所属行业为</w:t>
            </w:r>
            <w:r>
              <w:rPr>
                <w:rStyle w:val="53"/>
                <w:rFonts w:hint="eastAsia" w:ascii="宋体" w:hAnsi="宋体" w:eastAsia="宋体" w:cs="宋体"/>
                <w:b/>
                <w:bCs/>
                <w:i w:val="0"/>
                <w:caps w:val="0"/>
                <w:color w:val="auto"/>
                <w:spacing w:val="0"/>
                <w:w w:val="100"/>
                <w:kern w:val="0"/>
                <w:position w:val="0"/>
                <w:sz w:val="24"/>
                <w:szCs w:val="24"/>
                <w:highlight w:val="none"/>
                <w:u w:val="single"/>
                <w:lang w:val="en-US" w:eastAsia="zh-CN" w:bidi="ar-SA"/>
              </w:rPr>
              <w:t>软件和信息技术服务业</w:t>
            </w:r>
            <w:r>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t>符合以下条件的中小型企业应按照招标文件格式要求提供《中小企业声明函》。</w:t>
            </w:r>
          </w:p>
        </w:tc>
      </w:tr>
      <w:tr w14:paraId="52A60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center"/>
          </w:tcPr>
          <w:p w14:paraId="664DEADF">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rPr>
              <w:t>1</w:t>
            </w:r>
            <w:r>
              <w:rPr>
                <w:rFonts w:hint="eastAsia" w:ascii="宋体" w:hAnsi="宋体" w:eastAsia="宋体" w:cs="宋体"/>
                <w:b/>
                <w:color w:val="auto"/>
                <w:kern w:val="0"/>
                <w:sz w:val="24"/>
                <w:szCs w:val="24"/>
                <w:highlight w:val="none"/>
                <w:lang w:val="en-US" w:eastAsia="zh-CN"/>
              </w:rPr>
              <w:t>8</w:t>
            </w:r>
          </w:p>
        </w:tc>
        <w:tc>
          <w:tcPr>
            <w:tcW w:w="2431" w:type="dxa"/>
            <w:noWrap w:val="0"/>
            <w:vAlign w:val="center"/>
          </w:tcPr>
          <w:p w14:paraId="0DD6508C">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rPr>
              <w:t>评审方法</w:t>
            </w:r>
          </w:p>
        </w:tc>
        <w:tc>
          <w:tcPr>
            <w:tcW w:w="6318" w:type="dxa"/>
            <w:noWrap w:val="0"/>
            <w:vAlign w:val="center"/>
          </w:tcPr>
          <w:p w14:paraId="47844896">
            <w:pPr>
              <w:keepNext w:val="0"/>
              <w:keepLines w:val="0"/>
              <w:pageBreakBefore w:val="0"/>
              <w:kinsoku/>
              <w:wordWrap/>
              <w:overflowPunct/>
              <w:topLinePunct w:val="0"/>
              <w:bidi w:val="0"/>
              <w:adjustRightInd w:val="0"/>
              <w:snapToGrid w:val="0"/>
              <w:spacing w:line="440" w:lineRule="exact"/>
              <w:ind w:left="0" w:firstLine="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资格后审         </w:t>
            </w:r>
          </w:p>
          <w:p w14:paraId="78BB5B39">
            <w:pPr>
              <w:keepNext w:val="0"/>
              <w:keepLines w:val="0"/>
              <w:pageBreakBefore w:val="0"/>
              <w:kinsoku/>
              <w:wordWrap/>
              <w:overflowPunct/>
              <w:topLinePunct w:val="0"/>
              <w:bidi w:val="0"/>
              <w:adjustRightInd w:val="0"/>
              <w:snapToGrid w:val="0"/>
              <w:spacing w:line="440" w:lineRule="exact"/>
              <w:ind w:left="0" w:firstLine="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综合评分法      </w:t>
            </w:r>
          </w:p>
          <w:p w14:paraId="4BE07474">
            <w:pPr>
              <w:keepNext w:val="0"/>
              <w:keepLines w:val="0"/>
              <w:pageBreakBefore w:val="0"/>
              <w:kinsoku/>
              <w:wordWrap/>
              <w:overflowPunct/>
              <w:topLinePunct w:val="0"/>
              <w:bidi w:val="0"/>
              <w:adjustRightInd w:val="0"/>
              <w:snapToGrid w:val="0"/>
              <w:spacing w:line="440" w:lineRule="exact"/>
              <w:ind w:left="0" w:firstLine="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00DC2925">
            <w:pPr>
              <w:keepNext w:val="0"/>
              <w:keepLines w:val="0"/>
              <w:pageBreakBefore w:val="0"/>
              <w:kinsoku/>
              <w:wordWrap/>
              <w:overflowPunct/>
              <w:topLinePunct w:val="0"/>
              <w:bidi w:val="0"/>
              <w:adjustRightInd w:val="0"/>
              <w:snapToGrid w:val="0"/>
              <w:spacing w:line="440" w:lineRule="exact"/>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1、最低评标价法，是指以价格为主要因素确定中标供应商的评标方法，即在全部满足招标文件实质性要求前提下，依据统一的价格要素评定最低报价，以提出最低报价的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作为中标候选供应商或者中标供应商的评标方法。投标报价相同的，按技术指标优劣顺序排列，技术指标较优的一方为中标人。</w:t>
            </w:r>
          </w:p>
          <w:p w14:paraId="574B02D3">
            <w:pPr>
              <w:keepNext w:val="0"/>
              <w:keepLines w:val="0"/>
              <w:pageBreakBefore w:val="0"/>
              <w:kinsoku/>
              <w:wordWrap/>
              <w:overflowPunct/>
              <w:topLinePunct w:val="0"/>
              <w:bidi w:val="0"/>
              <w:adjustRightInd w:val="0"/>
              <w:snapToGrid w:val="0"/>
              <w:spacing w:line="440" w:lineRule="exact"/>
              <w:ind w:left="0" w:firstLine="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2、综合评分法是指在最大限度地满足招标文件实质性要求前提下，按照招标文件中规定的评分细则评审后，以评标最终得分最高的</w:t>
            </w:r>
            <w:r>
              <w:rPr>
                <w:rFonts w:hint="eastAsia" w:ascii="宋体" w:hAnsi="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作为中标人的评标方法。每一</w:t>
            </w:r>
            <w:r>
              <w:rPr>
                <w:rFonts w:hint="eastAsia" w:ascii="宋体" w:hAnsi="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的最终得分为所有评委评分的算术平均值</w:t>
            </w:r>
            <w:r>
              <w:rPr>
                <w:rFonts w:hint="eastAsia" w:ascii="宋体" w:hAnsi="宋体" w:eastAsia="宋体" w:cs="宋体"/>
                <w:b/>
                <w:color w:val="auto"/>
                <w:kern w:val="0"/>
                <w:sz w:val="24"/>
                <w:szCs w:val="24"/>
                <w:highlight w:val="none"/>
              </w:rPr>
              <w:t>。</w:t>
            </w:r>
            <w:r>
              <w:rPr>
                <w:rFonts w:hint="eastAsia" w:ascii="宋体" w:hAnsi="宋体" w:eastAsia="宋体" w:cs="宋体"/>
                <w:color w:val="auto"/>
                <w:kern w:val="0"/>
                <w:sz w:val="24"/>
                <w:szCs w:val="24"/>
                <w:highlight w:val="none"/>
              </w:rPr>
              <w:t>得分相同的，报价较低的一方为中标人。得分且投标报价相同的，技术指标较优的一方为中标人。</w:t>
            </w:r>
          </w:p>
        </w:tc>
      </w:tr>
      <w:tr w14:paraId="713C4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center"/>
          </w:tcPr>
          <w:p w14:paraId="51B98575">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20</w:t>
            </w:r>
          </w:p>
        </w:tc>
        <w:tc>
          <w:tcPr>
            <w:tcW w:w="2431" w:type="dxa"/>
            <w:noWrap w:val="0"/>
            <w:vAlign w:val="center"/>
          </w:tcPr>
          <w:p w14:paraId="12C119C6">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kern w:val="0"/>
                <w:sz w:val="24"/>
                <w:szCs w:val="24"/>
                <w:highlight w:val="none"/>
                <w:lang w:val="en-US" w:eastAsia="zh-CN" w:bidi="ar-SA"/>
              </w:rPr>
            </w:pPr>
            <w:r>
              <w:rPr>
                <w:rStyle w:val="53"/>
                <w:rFonts w:hint="eastAsia" w:ascii="宋体" w:hAnsi="宋体" w:eastAsia="宋体" w:cs="宋体"/>
                <w:b/>
                <w:i w:val="0"/>
                <w:caps w:val="0"/>
                <w:color w:val="auto"/>
                <w:spacing w:val="0"/>
                <w:w w:val="100"/>
                <w:kern w:val="0"/>
                <w:position w:val="0"/>
                <w:sz w:val="24"/>
                <w:szCs w:val="24"/>
                <w:highlight w:val="none"/>
                <w:lang w:val="en-US" w:eastAsia="zh-CN" w:bidi="ar-SA"/>
              </w:rPr>
              <w:t>履约保证金</w:t>
            </w:r>
          </w:p>
        </w:tc>
        <w:tc>
          <w:tcPr>
            <w:tcW w:w="6318" w:type="dxa"/>
            <w:noWrap w:val="0"/>
            <w:vAlign w:val="center"/>
          </w:tcPr>
          <w:p w14:paraId="796A3077">
            <w:pPr>
              <w:pStyle w:val="76"/>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both"/>
              <w:textAlignment w:val="baseline"/>
              <w:rPr>
                <w:rFonts w:hint="eastAsia" w:ascii="宋体" w:hAnsi="宋体" w:eastAsia="宋体" w:cs="宋体"/>
                <w:color w:val="auto"/>
                <w:ker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t>不交纳</w:t>
            </w:r>
          </w:p>
        </w:tc>
      </w:tr>
      <w:tr w14:paraId="1E789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70" w:type="dxa"/>
            <w:noWrap w:val="0"/>
            <w:vAlign w:val="center"/>
          </w:tcPr>
          <w:p w14:paraId="4D5B17B8">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21</w:t>
            </w:r>
          </w:p>
        </w:tc>
        <w:tc>
          <w:tcPr>
            <w:tcW w:w="2431" w:type="dxa"/>
            <w:noWrap w:val="0"/>
            <w:vAlign w:val="center"/>
          </w:tcPr>
          <w:p w14:paraId="59CB8A69">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center"/>
              <w:textAlignment w:val="baseline"/>
              <w:rPr>
                <w:rStyle w:val="53"/>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i w:val="0"/>
                <w:caps w:val="0"/>
                <w:color w:val="auto"/>
                <w:spacing w:val="0"/>
                <w:w w:val="100"/>
                <w:kern w:val="0"/>
                <w:position w:val="0"/>
                <w:sz w:val="24"/>
                <w:szCs w:val="24"/>
                <w:highlight w:val="none"/>
                <w:lang w:val="en-US" w:eastAsia="zh-CN" w:bidi="ar-SA"/>
              </w:rPr>
              <w:t>代理服务费</w:t>
            </w:r>
          </w:p>
        </w:tc>
        <w:tc>
          <w:tcPr>
            <w:tcW w:w="6318" w:type="dxa"/>
            <w:noWrap w:val="0"/>
            <w:vAlign w:val="center"/>
          </w:tcPr>
          <w:p w14:paraId="444F04D6">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both"/>
              <w:textAlignment w:val="baseline"/>
              <w:rPr>
                <w:rFonts w:hint="eastAsia" w:ascii="宋体" w:hAnsi="宋体" w:eastAsia="宋体" w:cs="宋体"/>
                <w:b w:val="0"/>
                <w:bCs/>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val="0"/>
                <w:bCs/>
                <w:i w:val="0"/>
                <w:caps w:val="0"/>
                <w:color w:val="auto"/>
                <w:spacing w:val="0"/>
                <w:w w:val="100"/>
                <w:kern w:val="0"/>
                <w:position w:val="0"/>
                <w:sz w:val="24"/>
                <w:szCs w:val="24"/>
                <w:highlight w:val="none"/>
                <w:lang w:val="en-US" w:eastAsia="zh-CN" w:bidi="ar-SA"/>
              </w:rPr>
              <w:t>招标代理服务费按照国家发展改革委关于进一步放开建设项目专业服务价格的通知发改价格[2015]299号文，计算方法参照“国家计委关于印发《招标代理服务收费管理暂行办法》的通知”(计价格〔2002〕1980号)文件规定，根据上述文件的规定，本次招标代理服务费以中标价格为基数，由中标人向采购代理机构支付。本项目最高限价已包含代理服务费，请供应商将该费用考虑在报价之中，招标人将不另行支付。</w:t>
            </w:r>
          </w:p>
        </w:tc>
      </w:tr>
      <w:tr w14:paraId="1C227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0" w:type="dxa"/>
            <w:noWrap w:val="0"/>
            <w:vAlign w:val="center"/>
          </w:tcPr>
          <w:p w14:paraId="58738DD5">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22</w:t>
            </w:r>
          </w:p>
        </w:tc>
        <w:tc>
          <w:tcPr>
            <w:tcW w:w="2431" w:type="dxa"/>
            <w:noWrap w:val="0"/>
            <w:vAlign w:val="center"/>
          </w:tcPr>
          <w:p w14:paraId="30289791">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kern w:val="0"/>
                <w:sz w:val="24"/>
                <w:szCs w:val="24"/>
                <w:highlight w:val="none"/>
                <w:lang w:val="en-US" w:eastAsia="zh-CN" w:bidi="ar-SA"/>
              </w:rPr>
            </w:pPr>
            <w:r>
              <w:rPr>
                <w:rStyle w:val="53"/>
                <w:rFonts w:hint="eastAsia" w:ascii="宋体" w:hAnsi="宋体" w:eastAsia="宋体" w:cs="宋体"/>
                <w:b/>
                <w:i w:val="0"/>
                <w:caps w:val="0"/>
                <w:color w:val="auto"/>
                <w:spacing w:val="0"/>
                <w:w w:val="100"/>
                <w:kern w:val="0"/>
                <w:position w:val="0"/>
                <w:sz w:val="24"/>
                <w:szCs w:val="24"/>
                <w:highlight w:val="none"/>
                <w:lang w:val="en-US" w:eastAsia="zh-CN" w:bidi="ar-SA"/>
              </w:rPr>
              <w:t>场地服务费</w:t>
            </w:r>
          </w:p>
        </w:tc>
        <w:tc>
          <w:tcPr>
            <w:tcW w:w="6318" w:type="dxa"/>
            <w:noWrap w:val="0"/>
            <w:vAlign w:val="center"/>
          </w:tcPr>
          <w:p w14:paraId="175DAF6F">
            <w:pPr>
              <w:keepNext w:val="0"/>
              <w:keepLines w:val="0"/>
              <w:pageBreakBefore w:val="0"/>
              <w:kinsoku/>
              <w:wordWrap/>
              <w:overflowPunct/>
              <w:topLinePunct w:val="0"/>
              <w:bidi w:val="0"/>
              <w:adjustRightInd w:val="0"/>
              <w:snapToGrid w:val="0"/>
              <w:spacing w:beforeAutospacing="0" w:after="0" w:afterAutospacing="0" w:line="440" w:lineRule="exact"/>
              <w:ind w:left="0" w:right="0" w:firstLine="0" w:firstLineChars="0"/>
              <w:jc w:val="both"/>
              <w:textAlignment w:val="baseline"/>
              <w:rPr>
                <w:rFonts w:hint="eastAsia" w:ascii="宋体" w:hAnsi="宋体" w:eastAsia="宋体" w:cs="宋体"/>
                <w:color w:val="auto"/>
                <w:kern w:val="2"/>
                <w:sz w:val="24"/>
                <w:szCs w:val="24"/>
                <w:highlight w:val="none"/>
                <w:u w:val="single"/>
                <w:lang w:val="en-US" w:eastAsia="zh-CN" w:bidi="ar-SA"/>
              </w:rPr>
            </w:pPr>
            <w:r>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不交纳 </w:t>
            </w:r>
          </w:p>
        </w:tc>
      </w:tr>
      <w:tr w14:paraId="0BC82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0" w:type="dxa"/>
            <w:noWrap w:val="0"/>
            <w:vAlign w:val="center"/>
          </w:tcPr>
          <w:p w14:paraId="154A9E49">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23</w:t>
            </w:r>
          </w:p>
        </w:tc>
        <w:tc>
          <w:tcPr>
            <w:tcW w:w="2431" w:type="dxa"/>
            <w:noWrap w:val="0"/>
            <w:vAlign w:val="center"/>
          </w:tcPr>
          <w:p w14:paraId="5798B6C9">
            <w:pPr>
              <w:keepNext w:val="0"/>
              <w:keepLines w:val="0"/>
              <w:pageBreakBefore w:val="0"/>
              <w:kinsoku/>
              <w:overflowPunct/>
              <w:topLinePunct w:val="0"/>
              <w:bidi w:val="0"/>
              <w:adjustRightInd w:val="0"/>
              <w:snapToGrid w:val="0"/>
              <w:spacing w:line="440" w:lineRule="exact"/>
              <w:ind w:left="0" w:leftChars="0" w:firstLine="0" w:firstLineChars="0"/>
              <w:jc w:val="center"/>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bCs/>
                <w:color w:val="auto"/>
                <w:spacing w:val="0"/>
                <w:position w:val="0"/>
                <w:sz w:val="24"/>
                <w:szCs w:val="24"/>
                <w:highlight w:val="none"/>
                <w:u w:val="none"/>
                <w:lang w:val="en-US" w:eastAsia="zh-CN"/>
              </w:rPr>
              <w:t>现场演示</w:t>
            </w:r>
          </w:p>
        </w:tc>
        <w:tc>
          <w:tcPr>
            <w:tcW w:w="6318" w:type="dxa"/>
            <w:noWrap w:val="0"/>
            <w:vAlign w:val="center"/>
          </w:tcPr>
          <w:p w14:paraId="0F22191E">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z w:val="24"/>
                <w:szCs w:val="24"/>
                <w:highlight w:val="none"/>
                <w:u w:val="none"/>
                <w:lang w:val="zh-CN"/>
              </w:rPr>
            </w:pPr>
            <w:r>
              <w:rPr>
                <w:rFonts w:hint="eastAsia" w:asciiTheme="minorEastAsia" w:hAnsiTheme="minorEastAsia" w:eastAsiaTheme="minorEastAsia" w:cstheme="minorEastAsia"/>
                <w:color w:val="auto"/>
                <w:sz w:val="24"/>
                <w:szCs w:val="24"/>
                <w:highlight w:val="none"/>
                <w:u w:val="none"/>
                <w:lang w:val="zh-CN"/>
              </w:rPr>
              <w:sym w:font="Wingdings 2" w:char="00A3"/>
            </w:r>
            <w:r>
              <w:rPr>
                <w:rFonts w:hint="eastAsia" w:asciiTheme="minorEastAsia" w:hAnsiTheme="minorEastAsia" w:eastAsiaTheme="minorEastAsia" w:cstheme="minorEastAsia"/>
                <w:color w:val="auto"/>
                <w:sz w:val="24"/>
                <w:szCs w:val="24"/>
                <w:highlight w:val="none"/>
                <w:u w:val="none"/>
                <w:lang w:val="zh-CN"/>
              </w:rPr>
              <w:t>不需要。</w:t>
            </w:r>
          </w:p>
          <w:p w14:paraId="50C9ED90">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z w:val="24"/>
                <w:szCs w:val="24"/>
                <w:highlight w:val="none"/>
                <w:u w:val="none"/>
                <w:lang w:val="zh-CN"/>
              </w:rPr>
            </w:pPr>
            <w:r>
              <w:rPr>
                <w:rFonts w:hint="eastAsia" w:asciiTheme="minorEastAsia" w:hAnsiTheme="minorEastAsia" w:eastAsiaTheme="minorEastAsia" w:cstheme="minorEastAsia"/>
                <w:color w:val="auto"/>
                <w:sz w:val="24"/>
                <w:szCs w:val="24"/>
                <w:highlight w:val="none"/>
                <w:u w:val="none"/>
                <w:lang w:val="zh-CN"/>
              </w:rPr>
              <w:sym w:font="Wingdings 2" w:char="0052"/>
            </w:r>
            <w:r>
              <w:rPr>
                <w:rFonts w:hint="eastAsia" w:asciiTheme="minorEastAsia" w:hAnsiTheme="minorEastAsia" w:eastAsiaTheme="minorEastAsia" w:cstheme="minorEastAsia"/>
                <w:color w:val="auto"/>
                <w:sz w:val="24"/>
                <w:szCs w:val="24"/>
                <w:highlight w:val="none"/>
                <w:u w:val="none"/>
                <w:lang w:val="zh-CN"/>
              </w:rPr>
              <w:t>需要，演示要求如下：</w:t>
            </w:r>
          </w:p>
          <w:p w14:paraId="72665FD0">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lang w:val="zh-CN"/>
              </w:rPr>
              <w:t>1、演示内容：</w:t>
            </w:r>
            <w:r>
              <w:rPr>
                <w:rFonts w:hint="eastAsia" w:asciiTheme="minorEastAsia" w:hAnsiTheme="minorEastAsia" w:eastAsiaTheme="minorEastAsia" w:cstheme="minorEastAsia"/>
                <w:color w:val="auto"/>
                <w:sz w:val="24"/>
                <w:szCs w:val="24"/>
                <w:highlight w:val="none"/>
                <w:u w:val="none"/>
              </w:rPr>
              <w:t xml:space="preserve"> 根据评分项内容                                    </w:t>
            </w:r>
          </w:p>
          <w:p w14:paraId="68EF988F">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lang w:val="zh-CN"/>
              </w:rPr>
              <w:t>2、演示人员：</w:t>
            </w:r>
            <w:r>
              <w:rPr>
                <w:rFonts w:hint="eastAsia" w:asciiTheme="minorEastAsia" w:hAnsiTheme="minorEastAsia" w:eastAsiaTheme="minorEastAsia" w:cstheme="minorEastAsia"/>
                <w:color w:val="auto"/>
                <w:sz w:val="24"/>
                <w:szCs w:val="24"/>
                <w:highlight w:val="none"/>
                <w:u w:val="none"/>
              </w:rPr>
              <w:t xml:space="preserve"> </w:t>
            </w:r>
            <w:r>
              <w:rPr>
                <w:rFonts w:hint="eastAsia" w:ascii="宋体" w:hAnsi="宋体" w:cs="宋体"/>
                <w:color w:val="auto"/>
                <w:kern w:val="0"/>
                <w:sz w:val="24"/>
                <w:szCs w:val="24"/>
                <w:highlight w:val="none"/>
              </w:rPr>
              <w:t>授权代表或项目负责人</w:t>
            </w:r>
            <w:r>
              <w:rPr>
                <w:rFonts w:hint="eastAsia" w:asciiTheme="minorEastAsia" w:hAnsiTheme="minorEastAsia" w:eastAsiaTheme="minorEastAsia" w:cstheme="minorEastAsia"/>
                <w:color w:val="auto"/>
                <w:sz w:val="24"/>
                <w:szCs w:val="24"/>
                <w:highlight w:val="none"/>
                <w:u w:val="none"/>
              </w:rPr>
              <w:t xml:space="preserve">                                      </w:t>
            </w:r>
          </w:p>
          <w:p w14:paraId="18C2FE12">
            <w:pPr>
              <w:keepNext w:val="0"/>
              <w:keepLines w:val="0"/>
              <w:pageBreakBefore w:val="0"/>
              <w:kinsoku/>
              <w:overflowPunct/>
              <w:topLinePunct w:val="0"/>
              <w:autoSpaceDE w:val="0"/>
              <w:autoSpaceDN w:val="0"/>
              <w:bidi w:val="0"/>
              <w:adjustRightInd w:val="0"/>
              <w:snapToGrid/>
              <w:spacing w:line="440" w:lineRule="exact"/>
              <w:ind w:left="0" w:right="0" w:firstLine="0" w:firstLineChars="0"/>
              <w:jc w:val="both"/>
              <w:rPr>
                <w:rFonts w:hint="eastAsia" w:asciiTheme="minorEastAsia" w:hAnsiTheme="minorEastAsia" w:eastAsiaTheme="minorEastAsia" w:cstheme="minorEastAsia"/>
                <w:color w:val="auto"/>
                <w:sz w:val="24"/>
                <w:szCs w:val="24"/>
                <w:highlight w:val="none"/>
                <w:u w:val="none"/>
                <w:lang w:val="zh-CN"/>
              </w:rPr>
            </w:pPr>
            <w:r>
              <w:rPr>
                <w:rFonts w:hint="eastAsia" w:asciiTheme="minorEastAsia" w:hAnsiTheme="minorEastAsia" w:eastAsiaTheme="minorEastAsia" w:cstheme="minorEastAsia"/>
                <w:color w:val="auto"/>
                <w:sz w:val="24"/>
                <w:szCs w:val="24"/>
                <w:highlight w:val="none"/>
                <w:u w:val="none"/>
                <w:lang w:val="zh-CN"/>
              </w:rPr>
              <w:t>3、演示时限：</w:t>
            </w:r>
            <w:r>
              <w:rPr>
                <w:rFonts w:hint="eastAsia" w:asciiTheme="minorEastAsia" w:hAnsiTheme="minorEastAsia" w:eastAsiaTheme="minorEastAsia" w:cstheme="minorEastAsia"/>
                <w:color w:val="auto"/>
                <w:sz w:val="24"/>
                <w:szCs w:val="24"/>
                <w:highlight w:val="none"/>
                <w:u w:val="none"/>
              </w:rPr>
              <w:t xml:space="preserve"> </w:t>
            </w:r>
            <w:r>
              <w:rPr>
                <w:rFonts w:hint="eastAsia" w:asciiTheme="minorEastAsia" w:hAnsiTheme="minorEastAsia" w:eastAsiaTheme="minorEastAsia" w:cstheme="minorEastAsia"/>
                <w:color w:val="auto"/>
                <w:sz w:val="24"/>
                <w:szCs w:val="24"/>
                <w:highlight w:val="none"/>
                <w:u w:val="none"/>
                <w:lang w:val="en-US" w:eastAsia="zh-CN"/>
              </w:rPr>
              <w:t>1</w:t>
            </w:r>
            <w:r>
              <w:rPr>
                <w:rFonts w:hint="eastAsia" w:ascii="宋体" w:hAnsi="宋体" w:cs="宋体"/>
                <w:color w:val="auto"/>
                <w:kern w:val="0"/>
                <w:sz w:val="24"/>
                <w:szCs w:val="24"/>
                <w:highlight w:val="none"/>
              </w:rPr>
              <w:t>5分钟</w:t>
            </w:r>
            <w:r>
              <w:rPr>
                <w:rFonts w:hint="eastAsia" w:asciiTheme="minorEastAsia" w:hAnsiTheme="minorEastAsia" w:eastAsiaTheme="minorEastAsia" w:cstheme="minorEastAsia"/>
                <w:color w:val="auto"/>
                <w:sz w:val="24"/>
                <w:szCs w:val="24"/>
                <w:highlight w:val="none"/>
                <w:u w:val="none"/>
                <w:lang w:val="zh-CN"/>
              </w:rPr>
              <w:t>。</w:t>
            </w:r>
          </w:p>
          <w:p w14:paraId="5D872DFF">
            <w:pPr>
              <w:keepNext w:val="0"/>
              <w:keepLines w:val="0"/>
              <w:pageBreakBefore w:val="0"/>
              <w:kinsoku/>
              <w:overflowPunct/>
              <w:topLinePunct w:val="0"/>
              <w:autoSpaceDE w:val="0"/>
              <w:autoSpaceDN w:val="0"/>
              <w:bidi w:val="0"/>
              <w:adjustRightInd w:val="0"/>
              <w:snapToGrid/>
              <w:spacing w:line="440" w:lineRule="exact"/>
              <w:ind w:left="0" w:leftChars="0" w:right="0" w:rightChars="0" w:firstLine="0" w:firstLineChars="0"/>
              <w:jc w:val="both"/>
              <w:rPr>
                <w:rFonts w:hint="default" w:ascii="宋体" w:hAnsi="宋体" w:eastAsia="宋体" w:cs="宋体"/>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u w:val="none"/>
                <w:lang w:val="zh-CN"/>
              </w:rPr>
              <w:t>4、演示形式：</w:t>
            </w:r>
            <w:r>
              <w:rPr>
                <w:rFonts w:hint="eastAsia" w:asciiTheme="minorEastAsia" w:hAnsiTheme="minorEastAsia" w:eastAsiaTheme="minorEastAsia" w:cstheme="minorEastAsia"/>
                <w:color w:val="auto"/>
                <w:sz w:val="24"/>
                <w:szCs w:val="24"/>
                <w:highlight w:val="none"/>
                <w:u w:val="none"/>
              </w:rPr>
              <w:t xml:space="preserve"> </w:t>
            </w:r>
            <w:r>
              <w:rPr>
                <w:rFonts w:hint="eastAsia" w:ascii="宋体" w:hAnsi="宋体" w:cs="宋体"/>
                <w:color w:val="auto"/>
                <w:kern w:val="0"/>
                <w:sz w:val="24"/>
                <w:szCs w:val="24"/>
                <w:highlight w:val="none"/>
              </w:rPr>
              <w:t>投标人</w:t>
            </w:r>
            <w:r>
              <w:rPr>
                <w:rFonts w:hint="eastAsia" w:ascii="宋体" w:hAnsi="宋体" w:cs="宋体"/>
                <w:color w:val="auto"/>
                <w:kern w:val="0"/>
                <w:sz w:val="24"/>
                <w:szCs w:val="24"/>
                <w:highlight w:val="none"/>
                <w:lang w:val="en-US" w:eastAsia="zh-CN"/>
              </w:rPr>
              <w:t>在政采云平台上</w:t>
            </w:r>
            <w:r>
              <w:rPr>
                <w:rFonts w:hint="eastAsia" w:ascii="宋体" w:hAnsi="宋体" w:cs="宋体"/>
                <w:color w:val="auto"/>
                <w:kern w:val="0"/>
                <w:sz w:val="24"/>
                <w:szCs w:val="24"/>
                <w:highlight w:val="none"/>
              </w:rPr>
              <w:t>演示</w:t>
            </w:r>
            <w:r>
              <w:rPr>
                <w:rFonts w:hint="eastAsia" w:ascii="宋体" w:hAnsi="宋体" w:eastAsia="宋体" w:cs="宋体"/>
                <w:color w:val="auto"/>
                <w:sz w:val="24"/>
                <w:szCs w:val="24"/>
                <w:highlight w:val="none"/>
                <w:u w:val="none"/>
              </w:rPr>
              <w:t xml:space="preserve">                                    </w:t>
            </w:r>
          </w:p>
        </w:tc>
      </w:tr>
      <w:tr w14:paraId="464DF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center"/>
          </w:tcPr>
          <w:p w14:paraId="76F6F6A9">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24</w:t>
            </w:r>
          </w:p>
        </w:tc>
        <w:tc>
          <w:tcPr>
            <w:tcW w:w="2431" w:type="dxa"/>
            <w:noWrap w:val="0"/>
            <w:vAlign w:val="center"/>
          </w:tcPr>
          <w:p w14:paraId="1FB0B07C">
            <w:pPr>
              <w:keepNext w:val="0"/>
              <w:keepLines w:val="0"/>
              <w:pageBreakBefore w:val="0"/>
              <w:kinsoku/>
              <w:wordWrap/>
              <w:overflowPunct/>
              <w:topLinePunct w:val="0"/>
              <w:autoSpaceDE w:val="0"/>
              <w:autoSpaceDN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rPr>
              <w:t>项目预算</w:t>
            </w:r>
          </w:p>
        </w:tc>
        <w:tc>
          <w:tcPr>
            <w:tcW w:w="6318" w:type="dxa"/>
            <w:noWrap w:val="0"/>
            <w:vAlign w:val="center"/>
          </w:tcPr>
          <w:p w14:paraId="02E10BAE">
            <w:pPr>
              <w:keepNext w:val="0"/>
              <w:keepLines w:val="0"/>
              <w:pageBreakBefore w:val="0"/>
              <w:kinsoku/>
              <w:wordWrap/>
              <w:overflowPunct/>
              <w:topLinePunct w:val="0"/>
              <w:autoSpaceDE w:val="0"/>
              <w:autoSpaceDN w:val="0"/>
              <w:bidi w:val="0"/>
              <w:adjustRightInd w:val="0"/>
              <w:snapToGrid w:val="0"/>
              <w:spacing w:line="440" w:lineRule="exact"/>
              <w:ind w:left="0" w:firstLine="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zh-CN"/>
              </w:rPr>
              <w:t>本</w:t>
            </w:r>
            <w:r>
              <w:rPr>
                <w:rFonts w:hint="eastAsia" w:ascii="宋体" w:hAnsi="宋体" w:cs="宋体"/>
                <w:color w:val="auto"/>
                <w:sz w:val="24"/>
                <w:szCs w:val="24"/>
                <w:highlight w:val="none"/>
                <w:u w:val="single"/>
                <w:lang w:val="zh-CN"/>
              </w:rPr>
              <w:t>新疆维吾尔自治区总工会协同办公平台采购项目</w:t>
            </w:r>
            <w:r>
              <w:rPr>
                <w:rFonts w:hint="eastAsia" w:ascii="宋体" w:hAnsi="宋体" w:eastAsia="宋体" w:cs="宋体"/>
                <w:color w:val="auto"/>
                <w:sz w:val="24"/>
                <w:szCs w:val="24"/>
                <w:highlight w:val="none"/>
                <w:u w:val="single"/>
                <w:lang w:val="zh-CN"/>
              </w:rPr>
              <w:t>项目</w:t>
            </w:r>
            <w:r>
              <w:rPr>
                <w:rFonts w:hint="eastAsia" w:ascii="宋体" w:hAnsi="宋体" w:eastAsia="宋体" w:cs="宋体"/>
                <w:color w:val="auto"/>
                <w:sz w:val="24"/>
                <w:szCs w:val="24"/>
                <w:highlight w:val="none"/>
                <w:lang w:val="zh-CN"/>
              </w:rPr>
              <w:t>预算为</w:t>
            </w:r>
            <w:r>
              <w:rPr>
                <w:rFonts w:hint="eastAsia" w:ascii="宋体" w:hAnsi="宋体" w:cs="宋体"/>
                <w:color w:val="auto"/>
                <w:sz w:val="24"/>
                <w:szCs w:val="24"/>
                <w:highlight w:val="none"/>
                <w:u w:val="single"/>
                <w:lang w:val="en-US" w:eastAsia="zh-CN"/>
              </w:rPr>
              <w:t>1355000.00元</w:t>
            </w:r>
            <w:r>
              <w:rPr>
                <w:rFonts w:hint="eastAsia" w:ascii="宋体" w:hAnsi="宋体" w:eastAsia="宋体" w:cs="宋体"/>
                <w:color w:val="auto"/>
                <w:sz w:val="24"/>
                <w:szCs w:val="24"/>
                <w:highlight w:val="none"/>
                <w:lang w:val="zh-CN"/>
              </w:rPr>
              <w:t>，供应商投标报价超过项目预算的按无效投标处理。</w:t>
            </w:r>
          </w:p>
        </w:tc>
      </w:tr>
      <w:tr w14:paraId="74A79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center"/>
          </w:tcPr>
          <w:p w14:paraId="46BB400D">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25</w:t>
            </w:r>
          </w:p>
        </w:tc>
        <w:tc>
          <w:tcPr>
            <w:tcW w:w="2431" w:type="dxa"/>
            <w:shd w:val="clear" w:color="auto" w:fill="auto"/>
            <w:noWrap w:val="0"/>
            <w:vAlign w:val="center"/>
          </w:tcPr>
          <w:p w14:paraId="614D1BD6">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kern w:val="0"/>
                <w:sz w:val="24"/>
                <w:szCs w:val="24"/>
                <w:highlight w:val="none"/>
                <w:lang w:val="en-US" w:eastAsia="zh-CN" w:bidi="ar-SA"/>
              </w:rPr>
            </w:pPr>
            <w:r>
              <w:rPr>
                <w:rStyle w:val="53"/>
                <w:rFonts w:hint="eastAsia" w:ascii="宋体" w:hAnsi="宋体" w:eastAsia="宋体" w:cs="宋体"/>
                <w:b/>
                <w:i w:val="0"/>
                <w:caps w:val="0"/>
                <w:color w:val="auto"/>
                <w:spacing w:val="0"/>
                <w:w w:val="100"/>
                <w:kern w:val="0"/>
                <w:position w:val="0"/>
                <w:sz w:val="24"/>
                <w:szCs w:val="24"/>
                <w:highlight w:val="none"/>
                <w:lang w:val="en-US" w:eastAsia="zh-CN" w:bidi="ar-SA"/>
              </w:rPr>
              <w:t>付款方式</w:t>
            </w:r>
          </w:p>
        </w:tc>
        <w:tc>
          <w:tcPr>
            <w:tcW w:w="6318" w:type="dxa"/>
            <w:shd w:val="clear" w:color="auto" w:fill="auto"/>
            <w:noWrap w:val="0"/>
            <w:vAlign w:val="center"/>
          </w:tcPr>
          <w:p w14:paraId="4CE662C3">
            <w:pPr>
              <w:keepNext w:val="0"/>
              <w:keepLines w:val="0"/>
              <w:pageBreakBefore w:val="0"/>
              <w:kinsoku/>
              <w:wordWrap/>
              <w:overflowPunct/>
              <w:topLinePunct w:val="0"/>
              <w:autoSpaceDE w:val="0"/>
              <w:autoSpaceDN w:val="0"/>
              <w:bidi w:val="0"/>
              <w:adjustRightInd w:val="0"/>
              <w:snapToGrid w:val="0"/>
              <w:spacing w:line="440" w:lineRule="exact"/>
              <w:ind w:left="0" w:leftChars="0" w:firstLine="0" w:firstLineChars="0"/>
              <w:rPr>
                <w:rFonts w:hint="eastAsia" w:ascii="宋体" w:hAnsi="宋体" w:eastAsia="宋体" w:cs="宋体"/>
                <w:color w:val="auto"/>
                <w:kern w:val="2"/>
                <w:sz w:val="24"/>
                <w:szCs w:val="24"/>
                <w:highlight w:val="none"/>
                <w:lang w:val="en-US" w:eastAsia="zh-CN" w:bidi="ar-SA"/>
              </w:rPr>
            </w:pPr>
            <w:bookmarkStart w:id="13" w:name="storageLife"/>
            <w:bookmarkEnd w:id="13"/>
            <w:r>
              <w:rPr>
                <w:rFonts w:hint="eastAsia" w:ascii="宋体" w:hAnsi="宋体" w:cs="宋体"/>
                <w:color w:val="auto"/>
                <w:sz w:val="24"/>
                <w:szCs w:val="24"/>
                <w:highlight w:val="none"/>
                <w:lang w:val="en-US" w:eastAsia="zh-CN"/>
              </w:rPr>
              <w:t>合同签订后支付合同金额的30%，项目验收合格后支付合同金额的60%，一年后支付合同金额的10%。</w:t>
            </w:r>
          </w:p>
        </w:tc>
      </w:tr>
      <w:tr w14:paraId="58E42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shd w:val="clear" w:color="auto" w:fill="auto"/>
            <w:noWrap w:val="0"/>
            <w:vAlign w:val="center"/>
          </w:tcPr>
          <w:p w14:paraId="3F6E6B01">
            <w:pPr>
              <w:keepNext w:val="0"/>
              <w:keepLines w:val="0"/>
              <w:pageBreakBefore w:val="0"/>
              <w:kinsoku/>
              <w:wordWrap/>
              <w:overflowPunct/>
              <w:topLinePunct w:val="0"/>
              <w:bidi w:val="0"/>
              <w:adjustRightInd w:val="0"/>
              <w:snapToGrid w:val="0"/>
              <w:spacing w:line="440" w:lineRule="exact"/>
              <w:ind w:left="0" w:leftChars="0" w:firstLine="0" w:firstLineChars="0"/>
              <w:jc w:val="center"/>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rPr>
              <w:t>26</w:t>
            </w:r>
          </w:p>
        </w:tc>
        <w:tc>
          <w:tcPr>
            <w:tcW w:w="2431" w:type="dxa"/>
            <w:shd w:val="clear" w:color="auto" w:fill="auto"/>
            <w:noWrap w:val="0"/>
            <w:vAlign w:val="center"/>
          </w:tcPr>
          <w:p w14:paraId="4C1E98C1">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质保期</w:t>
            </w:r>
          </w:p>
        </w:tc>
        <w:tc>
          <w:tcPr>
            <w:tcW w:w="6318" w:type="dxa"/>
            <w:shd w:val="clear" w:color="auto" w:fill="auto"/>
            <w:noWrap w:val="0"/>
            <w:vAlign w:val="center"/>
          </w:tcPr>
          <w:p w14:paraId="5EE6C5AD">
            <w:pPr>
              <w:pStyle w:val="2"/>
              <w:keepNext w:val="0"/>
              <w:keepLines w:val="0"/>
              <w:pageBreakBefore w:val="0"/>
              <w:kinsoku/>
              <w:wordWrap/>
              <w:overflowPunct/>
              <w:topLinePunct w:val="0"/>
              <w:bidi w:val="0"/>
              <w:spacing w:before="0" w:line="440" w:lineRule="exact"/>
              <w:ind w:left="0" w:leftChars="0" w:firstLine="0" w:firstLineChars="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一年</w:t>
            </w:r>
          </w:p>
        </w:tc>
      </w:tr>
      <w:tr w14:paraId="563E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0" w:type="dxa"/>
            <w:shd w:val="clear" w:color="auto" w:fill="auto"/>
            <w:noWrap w:val="0"/>
            <w:vAlign w:val="center"/>
          </w:tcPr>
          <w:p w14:paraId="3E54F12C">
            <w:pPr>
              <w:keepNext w:val="0"/>
              <w:keepLines w:val="0"/>
              <w:pageBreakBefore w:val="0"/>
              <w:kinsoku/>
              <w:wordWrap/>
              <w:overflowPunct/>
              <w:topLinePunct w:val="0"/>
              <w:bidi w:val="0"/>
              <w:adjustRightInd w:val="0"/>
              <w:snapToGrid w:val="0"/>
              <w:spacing w:line="440" w:lineRule="exact"/>
              <w:ind w:left="0" w:leftChars="0" w:firstLine="0" w:firstLineChars="0"/>
              <w:jc w:val="center"/>
              <w:rPr>
                <w:rFonts w:hint="eastAsia" w:ascii="宋体" w:hAnsi="宋体" w:eastAsia="宋体" w:cs="宋体"/>
                <w:b/>
                <w:color w:val="auto"/>
                <w:kern w:val="0"/>
                <w:sz w:val="24"/>
                <w:szCs w:val="24"/>
                <w:highlight w:val="none"/>
                <w:lang w:val="en-US" w:eastAsia="zh-CN" w:bidi="ar-SA"/>
              </w:rPr>
            </w:pPr>
            <w:r>
              <w:rPr>
                <w:rFonts w:hint="eastAsia" w:ascii="宋体" w:hAnsi="宋体" w:cs="宋体"/>
                <w:b/>
                <w:color w:val="auto"/>
                <w:kern w:val="0"/>
                <w:sz w:val="24"/>
                <w:szCs w:val="24"/>
                <w:highlight w:val="none"/>
                <w:lang w:val="en-US" w:eastAsia="zh-CN"/>
              </w:rPr>
              <w:t>27</w:t>
            </w:r>
          </w:p>
        </w:tc>
        <w:tc>
          <w:tcPr>
            <w:tcW w:w="2431" w:type="dxa"/>
            <w:noWrap w:val="0"/>
            <w:vAlign w:val="center"/>
          </w:tcPr>
          <w:p w14:paraId="462E4245">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kern w:val="0"/>
                <w:sz w:val="24"/>
                <w:szCs w:val="24"/>
                <w:highlight w:val="none"/>
                <w:lang w:val="en-US" w:eastAsia="zh-CN" w:bidi="ar-SA"/>
              </w:rPr>
            </w:pPr>
            <w:r>
              <w:rPr>
                <w:rStyle w:val="53"/>
                <w:rFonts w:hint="eastAsia" w:ascii="宋体" w:hAnsi="宋体" w:eastAsia="宋体" w:cs="宋体"/>
                <w:b/>
                <w:i w:val="0"/>
                <w:caps w:val="0"/>
                <w:color w:val="auto"/>
                <w:spacing w:val="0"/>
                <w:w w:val="100"/>
                <w:kern w:val="0"/>
                <w:position w:val="0"/>
                <w:sz w:val="24"/>
                <w:szCs w:val="24"/>
                <w:highlight w:val="none"/>
                <w:lang w:val="en-US" w:eastAsia="zh-CN" w:bidi="ar-SA"/>
              </w:rPr>
              <w:t>服务期限</w:t>
            </w:r>
          </w:p>
        </w:tc>
        <w:tc>
          <w:tcPr>
            <w:tcW w:w="6318" w:type="dxa"/>
            <w:noWrap w:val="0"/>
            <w:vAlign w:val="center"/>
          </w:tcPr>
          <w:p w14:paraId="0AB061DD">
            <w:pPr>
              <w:pStyle w:val="2"/>
              <w:keepNext w:val="0"/>
              <w:keepLines w:val="0"/>
              <w:pageBreakBefore w:val="0"/>
              <w:kinsoku/>
              <w:wordWrap/>
              <w:overflowPunct/>
              <w:topLinePunct w:val="0"/>
              <w:bidi w:val="0"/>
              <w:spacing w:before="0" w:line="440" w:lineRule="exact"/>
              <w:ind w:left="0" w:firstLine="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合同签订后60个日历日完成。</w:t>
            </w:r>
          </w:p>
        </w:tc>
      </w:tr>
      <w:tr w14:paraId="12575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center"/>
          </w:tcPr>
          <w:p w14:paraId="46F94FF1">
            <w:pPr>
              <w:keepNext w:val="0"/>
              <w:keepLines w:val="0"/>
              <w:pageBreakBefore w:val="0"/>
              <w:kinsoku/>
              <w:wordWrap/>
              <w:overflowPunct/>
              <w:topLinePunct w:val="0"/>
              <w:bidi w:val="0"/>
              <w:adjustRightInd w:val="0"/>
              <w:snapToGrid w:val="0"/>
              <w:spacing w:line="440" w:lineRule="exact"/>
              <w:ind w:left="0" w:firstLine="0"/>
              <w:jc w:val="center"/>
              <w:rPr>
                <w:rFonts w:hint="default"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28</w:t>
            </w:r>
          </w:p>
        </w:tc>
        <w:tc>
          <w:tcPr>
            <w:tcW w:w="2431" w:type="dxa"/>
            <w:noWrap w:val="0"/>
            <w:vAlign w:val="center"/>
          </w:tcPr>
          <w:p w14:paraId="6975AB31">
            <w:pPr>
              <w:keepNext w:val="0"/>
              <w:keepLines w:val="0"/>
              <w:pageBreakBefore w:val="0"/>
              <w:kinsoku/>
              <w:wordWrap/>
              <w:overflowPunct/>
              <w:topLinePunct w:val="0"/>
              <w:bidi w:val="0"/>
              <w:adjustRightInd w:val="0"/>
              <w:snapToGrid w:val="0"/>
              <w:spacing w:beforeAutospacing="0" w:after="0" w:afterAutospacing="0" w:line="440" w:lineRule="exact"/>
              <w:ind w:left="0" w:leftChars="0" w:right="0" w:rightChars="0" w:firstLine="0" w:firstLineChars="0"/>
              <w:jc w:val="center"/>
              <w:textAlignment w:val="baseline"/>
              <w:rPr>
                <w:rFonts w:hint="eastAsia" w:ascii="宋体" w:hAnsi="宋体" w:eastAsia="宋体" w:cs="宋体"/>
                <w:b/>
                <w:color w:val="auto"/>
                <w:kern w:val="0"/>
                <w:sz w:val="24"/>
                <w:szCs w:val="24"/>
                <w:highlight w:val="none"/>
                <w:lang w:val="en-US" w:eastAsia="zh-CN" w:bidi="ar-SA"/>
              </w:rPr>
            </w:pPr>
            <w:r>
              <w:rPr>
                <w:rStyle w:val="53"/>
                <w:rFonts w:hint="eastAsia" w:ascii="宋体" w:hAnsi="宋体" w:eastAsia="宋体" w:cs="宋体"/>
                <w:b/>
                <w:i w:val="0"/>
                <w:caps w:val="0"/>
                <w:color w:val="auto"/>
                <w:spacing w:val="0"/>
                <w:w w:val="100"/>
                <w:kern w:val="0"/>
                <w:position w:val="0"/>
                <w:sz w:val="24"/>
                <w:szCs w:val="24"/>
                <w:highlight w:val="none"/>
                <w:lang w:val="en-US" w:eastAsia="zh-CN" w:bidi="ar-SA"/>
              </w:rPr>
              <w:t>特别提示</w:t>
            </w:r>
          </w:p>
        </w:tc>
        <w:tc>
          <w:tcPr>
            <w:tcW w:w="6318" w:type="dxa"/>
            <w:noWrap w:val="0"/>
            <w:vAlign w:val="center"/>
          </w:tcPr>
          <w:p w14:paraId="1DC08CE7">
            <w:pPr>
              <w:pStyle w:val="78"/>
              <w:keepNext w:val="0"/>
              <w:keepLines w:val="0"/>
              <w:pageBreakBefore w:val="0"/>
              <w:widowControl/>
              <w:kinsoku/>
              <w:wordWrap/>
              <w:overflowPunct/>
              <w:topLinePunct w:val="0"/>
              <w:autoSpaceDE/>
              <w:autoSpaceDN/>
              <w:bidi w:val="0"/>
              <w:adjustRightInd w:val="0"/>
              <w:snapToGrid w:val="0"/>
              <w:spacing w:beforeAutospacing="0" w:after="0" w:afterAutospacing="0" w:line="440" w:lineRule="exact"/>
              <w:ind w:left="0" w:leftChars="0" w:right="0" w:firstLine="0" w:firstLineChars="0"/>
              <w:jc w:val="both"/>
              <w:textAlignment w:val="baseline"/>
              <w:rPr>
                <w:rStyle w:val="53"/>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bCs w:val="0"/>
                <w:i w:val="0"/>
                <w:caps w:val="0"/>
                <w:color w:val="auto"/>
                <w:spacing w:val="0"/>
                <w:w w:val="100"/>
                <w:kern w:val="2"/>
                <w:position w:val="0"/>
                <w:sz w:val="24"/>
                <w:szCs w:val="24"/>
                <w:highlight w:val="none"/>
                <w:lang w:val="en-US" w:eastAsia="zh-CN" w:bidi="ar-SA"/>
              </w:rPr>
              <w:t>1、本项目实行网上投标，采用电子投标文件；</w:t>
            </w:r>
          </w:p>
          <w:p w14:paraId="334DF045">
            <w:pPr>
              <w:pStyle w:val="78"/>
              <w:keepNext w:val="0"/>
              <w:keepLines w:val="0"/>
              <w:pageBreakBefore w:val="0"/>
              <w:widowControl/>
              <w:kinsoku/>
              <w:wordWrap/>
              <w:overflowPunct/>
              <w:topLinePunct w:val="0"/>
              <w:autoSpaceDE/>
              <w:autoSpaceDN/>
              <w:bidi w:val="0"/>
              <w:adjustRightInd w:val="0"/>
              <w:snapToGrid w:val="0"/>
              <w:spacing w:beforeAutospacing="0" w:after="0" w:afterAutospacing="0" w:line="440" w:lineRule="exact"/>
              <w:ind w:left="0" w:leftChars="0" w:right="0" w:firstLine="0" w:firstLineChars="0"/>
              <w:jc w:val="left"/>
              <w:textAlignment w:val="baseline"/>
              <w:rPr>
                <w:rStyle w:val="53"/>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bCs w:val="0"/>
                <w:i w:val="0"/>
                <w:caps w:val="0"/>
                <w:color w:val="auto"/>
                <w:spacing w:val="0"/>
                <w:w w:val="100"/>
                <w:kern w:val="2"/>
                <w:position w:val="0"/>
                <w:sz w:val="24"/>
                <w:szCs w:val="24"/>
                <w:highlight w:val="none"/>
                <w:lang w:val="en-US" w:eastAsia="zh-CN" w:bidi="ar-SA"/>
              </w:rPr>
              <w:t>2、各供应商应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24DC6AB6">
            <w:pPr>
              <w:pStyle w:val="78"/>
              <w:keepNext w:val="0"/>
              <w:keepLines w:val="0"/>
              <w:pageBreakBefore w:val="0"/>
              <w:widowControl/>
              <w:kinsoku/>
              <w:wordWrap/>
              <w:overflowPunct/>
              <w:topLinePunct w:val="0"/>
              <w:autoSpaceDE/>
              <w:autoSpaceDN/>
              <w:bidi w:val="0"/>
              <w:adjustRightInd w:val="0"/>
              <w:snapToGrid w:val="0"/>
              <w:spacing w:beforeAutospacing="0" w:after="0" w:afterAutospacing="0" w:line="440" w:lineRule="exact"/>
              <w:ind w:left="0" w:leftChars="0" w:right="0" w:firstLine="0" w:firstLineChars="0"/>
              <w:jc w:val="left"/>
              <w:textAlignment w:val="baseline"/>
              <w:rPr>
                <w:rStyle w:val="53"/>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bCs w:val="0"/>
                <w:i w:val="0"/>
                <w:caps w:val="0"/>
                <w:color w:val="auto"/>
                <w:spacing w:val="0"/>
                <w:w w:val="100"/>
                <w:kern w:val="2"/>
                <w:position w:val="0"/>
                <w:sz w:val="24"/>
                <w:szCs w:val="24"/>
                <w:highlight w:val="none"/>
                <w:lang w:val="en-US" w:eastAsia="zh-CN" w:bidi="ar-SA"/>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064F1D07">
            <w:pPr>
              <w:pStyle w:val="78"/>
              <w:keepNext w:val="0"/>
              <w:keepLines w:val="0"/>
              <w:pageBreakBefore w:val="0"/>
              <w:widowControl/>
              <w:kinsoku/>
              <w:wordWrap/>
              <w:overflowPunct/>
              <w:topLinePunct w:val="0"/>
              <w:autoSpaceDE/>
              <w:autoSpaceDN/>
              <w:bidi w:val="0"/>
              <w:adjustRightInd w:val="0"/>
              <w:snapToGrid w:val="0"/>
              <w:spacing w:beforeAutospacing="0" w:after="0" w:afterAutospacing="0" w:line="440" w:lineRule="exact"/>
              <w:ind w:left="0" w:leftChars="0" w:right="0" w:firstLine="0" w:firstLineChars="0"/>
              <w:jc w:val="both"/>
              <w:textAlignment w:val="baseline"/>
              <w:rPr>
                <w:rStyle w:val="53"/>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bCs w:val="0"/>
                <w:i w:val="0"/>
                <w:caps w:val="0"/>
                <w:color w:val="auto"/>
                <w:spacing w:val="0"/>
                <w:w w:val="100"/>
                <w:kern w:val="2"/>
                <w:position w:val="0"/>
                <w:sz w:val="24"/>
                <w:szCs w:val="24"/>
                <w:highlight w:val="none"/>
                <w:lang w:val="en-US" w:eastAsia="zh-CN" w:bidi="ar-SA"/>
              </w:rPr>
              <w:t>4、供应商应当在招标截止时间前,将生成的“电子加密响应文件”上传递交至“政府采购云平台”,招标截止时间以后上传递交的响应文件将被“政府采购云平台”拒收。</w:t>
            </w:r>
          </w:p>
          <w:p w14:paraId="10D17B93">
            <w:pPr>
              <w:pStyle w:val="78"/>
              <w:keepNext w:val="0"/>
              <w:keepLines w:val="0"/>
              <w:pageBreakBefore w:val="0"/>
              <w:widowControl/>
              <w:kinsoku/>
              <w:wordWrap/>
              <w:overflowPunct/>
              <w:topLinePunct w:val="0"/>
              <w:autoSpaceDE/>
              <w:autoSpaceDN/>
              <w:bidi w:val="0"/>
              <w:adjustRightInd w:val="0"/>
              <w:snapToGrid w:val="0"/>
              <w:spacing w:beforeAutospacing="0" w:after="0" w:afterAutospacing="0" w:line="440" w:lineRule="exact"/>
              <w:ind w:left="0" w:leftChars="0" w:right="0" w:firstLine="0" w:firstLineChars="0"/>
              <w:jc w:val="both"/>
              <w:textAlignment w:val="baseline"/>
              <w:rPr>
                <w:rStyle w:val="53"/>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bCs w:val="0"/>
                <w:i w:val="0"/>
                <w:caps w:val="0"/>
                <w:color w:val="auto"/>
                <w:spacing w:val="0"/>
                <w:w w:val="100"/>
                <w:kern w:val="2"/>
                <w:position w:val="0"/>
                <w:sz w:val="24"/>
                <w:szCs w:val="24"/>
                <w:highlight w:val="none"/>
                <w:lang w:val="en-US" w:eastAsia="zh-CN" w:bidi="ar-SA"/>
              </w:rPr>
              <w:t>5、供应商在招标前须提前配置好电脑浏览器（建议使用360 浏览器或谷歌浏览器）, 招标时请使用制作加密电子响应文件的CA锁进行解密及报价确认。本项目响应文件解密时间定为30分钟内,如因自身原因导致无法正常解密,后果由供应商自行承担。</w:t>
            </w:r>
          </w:p>
          <w:p w14:paraId="56C61586">
            <w:pPr>
              <w:keepNext w:val="0"/>
              <w:keepLines w:val="0"/>
              <w:pageBreakBefore w:val="0"/>
              <w:numPr>
                <w:ilvl w:val="0"/>
                <w:numId w:val="0"/>
              </w:numPr>
              <w:kinsoku/>
              <w:wordWrap/>
              <w:overflowPunct/>
              <w:topLinePunct w:val="0"/>
              <w:bidi w:val="0"/>
              <w:adjustRightInd w:val="0"/>
              <w:snapToGrid w:val="0"/>
              <w:spacing w:beforeAutospacing="0" w:after="0" w:afterAutospacing="0" w:line="440" w:lineRule="exact"/>
              <w:ind w:left="0" w:leftChars="0" w:right="0" w:rightChars="0" w:firstLine="0" w:firstLineChars="0"/>
              <w:jc w:val="both"/>
              <w:textAlignment w:val="baseline"/>
              <w:rPr>
                <w:rFonts w:hint="eastAsia" w:ascii="宋体" w:hAnsi="宋体" w:eastAsia="宋体" w:cs="宋体"/>
                <w:color w:val="auto"/>
                <w:kern w:val="2"/>
                <w:sz w:val="24"/>
                <w:szCs w:val="24"/>
                <w:highlight w:val="none"/>
                <w:lang w:val="en-US" w:eastAsia="zh-CN" w:bidi="ar-SA"/>
              </w:rPr>
            </w:pPr>
            <w:r>
              <w:rPr>
                <w:rStyle w:val="53"/>
                <w:rFonts w:hint="eastAsia" w:ascii="宋体" w:hAnsi="宋体" w:eastAsia="宋体" w:cs="宋体"/>
                <w:b w:val="0"/>
                <w:bCs w:val="0"/>
                <w:i w:val="0"/>
                <w:caps w:val="0"/>
                <w:color w:val="auto"/>
                <w:spacing w:val="0"/>
                <w:w w:val="100"/>
                <w:kern w:val="2"/>
                <w:position w:val="0"/>
                <w:sz w:val="24"/>
                <w:szCs w:val="24"/>
                <w:highlight w:val="none"/>
                <w:lang w:val="en-US" w:eastAsia="zh-CN" w:bidi="ar-SA"/>
              </w:rPr>
              <w:t>6、供应商登录政采云平台，在招标时间后30分钟内用“项目采购-开标评标”功能进行解密响应文件。若供应商在规定时间内（未按时解密的，视为无效招标。</w:t>
            </w:r>
            <w:r>
              <w:rPr>
                <w:rStyle w:val="53"/>
                <w:rFonts w:hint="eastAsia" w:ascii="宋体" w:hAnsi="宋体" w:cs="宋体"/>
                <w:b w:val="0"/>
                <w:bCs w:val="0"/>
                <w:i w:val="0"/>
                <w:caps w:val="0"/>
                <w:color w:val="auto"/>
                <w:spacing w:val="0"/>
                <w:w w:val="100"/>
                <w:kern w:val="2"/>
                <w:position w:val="0"/>
                <w:sz w:val="24"/>
                <w:szCs w:val="24"/>
                <w:highlight w:val="none"/>
                <w:lang w:val="en-US" w:eastAsia="zh-CN" w:bidi="ar-SA"/>
              </w:rPr>
              <w:t>）</w:t>
            </w:r>
            <w:r>
              <w:rPr>
                <w:rStyle w:val="53"/>
                <w:rFonts w:hint="eastAsia" w:ascii="宋体" w:hAnsi="宋体" w:eastAsia="宋体" w:cs="宋体"/>
                <w:b w:val="0"/>
                <w:bCs w:val="0"/>
                <w:i w:val="0"/>
                <w:caps w:val="0"/>
                <w:color w:val="auto"/>
                <w:spacing w:val="0"/>
                <w:w w:val="100"/>
                <w:kern w:val="2"/>
                <w:position w:val="0"/>
                <w:sz w:val="24"/>
                <w:szCs w:val="24"/>
                <w:highlight w:val="none"/>
                <w:lang w:val="en-US" w:eastAsia="zh-CN" w:bidi="ar-SA"/>
              </w:rPr>
              <w:t>解密与加密响应文件须使用同一个 CA。 </w:t>
            </w:r>
          </w:p>
        </w:tc>
      </w:tr>
      <w:tr w14:paraId="41C9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noWrap w:val="0"/>
            <w:vAlign w:val="center"/>
          </w:tcPr>
          <w:p w14:paraId="65D2FDBB">
            <w:pPr>
              <w:keepNext w:val="0"/>
              <w:keepLines w:val="0"/>
              <w:pageBreakBefore w:val="0"/>
              <w:kinsoku/>
              <w:wordWrap/>
              <w:overflowPunct/>
              <w:topLinePunct w:val="0"/>
              <w:bidi w:val="0"/>
              <w:adjustRightInd w:val="0"/>
              <w:snapToGrid w:val="0"/>
              <w:spacing w:line="440" w:lineRule="exact"/>
              <w:ind w:left="0" w:firstLine="0"/>
              <w:jc w:val="center"/>
              <w:rPr>
                <w:rFonts w:hint="eastAsia" w:ascii="宋体" w:hAnsi="宋体" w:eastAsia="宋体" w:cs="宋体"/>
                <w:b/>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备注</w:t>
            </w:r>
          </w:p>
        </w:tc>
        <w:tc>
          <w:tcPr>
            <w:tcW w:w="8749" w:type="dxa"/>
            <w:gridSpan w:val="2"/>
            <w:noWrap w:val="0"/>
            <w:vAlign w:val="center"/>
          </w:tcPr>
          <w:p w14:paraId="71DC7544">
            <w:pPr>
              <w:keepNext w:val="0"/>
              <w:keepLines w:val="0"/>
              <w:pageBreakBefore w:val="0"/>
              <w:kinsoku/>
              <w:wordWrap/>
              <w:overflowPunct/>
              <w:topLinePunct w:val="0"/>
              <w:autoSpaceDE w:val="0"/>
              <w:autoSpaceDN w:val="0"/>
              <w:bidi w:val="0"/>
              <w:adjustRightInd w:val="0"/>
              <w:snapToGrid w:val="0"/>
              <w:spacing w:line="440" w:lineRule="exact"/>
              <w:ind w:left="0" w:firstLine="0"/>
              <w:rPr>
                <w:rFonts w:hint="eastAsia" w:ascii="宋体" w:hAnsi="宋体" w:eastAsia="宋体" w:cs="宋体"/>
                <w:color w:val="auto"/>
                <w:sz w:val="24"/>
                <w:szCs w:val="24"/>
                <w:highlight w:val="none"/>
              </w:rPr>
            </w:pPr>
          </w:p>
        </w:tc>
      </w:tr>
    </w:tbl>
    <w:p w14:paraId="6F842D22">
      <w:pPr>
        <w:spacing w:line="4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注：本表内容与招标文件其它内容不一致的，应当以本表内容为准。</w:t>
      </w:r>
    </w:p>
    <w:p w14:paraId="6EA9D651">
      <w:pPr>
        <w:pStyle w:val="21"/>
        <w:rPr>
          <w:rFonts w:hint="eastAsia" w:ascii="宋体" w:hAnsi="宋体" w:eastAsia="宋体" w:cs="宋体"/>
          <w:color w:val="auto"/>
          <w:kern w:val="0"/>
          <w:sz w:val="24"/>
          <w:highlight w:val="none"/>
        </w:rPr>
      </w:pPr>
    </w:p>
    <w:p w14:paraId="2A4BBD20">
      <w:pPr>
        <w:rPr>
          <w:rFonts w:hint="eastAsia" w:ascii="宋体" w:hAnsi="宋体" w:eastAsia="宋体" w:cs="宋体"/>
          <w:color w:val="auto"/>
          <w:kern w:val="0"/>
          <w:sz w:val="24"/>
          <w:highlight w:val="none"/>
        </w:rPr>
      </w:pPr>
    </w:p>
    <w:p w14:paraId="68F4BD45">
      <w:pPr>
        <w:pStyle w:val="29"/>
        <w:rPr>
          <w:rFonts w:hint="eastAsia" w:ascii="宋体" w:hAnsi="宋体" w:eastAsia="宋体" w:cs="宋体"/>
          <w:color w:val="auto"/>
          <w:kern w:val="0"/>
          <w:sz w:val="24"/>
          <w:highlight w:val="none"/>
        </w:rPr>
      </w:pPr>
    </w:p>
    <w:p w14:paraId="1A0EBE79">
      <w:pPr>
        <w:pStyle w:val="29"/>
        <w:rPr>
          <w:rFonts w:hint="eastAsia" w:ascii="宋体" w:hAnsi="宋体" w:eastAsia="宋体" w:cs="宋体"/>
          <w:color w:val="auto"/>
          <w:kern w:val="0"/>
          <w:sz w:val="24"/>
          <w:highlight w:val="none"/>
        </w:rPr>
      </w:pPr>
    </w:p>
    <w:p w14:paraId="0069C936">
      <w:pPr>
        <w:pStyle w:val="29"/>
        <w:rPr>
          <w:rFonts w:hint="eastAsia" w:ascii="宋体" w:hAnsi="宋体" w:eastAsia="宋体" w:cs="宋体"/>
          <w:color w:val="auto"/>
          <w:kern w:val="0"/>
          <w:sz w:val="24"/>
          <w:highlight w:val="none"/>
        </w:rPr>
      </w:pPr>
    </w:p>
    <w:p w14:paraId="10BBDD04">
      <w:pPr>
        <w:pStyle w:val="29"/>
        <w:rPr>
          <w:rFonts w:hint="eastAsia" w:ascii="宋体" w:hAnsi="宋体" w:eastAsia="宋体" w:cs="宋体"/>
          <w:color w:val="auto"/>
          <w:kern w:val="0"/>
          <w:sz w:val="24"/>
          <w:highlight w:val="none"/>
        </w:rPr>
      </w:pPr>
    </w:p>
    <w:p w14:paraId="3ED3680D">
      <w:pPr>
        <w:pStyle w:val="29"/>
        <w:rPr>
          <w:rFonts w:hint="eastAsia" w:ascii="宋体" w:hAnsi="宋体" w:eastAsia="宋体" w:cs="宋体"/>
          <w:color w:val="auto"/>
          <w:kern w:val="0"/>
          <w:sz w:val="24"/>
          <w:highlight w:val="none"/>
        </w:rPr>
      </w:pPr>
    </w:p>
    <w:p w14:paraId="57DEE259">
      <w:pPr>
        <w:pStyle w:val="29"/>
        <w:rPr>
          <w:rFonts w:hint="eastAsia" w:ascii="宋体" w:hAnsi="宋体" w:eastAsia="宋体" w:cs="宋体"/>
          <w:color w:val="auto"/>
          <w:kern w:val="0"/>
          <w:sz w:val="24"/>
          <w:highlight w:val="none"/>
        </w:rPr>
      </w:pPr>
    </w:p>
    <w:p w14:paraId="6FDB36F8">
      <w:pPr>
        <w:pStyle w:val="29"/>
        <w:rPr>
          <w:rFonts w:hint="eastAsia" w:ascii="宋体" w:hAnsi="宋体" w:eastAsia="宋体" w:cs="宋体"/>
          <w:color w:val="auto"/>
          <w:kern w:val="0"/>
          <w:sz w:val="24"/>
          <w:highlight w:val="none"/>
        </w:rPr>
      </w:pPr>
    </w:p>
    <w:p w14:paraId="3650C1F1">
      <w:pPr>
        <w:pStyle w:val="29"/>
        <w:rPr>
          <w:rFonts w:hint="eastAsia" w:ascii="宋体" w:hAnsi="宋体" w:eastAsia="宋体" w:cs="宋体"/>
          <w:color w:val="auto"/>
          <w:kern w:val="0"/>
          <w:sz w:val="24"/>
          <w:highlight w:val="none"/>
        </w:rPr>
      </w:pPr>
    </w:p>
    <w:p w14:paraId="4D3B5CD3">
      <w:pPr>
        <w:pStyle w:val="29"/>
        <w:rPr>
          <w:rFonts w:hint="eastAsia" w:ascii="宋体" w:hAnsi="宋体" w:eastAsia="宋体" w:cs="宋体"/>
          <w:color w:val="auto"/>
          <w:kern w:val="0"/>
          <w:sz w:val="24"/>
          <w:highlight w:val="none"/>
        </w:rPr>
      </w:pPr>
    </w:p>
    <w:p w14:paraId="27F2C282">
      <w:pPr>
        <w:pStyle w:val="29"/>
        <w:rPr>
          <w:rFonts w:hint="eastAsia" w:ascii="宋体" w:hAnsi="宋体" w:eastAsia="宋体" w:cs="宋体"/>
          <w:color w:val="auto"/>
          <w:kern w:val="0"/>
          <w:sz w:val="24"/>
          <w:highlight w:val="none"/>
        </w:rPr>
      </w:pPr>
    </w:p>
    <w:p w14:paraId="47B12822">
      <w:pPr>
        <w:pStyle w:val="29"/>
        <w:rPr>
          <w:rFonts w:hint="eastAsia" w:ascii="宋体" w:hAnsi="宋体" w:eastAsia="宋体" w:cs="宋体"/>
          <w:color w:val="auto"/>
          <w:kern w:val="0"/>
          <w:sz w:val="24"/>
          <w:highlight w:val="none"/>
        </w:rPr>
      </w:pPr>
    </w:p>
    <w:p w14:paraId="2B9E57E1">
      <w:pPr>
        <w:pStyle w:val="29"/>
        <w:rPr>
          <w:rFonts w:hint="eastAsia" w:ascii="宋体" w:hAnsi="宋体" w:eastAsia="宋体" w:cs="宋体"/>
          <w:color w:val="auto"/>
          <w:kern w:val="0"/>
          <w:sz w:val="24"/>
          <w:highlight w:val="none"/>
        </w:rPr>
      </w:pPr>
    </w:p>
    <w:p w14:paraId="562A1355">
      <w:pPr>
        <w:pStyle w:val="29"/>
        <w:rPr>
          <w:rFonts w:hint="eastAsia" w:ascii="宋体" w:hAnsi="宋体" w:eastAsia="宋体" w:cs="宋体"/>
          <w:color w:val="auto"/>
          <w:kern w:val="0"/>
          <w:sz w:val="24"/>
          <w:highlight w:val="none"/>
        </w:rPr>
      </w:pPr>
    </w:p>
    <w:p w14:paraId="2C12A799">
      <w:pPr>
        <w:pStyle w:val="29"/>
        <w:rPr>
          <w:rFonts w:hint="eastAsia" w:ascii="宋体" w:hAnsi="宋体" w:eastAsia="宋体" w:cs="宋体"/>
          <w:color w:val="auto"/>
          <w:kern w:val="0"/>
          <w:sz w:val="24"/>
          <w:highlight w:val="none"/>
        </w:rPr>
      </w:pPr>
    </w:p>
    <w:p w14:paraId="6D8C223C">
      <w:pPr>
        <w:pStyle w:val="29"/>
        <w:rPr>
          <w:rFonts w:hint="eastAsia" w:ascii="宋体" w:hAnsi="宋体" w:eastAsia="宋体" w:cs="宋体"/>
          <w:color w:val="auto"/>
          <w:kern w:val="0"/>
          <w:sz w:val="24"/>
          <w:highlight w:val="none"/>
        </w:rPr>
      </w:pPr>
    </w:p>
    <w:p w14:paraId="7D7E15E9">
      <w:pPr>
        <w:pStyle w:val="29"/>
        <w:rPr>
          <w:rFonts w:hint="eastAsia" w:ascii="宋体" w:hAnsi="宋体" w:eastAsia="宋体" w:cs="宋体"/>
          <w:color w:val="auto"/>
          <w:kern w:val="0"/>
          <w:sz w:val="24"/>
          <w:highlight w:val="none"/>
        </w:rPr>
      </w:pPr>
    </w:p>
    <w:p w14:paraId="712E5B29">
      <w:pPr>
        <w:spacing w:line="500" w:lineRule="exact"/>
        <w:jc w:val="center"/>
        <w:outlineLvl w:val="1"/>
        <w:rPr>
          <w:rFonts w:hint="eastAsia" w:ascii="宋体" w:hAnsi="宋体" w:eastAsia="宋体" w:cs="宋体"/>
          <w:b/>
          <w:color w:val="auto"/>
          <w:sz w:val="32"/>
          <w:szCs w:val="32"/>
          <w:highlight w:val="none"/>
        </w:rPr>
      </w:pPr>
      <w:bookmarkStart w:id="14" w:name="_Toc256000003"/>
      <w:bookmarkStart w:id="15" w:name="_Toc25836"/>
      <w:r>
        <w:rPr>
          <w:rFonts w:hint="eastAsia" w:ascii="宋体" w:hAnsi="宋体" w:cs="宋体"/>
          <w:b/>
          <w:color w:val="auto"/>
          <w:sz w:val="32"/>
          <w:szCs w:val="32"/>
          <w:highlight w:val="none"/>
          <w:lang w:eastAsia="zh-CN"/>
        </w:rPr>
        <w:t>供应商</w:t>
      </w:r>
      <w:r>
        <w:rPr>
          <w:rFonts w:hint="eastAsia" w:ascii="宋体" w:hAnsi="宋体" w:eastAsia="宋体" w:cs="宋体"/>
          <w:b/>
          <w:color w:val="auto"/>
          <w:sz w:val="32"/>
          <w:szCs w:val="32"/>
          <w:highlight w:val="none"/>
        </w:rPr>
        <w:t>须知正文部分</w:t>
      </w:r>
      <w:bookmarkEnd w:id="14"/>
      <w:bookmarkEnd w:id="15"/>
    </w:p>
    <w:p w14:paraId="0F53DE9E">
      <w:pPr>
        <w:pStyle w:val="5"/>
        <w:numPr>
          <w:ilvl w:val="0"/>
          <w:numId w:val="0"/>
        </w:numPr>
        <w:spacing w:before="0" w:after="0" w:line="360" w:lineRule="auto"/>
        <w:jc w:val="both"/>
        <w:rPr>
          <w:rFonts w:hint="eastAsia" w:ascii="宋体" w:hAnsi="宋体" w:eastAsia="宋体" w:cs="宋体"/>
          <w:color w:val="auto"/>
          <w:sz w:val="24"/>
          <w:szCs w:val="24"/>
          <w:highlight w:val="none"/>
        </w:rPr>
      </w:pPr>
      <w:bookmarkStart w:id="16" w:name="_Toc13045"/>
      <w:bookmarkStart w:id="17" w:name="_Toc256000004"/>
      <w:r>
        <w:rPr>
          <w:rFonts w:hint="eastAsia" w:ascii="宋体" w:hAnsi="宋体" w:eastAsia="宋体" w:cs="宋体"/>
          <w:color w:val="auto"/>
          <w:sz w:val="24"/>
          <w:szCs w:val="24"/>
          <w:highlight w:val="none"/>
        </w:rPr>
        <w:t>一、总则</w:t>
      </w:r>
      <w:bookmarkEnd w:id="16"/>
      <w:bookmarkEnd w:id="17"/>
    </w:p>
    <w:p w14:paraId="356D75D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1.说明</w:t>
      </w:r>
    </w:p>
    <w:p w14:paraId="7B2AE72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 本招标文件适用于本次招标采购项目的招标投标。</w:t>
      </w:r>
    </w:p>
    <w:p w14:paraId="13FC0EF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485FA25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“采购人”名称见本招标文件第二部分“</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须知前附表”。</w:t>
      </w:r>
    </w:p>
    <w:p w14:paraId="35018D5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“采购代理机构”名称见本招标文件第二部分“</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须知前附表”。</w:t>
      </w:r>
    </w:p>
    <w:p w14:paraId="00836D8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“服务”指招标文件第三部分所述</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应该履行的承诺和义务。</w:t>
      </w:r>
    </w:p>
    <w:p w14:paraId="2EEE49D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“潜在</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”指符合招标文件各项规定的供应商。</w:t>
      </w:r>
    </w:p>
    <w:p w14:paraId="098210E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 “</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”指符合招标文件规定并参加投标的供应商。</w:t>
      </w:r>
    </w:p>
    <w:p w14:paraId="41CEDA4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 “</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公章”在投标文件中指与</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标准公章一致的</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电子签章。</w:t>
      </w:r>
    </w:p>
    <w:p w14:paraId="60495E81">
      <w:pPr>
        <w:spacing w:line="360" w:lineRule="auto"/>
        <w:ind w:firstLine="480" w:firstLineChars="200"/>
        <w:rPr>
          <w:rFonts w:hint="eastAsia" w:ascii="宋体" w:hAnsi="宋体" w:eastAsia="宋体" w:cs="宋体"/>
          <w:color w:val="auto"/>
          <w:sz w:val="24"/>
          <w:highlight w:val="none"/>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2.7“电子投标文件”指利用政采云交易平台提供的“电子投标文件制作工具”编制加密和未加密的投标文件。</w:t>
      </w:r>
    </w:p>
    <w:p w14:paraId="4D5890B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3.合格</w:t>
      </w:r>
      <w:r>
        <w:rPr>
          <w:rFonts w:hint="eastAsia" w:ascii="宋体" w:hAnsi="宋体" w:cs="宋体"/>
          <w:b/>
          <w:color w:val="auto"/>
          <w:sz w:val="24"/>
          <w:highlight w:val="none"/>
          <w:lang w:eastAsia="zh-CN"/>
        </w:rPr>
        <w:t>供应商</w:t>
      </w:r>
      <w:r>
        <w:rPr>
          <w:rFonts w:hint="eastAsia" w:ascii="宋体" w:hAnsi="宋体" w:eastAsia="宋体" w:cs="宋体"/>
          <w:b/>
          <w:color w:val="auto"/>
          <w:sz w:val="24"/>
          <w:highlight w:val="none"/>
        </w:rPr>
        <w:t>的条件</w:t>
      </w:r>
    </w:p>
    <w:p w14:paraId="492EC62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具有本项目实施能力，符合、承认并承诺履行本文件各项规定的国内法人、其他组织或自然人均可参加投标。</w:t>
      </w:r>
    </w:p>
    <w:p w14:paraId="7FDEB9B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 遵守有关的国家法律、法规和条例，具备《中华人民共和国政府采购法》和本文件中规定的条件：</w:t>
      </w:r>
    </w:p>
    <w:p w14:paraId="46C271F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1)具有独立承担民事责任的能力； </w:t>
      </w:r>
    </w:p>
    <w:p w14:paraId="4B88144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14:paraId="164FAF6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51B58A9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4)具有依法缴纳税收和社会保障资金的良好记录；</w:t>
      </w:r>
    </w:p>
    <w:p w14:paraId="08E9C3C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540FA6D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14:paraId="16984A7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7)具有本招标文件第二部分“</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须知前附表”中第5项规定的资格条件。</w:t>
      </w:r>
    </w:p>
    <w:p w14:paraId="68B94A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3.3 </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之间如果存在下列情形之一的，不得同时参加同一包（标段）或者不分包（标段）的同一项目投标：</w:t>
      </w:r>
    </w:p>
    <w:p w14:paraId="1438645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 法定代表人为同一个人的两个及两个以上法人；</w:t>
      </w:r>
    </w:p>
    <w:p w14:paraId="2F0A765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3.3.2 母公司、全资子公司及其控股公司；</w:t>
      </w:r>
    </w:p>
    <w:p w14:paraId="6D571E8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 参加投标的其他组织之间存在特殊的利害关系的；</w:t>
      </w:r>
    </w:p>
    <w:p w14:paraId="4565A2B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 法律和行政法规规定的其他情形。</w:t>
      </w:r>
    </w:p>
    <w:p w14:paraId="72ABEAA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3.4 </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须持有《法定代表人授权委托书》。</w:t>
      </w:r>
    </w:p>
    <w:p w14:paraId="314F1E3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 供应商在政采云交易平台内针对本项目报名并下载了电子采购文件。</w:t>
      </w:r>
    </w:p>
    <w:p w14:paraId="6D5CCF0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3.6 </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按时足额交纳投标保证金。</w:t>
      </w:r>
    </w:p>
    <w:p w14:paraId="098E72C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 本次招标是否允许由两个以上</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组成一个联合体以一个</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身份共同投标，按照招标文件第二部分“</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须知前附表”中第</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项的规定。如果允许，除均应符合上述规定外，还应符合下列要求：</w:t>
      </w:r>
    </w:p>
    <w:p w14:paraId="7FFC69D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联合投标体应提供“联合投标协议书”，该协议书对联合投标各方均具有法律约束力。联合投标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政府有权机构核发的有效营业执照；均应是自主经营、独立核算、处于持续正常经营状态的经济实体。</w:t>
      </w:r>
    </w:p>
    <w:p w14:paraId="70556E5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2）联合体各方中至少应当有一方对应满足本项目规定的相应资质条件，并且联合体</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整体应当符合本项目的资质要求，否则，其提交的联合投标将被拒绝。</w:t>
      </w:r>
    </w:p>
    <w:p w14:paraId="26B269C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3）由不同专业的</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组成的联合体, 首先以投标的全权代表方的应答材料作为认定资质以及商务评审的依据；涉及行业专属的资质,按照所属行业所对应的</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的应答材料确定。</w:t>
      </w:r>
    </w:p>
    <w:p w14:paraId="05FD3BB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人具有代表该联合体的签署或意思表示的法律效力，并且据此各成员为履行合同应向采购代理机构与采购人承担连带责任。</w:t>
      </w:r>
    </w:p>
    <w:p w14:paraId="4781F8E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5）联合体或其成员不得将其在合同项下的权利或义务全部或部分转让给第三人，有关分包事项或服务委托等须事先取得采购代理机构书面同意并且须遵守相关法律、法规、本次招标的全部相关规定。</w:t>
      </w:r>
    </w:p>
    <w:p w14:paraId="614874B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6）联合体各方均不得同时再以自己独立的名义单独投标，也不得再同时参加其他的联合体投标。若该等情形被发现，其单独的投标和与此有关的联合体的投标均将被一并拒绝。</w:t>
      </w:r>
    </w:p>
    <w:p w14:paraId="0FCE4A0A">
      <w:pPr>
        <w:pStyle w:val="23"/>
        <w:tabs>
          <w:tab w:val="left" w:pos="1146"/>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3.7 </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不得与采购人、采购代理机构等有利害关系。</w:t>
      </w:r>
    </w:p>
    <w:p w14:paraId="1F20CCA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4.投标费用</w:t>
      </w:r>
    </w:p>
    <w:p w14:paraId="6F44198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 </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应承担所有与准备和参加投标有关的费用。</w:t>
      </w:r>
    </w:p>
    <w:p w14:paraId="42E26F4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5.纪律</w:t>
      </w:r>
    </w:p>
    <w:p w14:paraId="5F1A301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5.1 </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的投标行为应遵守中国的有关法律、法规和规章。</w:t>
      </w:r>
    </w:p>
    <w:p w14:paraId="2EC3E4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5.2 </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不得相互串通投标报价，不得妨碍其他</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的公平竞争，不得损害采购人或其他</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的合法权益，</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不得以向采购人、评标委员会成员行贿或者采取其他不正当手段谋取中标。</w:t>
      </w:r>
    </w:p>
    <w:p w14:paraId="43886DD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5.2.1 有下列情形之一的，属于</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相互串通投标：</w:t>
      </w:r>
    </w:p>
    <w:p w14:paraId="5FFE3E1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5.2.1.1 </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之间协商投标报价等投标文件的实质性内容；</w:t>
      </w:r>
    </w:p>
    <w:p w14:paraId="7F32A76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5.2.1.2 </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之间约定中标人；</w:t>
      </w:r>
    </w:p>
    <w:p w14:paraId="4F8B71C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5.2.1.3 </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之间约定部分</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放弃投标或者中标；</w:t>
      </w:r>
    </w:p>
    <w:p w14:paraId="0ABD98F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5.2.1.4 属于同一集团、协会、商会等组织成员的</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按照该组织要求协同投标；</w:t>
      </w:r>
    </w:p>
    <w:p w14:paraId="69EE782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5.2.1.5 </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之间为谋取中标或者排斥特定</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而采取的其他联合行动。</w:t>
      </w:r>
    </w:p>
    <w:p w14:paraId="1F66020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5.2.2 有下列情形之一的，视为</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相互串通投标：</w:t>
      </w:r>
    </w:p>
    <w:p w14:paraId="04114A6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5.2.2.1 不同</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的投标文件由同一单位或者个人编制；</w:t>
      </w:r>
    </w:p>
    <w:p w14:paraId="515779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5.2.2.2 不同</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委托同一单位或者个人办理投标事宜，或制作电子投标文件的文件制作机器码（mac地址）一致，或制作电子投标文件的文件创建标识码一致；</w:t>
      </w:r>
    </w:p>
    <w:p w14:paraId="7AA4157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5.2.2.3 不同</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的投标文件载明的项目管理成员为同一人；</w:t>
      </w:r>
    </w:p>
    <w:p w14:paraId="06E7351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5.2.2.4 不同</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的投标文件异常一致或者投标报价呈规律性差异；</w:t>
      </w:r>
    </w:p>
    <w:p w14:paraId="363A22A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5.2.2.5 不同</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的投标文件相互混装；</w:t>
      </w:r>
    </w:p>
    <w:p w14:paraId="5E5B773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5.2.2.6 不同</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的投标保证金从同一单位或者个人的账户转出。</w:t>
      </w:r>
    </w:p>
    <w:p w14:paraId="524C40F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6.通知</w:t>
      </w:r>
    </w:p>
    <w:p w14:paraId="135B5CA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6.1对与本项目有关的通知，采购代理机构将以书面（包括书面材料、信函、传真等，下同）或在本次招标公告刊登的媒体上发布公告并在政采云交易平台内发送变更通知及/或答疑文件的形式，向潜在供应商发出，传真和电话号码以潜在供应商的登记为准。收到通知的供应商须立即予以回复确认，但供应商未回复或采购代理机构未收到回复时，并不应当被理解为采购代理机构知道或应当知道供应商是否收到通知。因登记有误、传真线路故障或其它任何意外情形，导致所发出的通知延迟送达或无法到达供应商，采购代理机构不因此承担任何责任，有关的招标活动可以继续有效地进行。</w:t>
      </w:r>
    </w:p>
    <w:p w14:paraId="06217C6A">
      <w:pPr>
        <w:pStyle w:val="5"/>
        <w:numPr>
          <w:ilvl w:val="0"/>
          <w:numId w:val="0"/>
        </w:numPr>
        <w:spacing w:before="0" w:after="0" w:line="360" w:lineRule="auto"/>
        <w:jc w:val="both"/>
        <w:rPr>
          <w:rFonts w:hint="eastAsia" w:ascii="宋体" w:hAnsi="宋体" w:eastAsia="宋体" w:cs="宋体"/>
          <w:color w:val="auto"/>
          <w:sz w:val="24"/>
          <w:szCs w:val="24"/>
          <w:highlight w:val="none"/>
        </w:rPr>
      </w:pPr>
      <w:bookmarkStart w:id="18" w:name="_Toc256000005"/>
      <w:bookmarkStart w:id="19" w:name="_Toc22574"/>
      <w:r>
        <w:rPr>
          <w:rFonts w:hint="eastAsia" w:ascii="宋体" w:hAnsi="宋体" w:eastAsia="宋体" w:cs="宋体"/>
          <w:color w:val="auto"/>
          <w:sz w:val="24"/>
          <w:szCs w:val="24"/>
          <w:highlight w:val="none"/>
        </w:rPr>
        <w:t>二、招标文件</w:t>
      </w:r>
      <w:bookmarkEnd w:id="18"/>
      <w:bookmarkEnd w:id="19"/>
    </w:p>
    <w:p w14:paraId="69905BA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7.招标文件组成</w:t>
      </w:r>
    </w:p>
    <w:p w14:paraId="5FDBAF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7.1 招标文件由招标文件目录所列内容组成。</w:t>
      </w:r>
    </w:p>
    <w:p w14:paraId="07F47AE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8.踏勘现场</w:t>
      </w:r>
    </w:p>
    <w:p w14:paraId="7B2345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8.1 本项目是否统一组织</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踏勘现场见招标文件第二部分“</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须知前附表”中的规定。无论是否统一组织，</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应对供货现场和周围环境进行勘察，以获取编制投标文件所需的资料。</w:t>
      </w:r>
    </w:p>
    <w:p w14:paraId="6E667A0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8.2 踏勘现场所发生的费用由</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自行承担。采购人向</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提供的有关供货现场的资料和数据，是采购人现有的能使</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利用的资料。采购人对</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由此而做出的推论、理解和结论概不负责。</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未到供货现场实地踏勘的，中标后签订合同时和履约过程中，不得以不完全了解现场情况为由，提出任何形式的增加合同价款或索赔的要求。</w:t>
      </w:r>
    </w:p>
    <w:p w14:paraId="6AF6867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8.3 除非有特殊要求，招标文件不单独提供供货使用地的自然环境、气候条件、公用设施等情况，</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被视为熟悉上述与履行合同有关的一切情况。</w:t>
      </w:r>
    </w:p>
    <w:p w14:paraId="352E9EB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8.4 除采购人原因外，</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自行负责在踏勘现场中所发生的人员伤亡和财产损失。</w:t>
      </w:r>
    </w:p>
    <w:p w14:paraId="7D8E78D2">
      <w:pPr>
        <w:spacing w:line="360" w:lineRule="auto"/>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9.知识产权</w:t>
      </w:r>
    </w:p>
    <w:p w14:paraId="6D9AAE6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9.1 </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须保证，采购人在中华人民共和国境内使用投标货物、资料、技术、服务或其任何一部分时，享有不受限制的无偿使用权，不会产生因第三方提出侵犯其专利权、商标权或其它知识产权而引起的法律或经济纠纷。如</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不拥有相应的知识产权，则在投标报价中必须包括合法获取该知识产权的一切相关费用。如因此导致采购人损失的，</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须承担全部赔偿责任。</w:t>
      </w:r>
    </w:p>
    <w:p w14:paraId="3153DAF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9.2 </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如欲在项目实施过程中采用自有知识成果，须在投标文件中声明，并提供相关知识产权证明文件。使用该知识成果后，</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须提供开发接口和开发手册等技术文档。</w:t>
      </w:r>
    </w:p>
    <w:p w14:paraId="27881E7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10.答疑及招标文件的澄清和修改</w:t>
      </w:r>
    </w:p>
    <w:p w14:paraId="4996FC2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10.1供应商如果对招标文件有疑问或要求进行澄清的，应按照招标文件第二部分“供应商须知前附表”规定向采购代理机构提出。提出后，请供应商及时通过交易平台下载最新的答疑文件或澄清文件。必要时，采购代理机构将组织相关专家召开答疑会，如召开，答疑会安排另行通知。</w:t>
      </w:r>
    </w:p>
    <w:p w14:paraId="176D1480">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在规定的时间内未对招标文件提出疑问或要求澄清的，采购代理机构将视其为同意，对在“答疑接受时间”后就招标文件内容提出的疑问及澄清要求将不予受理。</w:t>
      </w:r>
    </w:p>
    <w:p w14:paraId="26B934E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10.2 无论出于何种原因，采购代理机构主动或出于解答</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疑问对已发出的招标文件进行必要澄清或修改的，应当在招标文件要求提交投标文件截止时间15日前，以当面交接、邮寄、传真或电子邮件、网站披露等其中至少一种方式，向潜在</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发出澄清、修改的补充文件。需要为此调整投标文件提交截止时间的，应当重新确定，并就变更后的投标截止时间重新发出通知。</w:t>
      </w:r>
    </w:p>
    <w:p w14:paraId="394AB3B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特殊情况下，采购代理机构发布澄清、修改文件后，征得</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同意，可不改变投标截止时间和开标时间。</w:t>
      </w:r>
    </w:p>
    <w:p w14:paraId="505E541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10.3 采购代理机构一旦对招标文件作出了澄清、修改，即刻发生效力，采购代理机构有关的补充文件，将作为招标文件的组成部分，对所有现实的或潜在的</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均具有约束力，而无论是否已经实际收到上述文件。同时，采购代理机构和</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的权利及义务将受到新的截止期的约束。</w:t>
      </w:r>
    </w:p>
    <w:p w14:paraId="577A70F2">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10.4 采购代理机构对招标文件作出的澄清、修改在</w:t>
      </w:r>
      <w:r>
        <w:rPr>
          <w:rFonts w:hint="eastAsia" w:ascii="宋体" w:hAnsi="宋体" w:eastAsia="宋体" w:cs="宋体"/>
          <w:color w:val="auto"/>
          <w:sz w:val="24"/>
          <w:highlight w:val="none"/>
          <w:lang w:eastAsia="zh-CN"/>
        </w:rPr>
        <w:t>政采云</w:t>
      </w:r>
      <w:r>
        <w:rPr>
          <w:rFonts w:hint="eastAsia" w:ascii="宋体" w:hAnsi="宋体" w:eastAsia="宋体" w:cs="宋体"/>
          <w:color w:val="auto"/>
          <w:sz w:val="24"/>
          <w:highlight w:val="none"/>
        </w:rPr>
        <w:t>平台内进行披露，请</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及时关注并获取相关资料。因登记有误、线路故障或其它任何意外情形，导致</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未及时获取的，采购代理机构不因此承担任何责任，且有关的招标活动继续有效地进行。当招标文件的澄清、修改及进行其他答复等就同一内容的表述不一致时，以最后发布的内容为准。</w:t>
      </w:r>
    </w:p>
    <w:p w14:paraId="60FCA220">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Fonts w:hint="eastAsia" w:ascii="宋体" w:hAnsi="宋体" w:eastAsia="宋体" w:cs="宋体"/>
          <w:color w:val="auto"/>
          <w:highlight w:val="none"/>
        </w:rPr>
      </w:pPr>
      <w:r>
        <w:rPr>
          <w:rStyle w:val="53"/>
          <w:rFonts w:hint="eastAsia" w:ascii="宋体" w:hAnsi="宋体" w:eastAsia="宋体" w:cs="宋体"/>
          <w:b w:val="0"/>
          <w:bCs/>
          <w:i w:val="0"/>
          <w:caps w:val="0"/>
          <w:color w:val="auto"/>
          <w:spacing w:val="0"/>
          <w:w w:val="100"/>
          <w:kern w:val="2"/>
          <w:position w:val="0"/>
          <w:sz w:val="24"/>
          <w:szCs w:val="24"/>
          <w:highlight w:val="none"/>
          <w:lang w:val="en-US" w:eastAsia="zh-CN" w:bidi="ar-SA"/>
        </w:rPr>
        <w:t>10.5澄清、修改文件发出后，供应商必须使用最新的答疑、澄清文件制作电子投标文件，未按最终版本招标文件制作的投标文件造成的后果由</w:t>
      </w:r>
      <w:r>
        <w:rPr>
          <w:rStyle w:val="53"/>
          <w:rFonts w:hint="eastAsia" w:ascii="宋体" w:hAnsi="宋体" w:cs="宋体"/>
          <w:b w:val="0"/>
          <w:bCs/>
          <w:i w:val="0"/>
          <w:caps w:val="0"/>
          <w:color w:val="auto"/>
          <w:spacing w:val="0"/>
          <w:w w:val="100"/>
          <w:kern w:val="2"/>
          <w:position w:val="0"/>
          <w:sz w:val="24"/>
          <w:szCs w:val="24"/>
          <w:highlight w:val="none"/>
          <w:lang w:val="en-US" w:eastAsia="zh-CN" w:bidi="ar-SA"/>
        </w:rPr>
        <w:t>供应商</w:t>
      </w:r>
      <w:r>
        <w:rPr>
          <w:rStyle w:val="53"/>
          <w:rFonts w:hint="eastAsia" w:ascii="宋体" w:hAnsi="宋体" w:eastAsia="宋体" w:cs="宋体"/>
          <w:b w:val="0"/>
          <w:bCs/>
          <w:i w:val="0"/>
          <w:caps w:val="0"/>
          <w:color w:val="auto"/>
          <w:spacing w:val="0"/>
          <w:w w:val="100"/>
          <w:kern w:val="2"/>
          <w:position w:val="0"/>
          <w:sz w:val="24"/>
          <w:szCs w:val="24"/>
          <w:highlight w:val="none"/>
          <w:lang w:val="en-US" w:eastAsia="zh-CN" w:bidi="ar-SA"/>
        </w:rPr>
        <w:t>自行承担。</w:t>
      </w:r>
    </w:p>
    <w:p w14:paraId="5D01FD16">
      <w:pPr>
        <w:pStyle w:val="5"/>
        <w:numPr>
          <w:ilvl w:val="0"/>
          <w:numId w:val="0"/>
        </w:numPr>
        <w:spacing w:before="0" w:after="0" w:line="360" w:lineRule="auto"/>
        <w:jc w:val="both"/>
        <w:rPr>
          <w:rFonts w:hint="eastAsia" w:ascii="宋体" w:hAnsi="宋体" w:eastAsia="宋体" w:cs="宋体"/>
          <w:color w:val="auto"/>
          <w:sz w:val="24"/>
          <w:highlight w:val="none"/>
        </w:rPr>
      </w:pPr>
      <w:bookmarkStart w:id="20" w:name="_Toc256000006"/>
      <w:bookmarkStart w:id="21" w:name="_Toc2037"/>
      <w:r>
        <w:rPr>
          <w:rFonts w:hint="eastAsia" w:ascii="宋体" w:hAnsi="宋体" w:eastAsia="宋体" w:cs="宋体"/>
          <w:color w:val="auto"/>
          <w:sz w:val="24"/>
          <w:highlight w:val="none"/>
        </w:rPr>
        <w:t>三、投标文件</w:t>
      </w:r>
      <w:bookmarkEnd w:id="20"/>
      <w:bookmarkEnd w:id="21"/>
    </w:p>
    <w:p w14:paraId="2566113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11.投标文件的语言及计量单位</w:t>
      </w:r>
    </w:p>
    <w:p w14:paraId="0BE1261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11.1 </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提交的投标文件（包括技术文件和资料、图纸中的说明）以及</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与采购代理机构就有关投标的所有来往函电均应使用中文简体字。</w:t>
      </w:r>
    </w:p>
    <w:p w14:paraId="12D7373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原版为外文的证书类文件，以及由外国人作出的本人签名、外国公司的名称或外国印章等可以是外文，但应当提供中文翻译文件并加盖</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公章。必要时评标委员会可以要求</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提供附有公证书的中文翻译文件或者与原版文件签章相一致的中文翻译文件。原版为外文的证书类、证明类文件，与</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名称或其他实际情况不符的，</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应当提供相关证明文件。</w:t>
      </w:r>
    </w:p>
    <w:p w14:paraId="039AA1B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除非招标文件另有规定，投标文件所使用的计量单位，应使用国家法定计量单位。</w:t>
      </w:r>
    </w:p>
    <w:p w14:paraId="3513FFB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对违反上述规定情形的，评标委员会有权要求</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限期提供相应文件或决定对其投标予以拒绝。</w:t>
      </w:r>
    </w:p>
    <w:p w14:paraId="6453D07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电报、电话、传真形式的投标概不接受。</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的投标文件一律不予退还。</w:t>
      </w:r>
    </w:p>
    <w:p w14:paraId="77AB650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12.投标文件组成及编制</w:t>
      </w:r>
    </w:p>
    <w:p w14:paraId="24B6973A">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12.1投标文件分为资格审查、商务文件、技术文件。</w:t>
      </w:r>
    </w:p>
    <w:p w14:paraId="0EFD1507">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商务文件指供应商提交的证明其有资格参加投标和中标后有能力履行合同的文件。技术指供应商提交的能够证明其提供的货物及服务符合招标文件规定的文件。本次招标，供应商须按招标文件第六部分“投标文件格式”中规定提交资格审查资料、商务文件、技术文件。</w:t>
      </w:r>
    </w:p>
    <w:p w14:paraId="0364B3BA">
      <w:pPr>
        <w:spacing w:line="360" w:lineRule="auto"/>
        <w:ind w:firstLine="480" w:firstLineChars="200"/>
        <w:rPr>
          <w:rFonts w:hint="eastAsia" w:ascii="宋体" w:hAnsi="宋体" w:eastAsia="宋体" w:cs="宋体"/>
          <w:color w:val="auto"/>
          <w:sz w:val="24"/>
          <w:highlight w:val="none"/>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12.2供应商递交的投标文件及相关要求按照招标文件第二部分“供应商须知前附表”中的规定。</w:t>
      </w:r>
    </w:p>
    <w:p w14:paraId="1DF49BD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12.2.1 电子投标文件的编制</w:t>
      </w:r>
    </w:p>
    <w:p w14:paraId="4E7D654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12.2.1.1电子投标文件使用政采云交易平台提供的投标文件制作工具以及招标文件要求进行制作编制。投标文件制作时，不同内容按标签提示制作导入，按照招标文件中明确的投标文件目录和格式进行编制，保证目录清晰、内容完整。           </w:t>
      </w:r>
    </w:p>
    <w:p w14:paraId="0629F59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12.2.1.2电子投标文件须使用供应商公章的电子签章以及法定代表人的电子签章。若无电子签章，则视为无效投标。</w:t>
      </w:r>
    </w:p>
    <w:p w14:paraId="255945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12.2.1.3电子招投标文件具有法律效力，与其他形式的招投标文件在内容和格式上等同，若投标文件与招标文件要求不一致，其内容影响中标结果时，责任由供应商自行承担。供应商递交的电子投标文件因供应商自身原因而导致无法导入电子辅助评标系统，该投标文件视为无效投标文件，将导致其投标被拒绝。</w:t>
      </w:r>
    </w:p>
    <w:p w14:paraId="39F1A62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12.2.1.4电子投标文件制作工具在生成加密投标文件时，同时生成非加密投标文件一份。 </w:t>
      </w:r>
    </w:p>
    <w:p w14:paraId="37527C5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13.投标报价</w:t>
      </w:r>
    </w:p>
    <w:p w14:paraId="797AFE8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 所有投标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自行承担。</w:t>
      </w:r>
    </w:p>
    <w:p w14:paraId="4AEA571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13.2 </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投报多包的，须对每包分别制作投标文件并报价</w:t>
      </w:r>
      <w:r>
        <w:rPr>
          <w:rFonts w:hint="eastAsia" w:ascii="宋体" w:hAnsi="宋体" w:eastAsia="宋体" w:cs="宋体"/>
          <w:b/>
          <w:color w:val="auto"/>
          <w:sz w:val="24"/>
          <w:highlight w:val="none"/>
        </w:rPr>
        <w:t>。</w:t>
      </w:r>
    </w:p>
    <w:p w14:paraId="36A57764">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13.3 除非招标文件另有规定，不接受可选择或可调整的投标方案和报价，任何有选择的或可调整的投标方案和报价将被视为非响应性投标而被拒绝。</w:t>
      </w:r>
    </w:p>
    <w:p w14:paraId="24A5AB4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 本项目是否允许</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将项目的非主体、非关键性工作交由他人完成按照招标文件第二部分“</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须知前附表”中的规定。如允许，</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根据采购项目的实际情况，拟在中标后将中标项目的非主体、非关键性工作交由他人完成，须在技术文件中载明。</w:t>
      </w:r>
    </w:p>
    <w:p w14:paraId="39A6AC1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须严格按照报价明细表规定的内容填写货物单价以及其他事项。</w:t>
      </w:r>
    </w:p>
    <w:p w14:paraId="06812A9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对投标报价若有说明应在投标文件中显著处注明。</w:t>
      </w:r>
    </w:p>
    <w:p w14:paraId="6037B46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除政策性文件规定以外，</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所报价格在合同实施期间不因市场变化因素而变动。</w:t>
      </w:r>
    </w:p>
    <w:p w14:paraId="4D142B0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 xml:space="preserve"> 对于有配件、耗材、选件、备件和特殊工具的货物，还应填报投标货物配件、耗材、选件表和备件及特殊工具清单，注明品牌、型号、产地、功能、单价、批量折扣等内容，该表格格式由</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自行设计。</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按照上述要求分类报价，其目的是便于评标，但在任何情况下并不限制采购人以其他条款签订合同的权利。</w:t>
      </w:r>
    </w:p>
    <w:p w14:paraId="0D5D5D6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最低报价不能作为中标的保证。</w:t>
      </w:r>
    </w:p>
    <w:p w14:paraId="3B29A22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14.投标有效期</w:t>
      </w:r>
    </w:p>
    <w:p w14:paraId="144C044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 本项目的投标有效期按照招标文件第二部分“</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须知前附表”中的规定。投标有效期自开标之日起计算，短于规定期限的投标将按无效投标处理。</w:t>
      </w:r>
    </w:p>
    <w:p w14:paraId="0C692B3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14.2 在特殊情况下，采购代理机构可与</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协商延长投标有效期。这种要求和答复都应以书面形式进行。此时，规定的投标保证金的有效期也相应延长。</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可以拒绝接受延期要求而不会被没收保证金。同意延长有效期的</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除按照采购代理机构要求修改投标有效期外，不能修改投标文件的其他内容。</w:t>
      </w:r>
    </w:p>
    <w:p w14:paraId="61C1E4E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15.投标内容填写说明</w:t>
      </w:r>
    </w:p>
    <w:p w14:paraId="6BE7B02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应详细阅读招标文件的全部内容。投标文件须对招标文件中的内容作出实质性和完整的响应，如果投标文件填报的内容不详，或没有提供招标文件中所要求的全部资料及数据，将可能导致投标被拒绝。</w:t>
      </w:r>
    </w:p>
    <w:p w14:paraId="2216E171">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15.2 投标文件须严格按照招标文件第六部分规定的格式提交，并按规定的统一格式逐项填写，不准有空项；无相应内容可填的项，应填写“无”、“未测试”、“没有相应指标”等明确的回答文字。由于编排混乱导致投标文件被误读或查找不到，其责任由</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承担。投标文件未按规定提交或留有空项，将被视为不完整响应的投标文件，其投标有可能被拒绝</w:t>
      </w:r>
      <w:r>
        <w:rPr>
          <w:rFonts w:hint="eastAsia" w:ascii="宋体" w:hAnsi="宋体" w:eastAsia="宋体" w:cs="宋体"/>
          <w:b/>
          <w:color w:val="auto"/>
          <w:sz w:val="24"/>
          <w:highlight w:val="none"/>
        </w:rPr>
        <w:t>。</w:t>
      </w:r>
    </w:p>
    <w:p w14:paraId="2840AF7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15.3 开标一览表为在开标仪式上唱标的内容，要求按格式统一填写，不得自行增减内容。</w:t>
      </w:r>
    </w:p>
    <w:p w14:paraId="05784CA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15.4 </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须注意：为合理节约政府采购评审成本，提倡诚实信用的投标行为，特别要求</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应本着诚信精神，在本次投标文件的偏离表中，均以审慎的态度明确、清楚地披露各项偏离。若</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对某一事项是否存在或是否属于偏离不能确定，亦必须在偏离表中清楚地表明该偏离事项，并可以注明不能确定的字样。任何情况下，对于</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没有在偏离表中明确、清楚地披露的事项，包括可能属于被</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在偏离表中遗漏披露的事项，一旦在评审中被发现存在偏离或被认定为属于偏离，则评标委员会有权视具体情形评审时予以处理，乃至对该投标予以拒绝。</w:t>
      </w:r>
    </w:p>
    <w:p w14:paraId="51B857B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15.5 </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必须保证投标文件所提供的全部资料真实可靠，并接受采购代理机构或评标委员会对其中任何资料进一步审查的要求。</w:t>
      </w:r>
    </w:p>
    <w:p w14:paraId="1FC1AB81">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15.6 </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14:paraId="5B404CC4">
      <w:pPr>
        <w:pStyle w:val="5"/>
        <w:numPr>
          <w:ilvl w:val="0"/>
          <w:numId w:val="0"/>
        </w:numPr>
        <w:spacing w:before="0" w:after="0" w:line="360" w:lineRule="auto"/>
        <w:jc w:val="both"/>
        <w:rPr>
          <w:rFonts w:hint="eastAsia" w:ascii="宋体" w:hAnsi="宋体" w:eastAsia="宋体" w:cs="宋体"/>
          <w:color w:val="auto"/>
          <w:sz w:val="24"/>
          <w:highlight w:val="none"/>
        </w:rPr>
      </w:pPr>
      <w:bookmarkStart w:id="22" w:name="_Toc29177"/>
      <w:bookmarkStart w:id="23" w:name="_Toc256000007"/>
      <w:r>
        <w:rPr>
          <w:rFonts w:hint="eastAsia" w:ascii="宋体" w:hAnsi="宋体" w:eastAsia="宋体" w:cs="宋体"/>
          <w:color w:val="auto"/>
          <w:sz w:val="24"/>
          <w:highlight w:val="none"/>
        </w:rPr>
        <w:t>四、投标保证金</w:t>
      </w:r>
      <w:bookmarkEnd w:id="22"/>
      <w:bookmarkEnd w:id="23"/>
    </w:p>
    <w:p w14:paraId="443A67B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16.投标保证金 </w:t>
      </w:r>
    </w:p>
    <w:p w14:paraId="721BF26F">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16.1供应商应按照招标文件第二部分“供应商须知前附表”中的规定交纳。投标保证金须于到账截止时间前到帐。</w:t>
      </w:r>
    </w:p>
    <w:p w14:paraId="2610ABF8">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16.2未按要求提交投标保证金的，将被视为无效投标。</w:t>
      </w:r>
    </w:p>
    <w:p w14:paraId="1F5DAD15">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16.3未中标的供应商的投标保证金在中标通知书发出之日起5个工作日内退还；中标人的投标保证金将在签订合同并于合同生效后5个工作日内退还。</w:t>
      </w:r>
    </w:p>
    <w:p w14:paraId="16BE1C73">
      <w:pPr>
        <w:spacing w:line="360" w:lineRule="auto"/>
        <w:ind w:firstLine="480" w:firstLineChars="200"/>
        <w:rPr>
          <w:rFonts w:hint="eastAsia" w:ascii="宋体" w:hAnsi="宋体" w:eastAsia="宋体" w:cs="宋体"/>
          <w:color w:val="auto"/>
          <w:sz w:val="24"/>
          <w:highlight w:val="none"/>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16.4投标保证金退还一律采用网上银行转帐方式退还至供应商的汇款帐户，资金原路返回。</w:t>
      </w:r>
    </w:p>
    <w:p w14:paraId="66262075">
      <w:pPr>
        <w:rPr>
          <w:rFonts w:hint="eastAsia" w:ascii="宋体" w:hAnsi="宋体" w:eastAsia="宋体" w:cs="宋体"/>
          <w:color w:val="auto"/>
          <w:highlight w:val="none"/>
        </w:rPr>
      </w:pPr>
      <w:bookmarkStart w:id="24" w:name="EBa90ba16225e5405a8b55b51f6fbf6913"/>
      <w:r>
        <w:rPr>
          <w:rFonts w:hint="eastAsia" w:ascii="宋体" w:hAnsi="宋体" w:eastAsia="宋体" w:cs="宋体"/>
          <w:color w:val="auto"/>
          <w:sz w:val="20"/>
          <w:highlight w:val="none"/>
        </w:rPr>
        <w:t xml:space="preserve"> </w:t>
      </w:r>
      <w:bookmarkEnd w:id="24"/>
      <w:bookmarkStart w:id="25" w:name="EB0c070bf3e6d94ea48712869c254a1cb6"/>
      <w:r>
        <w:rPr>
          <w:rFonts w:hint="eastAsia" w:ascii="宋体" w:hAnsi="宋体" w:eastAsia="宋体" w:cs="宋体"/>
          <w:color w:val="auto"/>
          <w:sz w:val="20"/>
          <w:highlight w:val="none"/>
        </w:rPr>
        <w:t xml:space="preserve"> </w:t>
      </w:r>
      <w:bookmarkEnd w:id="25"/>
      <w:bookmarkStart w:id="26" w:name="EBc8891308b3a1430f8313667ff7476db2"/>
      <w:r>
        <w:rPr>
          <w:rFonts w:hint="eastAsia" w:ascii="宋体" w:hAnsi="宋体" w:eastAsia="宋体" w:cs="宋体"/>
          <w:color w:val="auto"/>
          <w:sz w:val="20"/>
          <w:highlight w:val="none"/>
        </w:rPr>
        <w:t xml:space="preserve"> </w:t>
      </w:r>
      <w:bookmarkEnd w:id="26"/>
    </w:p>
    <w:p w14:paraId="23DBDCCA">
      <w:pPr>
        <w:pStyle w:val="5"/>
        <w:numPr>
          <w:ilvl w:val="0"/>
          <w:numId w:val="0"/>
        </w:numPr>
        <w:spacing w:before="0" w:after="0" w:line="360" w:lineRule="auto"/>
        <w:jc w:val="both"/>
        <w:rPr>
          <w:rFonts w:hint="eastAsia" w:ascii="宋体" w:hAnsi="宋体" w:eastAsia="宋体" w:cs="宋体"/>
          <w:color w:val="auto"/>
          <w:sz w:val="24"/>
          <w:highlight w:val="none"/>
        </w:rPr>
      </w:pPr>
      <w:bookmarkStart w:id="27" w:name="_Toc209"/>
      <w:bookmarkStart w:id="28" w:name="_Toc256000008"/>
      <w:r>
        <w:rPr>
          <w:rFonts w:hint="eastAsia" w:ascii="宋体" w:hAnsi="宋体" w:eastAsia="宋体" w:cs="宋体"/>
          <w:color w:val="auto"/>
          <w:sz w:val="24"/>
          <w:highlight w:val="none"/>
        </w:rPr>
        <w:t>五、投标文件的递交</w:t>
      </w:r>
      <w:bookmarkEnd w:id="27"/>
      <w:bookmarkEnd w:id="28"/>
    </w:p>
    <w:p w14:paraId="6D52C65E">
      <w:pPr>
        <w:pageBreakBefore w:val="0"/>
        <w:kinsoku/>
        <w:wordWrap/>
        <w:overflowPunct/>
        <w:topLinePunct w:val="0"/>
        <w:bidi w:val="0"/>
        <w:snapToGrid w:val="0"/>
        <w:spacing w:before="0" w:beforeAutospacing="0" w:after="0" w:afterAutospacing="0" w:line="360" w:lineRule="auto"/>
        <w:jc w:val="both"/>
        <w:textAlignment w:val="baseline"/>
        <w:rPr>
          <w:rStyle w:val="53"/>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i w:val="0"/>
          <w:caps w:val="0"/>
          <w:color w:val="auto"/>
          <w:spacing w:val="0"/>
          <w:w w:val="100"/>
          <w:kern w:val="2"/>
          <w:position w:val="0"/>
          <w:sz w:val="24"/>
          <w:szCs w:val="24"/>
          <w:highlight w:val="none"/>
          <w:lang w:val="en-US" w:eastAsia="zh-CN" w:bidi="ar-SA"/>
        </w:rPr>
        <w:t>17.投标文件的密封和标记</w:t>
      </w:r>
    </w:p>
    <w:p w14:paraId="0847171F">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17.1供应商应通过电子投标文件制作工具严格按招标文件要求制作投标文件，在投标截止时间前完成上传经过数字证书电子签章并加密的投标文件（加密和解密须用同一把数字证书）。供应商在投标截止时间前，可以对其所递交的投标文件进行修改并重新上传，但以投标截止时间前最后一次上传的投标文件为有效投标文件。</w:t>
      </w:r>
    </w:p>
    <w:p w14:paraId="3A61D3D3">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投标截止时间以政采云交易平台显示的时间为准，逾期系统将自动关闭，未完成上传的投标文件视为逾期送达，将被拒绝。</w:t>
      </w:r>
    </w:p>
    <w:p w14:paraId="5ADF56D6">
      <w:pPr>
        <w:pageBreakBefore w:val="0"/>
        <w:kinsoku/>
        <w:wordWrap/>
        <w:overflowPunct/>
        <w:topLinePunct w:val="0"/>
        <w:bidi w:val="0"/>
        <w:snapToGrid w:val="0"/>
        <w:spacing w:before="0" w:beforeAutospacing="0" w:after="0" w:afterAutospacing="0" w:line="360" w:lineRule="auto"/>
        <w:jc w:val="both"/>
        <w:textAlignment w:val="baseline"/>
        <w:rPr>
          <w:rStyle w:val="53"/>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i w:val="0"/>
          <w:caps w:val="0"/>
          <w:color w:val="auto"/>
          <w:spacing w:val="0"/>
          <w:w w:val="100"/>
          <w:kern w:val="2"/>
          <w:position w:val="0"/>
          <w:sz w:val="24"/>
          <w:szCs w:val="24"/>
          <w:highlight w:val="none"/>
          <w:lang w:val="en-US" w:eastAsia="zh-CN" w:bidi="ar-SA"/>
        </w:rPr>
        <w:t>18.投标文件的递交</w:t>
      </w:r>
    </w:p>
    <w:p w14:paraId="561C7D49">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18.1 </w:t>
      </w:r>
      <w:r>
        <w:rPr>
          <w:rStyle w:val="53"/>
          <w:rFonts w:hint="eastAsia" w:ascii="宋体" w:hAnsi="宋体" w:cs="宋体"/>
          <w:b w:val="0"/>
          <w:i w:val="0"/>
          <w:caps w:val="0"/>
          <w:color w:val="auto"/>
          <w:spacing w:val="0"/>
          <w:w w:val="100"/>
          <w:kern w:val="2"/>
          <w:position w:val="0"/>
          <w:sz w:val="24"/>
          <w:szCs w:val="24"/>
          <w:highlight w:val="none"/>
          <w:lang w:val="en-US" w:eastAsia="zh-CN" w:bidi="ar-SA"/>
        </w:rPr>
        <w:t>供应商</w:t>
      </w: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应当在招标文件要求提交投标文件的截止时间前网上投标。</w:t>
      </w:r>
    </w:p>
    <w:p w14:paraId="43822581">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18.2 在招标文件要求提交投标文件的截止时间之后提交的投标文件，为无效投标文件，采购代理机构将拒绝接收。</w:t>
      </w:r>
    </w:p>
    <w:p w14:paraId="003AFF05">
      <w:pPr>
        <w:spacing w:line="360" w:lineRule="auto"/>
        <w:ind w:firstLine="480" w:firstLineChars="200"/>
        <w:rPr>
          <w:rFonts w:hint="eastAsia" w:ascii="宋体" w:hAnsi="宋体" w:eastAsia="宋体" w:cs="宋体"/>
          <w:color w:val="auto"/>
          <w:sz w:val="24"/>
          <w:highlight w:val="none"/>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18.3 是否采用不见面开标详见</w:t>
      </w:r>
      <w:r>
        <w:rPr>
          <w:rStyle w:val="53"/>
          <w:rFonts w:hint="eastAsia" w:ascii="宋体" w:hAnsi="宋体" w:cs="宋体"/>
          <w:b w:val="0"/>
          <w:i w:val="0"/>
          <w:caps w:val="0"/>
          <w:color w:val="auto"/>
          <w:spacing w:val="0"/>
          <w:w w:val="100"/>
          <w:kern w:val="2"/>
          <w:position w:val="0"/>
          <w:sz w:val="24"/>
          <w:szCs w:val="24"/>
          <w:highlight w:val="none"/>
          <w:lang w:val="en-US" w:eastAsia="zh-CN" w:bidi="ar-SA"/>
        </w:rPr>
        <w:t>供应商</w:t>
      </w: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须知前附表规定，若项目采用不见面开标，无需提供电子投标文件 U 盘、纸质投标文件，只需将加密电子投标文件在投标截止时间前通过新疆政采云平台上传完成。逾期上传的或者未上传到平台的投标文件，招标人不予受理。</w:t>
      </w:r>
    </w:p>
    <w:p w14:paraId="7E71E38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19.投标文件的修改和撤回</w:t>
      </w:r>
    </w:p>
    <w:p w14:paraId="044E3B9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19.1  </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在递交投标文件后，可以修改或撤回其投标，但这种修改和撤回，必须在规定的投标截止时间前。在投标截止时间后，</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不得要求修改或撤回其投标文件。</w:t>
      </w:r>
    </w:p>
    <w:p w14:paraId="1CB14802">
      <w:pPr>
        <w:rPr>
          <w:rFonts w:hint="eastAsia" w:ascii="宋体" w:hAnsi="宋体" w:eastAsia="宋体" w:cs="宋体"/>
          <w:color w:val="auto"/>
          <w:highlight w:val="none"/>
        </w:rPr>
      </w:pPr>
      <w:bookmarkStart w:id="29" w:name="EBdea484bda35746a2b5fd314ad05e57a5"/>
      <w:r>
        <w:rPr>
          <w:rFonts w:hint="eastAsia" w:ascii="宋体" w:hAnsi="宋体" w:eastAsia="宋体" w:cs="宋体"/>
          <w:color w:val="auto"/>
          <w:sz w:val="20"/>
          <w:highlight w:val="none"/>
        </w:rPr>
        <w:t xml:space="preserve"> </w:t>
      </w:r>
      <w:bookmarkEnd w:id="29"/>
      <w:bookmarkStart w:id="30" w:name="EB81ee8525ba154877a375e0453dfebe72"/>
      <w:r>
        <w:rPr>
          <w:rFonts w:hint="eastAsia" w:ascii="宋体" w:hAnsi="宋体" w:eastAsia="宋体" w:cs="宋体"/>
          <w:color w:val="auto"/>
          <w:sz w:val="20"/>
          <w:highlight w:val="none"/>
        </w:rPr>
        <w:t xml:space="preserve"> </w:t>
      </w:r>
      <w:bookmarkEnd w:id="30"/>
      <w:bookmarkStart w:id="31" w:name="EB59f3b3240a8b4b64960eecad995cd524"/>
      <w:r>
        <w:rPr>
          <w:rFonts w:hint="eastAsia" w:ascii="宋体" w:hAnsi="宋体" w:eastAsia="宋体" w:cs="宋体"/>
          <w:color w:val="auto"/>
          <w:sz w:val="20"/>
          <w:highlight w:val="none"/>
        </w:rPr>
        <w:t xml:space="preserve"> </w:t>
      </w:r>
      <w:bookmarkEnd w:id="31"/>
    </w:p>
    <w:p w14:paraId="582DEDB2">
      <w:pPr>
        <w:pStyle w:val="5"/>
        <w:numPr>
          <w:ilvl w:val="0"/>
          <w:numId w:val="0"/>
        </w:numPr>
        <w:spacing w:before="0" w:after="0" w:line="360" w:lineRule="auto"/>
        <w:jc w:val="both"/>
        <w:rPr>
          <w:rFonts w:hint="eastAsia" w:ascii="宋体" w:hAnsi="宋体" w:eastAsia="宋体" w:cs="宋体"/>
          <w:color w:val="auto"/>
          <w:sz w:val="24"/>
          <w:highlight w:val="none"/>
        </w:rPr>
      </w:pPr>
      <w:bookmarkStart w:id="32" w:name="_Toc719"/>
      <w:bookmarkStart w:id="33" w:name="_Toc256000009"/>
      <w:r>
        <w:rPr>
          <w:rFonts w:hint="eastAsia" w:ascii="宋体" w:hAnsi="宋体" w:eastAsia="宋体" w:cs="宋体"/>
          <w:color w:val="auto"/>
          <w:sz w:val="24"/>
          <w:highlight w:val="none"/>
        </w:rPr>
        <w:t>六、开标</w:t>
      </w:r>
      <w:bookmarkEnd w:id="32"/>
      <w:bookmarkEnd w:id="33"/>
    </w:p>
    <w:p w14:paraId="0900279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20.开标</w:t>
      </w:r>
    </w:p>
    <w:p w14:paraId="4BA117E7">
      <w:pPr>
        <w:pageBreakBefore w:val="0"/>
        <w:kinsoku/>
        <w:wordWrap/>
        <w:overflowPunct/>
        <w:topLinePunct w:val="0"/>
        <w:bidi w:val="0"/>
        <w:snapToGrid w:val="0"/>
        <w:spacing w:before="0" w:beforeAutospacing="0" w:after="0" w:afterAutospacing="0" w:line="360" w:lineRule="auto"/>
        <w:ind w:firstLine="480" w:firstLineChars="200"/>
        <w:jc w:val="both"/>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招标人在规定的投标截止时间（开标时间）和</w:t>
      </w:r>
      <w:r>
        <w:rPr>
          <w:rStyle w:val="53"/>
          <w:rFonts w:hint="eastAsia" w:ascii="宋体" w:hAnsi="宋体" w:cs="宋体"/>
          <w:b w:val="0"/>
          <w:i w:val="0"/>
          <w:caps w:val="0"/>
          <w:color w:val="auto"/>
          <w:spacing w:val="0"/>
          <w:w w:val="100"/>
          <w:kern w:val="2"/>
          <w:position w:val="0"/>
          <w:sz w:val="24"/>
          <w:szCs w:val="24"/>
          <w:highlight w:val="none"/>
          <w:lang w:val="en-US" w:eastAsia="zh-CN" w:bidi="ar-SA"/>
        </w:rPr>
        <w:t>供应商</w:t>
      </w: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须知前附表规定的地点开标。</w:t>
      </w:r>
      <w:r>
        <w:rPr>
          <w:rStyle w:val="53"/>
          <w:rFonts w:hint="eastAsia" w:ascii="宋体" w:hAnsi="宋体" w:cs="宋体"/>
          <w:b w:val="0"/>
          <w:i w:val="0"/>
          <w:caps w:val="0"/>
          <w:color w:val="auto"/>
          <w:spacing w:val="0"/>
          <w:w w:val="100"/>
          <w:kern w:val="2"/>
          <w:position w:val="0"/>
          <w:sz w:val="24"/>
          <w:szCs w:val="24"/>
          <w:highlight w:val="none"/>
          <w:lang w:val="en-US" w:eastAsia="zh-CN" w:bidi="ar-SA"/>
        </w:rPr>
        <w:t>供应商</w:t>
      </w: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的法定代表人或其委托代理人无需到达开标现场，仅需在任意地点通过政采云开标系统，使用 CA 密钥完成远程解密、提疑澄清、开标唱标确认、结果公布等交互环节。</w:t>
      </w:r>
    </w:p>
    <w:p w14:paraId="7D0963D5">
      <w:pPr>
        <w:spacing w:line="360" w:lineRule="auto"/>
        <w:ind w:firstLine="480" w:firstLineChars="200"/>
        <w:rPr>
          <w:rFonts w:hint="eastAsia" w:ascii="宋体" w:hAnsi="宋体" w:eastAsia="宋体" w:cs="宋体"/>
          <w:color w:val="auto"/>
          <w:sz w:val="24"/>
          <w:highlight w:val="none"/>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法定代表人或法定代表人授权委托人参与远程交互，中途不得更换，在废标、澄清、提疑、传送文件等特殊情况下需要交互时，</w:t>
      </w:r>
      <w:r>
        <w:rPr>
          <w:rStyle w:val="53"/>
          <w:rFonts w:hint="eastAsia" w:ascii="宋体" w:hAnsi="宋体" w:cs="宋体"/>
          <w:b w:val="0"/>
          <w:i w:val="0"/>
          <w:caps w:val="0"/>
          <w:color w:val="auto"/>
          <w:spacing w:val="0"/>
          <w:w w:val="100"/>
          <w:kern w:val="2"/>
          <w:position w:val="0"/>
          <w:sz w:val="24"/>
          <w:szCs w:val="24"/>
          <w:highlight w:val="none"/>
          <w:lang w:val="en-US" w:eastAsia="zh-CN" w:bidi="ar-SA"/>
        </w:rPr>
        <w:t>供应商</w:t>
      </w: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一端参与交互的人员将均被视为是</w:t>
      </w:r>
      <w:r>
        <w:rPr>
          <w:rStyle w:val="53"/>
          <w:rFonts w:hint="eastAsia" w:ascii="宋体" w:hAnsi="宋体" w:cs="宋体"/>
          <w:b w:val="0"/>
          <w:i w:val="0"/>
          <w:caps w:val="0"/>
          <w:color w:val="auto"/>
          <w:spacing w:val="0"/>
          <w:w w:val="100"/>
          <w:kern w:val="2"/>
          <w:position w:val="0"/>
          <w:sz w:val="24"/>
          <w:szCs w:val="24"/>
          <w:highlight w:val="none"/>
          <w:lang w:val="en-US" w:eastAsia="zh-CN" w:bidi="ar-SA"/>
        </w:rPr>
        <w:t>供应商</w:t>
      </w: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的授权委托人或法人代表，</w:t>
      </w:r>
      <w:r>
        <w:rPr>
          <w:rStyle w:val="53"/>
          <w:rFonts w:hint="eastAsia" w:ascii="宋体" w:hAnsi="宋体" w:cs="宋体"/>
          <w:b w:val="0"/>
          <w:i w:val="0"/>
          <w:caps w:val="0"/>
          <w:color w:val="auto"/>
          <w:spacing w:val="0"/>
          <w:w w:val="100"/>
          <w:kern w:val="2"/>
          <w:position w:val="0"/>
          <w:sz w:val="24"/>
          <w:szCs w:val="24"/>
          <w:highlight w:val="none"/>
          <w:lang w:val="en-US" w:eastAsia="zh-CN" w:bidi="ar-SA"/>
        </w:rPr>
        <w:t>供应商</w:t>
      </w: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不得以不承认交互人员的资格或身份等为借口推脱，</w:t>
      </w:r>
      <w:r>
        <w:rPr>
          <w:rStyle w:val="53"/>
          <w:rFonts w:hint="eastAsia" w:ascii="宋体" w:hAnsi="宋体" w:cs="宋体"/>
          <w:b w:val="0"/>
          <w:i w:val="0"/>
          <w:caps w:val="0"/>
          <w:color w:val="auto"/>
          <w:spacing w:val="0"/>
          <w:w w:val="100"/>
          <w:kern w:val="2"/>
          <w:position w:val="0"/>
          <w:sz w:val="24"/>
          <w:szCs w:val="24"/>
          <w:highlight w:val="none"/>
          <w:lang w:val="en-US" w:eastAsia="zh-CN" w:bidi="ar-SA"/>
        </w:rPr>
        <w:t>供应商</w:t>
      </w: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自行承担随意更换人员所导致的一切后果。</w:t>
      </w:r>
    </w:p>
    <w:p w14:paraId="40B97DFD">
      <w:pPr>
        <w:rPr>
          <w:rFonts w:hint="eastAsia" w:ascii="宋体" w:hAnsi="宋体" w:eastAsia="宋体" w:cs="宋体"/>
          <w:color w:val="auto"/>
          <w:highlight w:val="none"/>
        </w:rPr>
      </w:pPr>
      <w:bookmarkStart w:id="34" w:name="EB762c78e93eba4b72af2df5b3efee4779"/>
      <w:r>
        <w:rPr>
          <w:rFonts w:hint="eastAsia" w:ascii="宋体" w:hAnsi="宋体" w:eastAsia="宋体" w:cs="宋体"/>
          <w:color w:val="auto"/>
          <w:sz w:val="20"/>
          <w:highlight w:val="none"/>
        </w:rPr>
        <w:t xml:space="preserve"> </w:t>
      </w:r>
      <w:bookmarkEnd w:id="34"/>
      <w:bookmarkStart w:id="35" w:name="EBd11563aac94641bcbce64c740b54f3c6"/>
      <w:r>
        <w:rPr>
          <w:rFonts w:hint="eastAsia" w:ascii="宋体" w:hAnsi="宋体" w:eastAsia="宋体" w:cs="宋体"/>
          <w:color w:val="auto"/>
          <w:sz w:val="20"/>
          <w:highlight w:val="none"/>
        </w:rPr>
        <w:t xml:space="preserve"> </w:t>
      </w:r>
      <w:bookmarkEnd w:id="35"/>
      <w:bookmarkStart w:id="36" w:name="EBb2fe5bffca4b463885814e2aee93745c"/>
      <w:r>
        <w:rPr>
          <w:rFonts w:hint="eastAsia" w:ascii="宋体" w:hAnsi="宋体" w:eastAsia="宋体" w:cs="宋体"/>
          <w:color w:val="auto"/>
          <w:sz w:val="20"/>
          <w:highlight w:val="none"/>
        </w:rPr>
        <w:t xml:space="preserve"> </w:t>
      </w:r>
      <w:bookmarkEnd w:id="36"/>
    </w:p>
    <w:p w14:paraId="6C10D0C7">
      <w:pPr>
        <w:pStyle w:val="5"/>
        <w:numPr>
          <w:ilvl w:val="0"/>
          <w:numId w:val="0"/>
        </w:numPr>
        <w:spacing w:before="0" w:after="0" w:line="360" w:lineRule="auto"/>
        <w:jc w:val="both"/>
        <w:rPr>
          <w:rFonts w:hint="eastAsia" w:ascii="宋体" w:hAnsi="宋体" w:eastAsia="宋体" w:cs="宋体"/>
          <w:color w:val="auto"/>
          <w:sz w:val="24"/>
          <w:highlight w:val="none"/>
        </w:rPr>
      </w:pPr>
      <w:bookmarkStart w:id="37" w:name="_Toc29109"/>
      <w:bookmarkStart w:id="38" w:name="_Toc256000010"/>
      <w:r>
        <w:rPr>
          <w:rFonts w:hint="eastAsia" w:ascii="宋体" w:hAnsi="宋体" w:eastAsia="宋体" w:cs="宋体"/>
          <w:color w:val="auto"/>
          <w:sz w:val="24"/>
          <w:highlight w:val="none"/>
        </w:rPr>
        <w:t>七、评标步骤和要求</w:t>
      </w:r>
      <w:bookmarkEnd w:id="37"/>
      <w:bookmarkEnd w:id="38"/>
    </w:p>
    <w:p w14:paraId="5074012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21.组建评标委员会</w:t>
      </w:r>
    </w:p>
    <w:p w14:paraId="0F10DB1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采购代理机构根据有关法律法规和本招标文件的规定，结合招标项目的特点组建评标委员会，对投标文件进行评估和比较。评标委员会由五人以上单数组成，其中经济、技术等方面的专家不少于三分之二。</w:t>
      </w:r>
    </w:p>
    <w:p w14:paraId="6692E1C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参与过本项目的论证专家不得作为评标专家参加评标，采购人不得以专家身份参与评标。</w:t>
      </w:r>
    </w:p>
    <w:p w14:paraId="023CDAC4">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22、资格审查</w:t>
      </w:r>
    </w:p>
    <w:p w14:paraId="0F76B12A">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22.1公开招标采购项目开标结束后，采购人或者采购代理机构应当依法对</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的资格进行审查。合格</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不足3家的，不得评标。</w:t>
      </w:r>
      <w:r>
        <w:rPr>
          <w:rFonts w:hint="eastAsia" w:ascii="宋体" w:hAnsi="宋体" w:eastAsia="宋体" w:cs="宋体"/>
          <w:color w:val="auto"/>
          <w:sz w:val="24"/>
          <w:highlight w:val="none"/>
          <w:lang w:val="en-US" w:eastAsia="zh-CN"/>
        </w:rPr>
        <w:t>资格审查内容见下表：</w:t>
      </w:r>
    </w:p>
    <w:tbl>
      <w:tblPr>
        <w:tblStyle w:val="38"/>
        <w:tblW w:w="105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2"/>
        <w:gridCol w:w="2088"/>
        <w:gridCol w:w="6434"/>
        <w:gridCol w:w="605"/>
        <w:gridCol w:w="759"/>
      </w:tblGrid>
      <w:tr w14:paraId="454C2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1B6796E">
            <w:pPr>
              <w:pStyle w:val="7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r>
              <w:rPr>
                <w:rStyle w:val="53"/>
                <w:rFonts w:hint="eastAsia" w:ascii="宋体" w:hAnsi="宋体" w:eastAsia="宋体" w:cs="宋体"/>
                <w:b w:val="0"/>
                <w:bCs/>
                <w:i w:val="0"/>
                <w:caps w:val="0"/>
                <w:color w:val="auto"/>
                <w:spacing w:val="0"/>
                <w:w w:val="100"/>
                <w:position w:val="0"/>
                <w:sz w:val="24"/>
                <w:szCs w:val="24"/>
                <w:highlight w:val="none"/>
                <w:lang w:bidi="ar-SA"/>
              </w:rPr>
              <w:t>评分因素</w:t>
            </w:r>
          </w:p>
        </w:tc>
        <w:tc>
          <w:tcPr>
            <w:tcW w:w="2088" w:type="dxa"/>
            <w:vMerge w:val="restart"/>
            <w:tcBorders>
              <w:top w:val="single" w:color="000000" w:sz="4" w:space="0"/>
              <w:left w:val="single" w:color="000000" w:sz="4" w:space="0"/>
              <w:bottom w:val="single" w:color="000000" w:sz="4" w:space="0"/>
              <w:right w:val="single" w:color="000000" w:sz="4" w:space="0"/>
            </w:tcBorders>
            <w:noWrap w:val="0"/>
            <w:vAlign w:val="center"/>
          </w:tcPr>
          <w:p w14:paraId="57D175DC">
            <w:pPr>
              <w:pStyle w:val="7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r>
              <w:rPr>
                <w:rStyle w:val="53"/>
                <w:rFonts w:hint="eastAsia" w:ascii="宋体" w:hAnsi="宋体" w:eastAsia="宋体" w:cs="宋体"/>
                <w:b w:val="0"/>
                <w:bCs/>
                <w:i w:val="0"/>
                <w:caps w:val="0"/>
                <w:color w:val="auto"/>
                <w:spacing w:val="0"/>
                <w:w w:val="100"/>
                <w:position w:val="0"/>
                <w:sz w:val="24"/>
                <w:szCs w:val="24"/>
                <w:highlight w:val="none"/>
                <w:lang w:bidi="ar-SA"/>
              </w:rPr>
              <w:t>评分点</w:t>
            </w:r>
          </w:p>
        </w:tc>
        <w:tc>
          <w:tcPr>
            <w:tcW w:w="6434" w:type="dxa"/>
            <w:vMerge w:val="restart"/>
            <w:tcBorders>
              <w:top w:val="single" w:color="000000" w:sz="4" w:space="0"/>
              <w:left w:val="single" w:color="000000" w:sz="4" w:space="0"/>
              <w:bottom w:val="single" w:color="000000" w:sz="4" w:space="0"/>
              <w:right w:val="single" w:color="000000" w:sz="4" w:space="0"/>
            </w:tcBorders>
            <w:noWrap w:val="0"/>
            <w:vAlign w:val="center"/>
          </w:tcPr>
          <w:p w14:paraId="13512D7B">
            <w:pPr>
              <w:pStyle w:val="7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r>
              <w:rPr>
                <w:rStyle w:val="53"/>
                <w:rFonts w:hint="eastAsia" w:ascii="宋体" w:hAnsi="宋体" w:eastAsia="宋体" w:cs="宋体"/>
                <w:b w:val="0"/>
                <w:bCs/>
                <w:i w:val="0"/>
                <w:caps w:val="0"/>
                <w:color w:val="auto"/>
                <w:spacing w:val="0"/>
                <w:w w:val="100"/>
                <w:position w:val="0"/>
                <w:sz w:val="24"/>
                <w:szCs w:val="24"/>
                <w:highlight w:val="none"/>
                <w:lang w:bidi="ar-SA"/>
              </w:rPr>
              <w:t>评分标准</w:t>
            </w:r>
          </w:p>
        </w:tc>
        <w:tc>
          <w:tcPr>
            <w:tcW w:w="1364" w:type="dxa"/>
            <w:gridSpan w:val="2"/>
            <w:tcBorders>
              <w:top w:val="single" w:color="000000" w:sz="4" w:space="0"/>
              <w:left w:val="single" w:color="000000" w:sz="4" w:space="0"/>
              <w:bottom w:val="single" w:color="000000" w:sz="4" w:space="0"/>
              <w:right w:val="single" w:color="000000" w:sz="4" w:space="0"/>
            </w:tcBorders>
            <w:noWrap w:val="0"/>
            <w:vAlign w:val="center"/>
          </w:tcPr>
          <w:p w14:paraId="4029FF86">
            <w:pPr>
              <w:pStyle w:val="7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r>
              <w:rPr>
                <w:rStyle w:val="53"/>
                <w:rFonts w:hint="eastAsia" w:ascii="宋体" w:hAnsi="宋体" w:eastAsia="宋体" w:cs="宋体"/>
                <w:b w:val="0"/>
                <w:bCs/>
                <w:i w:val="0"/>
                <w:caps w:val="0"/>
                <w:color w:val="auto"/>
                <w:spacing w:val="0"/>
                <w:w w:val="100"/>
                <w:position w:val="0"/>
                <w:sz w:val="24"/>
                <w:szCs w:val="24"/>
                <w:highlight w:val="none"/>
                <w:lang w:bidi="ar-SA"/>
              </w:rPr>
              <w:t>评审意见</w:t>
            </w:r>
          </w:p>
        </w:tc>
      </w:tr>
      <w:tr w14:paraId="4F4F8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861AB6">
            <w:pPr>
              <w:pStyle w:val="7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p>
        </w:tc>
        <w:tc>
          <w:tcPr>
            <w:tcW w:w="20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CA4C16">
            <w:pPr>
              <w:pStyle w:val="7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p>
        </w:tc>
        <w:tc>
          <w:tcPr>
            <w:tcW w:w="64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4D5F0C">
            <w:pPr>
              <w:pStyle w:val="7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21090C16">
            <w:pPr>
              <w:pStyle w:val="7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r>
              <w:rPr>
                <w:rStyle w:val="53"/>
                <w:rFonts w:hint="eastAsia" w:ascii="宋体" w:hAnsi="宋体" w:eastAsia="宋体" w:cs="宋体"/>
                <w:b w:val="0"/>
                <w:bCs/>
                <w:i w:val="0"/>
                <w:caps w:val="0"/>
                <w:color w:val="auto"/>
                <w:spacing w:val="0"/>
                <w:w w:val="100"/>
                <w:position w:val="0"/>
                <w:sz w:val="24"/>
                <w:szCs w:val="24"/>
                <w:highlight w:val="none"/>
                <w:lang w:bidi="ar-SA"/>
              </w:rPr>
              <w:t>是</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6E6FB300">
            <w:pPr>
              <w:pStyle w:val="7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r>
              <w:rPr>
                <w:rStyle w:val="53"/>
                <w:rFonts w:hint="eastAsia" w:ascii="宋体" w:hAnsi="宋体" w:eastAsia="宋体" w:cs="宋体"/>
                <w:b w:val="0"/>
                <w:bCs/>
                <w:i w:val="0"/>
                <w:caps w:val="0"/>
                <w:color w:val="auto"/>
                <w:spacing w:val="0"/>
                <w:w w:val="100"/>
                <w:position w:val="0"/>
                <w:sz w:val="24"/>
                <w:szCs w:val="24"/>
                <w:highlight w:val="none"/>
                <w:lang w:bidi="ar-SA"/>
              </w:rPr>
              <w:t>否</w:t>
            </w:r>
          </w:p>
        </w:tc>
      </w:tr>
      <w:tr w14:paraId="0956D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jc w:val="center"/>
        </w:trPr>
        <w:tc>
          <w:tcPr>
            <w:tcW w:w="652" w:type="dxa"/>
            <w:vMerge w:val="restart"/>
            <w:tcBorders>
              <w:top w:val="single" w:color="000000" w:sz="4" w:space="0"/>
              <w:left w:val="single" w:color="000000" w:sz="4" w:space="0"/>
              <w:right w:val="single" w:color="000000" w:sz="4" w:space="0"/>
            </w:tcBorders>
            <w:noWrap w:val="0"/>
            <w:vAlign w:val="center"/>
          </w:tcPr>
          <w:p w14:paraId="0BFD48EF">
            <w:pPr>
              <w:pStyle w:val="7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r>
              <w:rPr>
                <w:rStyle w:val="53"/>
                <w:rFonts w:hint="eastAsia" w:ascii="宋体" w:hAnsi="宋体" w:eastAsia="宋体" w:cs="宋体"/>
                <w:b w:val="0"/>
                <w:bCs/>
                <w:i w:val="0"/>
                <w:caps w:val="0"/>
                <w:color w:val="auto"/>
                <w:spacing w:val="0"/>
                <w:w w:val="100"/>
                <w:position w:val="0"/>
                <w:sz w:val="24"/>
                <w:szCs w:val="24"/>
                <w:highlight w:val="none"/>
                <w:lang w:bidi="ar-SA"/>
              </w:rPr>
              <w:t>资格检查</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14:paraId="63E49CCC">
            <w:pPr>
              <w:pStyle w:val="7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r>
              <w:rPr>
                <w:rStyle w:val="53"/>
                <w:rFonts w:hint="eastAsia" w:ascii="宋体" w:hAnsi="宋体" w:eastAsia="宋体" w:cs="宋体"/>
                <w:b w:val="0"/>
                <w:bCs/>
                <w:i w:val="0"/>
                <w:caps w:val="0"/>
                <w:color w:val="auto"/>
                <w:spacing w:val="0"/>
                <w:w w:val="100"/>
                <w:position w:val="0"/>
                <w:sz w:val="24"/>
                <w:szCs w:val="24"/>
                <w:highlight w:val="none"/>
                <w:lang w:bidi="ar-SA"/>
              </w:rPr>
              <w:t>营业执照具有独立承担民事责任的能力</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14:paraId="06F40D91">
            <w:pPr>
              <w:pStyle w:val="7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r>
              <w:rPr>
                <w:rStyle w:val="53"/>
                <w:rFonts w:hint="eastAsia" w:ascii="宋体" w:hAnsi="宋体" w:eastAsia="宋体" w:cs="宋体"/>
                <w:b w:val="0"/>
                <w:bCs/>
                <w:i w:val="0"/>
                <w:caps w:val="0"/>
                <w:color w:val="auto"/>
                <w:spacing w:val="0"/>
                <w:w w:val="100"/>
                <w:position w:val="0"/>
                <w:sz w:val="24"/>
                <w:szCs w:val="24"/>
                <w:highlight w:val="none"/>
                <w:lang w:bidi="ar-SA"/>
              </w:rPr>
              <w:t>是否具备有效在中华人民共和国境内注册的法人或其他组织或自然人的营业执照副本或事业法人登记证或执业许可证或身份证等相关证明原件扫描件</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1C3742C6">
            <w:pPr>
              <w:pStyle w:val="7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3170C1F2">
            <w:pPr>
              <w:pStyle w:val="7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p>
        </w:tc>
      </w:tr>
      <w:tr w14:paraId="5A2D1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jc w:val="center"/>
        </w:trPr>
        <w:tc>
          <w:tcPr>
            <w:tcW w:w="652" w:type="dxa"/>
            <w:vMerge w:val="continue"/>
            <w:tcBorders>
              <w:left w:val="single" w:color="000000" w:sz="4" w:space="0"/>
              <w:right w:val="single" w:color="000000" w:sz="4" w:space="0"/>
            </w:tcBorders>
            <w:noWrap w:val="0"/>
            <w:vAlign w:val="center"/>
          </w:tcPr>
          <w:p w14:paraId="36B842BE">
            <w:pPr>
              <w:pStyle w:val="7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p>
        </w:tc>
        <w:tc>
          <w:tcPr>
            <w:tcW w:w="2088" w:type="dxa"/>
            <w:tcBorders>
              <w:top w:val="single" w:color="000000" w:sz="4" w:space="0"/>
              <w:left w:val="single" w:color="000000" w:sz="4" w:space="0"/>
              <w:bottom w:val="single" w:color="000000" w:sz="4" w:space="0"/>
              <w:right w:val="single" w:color="000000" w:sz="4" w:space="0"/>
            </w:tcBorders>
            <w:noWrap w:val="0"/>
            <w:vAlign w:val="center"/>
          </w:tcPr>
          <w:p w14:paraId="6A4DD620">
            <w:pPr>
              <w:pStyle w:val="7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r>
              <w:rPr>
                <w:rStyle w:val="53"/>
                <w:rFonts w:hint="eastAsia" w:ascii="宋体" w:hAnsi="宋体" w:eastAsia="宋体" w:cs="宋体"/>
                <w:b w:val="0"/>
                <w:bCs/>
                <w:i w:val="0"/>
                <w:caps w:val="0"/>
                <w:color w:val="auto"/>
                <w:spacing w:val="0"/>
                <w:w w:val="100"/>
                <w:position w:val="0"/>
                <w:sz w:val="24"/>
                <w:szCs w:val="24"/>
                <w:highlight w:val="none"/>
                <w:lang w:bidi="ar-SA"/>
              </w:rPr>
              <w:t>具有良好的商业信誉和健全的财务会计制度</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14:paraId="5A6F7B2E">
            <w:pPr>
              <w:pStyle w:val="7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r>
              <w:rPr>
                <w:rStyle w:val="53"/>
                <w:rFonts w:hint="eastAsia" w:ascii="宋体" w:hAnsi="宋体" w:eastAsia="宋体" w:cs="宋体"/>
                <w:b w:val="0"/>
                <w:bCs/>
                <w:i w:val="0"/>
                <w:caps w:val="0"/>
                <w:color w:val="auto"/>
                <w:spacing w:val="0"/>
                <w:w w:val="100"/>
                <w:position w:val="0"/>
                <w:sz w:val="24"/>
                <w:szCs w:val="24"/>
                <w:highlight w:val="none"/>
                <w:lang w:bidi="ar-SA"/>
              </w:rPr>
              <w:t>须提供近两年度（任意一年）经审计的财务审计报告复印件（报告中须包括资产负债表、利润表、现金流量表等），或银行在开标日期前三个月内开具的资信证明</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4F997CFA">
            <w:pPr>
              <w:pStyle w:val="7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3B504ED3">
            <w:pPr>
              <w:pStyle w:val="7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p>
        </w:tc>
      </w:tr>
      <w:tr w14:paraId="62A07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652" w:type="dxa"/>
            <w:vMerge w:val="continue"/>
            <w:tcBorders>
              <w:left w:val="single" w:color="000000" w:sz="4" w:space="0"/>
              <w:right w:val="single" w:color="000000" w:sz="4" w:space="0"/>
            </w:tcBorders>
            <w:noWrap w:val="0"/>
            <w:vAlign w:val="center"/>
          </w:tcPr>
          <w:p w14:paraId="63CBA943">
            <w:pPr>
              <w:pStyle w:val="7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p>
        </w:tc>
        <w:tc>
          <w:tcPr>
            <w:tcW w:w="2088" w:type="dxa"/>
            <w:tcBorders>
              <w:top w:val="single" w:color="000000" w:sz="4" w:space="0"/>
              <w:left w:val="single" w:color="000000" w:sz="4" w:space="0"/>
              <w:bottom w:val="single" w:color="000000" w:sz="4" w:space="0"/>
              <w:right w:val="single" w:color="000000" w:sz="4" w:space="0"/>
            </w:tcBorders>
            <w:noWrap w:val="0"/>
            <w:vAlign w:val="center"/>
          </w:tcPr>
          <w:p w14:paraId="3B4844B5">
            <w:pPr>
              <w:pStyle w:val="7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r>
              <w:rPr>
                <w:rStyle w:val="53"/>
                <w:rFonts w:hint="eastAsia" w:ascii="宋体" w:hAnsi="宋体" w:eastAsia="宋体" w:cs="宋体"/>
                <w:b w:val="0"/>
                <w:bCs/>
                <w:i w:val="0"/>
                <w:caps w:val="0"/>
                <w:color w:val="auto"/>
                <w:spacing w:val="0"/>
                <w:w w:val="100"/>
                <w:position w:val="0"/>
                <w:sz w:val="24"/>
                <w:szCs w:val="24"/>
                <w:highlight w:val="none"/>
                <w:lang w:bidi="ar-SA"/>
              </w:rPr>
              <w:t>具有履行合同所必需的设备和专业技术能力</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14:paraId="20E9118C">
            <w:pPr>
              <w:pStyle w:val="7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r>
              <w:rPr>
                <w:rStyle w:val="53"/>
                <w:rFonts w:hint="eastAsia" w:ascii="宋体" w:hAnsi="宋体" w:eastAsia="宋体" w:cs="宋体"/>
                <w:b w:val="0"/>
                <w:bCs/>
                <w:i w:val="0"/>
                <w:caps w:val="0"/>
                <w:color w:val="auto"/>
                <w:spacing w:val="0"/>
                <w:w w:val="100"/>
                <w:position w:val="0"/>
                <w:sz w:val="24"/>
                <w:szCs w:val="24"/>
                <w:highlight w:val="none"/>
                <w:lang w:bidi="ar-SA"/>
              </w:rPr>
              <w:t>具备履行合同所必需的设备和专业技术能力的书面声明原件扫描件</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05126EB8">
            <w:pPr>
              <w:pStyle w:val="7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5D375583">
            <w:pPr>
              <w:pStyle w:val="7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p>
        </w:tc>
      </w:tr>
      <w:tr w14:paraId="5ECCE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jc w:val="center"/>
        </w:trPr>
        <w:tc>
          <w:tcPr>
            <w:tcW w:w="652" w:type="dxa"/>
            <w:vMerge w:val="continue"/>
            <w:tcBorders>
              <w:left w:val="single" w:color="000000" w:sz="4" w:space="0"/>
              <w:right w:val="single" w:color="000000" w:sz="4" w:space="0"/>
            </w:tcBorders>
            <w:noWrap w:val="0"/>
            <w:vAlign w:val="center"/>
          </w:tcPr>
          <w:p w14:paraId="65D28CBD">
            <w:pPr>
              <w:pStyle w:val="7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p>
        </w:tc>
        <w:tc>
          <w:tcPr>
            <w:tcW w:w="2088" w:type="dxa"/>
            <w:tcBorders>
              <w:top w:val="single" w:color="000000" w:sz="4" w:space="0"/>
              <w:left w:val="single" w:color="000000" w:sz="4" w:space="0"/>
              <w:bottom w:val="single" w:color="000000" w:sz="4" w:space="0"/>
              <w:right w:val="single" w:color="000000" w:sz="4" w:space="0"/>
            </w:tcBorders>
            <w:noWrap w:val="0"/>
            <w:vAlign w:val="center"/>
          </w:tcPr>
          <w:p w14:paraId="671C213C">
            <w:pPr>
              <w:pStyle w:val="7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r>
              <w:rPr>
                <w:rStyle w:val="53"/>
                <w:rFonts w:hint="eastAsia" w:ascii="宋体" w:hAnsi="宋体" w:eastAsia="宋体" w:cs="宋体"/>
                <w:b w:val="0"/>
                <w:bCs/>
                <w:i w:val="0"/>
                <w:caps w:val="0"/>
                <w:color w:val="auto"/>
                <w:spacing w:val="0"/>
                <w:w w:val="100"/>
                <w:position w:val="0"/>
                <w:sz w:val="24"/>
                <w:szCs w:val="24"/>
                <w:highlight w:val="none"/>
                <w:lang w:bidi="ar-SA"/>
              </w:rPr>
              <w:t>有依法缴纳税收和社会保障资金的良好记录</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14:paraId="08FCB73F">
            <w:pPr>
              <w:pStyle w:val="7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r>
              <w:rPr>
                <w:rStyle w:val="53"/>
                <w:rFonts w:hint="eastAsia" w:ascii="宋体" w:hAnsi="宋体" w:eastAsia="宋体" w:cs="宋体"/>
                <w:b w:val="0"/>
                <w:bCs/>
                <w:i w:val="0"/>
                <w:caps w:val="0"/>
                <w:color w:val="auto"/>
                <w:spacing w:val="0"/>
                <w:w w:val="100"/>
                <w:position w:val="0"/>
                <w:sz w:val="24"/>
                <w:szCs w:val="24"/>
                <w:highlight w:val="none"/>
                <w:lang w:val="en-US" w:eastAsia="zh-CN" w:bidi="ar-SA"/>
              </w:rPr>
              <w:t>依法缴纳税收和社会保障资金的证明材料，须提供开标前六个月内任意一个月的依法缴税凭据和缴纳社会保险的凭据复印件</w:t>
            </w:r>
            <w:r>
              <w:rPr>
                <w:rStyle w:val="53"/>
                <w:rFonts w:hint="eastAsia" w:ascii="宋体" w:hAnsi="宋体" w:eastAsia="宋体" w:cs="宋体"/>
                <w:b w:val="0"/>
                <w:bCs/>
                <w:i w:val="0"/>
                <w:caps w:val="0"/>
                <w:color w:val="auto"/>
                <w:spacing w:val="0"/>
                <w:w w:val="100"/>
                <w:position w:val="0"/>
                <w:sz w:val="24"/>
                <w:szCs w:val="24"/>
                <w:highlight w:val="none"/>
                <w:lang w:bidi="ar-SA"/>
              </w:rPr>
              <w:t>（依法免税的应提供相应文件说明）</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04958F0F">
            <w:pPr>
              <w:pStyle w:val="7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381CF1F2">
            <w:pPr>
              <w:pStyle w:val="7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p>
        </w:tc>
      </w:tr>
      <w:tr w14:paraId="25E5B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0" w:hRule="atLeast"/>
          <w:jc w:val="center"/>
        </w:trPr>
        <w:tc>
          <w:tcPr>
            <w:tcW w:w="652" w:type="dxa"/>
            <w:vMerge w:val="continue"/>
            <w:tcBorders>
              <w:left w:val="single" w:color="000000" w:sz="4" w:space="0"/>
              <w:right w:val="single" w:color="000000" w:sz="4" w:space="0"/>
            </w:tcBorders>
            <w:noWrap w:val="0"/>
            <w:vAlign w:val="center"/>
          </w:tcPr>
          <w:p w14:paraId="7F5A0003">
            <w:pPr>
              <w:pStyle w:val="7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p>
        </w:tc>
        <w:tc>
          <w:tcPr>
            <w:tcW w:w="2088" w:type="dxa"/>
            <w:tcBorders>
              <w:top w:val="single" w:color="000000" w:sz="4" w:space="0"/>
              <w:left w:val="single" w:color="000000" w:sz="4" w:space="0"/>
              <w:bottom w:val="single" w:color="000000" w:sz="4" w:space="0"/>
              <w:right w:val="single" w:color="000000" w:sz="4" w:space="0"/>
            </w:tcBorders>
            <w:noWrap w:val="0"/>
            <w:vAlign w:val="center"/>
          </w:tcPr>
          <w:p w14:paraId="123B3138">
            <w:pPr>
              <w:pStyle w:val="7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b w:val="0"/>
                <w:bCs/>
                <w:i w:val="0"/>
                <w:caps w:val="0"/>
                <w:color w:val="auto"/>
                <w:spacing w:val="0"/>
                <w:w w:val="100"/>
                <w:position w:val="0"/>
                <w:sz w:val="24"/>
                <w:szCs w:val="24"/>
                <w:highlight w:val="none"/>
                <w:lang w:val="en-US" w:bidi="ar-SA"/>
              </w:rPr>
            </w:pPr>
            <w:r>
              <w:rPr>
                <w:rStyle w:val="53"/>
                <w:rFonts w:hint="eastAsia" w:ascii="宋体" w:hAnsi="宋体" w:eastAsia="宋体" w:cs="宋体"/>
                <w:b w:val="0"/>
                <w:bCs/>
                <w:i w:val="0"/>
                <w:caps w:val="0"/>
                <w:color w:val="auto"/>
                <w:spacing w:val="0"/>
                <w:w w:val="100"/>
                <w:position w:val="0"/>
                <w:sz w:val="24"/>
                <w:szCs w:val="24"/>
                <w:highlight w:val="none"/>
                <w:lang w:bidi="ar-SA"/>
              </w:rPr>
              <w:t>参加政府采购活动前三年内，在经营活动中没有重大违法记录</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14:paraId="0830443B">
            <w:pPr>
              <w:pStyle w:val="7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Fonts w:hint="eastAsia" w:ascii="宋体" w:hAnsi="宋体" w:eastAsia="宋体" w:cs="宋体"/>
                <w:b w:val="0"/>
                <w:bCs/>
                <w:i w:val="0"/>
                <w:caps w:val="0"/>
                <w:color w:val="auto"/>
                <w:spacing w:val="0"/>
                <w:w w:val="100"/>
                <w:position w:val="0"/>
                <w:sz w:val="24"/>
                <w:szCs w:val="24"/>
                <w:highlight w:val="none"/>
                <w:lang w:val="en-US" w:bidi="ar-SA"/>
              </w:rPr>
            </w:pPr>
            <w:r>
              <w:rPr>
                <w:rStyle w:val="53"/>
                <w:rFonts w:hint="eastAsia" w:ascii="宋体" w:hAnsi="宋体" w:eastAsia="宋体" w:cs="宋体"/>
                <w:b w:val="0"/>
                <w:bCs/>
                <w:i w:val="0"/>
                <w:caps w:val="0"/>
                <w:color w:val="auto"/>
                <w:spacing w:val="0"/>
                <w:w w:val="100"/>
                <w:position w:val="0"/>
                <w:sz w:val="24"/>
                <w:szCs w:val="24"/>
                <w:highlight w:val="none"/>
                <w:lang w:bidi="ar-SA"/>
              </w:rPr>
              <w:t>参加政府采购活动前三年内，在经营活动中没有重大违法记录；须提供书面声明</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27B4B85E">
            <w:pPr>
              <w:pStyle w:val="7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54967D3A">
            <w:pPr>
              <w:pStyle w:val="7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p>
        </w:tc>
      </w:tr>
      <w:tr w14:paraId="1DD0C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52" w:type="dxa"/>
            <w:vMerge w:val="continue"/>
            <w:tcBorders>
              <w:left w:val="single" w:color="000000" w:sz="4" w:space="0"/>
              <w:right w:val="single" w:color="000000" w:sz="4" w:space="0"/>
            </w:tcBorders>
            <w:noWrap w:val="0"/>
            <w:vAlign w:val="center"/>
          </w:tcPr>
          <w:p w14:paraId="3B649315">
            <w:pPr>
              <w:pStyle w:val="7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p>
        </w:tc>
        <w:tc>
          <w:tcPr>
            <w:tcW w:w="2088" w:type="dxa"/>
            <w:tcBorders>
              <w:top w:val="single" w:color="000000" w:sz="4" w:space="0"/>
              <w:left w:val="single" w:color="000000" w:sz="4" w:space="0"/>
              <w:bottom w:val="single" w:color="000000" w:sz="4" w:space="0"/>
              <w:right w:val="single" w:color="000000" w:sz="4" w:space="0"/>
            </w:tcBorders>
            <w:noWrap w:val="0"/>
            <w:vAlign w:val="center"/>
          </w:tcPr>
          <w:p w14:paraId="58435EA4">
            <w:pPr>
              <w:pStyle w:val="51"/>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pacing w:val="0"/>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lang w:val="en-US" w:eastAsia="zh-CN" w:bidi="ar-SA"/>
              </w:rPr>
              <w:t>中小企业声明函</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14:paraId="674B4D0E">
            <w:pPr>
              <w:pStyle w:val="51"/>
              <w:keepNext w:val="0"/>
              <w:keepLines w:val="0"/>
              <w:pageBreakBefore w:val="0"/>
              <w:widowControl/>
              <w:kinsoku/>
              <w:wordWrap/>
              <w:overflowPunct/>
              <w:topLinePunct w:val="0"/>
              <w:autoSpaceDE/>
              <w:autoSpaceDN/>
              <w:bidi w:val="0"/>
              <w:adjustRightInd/>
              <w:snapToGrid/>
              <w:spacing w:line="440" w:lineRule="exact"/>
              <w:ind w:firstLine="0" w:firstLineChars="0"/>
              <w:rPr>
                <w:rFonts w:hint="eastAsia" w:ascii="宋体" w:hAnsi="宋体" w:eastAsia="宋体" w:cs="宋体"/>
                <w:color w:val="auto"/>
                <w:spacing w:val="0"/>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lang w:val="en-US" w:eastAsia="zh-CN" w:bidi="ar-SA"/>
              </w:rPr>
              <w:t>请根据要求单独上传《中小企业声明函》。格式以采购文件要求为准。</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5BFB3B80">
            <w:pPr>
              <w:pStyle w:val="7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3E520D9F">
            <w:pPr>
              <w:pStyle w:val="7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p>
        </w:tc>
      </w:tr>
      <w:tr w14:paraId="07A1F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52" w:type="dxa"/>
            <w:vMerge w:val="continue"/>
            <w:tcBorders>
              <w:left w:val="single" w:color="000000" w:sz="4" w:space="0"/>
              <w:right w:val="single" w:color="000000" w:sz="4" w:space="0"/>
            </w:tcBorders>
            <w:noWrap w:val="0"/>
            <w:vAlign w:val="center"/>
          </w:tcPr>
          <w:p w14:paraId="27AF40F0">
            <w:pPr>
              <w:pStyle w:val="7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p>
        </w:tc>
        <w:tc>
          <w:tcPr>
            <w:tcW w:w="2088" w:type="dxa"/>
            <w:tcBorders>
              <w:top w:val="single" w:color="000000" w:sz="4" w:space="0"/>
              <w:left w:val="single" w:color="000000" w:sz="4" w:space="0"/>
              <w:bottom w:val="single" w:color="000000" w:sz="4" w:space="0"/>
              <w:right w:val="single" w:color="000000" w:sz="4" w:space="0"/>
            </w:tcBorders>
            <w:noWrap w:val="0"/>
            <w:vAlign w:val="center"/>
          </w:tcPr>
          <w:p w14:paraId="6A8A0B4B">
            <w:pPr>
              <w:pStyle w:val="51"/>
              <w:keepNext w:val="0"/>
              <w:keepLines w:val="0"/>
              <w:pageBreakBefore w:val="0"/>
              <w:widowControl/>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投标保证金</w:t>
            </w:r>
          </w:p>
        </w:tc>
        <w:tc>
          <w:tcPr>
            <w:tcW w:w="6434" w:type="dxa"/>
            <w:tcBorders>
              <w:top w:val="single" w:color="000000" w:sz="4" w:space="0"/>
              <w:left w:val="single" w:color="000000" w:sz="4" w:space="0"/>
              <w:bottom w:val="single" w:color="000000" w:sz="4" w:space="0"/>
              <w:right w:val="single" w:color="000000" w:sz="4" w:space="0"/>
            </w:tcBorders>
            <w:noWrap w:val="0"/>
            <w:vAlign w:val="center"/>
          </w:tcPr>
          <w:p w14:paraId="3C2FFAFC">
            <w:pPr>
              <w:pStyle w:val="51"/>
              <w:keepNext w:val="0"/>
              <w:keepLines w:val="0"/>
              <w:pageBreakBefore w:val="0"/>
              <w:widowControl/>
              <w:kinsoku/>
              <w:wordWrap/>
              <w:overflowPunct/>
              <w:topLinePunct w:val="0"/>
              <w:autoSpaceDE/>
              <w:autoSpaceDN/>
              <w:bidi w:val="0"/>
              <w:adjustRightInd/>
              <w:snapToGrid/>
              <w:spacing w:line="440" w:lineRule="exact"/>
              <w:ind w:firstLine="0" w:firstLineChars="0"/>
              <w:rPr>
                <w:rFonts w:hint="eastAsia" w:ascii="宋体" w:hAnsi="宋体" w:eastAsia="宋体" w:cs="宋体"/>
                <w:color w:val="auto"/>
                <w:spacing w:val="0"/>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lang w:val="en-US" w:eastAsia="zh-CN" w:bidi="ar-SA"/>
              </w:rPr>
              <w:t>供应商是否按要求提交投标保证金</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14:paraId="33A276FD">
            <w:pPr>
              <w:pStyle w:val="7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293E0CB4">
            <w:pPr>
              <w:pStyle w:val="7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both"/>
              <w:textAlignment w:val="baseline"/>
              <w:rPr>
                <w:rStyle w:val="53"/>
                <w:rFonts w:hint="eastAsia" w:ascii="宋体" w:hAnsi="宋体" w:eastAsia="宋体" w:cs="宋体"/>
                <w:b w:val="0"/>
                <w:bCs/>
                <w:i w:val="0"/>
                <w:caps w:val="0"/>
                <w:color w:val="auto"/>
                <w:spacing w:val="0"/>
                <w:w w:val="100"/>
                <w:position w:val="0"/>
                <w:sz w:val="24"/>
                <w:szCs w:val="24"/>
                <w:highlight w:val="none"/>
                <w:lang w:bidi="ar-SA"/>
              </w:rPr>
            </w:pPr>
          </w:p>
        </w:tc>
      </w:tr>
    </w:tbl>
    <w:p w14:paraId="74AA1DF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23.初步评审</w:t>
      </w:r>
    </w:p>
    <w:p w14:paraId="60C7096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23.1 评标委员会审查投标文件是否符合招标文件的基本要求：内容是否完整、资格证明文件是否合格、文件签署是否齐全、有无计算错误等。 </w:t>
      </w:r>
    </w:p>
    <w:p w14:paraId="51962CE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评标委员会审查投标文件是否实质上响应招标文件的要求。</w:t>
      </w:r>
    </w:p>
    <w:p w14:paraId="0E39CC9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1）实质上响应的投标是指与招标文件上的条款、条件和规格相符，没有重大偏离或保留，否则将视为无效投标。</w:t>
      </w:r>
    </w:p>
    <w:p w14:paraId="75A7B6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2）重大偏离或保留系指投标货物的质量、数量和交付日期等明显不能满足招标文件的要求，或者实质上与招标文件不一致，纠正这些偏离或保留将对其他实质上响应要求的</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的竞争地位产生不公正的影响。包括但不限于：</w:t>
      </w:r>
    </w:p>
    <w:p w14:paraId="6154CCC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A、投标文件未按招标文件的规定签章的；</w:t>
      </w:r>
    </w:p>
    <w:p w14:paraId="7F20233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B、未按投标文件份数要求提交投标文件的；</w:t>
      </w:r>
    </w:p>
    <w:p w14:paraId="5E37A1C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C、报价超过项目预算或经评标委员会认定低于成本的；</w:t>
      </w:r>
    </w:p>
    <w:p w14:paraId="36C6452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D、投标有效期不足的；</w:t>
      </w:r>
    </w:p>
    <w:p w14:paraId="41A59C1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E、联合体投标文件未附联合体投标协议书的；</w:t>
      </w:r>
    </w:p>
    <w:p w14:paraId="4A791A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F、不符合招标文件中有关分包规定的；</w:t>
      </w:r>
    </w:p>
    <w:p w14:paraId="54383A7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G、有串通投标或弄虚作假或有其他违法行为的；</w:t>
      </w:r>
    </w:p>
    <w:p w14:paraId="49B853F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H、</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递交的电子投标文件无法满足正常开标、评标使用功能的；</w:t>
      </w:r>
    </w:p>
    <w:p w14:paraId="642CB9C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I、</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名称或组织结构与报名时不一致且无有效变更证明的；</w:t>
      </w:r>
    </w:p>
    <w:p w14:paraId="09305F6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J、不符合招标文件中规定的其他实质性要求。</w:t>
      </w:r>
    </w:p>
    <w:p w14:paraId="799EF03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23.3 投标文件的细微偏差是指在实质上响应招标文件要求，但在个别地方存在漏项或者提供了不完整的技术信息和数据等情况，并且补正这些遗漏或者不完整，不会对其他</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造成不公正的结果。细微偏差不影响投标文件的有效性。</w:t>
      </w:r>
    </w:p>
    <w:p w14:paraId="5E4B29C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23.4 初步评审中，对明显的文字和计算错误按下述原则处理，若出现相互矛盾之处，应以排列在先的原则为准优先处理：        </w:t>
      </w:r>
    </w:p>
    <w:p w14:paraId="2464574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1）投标文件中的开标一览表与明细表内容不一致的，以开标一览表为准。</w:t>
      </w:r>
    </w:p>
    <w:p w14:paraId="363211F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2）如果以文字表示的数据与数字表示的有差别，以文字为准修正数字。如果大写金额和小写金额不一致的，以大写金额为准；</w:t>
      </w:r>
    </w:p>
    <w:p w14:paraId="44127FA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3）如果单价乘以数量不等于总价，以单价为准修正总价，但单价金额小数点有明显错位的，应以总价为准，并修改单价。如果明细价格相加不等于汇总价格，以明细价格为准。</w:t>
      </w:r>
    </w:p>
    <w:p w14:paraId="5BEE3A0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4）调整后的数据对</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具有约束力，</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不同意以上修正，其投标将被拒绝。</w:t>
      </w:r>
    </w:p>
    <w:p w14:paraId="315003A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23.5 评标委员会对投标文件的判定，只依据投标文件内容本身，不依据其他外来证明。</w:t>
      </w:r>
    </w:p>
    <w:p w14:paraId="4C58A47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24.投标的澄清</w:t>
      </w:r>
    </w:p>
    <w:p w14:paraId="14C784B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 评标委员会有权要求</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对投标文件中含义不明确、对同类问题表述不一致或者有明显文字和计算错误等内容作必要的澄清、说明或者补正。该要求应当采用书面形式，并由评标委员会成员签字。评标委员会不接受</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主动提出的澄清、说明或者补正。</w:t>
      </w:r>
    </w:p>
    <w:p w14:paraId="7AF0D57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24.2 </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必须按照评标委员会通知的内容和时间做出书面答复，该答复经法定代表人或授权代理人的签字认可，将作为投标文件内容的一部分。澄清、说明或者补正不得超出投标文件的范围或者改变投标文件的实质性内容。</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拒不按照要求对投标文件进行澄清、说明或者补正的，评标委员会可拒绝该投标。</w:t>
      </w:r>
    </w:p>
    <w:p w14:paraId="0071DE8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24.3 如评标委员会一致认为某个</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的报价明显不合理，有降低质量、不能诚信履行的可能时，评标委员会有权决定是否通知</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限期进行书面解释或提供相关证明材料。若已要求，而该</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在规定期限内未做出解释、作出的解释不合理或不能提供证明材料的，经评标委员会取得一致意见后，可拒绝该投标。</w:t>
      </w:r>
    </w:p>
    <w:p w14:paraId="7F92A7D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25.详细评审</w:t>
      </w:r>
    </w:p>
    <w:p w14:paraId="5D9E75C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25.1 评标委员会只对实质上响应招标文件的投标进行评价和比较；评审应严格按照招标文件第二部分“</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须知前附表”中第17项规定以及招标文件的要求进行。具体要求等详见招标文件第四部分“评审方法”。</w:t>
      </w:r>
    </w:p>
    <w:p w14:paraId="1000FC7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25.2 评标委员会依法独立评审，严格遵守评审工作纪律。对需要共同认定的事项存在争议的，按照少数服从多数的原则作出评审结论。持不同意见的评标委员会成员应当在评标报告上签署不同意见并说明理由，不签署不同意见的视为同意。</w:t>
      </w:r>
    </w:p>
    <w:p w14:paraId="18B38BE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26.确定中标人</w:t>
      </w:r>
    </w:p>
    <w:p w14:paraId="5F2F2F4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使用综合评分法的采购项目，提供相同品牌产品且通过资格审查、符合性审查的不同</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参加同一合同项下投标的，按一家</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计算，评审后得分最高的同品牌</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获得中标人推荐资格；评审得分相同的，由采购人或者采购人委托评标委员会按照招标文件规定的方式确定一个</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获得中标人推荐资格，招标文件未规定的采取随机抽取方式确定，其他同品牌</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不作为中标候选人。</w:t>
      </w:r>
    </w:p>
    <w:p w14:paraId="46828C1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评标委员会根据评审结果及招标文件的规定确定中标人。</w:t>
      </w:r>
    </w:p>
    <w:p w14:paraId="63EA559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27.评标过程要求</w:t>
      </w:r>
    </w:p>
    <w:p w14:paraId="396B494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开标之后，直到签订合同止，凡是属于审查、澄清、评价和比较投标的有关资料以及定标意向等，均不向</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或者其他与评标无关的人员透露。</w:t>
      </w:r>
    </w:p>
    <w:p w14:paraId="473D2FF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在确定中标人之前，</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试图在投标文件审查、澄清、比较和评标时对评标委员会、采购人和采购代理机构施加任何影响都可能导致其投标无效。</w:t>
      </w:r>
    </w:p>
    <w:p w14:paraId="556D93C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27.3 电子招投标的应急措施</w:t>
      </w:r>
    </w:p>
    <w:p w14:paraId="5988926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27.3.1 电子开标、评标如出现下列原因，导致系统无法正常运行或无法正常评标时，应采取应急措施。</w:t>
      </w:r>
    </w:p>
    <w:p w14:paraId="3E1ED25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（1）系统服务器发生故障，无法访问或无法使用系统；</w:t>
      </w:r>
    </w:p>
    <w:p w14:paraId="615D15C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（2）系统的软件或数据库出现错误，不能进行正常操作；</w:t>
      </w:r>
    </w:p>
    <w:p w14:paraId="71D60BC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（3）系统发现有安全漏洞，有潜在的泄密危险；</w:t>
      </w:r>
    </w:p>
    <w:p w14:paraId="413B078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（4）病毒发作或受到外来病毒的攻击；</w:t>
      </w:r>
    </w:p>
    <w:p w14:paraId="1AFB12B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（5）出现其他不可抗拒的客观原因造成开评标系统无法正常使用。</w:t>
      </w:r>
    </w:p>
    <w:p w14:paraId="4E76B6C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出现上述情况时，应对未开标的暂停开标。已在系统内开标、评标的立即停止。采取应急措施时，必须对原有资料及信息作出妥善保密处理。</w:t>
      </w:r>
    </w:p>
    <w:p w14:paraId="552B68B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27.3.2 因系统原因导致</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均无法解密电子投标文件时，采购代理机构可在开标现场直接导入</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在投标截止时间前递交的未加密的电子投标文件进行开标、评标。</w:t>
      </w:r>
    </w:p>
    <w:p w14:paraId="58177F8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28.</w:t>
      </w:r>
      <w:r>
        <w:rPr>
          <w:rFonts w:hint="eastAsia" w:ascii="宋体" w:hAnsi="宋体" w:cs="宋体"/>
          <w:b/>
          <w:color w:val="auto"/>
          <w:sz w:val="24"/>
          <w:highlight w:val="none"/>
          <w:lang w:eastAsia="zh-CN"/>
        </w:rPr>
        <w:t>供应商</w:t>
      </w:r>
      <w:r>
        <w:rPr>
          <w:rFonts w:hint="eastAsia" w:ascii="宋体" w:hAnsi="宋体" w:eastAsia="宋体" w:cs="宋体"/>
          <w:b/>
          <w:color w:val="auto"/>
          <w:sz w:val="24"/>
          <w:highlight w:val="none"/>
        </w:rPr>
        <w:t>瑕疵滞后发现的处理规则</w:t>
      </w:r>
    </w:p>
    <w:p w14:paraId="460CC8B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28.1 无论基于何种原因，各项本应作拒绝处理的情形即便未被及时发现而使该</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进入初审、综合评审或其他后续程序，包括已经签订合同的情形，一旦</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被拒绝或该</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的此前评议结果被取消，其现有的位置将被其他</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依序替代，相关的一切损失均由该</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承担。</w:t>
      </w:r>
    </w:p>
    <w:p w14:paraId="077ABA5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29.采购项目废标</w:t>
      </w:r>
    </w:p>
    <w:p w14:paraId="5AF801C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29.1 在评标过程中，评标委员会发现有下列情形之一的，应对采购项目予以废标：</w:t>
      </w:r>
    </w:p>
    <w:p w14:paraId="707745D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1）符合专业条件的供应商或者对招标文件作实质响应的供应商数量不足，导致进入详细评审、打分阶段的供应商不足3家的； </w:t>
      </w:r>
    </w:p>
    <w:p w14:paraId="2D7BCD5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的报价均超过了采购预算；</w:t>
      </w:r>
    </w:p>
    <w:p w14:paraId="3A27D86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3）出现影响采购公正的违法、违规行为的；</w:t>
      </w:r>
    </w:p>
    <w:p w14:paraId="6E98153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4）因重大变故，采购任务取消的。</w:t>
      </w:r>
    </w:p>
    <w:p w14:paraId="115BB87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除前款第四项规定的情形外，项目废标后，如未变更采购方式，采购代理机构将依法重新组织招标。</w:t>
      </w:r>
    </w:p>
    <w:p w14:paraId="1C25E60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29.2 有前款第一项规定的情形导致废标时，供应商只有2家的，可以改为竞争性谈判方式，在书面征得供应商同意并报经财政部门核准后，由采购人、采购代理机构按照竞争性谈判方式的程序组织采购。</w:t>
      </w:r>
    </w:p>
    <w:p w14:paraId="7E9E203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29.2.1 转为谈判后，若供应商未能在评标委员会指定时间内（原则上不超过60分钟）提交符合要求的补充资料或未作出实质性响应的，投标无效。经过审查符合谈判要求的有效供应商少于两家的，作废标处理。</w:t>
      </w:r>
    </w:p>
    <w:p w14:paraId="787A1C7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29.2.2 评标委员会根据采购文件内容与实质性响应采购文件要求的供应商分别进行谈判，并给予所有参加谈判的供应商平等的谈判机会。在谈判过程中，评标委员会可以根据采购文件和谈判情况实质性变动采购需求中的技术、服务要求以及合同草案条款，但不得变动采购文件中的其他内容。实质性变动的内容，须经采购人代表确认。对采购文件作出的实质性变动是采购文件的有效组成部分，评标委员会应当及时以书面形式同时通知所有参加谈判的供应商。</w:t>
      </w:r>
    </w:p>
    <w:p w14:paraId="1998E4F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供应商应当按照采购文件的变动情况和评标委员会的要求重新提交响应文件，并由其法定代表人或授权代表签字或者加盖公章。</w:t>
      </w:r>
    </w:p>
    <w:p w14:paraId="79DB088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29.2.3 投标文件的报价视为谈判时的首次报价。谈判结束后，评标委员会应当要求所有继续参加谈判的供应商在规定时间内提交不超过两轮的报价。供应商的各轮报价是供应商报价文件的有效组成部分。除最终报价外，谈判时将公开各供应商每轮报价。</w:t>
      </w:r>
    </w:p>
    <w:p w14:paraId="72123A8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29.2.4 在谈判内容不作实质性变更及重大调整的前提下，供应商次轮报价不得高于上一轮报价，否则将视为重大偏离并导致报价被拒绝。</w:t>
      </w:r>
    </w:p>
    <w:p w14:paraId="3E71EABE">
      <w:pPr>
        <w:rPr>
          <w:rFonts w:hint="eastAsia" w:ascii="宋体" w:hAnsi="宋体" w:eastAsia="宋体" w:cs="宋体"/>
          <w:color w:val="auto"/>
          <w:highlight w:val="none"/>
        </w:rPr>
      </w:pPr>
      <w:bookmarkStart w:id="39" w:name="EB89510c3b3a30480c8610f449b19e4e0a"/>
      <w:r>
        <w:rPr>
          <w:rFonts w:hint="eastAsia" w:ascii="宋体" w:hAnsi="宋体" w:eastAsia="宋体" w:cs="宋体"/>
          <w:color w:val="auto"/>
          <w:sz w:val="20"/>
          <w:highlight w:val="none"/>
        </w:rPr>
        <w:t xml:space="preserve"> </w:t>
      </w:r>
      <w:bookmarkEnd w:id="39"/>
      <w:bookmarkStart w:id="40" w:name="EBcfcb2aa810f9473284463cee8dd57e95"/>
      <w:r>
        <w:rPr>
          <w:rFonts w:hint="eastAsia" w:ascii="宋体" w:hAnsi="宋体" w:eastAsia="宋体" w:cs="宋体"/>
          <w:color w:val="auto"/>
          <w:sz w:val="20"/>
          <w:highlight w:val="none"/>
        </w:rPr>
        <w:t xml:space="preserve"> </w:t>
      </w:r>
      <w:bookmarkEnd w:id="40"/>
      <w:bookmarkStart w:id="41" w:name="EBaf0501d4fc0047abb4da5d9e147222a8"/>
      <w:r>
        <w:rPr>
          <w:rFonts w:hint="eastAsia" w:ascii="宋体" w:hAnsi="宋体" w:eastAsia="宋体" w:cs="宋体"/>
          <w:color w:val="auto"/>
          <w:sz w:val="20"/>
          <w:highlight w:val="none"/>
        </w:rPr>
        <w:t xml:space="preserve"> </w:t>
      </w:r>
      <w:bookmarkEnd w:id="41"/>
    </w:p>
    <w:p w14:paraId="00735325">
      <w:pPr>
        <w:pStyle w:val="5"/>
        <w:numPr>
          <w:ilvl w:val="0"/>
          <w:numId w:val="0"/>
        </w:numPr>
        <w:spacing w:before="0" w:after="0" w:line="360" w:lineRule="auto"/>
        <w:jc w:val="both"/>
        <w:rPr>
          <w:rFonts w:hint="eastAsia" w:ascii="宋体" w:hAnsi="宋体" w:eastAsia="宋体" w:cs="宋体"/>
          <w:color w:val="auto"/>
          <w:sz w:val="24"/>
          <w:highlight w:val="none"/>
        </w:rPr>
      </w:pPr>
      <w:bookmarkStart w:id="42" w:name="_Toc256000011"/>
      <w:bookmarkStart w:id="43" w:name="_Toc1299"/>
      <w:r>
        <w:rPr>
          <w:rFonts w:hint="eastAsia" w:ascii="宋体" w:hAnsi="宋体" w:eastAsia="宋体" w:cs="宋体"/>
          <w:color w:val="auto"/>
          <w:sz w:val="24"/>
          <w:highlight w:val="none"/>
        </w:rPr>
        <w:t>八、履约保证金</w:t>
      </w:r>
      <w:bookmarkEnd w:id="42"/>
      <w:bookmarkEnd w:id="43"/>
    </w:p>
    <w:p w14:paraId="531B8DF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30.履约保证金</w:t>
      </w:r>
    </w:p>
    <w:p w14:paraId="194FDE1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30.1 履约保证金按照招标文件第二部分“</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须知前附表”中第2</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项规定，在签订合同前交纳。</w:t>
      </w:r>
    </w:p>
    <w:p w14:paraId="1C05BF8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30.2 中标人在中标公告发布后及时足额交纳履约保证金。</w:t>
      </w:r>
    </w:p>
    <w:p w14:paraId="273F9E93">
      <w:pPr>
        <w:rPr>
          <w:rFonts w:hint="eastAsia" w:ascii="宋体" w:hAnsi="宋体" w:eastAsia="宋体" w:cs="宋体"/>
          <w:color w:val="auto"/>
          <w:highlight w:val="none"/>
        </w:rPr>
      </w:pPr>
      <w:bookmarkStart w:id="44" w:name="EB09ff709202054180b10e7298446abc62"/>
      <w:r>
        <w:rPr>
          <w:rFonts w:hint="eastAsia" w:ascii="宋体" w:hAnsi="宋体" w:eastAsia="宋体" w:cs="宋体"/>
          <w:color w:val="auto"/>
          <w:sz w:val="20"/>
          <w:highlight w:val="none"/>
        </w:rPr>
        <w:t xml:space="preserve"> </w:t>
      </w:r>
      <w:bookmarkEnd w:id="44"/>
      <w:bookmarkStart w:id="45" w:name="EBa2782dfe55b145cf925f57f312c27ae5"/>
      <w:r>
        <w:rPr>
          <w:rFonts w:hint="eastAsia" w:ascii="宋体" w:hAnsi="宋体" w:eastAsia="宋体" w:cs="宋体"/>
          <w:color w:val="auto"/>
          <w:sz w:val="20"/>
          <w:highlight w:val="none"/>
        </w:rPr>
        <w:t xml:space="preserve"> </w:t>
      </w:r>
      <w:bookmarkEnd w:id="45"/>
      <w:bookmarkStart w:id="46" w:name="EBbe8c5d3558184a138eebad6fbda2d8b7"/>
      <w:r>
        <w:rPr>
          <w:rFonts w:hint="eastAsia" w:ascii="宋体" w:hAnsi="宋体" w:eastAsia="宋体" w:cs="宋体"/>
          <w:color w:val="auto"/>
          <w:sz w:val="20"/>
          <w:highlight w:val="none"/>
        </w:rPr>
        <w:t xml:space="preserve"> </w:t>
      </w:r>
      <w:bookmarkEnd w:id="46"/>
    </w:p>
    <w:p w14:paraId="062EAE34">
      <w:pPr>
        <w:pStyle w:val="5"/>
        <w:numPr>
          <w:ilvl w:val="0"/>
          <w:numId w:val="0"/>
        </w:numPr>
        <w:spacing w:before="0" w:after="0" w:line="360" w:lineRule="auto"/>
        <w:jc w:val="both"/>
        <w:rPr>
          <w:rFonts w:hint="eastAsia" w:ascii="宋体" w:hAnsi="宋体" w:eastAsia="宋体" w:cs="宋体"/>
          <w:color w:val="auto"/>
          <w:sz w:val="24"/>
          <w:highlight w:val="none"/>
        </w:rPr>
      </w:pPr>
      <w:bookmarkStart w:id="47" w:name="_Toc256000012"/>
      <w:bookmarkStart w:id="48" w:name="_Toc11959"/>
      <w:r>
        <w:rPr>
          <w:rFonts w:hint="eastAsia" w:ascii="宋体" w:hAnsi="宋体" w:eastAsia="宋体" w:cs="宋体"/>
          <w:color w:val="auto"/>
          <w:sz w:val="24"/>
          <w:highlight w:val="none"/>
        </w:rPr>
        <w:t>九、代理服务费、公证费</w:t>
      </w:r>
      <w:bookmarkEnd w:id="47"/>
      <w:bookmarkEnd w:id="48"/>
    </w:p>
    <w:p w14:paraId="7DECA62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31.代理服务费、公证费</w:t>
      </w:r>
    </w:p>
    <w:p w14:paraId="1E82EF9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 代理服务费、公证费按照招标文件第二部分“</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须知前附表”中第2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项和第24项的规定由中标人交纳，请</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在测算投标报价时充分考虑这一因素。</w:t>
      </w:r>
    </w:p>
    <w:p w14:paraId="3F366E4E">
      <w:pPr>
        <w:rPr>
          <w:rFonts w:hint="eastAsia" w:ascii="宋体" w:hAnsi="宋体" w:eastAsia="宋体" w:cs="宋体"/>
          <w:color w:val="auto"/>
          <w:highlight w:val="none"/>
        </w:rPr>
      </w:pPr>
      <w:bookmarkStart w:id="49" w:name="EB3d5290ec12874590b73093f235eb4b9c"/>
      <w:r>
        <w:rPr>
          <w:rFonts w:hint="eastAsia" w:ascii="宋体" w:hAnsi="宋体" w:eastAsia="宋体" w:cs="宋体"/>
          <w:color w:val="auto"/>
          <w:sz w:val="20"/>
          <w:highlight w:val="none"/>
        </w:rPr>
        <w:t xml:space="preserve"> </w:t>
      </w:r>
      <w:bookmarkEnd w:id="49"/>
      <w:bookmarkStart w:id="50" w:name="EBa88a30bffaa84b308ae0078153f9e940"/>
      <w:r>
        <w:rPr>
          <w:rFonts w:hint="eastAsia" w:ascii="宋体" w:hAnsi="宋体" w:eastAsia="宋体" w:cs="宋体"/>
          <w:color w:val="auto"/>
          <w:sz w:val="20"/>
          <w:highlight w:val="none"/>
        </w:rPr>
        <w:t xml:space="preserve"> </w:t>
      </w:r>
      <w:bookmarkEnd w:id="50"/>
      <w:bookmarkStart w:id="51" w:name="EB8594d7a587344cd4b5015c7adff7aa6f"/>
      <w:r>
        <w:rPr>
          <w:rFonts w:hint="eastAsia" w:ascii="宋体" w:hAnsi="宋体" w:eastAsia="宋体" w:cs="宋体"/>
          <w:color w:val="auto"/>
          <w:sz w:val="20"/>
          <w:highlight w:val="none"/>
        </w:rPr>
        <w:t xml:space="preserve"> </w:t>
      </w:r>
      <w:bookmarkEnd w:id="51"/>
    </w:p>
    <w:p w14:paraId="08F1C5C8">
      <w:pPr>
        <w:pStyle w:val="5"/>
        <w:numPr>
          <w:ilvl w:val="0"/>
          <w:numId w:val="0"/>
        </w:numPr>
        <w:spacing w:before="0" w:after="0" w:line="360" w:lineRule="auto"/>
        <w:jc w:val="both"/>
        <w:rPr>
          <w:rFonts w:hint="eastAsia" w:ascii="宋体" w:hAnsi="宋体" w:eastAsia="宋体" w:cs="宋体"/>
          <w:color w:val="auto"/>
          <w:sz w:val="24"/>
          <w:highlight w:val="none"/>
        </w:rPr>
      </w:pPr>
      <w:bookmarkStart w:id="52" w:name="_Toc15037"/>
      <w:bookmarkStart w:id="53" w:name="_Toc256000013"/>
      <w:r>
        <w:rPr>
          <w:rFonts w:hint="eastAsia" w:ascii="宋体" w:hAnsi="宋体" w:eastAsia="宋体" w:cs="宋体"/>
          <w:color w:val="auto"/>
          <w:sz w:val="24"/>
          <w:highlight w:val="none"/>
        </w:rPr>
        <w:t>十、签订、审核合同</w:t>
      </w:r>
      <w:bookmarkEnd w:id="52"/>
      <w:bookmarkEnd w:id="53"/>
    </w:p>
    <w:p w14:paraId="1B542B0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32.中标通知</w:t>
      </w:r>
    </w:p>
    <w:p w14:paraId="74883D9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32.1 中标人确定后,采购代理机构将在相关政府采购信息发布媒体上发布中标公告，并以书面形式向中标人发出中标通知书，但该中标结果的有效性不依赖于未中标的</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是否已经收到该通知。中标人应按照上述第21、22、24条的规定交纳履约保证金、代理服务费和公证费并经采购代理机构确认后，委派专人持介绍信或授权书和身份证件前往采购代理机构领取中标通知书。中标通知书对采购人和中标人具有同等法律效力。中标通知书发出以后，采购人改变中标结果或者中标人放弃中标，应当承担相应的法律责任。</w:t>
      </w:r>
    </w:p>
    <w:p w14:paraId="6F3C65E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采购代理机构对未中标的</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不作未中标原因的解释，但中标结果的有效性不以未中标的</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是否收到相应的通知为前提。</w:t>
      </w:r>
    </w:p>
    <w:p w14:paraId="7C87821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 中标通知书是合同的组成部分。</w:t>
      </w:r>
    </w:p>
    <w:p w14:paraId="32F529D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33.签订合同</w:t>
      </w:r>
    </w:p>
    <w:p w14:paraId="0C61FD7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 中标人须在中标通知书发出之日起</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日内与采购人签订采购合同。</w:t>
      </w:r>
    </w:p>
    <w:p w14:paraId="601E6FF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33.2 中标人须按照招标文件、投标文件及评标过程中的有关澄清、说明或者补正文件的内容与采购人签订合同。中标人不得再与采购人签订背离合同实质性内容的其他协议或声明。</w:t>
      </w:r>
    </w:p>
    <w:p w14:paraId="6A72FD4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 采购人如需追加与合同标的相同的货物，在不改变合同其他条款的前提下，提交追加合同的申请报经同级财政部门审核后，可与中标人签订补充合同，但所有补充合同的采购金额不得超过原合同金额的百分之十。</w:t>
      </w:r>
    </w:p>
    <w:p w14:paraId="2B2B79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 中标人一旦中标及签订合同后，不得转包，亦不得将合同全部及任何权利、义务向第三方转让。</w:t>
      </w:r>
    </w:p>
    <w:p w14:paraId="5AA9184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 中标人不履行合同的，采购人可在报经同级人民政府财政部门核准后，与排位在中标人之后的第一位中标候选供应商签订合同，以此类推；或在报经同级人民政府财政部门核准后重新组织采购。</w:t>
      </w:r>
    </w:p>
    <w:p w14:paraId="4559FF4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 违反32.1条、32.2条的规定，给对方造成损失的，应承担赔偿责任。</w:t>
      </w:r>
    </w:p>
    <w:p w14:paraId="795C564C">
      <w:pPr>
        <w:pageBreakBefore w:val="0"/>
        <w:kinsoku/>
        <w:wordWrap/>
        <w:overflowPunct/>
        <w:topLinePunct w:val="0"/>
        <w:bidi w:val="0"/>
        <w:snapToGrid w:val="0"/>
        <w:spacing w:before="0" w:beforeAutospacing="0" w:after="0" w:afterAutospacing="0" w:line="360" w:lineRule="auto"/>
        <w:jc w:val="both"/>
        <w:textAlignment w:val="baseline"/>
        <w:rPr>
          <w:rStyle w:val="53"/>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i w:val="0"/>
          <w:caps w:val="0"/>
          <w:color w:val="auto"/>
          <w:spacing w:val="0"/>
          <w:w w:val="100"/>
          <w:kern w:val="2"/>
          <w:position w:val="0"/>
          <w:sz w:val="24"/>
          <w:szCs w:val="24"/>
          <w:highlight w:val="none"/>
          <w:lang w:val="en-US" w:eastAsia="zh-CN" w:bidi="ar-SA"/>
        </w:rPr>
        <w:t>34.合同公示</w:t>
      </w:r>
    </w:p>
    <w:p w14:paraId="4E404D70">
      <w:pPr>
        <w:spacing w:line="360" w:lineRule="auto"/>
        <w:ind w:firstLine="480" w:firstLineChars="200"/>
        <w:rPr>
          <w:rFonts w:hint="eastAsia" w:ascii="宋体" w:hAnsi="宋体" w:eastAsia="宋体" w:cs="宋体"/>
          <w:color w:val="auto"/>
          <w:sz w:val="24"/>
          <w:highlight w:val="none"/>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34.1政府采购合同于签订合同之日起2个工作日内上传至政采云交易平台进行公示。</w:t>
      </w:r>
    </w:p>
    <w:p w14:paraId="29E0BCD2">
      <w:pPr>
        <w:rPr>
          <w:rFonts w:hint="eastAsia" w:ascii="宋体" w:hAnsi="宋体" w:eastAsia="宋体" w:cs="宋体"/>
          <w:color w:val="auto"/>
          <w:highlight w:val="none"/>
        </w:rPr>
      </w:pPr>
      <w:bookmarkStart w:id="54" w:name="EB65972bcfd405439a8ed92726140c4e40"/>
      <w:r>
        <w:rPr>
          <w:rFonts w:hint="eastAsia" w:ascii="宋体" w:hAnsi="宋体" w:eastAsia="宋体" w:cs="宋体"/>
          <w:color w:val="auto"/>
          <w:sz w:val="20"/>
          <w:highlight w:val="none"/>
        </w:rPr>
        <w:t xml:space="preserve"> </w:t>
      </w:r>
      <w:bookmarkEnd w:id="54"/>
      <w:bookmarkStart w:id="55" w:name="EB6c0abc09bb1f4a6bbedf613e9381b7f4"/>
      <w:r>
        <w:rPr>
          <w:rFonts w:hint="eastAsia" w:ascii="宋体" w:hAnsi="宋体" w:eastAsia="宋体" w:cs="宋体"/>
          <w:color w:val="auto"/>
          <w:sz w:val="20"/>
          <w:highlight w:val="none"/>
        </w:rPr>
        <w:t xml:space="preserve"> </w:t>
      </w:r>
      <w:bookmarkEnd w:id="55"/>
      <w:bookmarkStart w:id="56" w:name="EB26d94f6935064ca08c11486392c4dde2"/>
      <w:r>
        <w:rPr>
          <w:rFonts w:hint="eastAsia" w:ascii="宋体" w:hAnsi="宋体" w:eastAsia="宋体" w:cs="宋体"/>
          <w:color w:val="auto"/>
          <w:sz w:val="20"/>
          <w:highlight w:val="none"/>
        </w:rPr>
        <w:t xml:space="preserve"> </w:t>
      </w:r>
      <w:bookmarkEnd w:id="56"/>
    </w:p>
    <w:p w14:paraId="1683768B">
      <w:pPr>
        <w:pStyle w:val="5"/>
        <w:numPr>
          <w:ilvl w:val="0"/>
          <w:numId w:val="0"/>
        </w:numPr>
        <w:spacing w:before="0" w:after="0" w:line="360" w:lineRule="auto"/>
        <w:jc w:val="both"/>
        <w:rPr>
          <w:rFonts w:hint="eastAsia" w:ascii="宋体" w:hAnsi="宋体" w:eastAsia="宋体" w:cs="宋体"/>
          <w:color w:val="auto"/>
          <w:sz w:val="24"/>
          <w:highlight w:val="none"/>
        </w:rPr>
      </w:pPr>
      <w:bookmarkStart w:id="57" w:name="_Toc8005"/>
      <w:bookmarkStart w:id="58" w:name="_Toc256000014"/>
      <w:r>
        <w:rPr>
          <w:rFonts w:hint="eastAsia" w:ascii="宋体" w:hAnsi="宋体" w:eastAsia="宋体" w:cs="宋体"/>
          <w:color w:val="auto"/>
          <w:sz w:val="24"/>
          <w:highlight w:val="none"/>
        </w:rPr>
        <w:t>十一、处罚、询问和质疑</w:t>
      </w:r>
      <w:bookmarkEnd w:id="57"/>
      <w:bookmarkEnd w:id="58"/>
      <w:r>
        <w:rPr>
          <w:rFonts w:hint="eastAsia" w:ascii="宋体" w:hAnsi="宋体" w:eastAsia="宋体" w:cs="宋体"/>
          <w:color w:val="auto"/>
          <w:sz w:val="24"/>
          <w:highlight w:val="none"/>
        </w:rPr>
        <w:t xml:space="preserve"> </w:t>
      </w:r>
    </w:p>
    <w:p w14:paraId="5374D0F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35.处罚</w:t>
      </w:r>
    </w:p>
    <w:p w14:paraId="08A9D9D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35.1 发生下列情况之一，</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的保证金不予退还；情节严重的将其列入不良记录名单。</w:t>
      </w:r>
    </w:p>
    <w:p w14:paraId="4A566D9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1）开标后在投标有效期内，</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撤回其投标；</w:t>
      </w:r>
    </w:p>
    <w:p w14:paraId="0019EFE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2）中标后无正当理由不与采购人签订合同的；</w:t>
      </w:r>
    </w:p>
    <w:p w14:paraId="1C360B7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3）中标人与采购人订立背离合同实质性内容的其他协议；</w:t>
      </w:r>
    </w:p>
    <w:p w14:paraId="6E21CA3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4）将中标项目转让给他人，或者在投标文件中未说明，且未经采购代理机构同意，将中标项目分包给他人的；</w:t>
      </w:r>
    </w:p>
    <w:p w14:paraId="0DF2D5F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5）存在串通投标行为的；</w:t>
      </w:r>
    </w:p>
    <w:p w14:paraId="1E0C501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6）存在弄虚作假或提供虚假材料谋取中标的；</w:t>
      </w:r>
    </w:p>
    <w:p w14:paraId="6854316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其他未按招标文件规定和合同约定履行义务的行为。</w:t>
      </w:r>
    </w:p>
    <w:p w14:paraId="3F94751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36.询问</w:t>
      </w:r>
    </w:p>
    <w:p w14:paraId="5BB23C1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36.1 </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对采购事项有疑问的，可以向采购人或采购代理机构提出询问。</w:t>
      </w:r>
    </w:p>
    <w:p w14:paraId="5895413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37.</w:t>
      </w:r>
      <w:r>
        <w:rPr>
          <w:rFonts w:hint="eastAsia" w:ascii="宋体" w:hAnsi="宋体" w:cs="宋体"/>
          <w:b/>
          <w:color w:val="auto"/>
          <w:sz w:val="24"/>
          <w:highlight w:val="none"/>
          <w:lang w:eastAsia="zh-CN"/>
        </w:rPr>
        <w:t>供应商</w:t>
      </w:r>
      <w:r>
        <w:rPr>
          <w:rFonts w:hint="eastAsia" w:ascii="宋体" w:hAnsi="宋体" w:eastAsia="宋体" w:cs="宋体"/>
          <w:b/>
          <w:color w:val="auto"/>
          <w:sz w:val="24"/>
          <w:highlight w:val="none"/>
        </w:rPr>
        <w:t>有权就招标事宜提出质疑</w:t>
      </w:r>
    </w:p>
    <w:p w14:paraId="22FC597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37.1 </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认为招标文件、采购过程和中标结果使自已的权益受到损害的，可以在知道或者应知其权益受到损害之日起7个工作日内，以书面形式提出质疑。</w:t>
      </w:r>
    </w:p>
    <w:p w14:paraId="310D6EB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37.2 质疑应当按照《中华人民共和国政府采购法》、《中华人民共和国政府采购法实施条例》、《政府采购供应商投诉处理办法》等法律法规的相关规定，以书面形式向采购代理机构提出。</w:t>
      </w:r>
    </w:p>
    <w:p w14:paraId="65E737C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37.3 质疑书应当附上相关证明材料，否则质疑将视为无有效证据支持，将被予以驳回，并不得以上述理由要求延长质疑有效期。未递交投标文件的供应商，其未参加后续采购活动，不得对递交投标文件截止后的采购过程、采购结果提出质疑。</w:t>
      </w:r>
    </w:p>
    <w:p w14:paraId="6405F4F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37.4 质疑人可以采取直接送达或者邮寄方式提交质疑书。采购代理机构收到质疑书后，对质疑书进行审查，对符合质疑条件的将办理签收手续，自签收质疑书之日起即为受理。</w:t>
      </w:r>
    </w:p>
    <w:p w14:paraId="0350D62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37.5 采购代理机构将在受理书面质疑后7个工作日内审查质疑事项，作出答复或相关处理决定，并以书面形式通知质疑人和其他相关供应商，但答复的内容不涉及商业秘密。</w:t>
      </w:r>
    </w:p>
    <w:p w14:paraId="3359F06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37.6 </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进行虚假和恶意质疑的，采购代理机构将提请有关部门将其列入不良记录名单，在一至三年内禁止参加政府采购活动，并将处理决定在相关政府采购媒体上公布。</w:t>
      </w:r>
    </w:p>
    <w:p w14:paraId="6F4CC1B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37.7 质疑人对答复不满意以及采购代理机构未在规定的时间内作出答复的，可以在答复期满后15个工作日内向财政部门投拆。</w:t>
      </w:r>
    </w:p>
    <w:p w14:paraId="29CC6E50">
      <w:pPr>
        <w:rPr>
          <w:rFonts w:hint="eastAsia" w:ascii="宋体" w:hAnsi="宋体" w:eastAsia="宋体" w:cs="宋体"/>
          <w:color w:val="auto"/>
          <w:highlight w:val="none"/>
        </w:rPr>
      </w:pPr>
      <w:bookmarkStart w:id="59" w:name="EB39c71293e74d40469078ba26d6416c98"/>
      <w:r>
        <w:rPr>
          <w:rFonts w:hint="eastAsia" w:ascii="宋体" w:hAnsi="宋体" w:eastAsia="宋体" w:cs="宋体"/>
          <w:color w:val="auto"/>
          <w:sz w:val="20"/>
          <w:highlight w:val="none"/>
        </w:rPr>
        <w:t xml:space="preserve"> </w:t>
      </w:r>
      <w:bookmarkEnd w:id="59"/>
      <w:bookmarkStart w:id="60" w:name="EB271efed5eb2c4571a51ef86245b10499"/>
      <w:r>
        <w:rPr>
          <w:rFonts w:hint="eastAsia" w:ascii="宋体" w:hAnsi="宋体" w:eastAsia="宋体" w:cs="宋体"/>
          <w:color w:val="auto"/>
          <w:sz w:val="20"/>
          <w:highlight w:val="none"/>
        </w:rPr>
        <w:t xml:space="preserve"> </w:t>
      </w:r>
      <w:bookmarkEnd w:id="60"/>
      <w:bookmarkStart w:id="61" w:name="EB1019d0c475354d278c10922fbe210b36"/>
      <w:r>
        <w:rPr>
          <w:rFonts w:hint="eastAsia" w:ascii="宋体" w:hAnsi="宋体" w:eastAsia="宋体" w:cs="宋体"/>
          <w:color w:val="auto"/>
          <w:sz w:val="20"/>
          <w:highlight w:val="none"/>
        </w:rPr>
        <w:t xml:space="preserve"> </w:t>
      </w:r>
      <w:bookmarkEnd w:id="61"/>
    </w:p>
    <w:p w14:paraId="3A90C395">
      <w:pPr>
        <w:pStyle w:val="5"/>
        <w:numPr>
          <w:ilvl w:val="0"/>
          <w:numId w:val="0"/>
        </w:numPr>
        <w:spacing w:before="0" w:after="0" w:line="360" w:lineRule="auto"/>
        <w:jc w:val="both"/>
        <w:rPr>
          <w:rFonts w:hint="eastAsia" w:ascii="宋体" w:hAnsi="宋体" w:eastAsia="宋体" w:cs="宋体"/>
          <w:color w:val="auto"/>
          <w:sz w:val="24"/>
          <w:highlight w:val="none"/>
        </w:rPr>
      </w:pPr>
      <w:bookmarkStart w:id="62" w:name="_Toc256000015"/>
      <w:bookmarkStart w:id="63" w:name="_Toc11666"/>
      <w:r>
        <w:rPr>
          <w:rFonts w:hint="eastAsia" w:ascii="宋体" w:hAnsi="宋体" w:eastAsia="宋体" w:cs="宋体"/>
          <w:color w:val="auto"/>
          <w:sz w:val="24"/>
          <w:highlight w:val="none"/>
        </w:rPr>
        <w:t>十二、保密和披露</w:t>
      </w:r>
      <w:bookmarkEnd w:id="62"/>
      <w:bookmarkEnd w:id="63"/>
    </w:p>
    <w:p w14:paraId="7151FD6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38.保密和披露</w:t>
      </w:r>
    </w:p>
    <w:p w14:paraId="42787A5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38.1 </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自领取招标文件之日起，须承担本招标项目保密义务，不得将因本次招标获得的信息向第三人外传。由采购人向</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提供的图纸、详细资料、样品、模型、模件和所有其它资料，被视为保密资料，仅被用于它所规定的用途。除非得到采购人的同意，不能向任何第三方透露。开标结束后，应采购人要求，</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应归还所有从采购人处获得的保密资料。</w:t>
      </w:r>
    </w:p>
    <w:p w14:paraId="34A4868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38.2 采购代理机构有权将</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提供的所有资料向有关政府部门或评审标书的有关人员披露。</w:t>
      </w:r>
    </w:p>
    <w:p w14:paraId="06B5CC9B">
      <w:pPr>
        <w:spacing w:line="360" w:lineRule="auto"/>
        <w:ind w:firstLine="480" w:firstLineChars="200"/>
        <w:rPr>
          <w:rFonts w:hint="eastAsia" w:ascii="宋体" w:hAnsi="宋体" w:eastAsia="宋体" w:cs="宋体"/>
          <w:color w:val="auto"/>
          <w:sz w:val="24"/>
          <w:highlight w:val="none"/>
        </w:rPr>
        <w:sectPr>
          <w:headerReference r:id="rId4" w:type="default"/>
          <w:footerReference r:id="rId5" w:type="default"/>
          <w:pgSz w:w="11907" w:h="16840"/>
          <w:pgMar w:top="1474" w:right="1814" w:bottom="1474" w:left="1814" w:header="851" w:footer="851" w:gutter="0"/>
          <w:cols w:space="720" w:num="1"/>
          <w:docGrid w:linePitch="462" w:charSpace="0"/>
        </w:sectPr>
      </w:pPr>
      <w:r>
        <w:rPr>
          <w:rFonts w:hint="eastAsia" w:ascii="宋体" w:hAnsi="宋体" w:eastAsia="宋体" w:cs="宋体"/>
          <w:color w:val="auto"/>
          <w:sz w:val="24"/>
          <w:highlight w:val="none"/>
        </w:rPr>
        <w:t>38.3 在采购代理机构认为适当时、国家机关调查、审查、审计时以及其他符合法律规定的情形下，采购代理机构无须事先征求</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同意而可以披露关于采购过程、合同文本、签署情况的资料、</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的名称及地址、投标文件的有关信息以及补充条款等，但应当在合理的必要范围内。对任何已经公布过的内容或与之内容相同的资料，以及</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已经泄露或公开的，无须再承担保密责任。</w:t>
      </w:r>
    </w:p>
    <w:p w14:paraId="252E5F15">
      <w:pPr>
        <w:bidi w:val="0"/>
        <w:rPr>
          <w:rFonts w:hint="eastAsia"/>
          <w:color w:val="auto"/>
          <w:highlight w:val="none"/>
          <w:lang w:val="en-US" w:eastAsia="zh-CN"/>
        </w:rPr>
      </w:pPr>
      <w:bookmarkStart w:id="64" w:name="_Toc480368413"/>
      <w:bookmarkStart w:id="65" w:name="_Toc3569"/>
    </w:p>
    <w:p w14:paraId="7A9CC0A6">
      <w:pPr>
        <w:spacing w:line="500" w:lineRule="exact"/>
        <w:jc w:val="center"/>
        <w:outlineLvl w:val="0"/>
        <w:rPr>
          <w:rFonts w:hint="eastAsia" w:ascii="宋体" w:hAnsi="宋体" w:eastAsia="宋体" w:cs="宋体"/>
          <w:color w:val="auto"/>
          <w:sz w:val="24"/>
          <w:szCs w:val="24"/>
          <w:highlight w:val="none"/>
        </w:rPr>
      </w:pPr>
      <w:r>
        <w:rPr>
          <w:rFonts w:hint="eastAsia" w:ascii="宋体" w:hAnsi="宋体" w:eastAsia="宋体" w:cs="宋体"/>
          <w:b/>
          <w:color w:val="auto"/>
          <w:sz w:val="32"/>
          <w:szCs w:val="32"/>
          <w:highlight w:val="none"/>
          <w:lang w:val="en-US" w:eastAsia="zh-CN"/>
        </w:rPr>
        <w:t xml:space="preserve">第三部分   </w:t>
      </w:r>
      <w:bookmarkEnd w:id="64"/>
      <w:r>
        <w:rPr>
          <w:rFonts w:hint="eastAsia" w:ascii="宋体" w:hAnsi="宋体" w:eastAsia="宋体" w:cs="宋体"/>
          <w:b/>
          <w:color w:val="auto"/>
          <w:sz w:val="32"/>
          <w:szCs w:val="32"/>
          <w:highlight w:val="none"/>
          <w:lang w:val="en-US" w:eastAsia="zh-CN"/>
        </w:rPr>
        <w:t>采购需求</w:t>
      </w:r>
      <w:bookmarkEnd w:id="65"/>
    </w:p>
    <w:p w14:paraId="241D0937">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b/>
          <w:bCs/>
          <w:color w:val="auto"/>
          <w:spacing w:val="-11"/>
          <w:sz w:val="24"/>
          <w:szCs w:val="24"/>
          <w:highlight w:val="none"/>
        </w:rPr>
      </w:pPr>
      <w:r>
        <w:rPr>
          <w:rFonts w:hint="eastAsia" w:ascii="宋体" w:hAnsi="宋体" w:eastAsia="宋体" w:cs="宋体"/>
          <w:b/>
          <w:bCs/>
          <w:color w:val="auto"/>
          <w:spacing w:val="-11"/>
          <w:sz w:val="24"/>
          <w:szCs w:val="24"/>
          <w:highlight w:val="none"/>
        </w:rPr>
        <w:t>一、</w:t>
      </w:r>
      <w:r>
        <w:rPr>
          <w:rFonts w:hint="eastAsia" w:ascii="宋体" w:hAnsi="宋体" w:eastAsia="宋体" w:cs="宋体"/>
          <w:b/>
          <w:bCs/>
          <w:color w:val="auto"/>
          <w:spacing w:val="-11"/>
          <w:sz w:val="24"/>
          <w:szCs w:val="24"/>
          <w:highlight w:val="none"/>
          <w:lang w:val="en-US" w:eastAsia="zh-CN"/>
        </w:rPr>
        <w:t>功能</w:t>
      </w:r>
      <w:r>
        <w:rPr>
          <w:rFonts w:hint="eastAsia" w:ascii="宋体" w:hAnsi="宋体" w:eastAsia="宋体" w:cs="宋体"/>
          <w:b/>
          <w:bCs/>
          <w:color w:val="auto"/>
          <w:spacing w:val="-11"/>
          <w:sz w:val="24"/>
          <w:szCs w:val="24"/>
          <w:highlight w:val="none"/>
        </w:rPr>
        <w:t>清单</w:t>
      </w:r>
    </w:p>
    <w:p w14:paraId="7FE25E34">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sz w:val="24"/>
          <w:szCs w:val="24"/>
          <w:highlight w:val="none"/>
        </w:rPr>
      </w:pPr>
    </w:p>
    <w:tbl>
      <w:tblPr>
        <w:tblStyle w:val="38"/>
        <w:tblW w:w="14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196"/>
        <w:gridCol w:w="1559"/>
        <w:gridCol w:w="10773"/>
      </w:tblGrid>
      <w:tr w14:paraId="2C687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shd w:val="clear" w:color="auto" w:fill="C6D9F1"/>
            <w:vAlign w:val="center"/>
          </w:tcPr>
          <w:p w14:paraId="07A9A2E0">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196" w:type="dxa"/>
            <w:shd w:val="clear" w:color="auto" w:fill="C6D9F1"/>
            <w:vAlign w:val="center"/>
          </w:tcPr>
          <w:p w14:paraId="5115CA8C">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模块分类</w:t>
            </w:r>
          </w:p>
        </w:tc>
        <w:tc>
          <w:tcPr>
            <w:tcW w:w="1559" w:type="dxa"/>
            <w:shd w:val="clear" w:color="auto" w:fill="C6D9F1"/>
            <w:vAlign w:val="center"/>
          </w:tcPr>
          <w:p w14:paraId="6A6E0E31">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kern w:val="0"/>
                <w:sz w:val="24"/>
                <w:szCs w:val="24"/>
                <w:highlight w:val="none"/>
              </w:rPr>
              <w:t>模块功能</w:t>
            </w:r>
          </w:p>
        </w:tc>
        <w:tc>
          <w:tcPr>
            <w:tcW w:w="10773" w:type="dxa"/>
            <w:shd w:val="clear" w:color="auto" w:fill="C6D9F1"/>
          </w:tcPr>
          <w:p w14:paraId="60DB0F5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平台功能</w:t>
            </w:r>
          </w:p>
        </w:tc>
      </w:tr>
      <w:tr w14:paraId="00327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restart"/>
            <w:vAlign w:val="center"/>
          </w:tcPr>
          <w:p w14:paraId="79C3258E">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restart"/>
            <w:vAlign w:val="center"/>
          </w:tcPr>
          <w:p w14:paraId="42C6A694">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办公管理（事务审批）</w:t>
            </w:r>
          </w:p>
        </w:tc>
        <w:tc>
          <w:tcPr>
            <w:tcW w:w="1559" w:type="dxa"/>
            <w:vMerge w:val="restart"/>
            <w:vAlign w:val="center"/>
          </w:tcPr>
          <w:p w14:paraId="3AB79168">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流程办理</w:t>
            </w:r>
          </w:p>
        </w:tc>
        <w:tc>
          <w:tcPr>
            <w:tcW w:w="10773" w:type="dxa"/>
          </w:tcPr>
          <w:p w14:paraId="0AB39EE8">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办公管理总体功能要求描述：</w:t>
            </w:r>
            <w:r>
              <w:rPr>
                <w:rFonts w:hint="eastAsia" w:ascii="宋体" w:hAnsi="宋体" w:eastAsia="宋体" w:cs="宋体"/>
                <w:color w:val="auto"/>
                <w:kern w:val="0"/>
                <w:sz w:val="24"/>
                <w:szCs w:val="24"/>
                <w:highlight w:val="none"/>
              </w:rPr>
              <w:t>工会所有行政办公、事务审批业务审批流转的电子流程化管理，各项事务审批</w:t>
            </w:r>
            <w:r>
              <w:rPr>
                <w:rFonts w:hint="eastAsia" w:ascii="宋体" w:hAnsi="宋体" w:eastAsia="宋体" w:cs="宋体"/>
                <w:color w:val="auto"/>
                <w:kern w:val="0"/>
                <w:sz w:val="24"/>
                <w:szCs w:val="24"/>
                <w:highlight w:val="none"/>
                <w:lang w:eastAsia="zh-CN"/>
              </w:rPr>
              <w:t>日志留存</w:t>
            </w:r>
            <w:r>
              <w:rPr>
                <w:rFonts w:hint="eastAsia" w:ascii="宋体" w:hAnsi="宋体" w:eastAsia="宋体" w:cs="宋体"/>
                <w:color w:val="auto"/>
                <w:kern w:val="0"/>
                <w:sz w:val="24"/>
                <w:szCs w:val="24"/>
                <w:highlight w:val="none"/>
              </w:rPr>
              <w:t>。要求要能根据单位组织架构部门和人员的调整灵活的调整和修改审批流转。办公事务审批流程功能要包括：发起审批、待办事宜、知会事宜、已办事宜、办结事宜、流程跟踪、流程分类代理、流程转发、流程监控、流程报表台账生成、流程效率分析、审批事项查询灵活方便、要提供审批流程提醒功能。</w:t>
            </w:r>
          </w:p>
          <w:p w14:paraId="4587BA8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待办任务：</w:t>
            </w:r>
            <w:r>
              <w:rPr>
                <w:rFonts w:hint="eastAsia" w:ascii="宋体" w:hAnsi="宋体" w:eastAsia="宋体" w:cs="宋体"/>
                <w:color w:val="auto"/>
                <w:kern w:val="0"/>
                <w:sz w:val="24"/>
                <w:szCs w:val="24"/>
                <w:highlight w:val="none"/>
              </w:rPr>
              <w:t>处理待审批的流程，批量通过审批；</w:t>
            </w:r>
          </w:p>
          <w:p w14:paraId="6A8CA040">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未读待办任务流程标题加粗</w:t>
            </w:r>
            <w:r>
              <w:rPr>
                <w:rFonts w:hint="eastAsia" w:ascii="宋体" w:hAnsi="宋体" w:eastAsia="宋体" w:cs="宋体"/>
                <w:color w:val="auto"/>
                <w:kern w:val="0"/>
                <w:sz w:val="24"/>
                <w:szCs w:val="24"/>
                <w:highlight w:val="none"/>
                <w:lang w:eastAsia="zh-CN"/>
              </w:rPr>
              <w:t>提醒</w:t>
            </w:r>
            <w:r>
              <w:rPr>
                <w:rFonts w:hint="eastAsia" w:ascii="宋体" w:hAnsi="宋体" w:eastAsia="宋体" w:cs="宋体"/>
                <w:color w:val="auto"/>
                <w:kern w:val="0"/>
                <w:sz w:val="24"/>
                <w:szCs w:val="24"/>
                <w:highlight w:val="none"/>
              </w:rPr>
              <w:t>显示</w:t>
            </w:r>
            <w:r>
              <w:rPr>
                <w:rFonts w:hint="eastAsia" w:ascii="宋体" w:hAnsi="宋体" w:eastAsia="宋体" w:cs="宋体"/>
                <w:color w:val="auto"/>
                <w:kern w:val="0"/>
                <w:sz w:val="24"/>
                <w:szCs w:val="24"/>
                <w:highlight w:val="none"/>
                <w:lang w:eastAsia="zh-CN"/>
              </w:rPr>
              <w:t>，可定期通过邮件方式或短信提醒方式通知文件、通知等的接收账户，防止遗漏通知等</w:t>
            </w:r>
            <w:r>
              <w:rPr>
                <w:rFonts w:hint="eastAsia" w:ascii="宋体" w:hAnsi="宋体" w:eastAsia="宋体" w:cs="宋体"/>
                <w:color w:val="auto"/>
                <w:kern w:val="0"/>
                <w:sz w:val="24"/>
                <w:szCs w:val="24"/>
                <w:highlight w:val="none"/>
              </w:rPr>
              <w:t>；</w:t>
            </w:r>
          </w:p>
          <w:p w14:paraId="0E4F1184">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对不紧急或不具备办理条件的任务进行暂不办理处理，</w:t>
            </w:r>
            <w:r>
              <w:rPr>
                <w:rFonts w:hint="eastAsia" w:ascii="宋体" w:hAnsi="宋体" w:eastAsia="宋体" w:cs="宋体"/>
                <w:color w:val="auto"/>
                <w:spacing w:val="-6"/>
                <w:kern w:val="0"/>
                <w:sz w:val="24"/>
                <w:szCs w:val="24"/>
                <w:highlight w:val="none"/>
                <w:lang w:eastAsia="zh-CN"/>
              </w:rPr>
              <w:t>定期通过邮件提醒是否</w:t>
            </w:r>
            <w:r>
              <w:rPr>
                <w:rFonts w:hint="eastAsia" w:ascii="宋体" w:hAnsi="宋体" w:eastAsia="宋体" w:cs="宋体"/>
                <w:color w:val="auto"/>
                <w:spacing w:val="-6"/>
                <w:kern w:val="0"/>
                <w:sz w:val="24"/>
                <w:szCs w:val="24"/>
                <w:highlight w:val="none"/>
              </w:rPr>
              <w:t>恢复办理</w:t>
            </w:r>
            <w:r>
              <w:rPr>
                <w:rFonts w:hint="eastAsia" w:ascii="宋体" w:hAnsi="宋体" w:eastAsia="宋体" w:cs="宋体"/>
                <w:color w:val="auto"/>
                <w:spacing w:val="-6"/>
                <w:kern w:val="0"/>
                <w:sz w:val="24"/>
                <w:szCs w:val="24"/>
                <w:highlight w:val="none"/>
                <w:lang w:eastAsia="zh-CN"/>
              </w:rPr>
              <w:t>，同时通过短信提醒再次提醒</w:t>
            </w:r>
            <w:r>
              <w:rPr>
                <w:rFonts w:hint="eastAsia" w:ascii="宋体" w:hAnsi="宋体" w:eastAsia="宋体" w:cs="宋体"/>
                <w:color w:val="auto"/>
                <w:spacing w:val="-6"/>
                <w:kern w:val="0"/>
                <w:sz w:val="24"/>
                <w:szCs w:val="24"/>
                <w:highlight w:val="none"/>
              </w:rPr>
              <w:t>；</w:t>
            </w:r>
          </w:p>
          <w:p w14:paraId="066859EE">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可配置退回、关联流程、转交、加签、跳转、作废、结束、打印、打印记录、阅件、转发、下载、邮件转发、部门办理等流程操作按钮；</w:t>
            </w:r>
          </w:p>
          <w:p w14:paraId="4232768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打印表单草稿批示意见打印；</w:t>
            </w:r>
          </w:p>
          <w:p w14:paraId="4F70A86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关注流程的活动环节和审批人，活动办理完成或审批人办理后推送提醒给用户；</w:t>
            </w:r>
          </w:p>
          <w:p w14:paraId="03233596">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按照任务类型（转交、退回）查询；</w:t>
            </w:r>
          </w:p>
          <w:p w14:paraId="65FDFFEA">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按照流程名称进行查询（也可通过中间流程树）；</w:t>
            </w:r>
          </w:p>
          <w:p w14:paraId="03A25FE4">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按流程类型（分类）查看待办任务，待办数量显示；</w:t>
            </w:r>
          </w:p>
          <w:p w14:paraId="6C531DF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待办任务列表流程标题高级检索；</w:t>
            </w:r>
          </w:p>
        </w:tc>
      </w:tr>
      <w:tr w14:paraId="19D1D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23E4D37F">
            <w:pPr>
              <w:pStyle w:val="65"/>
              <w:keepNext w:val="0"/>
              <w:keepLines w:val="0"/>
              <w:pageBreakBefore w:val="0"/>
              <w:kinsoku/>
              <w:wordWrap/>
              <w:overflowPunct/>
              <w:topLinePunct w:val="0"/>
              <w:autoSpaceDE/>
              <w:autoSpaceDN/>
              <w:bidi w:val="0"/>
              <w:adjustRightInd w:val="0"/>
              <w:snapToGrid/>
              <w:spacing w:line="440" w:lineRule="exact"/>
              <w:ind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4B87506F">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Merge w:val="continue"/>
            <w:vAlign w:val="center"/>
          </w:tcPr>
          <w:p w14:paraId="0196B824">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52A59EC8">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待阅任务：</w:t>
            </w:r>
            <w:r>
              <w:rPr>
                <w:rFonts w:hint="eastAsia" w:ascii="宋体" w:hAnsi="宋体" w:eastAsia="宋体" w:cs="宋体"/>
                <w:color w:val="auto"/>
                <w:kern w:val="0"/>
                <w:sz w:val="24"/>
                <w:szCs w:val="24"/>
                <w:highlight w:val="none"/>
              </w:rPr>
              <w:t>处理待查阅的流程，批量阅件；</w:t>
            </w:r>
          </w:p>
          <w:p w14:paraId="099BB4DB">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未读待阅任务流程标题加粗显示；下载、转发、阅件、打印、打印记录、已阅等操作；</w:t>
            </w:r>
          </w:p>
          <w:p w14:paraId="1BCC07C5">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关注流程的活动环节和审批人，活动办理完成或审批人办理后推送提醒给用户；</w:t>
            </w:r>
          </w:p>
          <w:p w14:paraId="79868A71">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按流程类型（分类）查看待阅任务，待阅数量显示；</w:t>
            </w:r>
          </w:p>
        </w:tc>
      </w:tr>
      <w:tr w14:paraId="450B3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284D6D21">
            <w:pPr>
              <w:pStyle w:val="65"/>
              <w:keepNext w:val="0"/>
              <w:keepLines w:val="0"/>
              <w:pageBreakBefore w:val="0"/>
              <w:kinsoku/>
              <w:wordWrap/>
              <w:overflowPunct/>
              <w:topLinePunct w:val="0"/>
              <w:autoSpaceDE/>
              <w:autoSpaceDN/>
              <w:bidi w:val="0"/>
              <w:adjustRightInd w:val="0"/>
              <w:snapToGrid/>
              <w:spacing w:line="440" w:lineRule="exact"/>
              <w:ind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77B4BB11">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Merge w:val="continue"/>
            <w:vAlign w:val="center"/>
          </w:tcPr>
          <w:p w14:paraId="03F63942">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7DE2F950">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已办任务：</w:t>
            </w:r>
            <w:r>
              <w:rPr>
                <w:rFonts w:hint="eastAsia" w:ascii="宋体" w:hAnsi="宋体" w:eastAsia="宋体" w:cs="宋体"/>
                <w:color w:val="auto"/>
                <w:kern w:val="0"/>
                <w:sz w:val="24"/>
                <w:szCs w:val="24"/>
                <w:highlight w:val="none"/>
              </w:rPr>
              <w:t>查询已经办理的审批流程，导出列表数据；</w:t>
            </w:r>
          </w:p>
          <w:p w14:paraId="1B6FD9E6">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可配置撤回、收回、反馈、补签、撤签等流程操作按钮；</w:t>
            </w:r>
          </w:p>
          <w:p w14:paraId="178F8ABE">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关注流程的活动环节和审批人，活动办理完成或审批人办理后推送提醒给用户；</w:t>
            </w:r>
          </w:p>
          <w:p w14:paraId="3F63552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按流程类型（分类）查看已办任务，已办数量显示；</w:t>
            </w:r>
          </w:p>
        </w:tc>
      </w:tr>
      <w:tr w14:paraId="29D59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544C6B54">
            <w:pPr>
              <w:pStyle w:val="65"/>
              <w:keepNext w:val="0"/>
              <w:keepLines w:val="0"/>
              <w:pageBreakBefore w:val="0"/>
              <w:kinsoku/>
              <w:wordWrap/>
              <w:overflowPunct/>
              <w:topLinePunct w:val="0"/>
              <w:autoSpaceDE/>
              <w:autoSpaceDN/>
              <w:bidi w:val="0"/>
              <w:adjustRightInd w:val="0"/>
              <w:snapToGrid/>
              <w:spacing w:line="440" w:lineRule="exact"/>
              <w:ind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6D584821">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Merge w:val="continue"/>
            <w:vAlign w:val="center"/>
          </w:tcPr>
          <w:p w14:paraId="2BBFEECA">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70167BE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已阅任务：</w:t>
            </w:r>
            <w:r>
              <w:rPr>
                <w:rFonts w:hint="eastAsia" w:ascii="宋体" w:hAnsi="宋体" w:eastAsia="宋体" w:cs="宋体"/>
                <w:color w:val="auto"/>
                <w:kern w:val="0"/>
                <w:sz w:val="24"/>
                <w:szCs w:val="24"/>
                <w:highlight w:val="none"/>
              </w:rPr>
              <w:t>查询已经阅件的审批流程；</w:t>
            </w:r>
          </w:p>
          <w:p w14:paraId="53E1FFDA">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下载、转发、阅件、打印、打印记录等流程操作</w:t>
            </w:r>
            <w:r>
              <w:rPr>
                <w:rFonts w:hint="eastAsia" w:ascii="宋体" w:hAnsi="宋体" w:eastAsia="宋体" w:cs="宋体"/>
                <w:color w:val="auto"/>
                <w:kern w:val="0"/>
                <w:sz w:val="24"/>
                <w:szCs w:val="24"/>
                <w:highlight w:val="none"/>
                <w:lang w:eastAsia="zh-CN"/>
              </w:rPr>
              <w:t>及日志留存</w:t>
            </w:r>
            <w:r>
              <w:rPr>
                <w:rFonts w:hint="eastAsia" w:ascii="宋体" w:hAnsi="宋体" w:eastAsia="宋体" w:cs="宋体"/>
                <w:color w:val="auto"/>
                <w:kern w:val="0"/>
                <w:sz w:val="24"/>
                <w:szCs w:val="24"/>
                <w:highlight w:val="none"/>
              </w:rPr>
              <w:t>；</w:t>
            </w:r>
          </w:p>
          <w:p w14:paraId="3FE79200">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按流程类型（分类）查看已阅任务，已阅数量显示；</w:t>
            </w:r>
          </w:p>
        </w:tc>
      </w:tr>
      <w:tr w14:paraId="6EC2E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02CAECCF">
            <w:pPr>
              <w:pStyle w:val="65"/>
              <w:keepNext w:val="0"/>
              <w:keepLines w:val="0"/>
              <w:pageBreakBefore w:val="0"/>
              <w:kinsoku/>
              <w:wordWrap/>
              <w:overflowPunct/>
              <w:topLinePunct w:val="0"/>
              <w:autoSpaceDE/>
              <w:autoSpaceDN/>
              <w:bidi w:val="0"/>
              <w:adjustRightInd w:val="0"/>
              <w:snapToGrid/>
              <w:spacing w:line="440" w:lineRule="exact"/>
              <w:ind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43507AE9">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Merge w:val="continue"/>
            <w:vAlign w:val="center"/>
          </w:tcPr>
          <w:p w14:paraId="10FEF0CF">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74780088">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我的流程：</w:t>
            </w:r>
            <w:r>
              <w:rPr>
                <w:rFonts w:hint="eastAsia" w:ascii="宋体" w:hAnsi="宋体" w:eastAsia="宋体" w:cs="宋体"/>
                <w:color w:val="auto"/>
                <w:kern w:val="0"/>
                <w:sz w:val="24"/>
                <w:szCs w:val="24"/>
                <w:highlight w:val="none"/>
              </w:rPr>
              <w:t>查询所有发起的审批流程，导出列表数据；</w:t>
            </w:r>
          </w:p>
          <w:p w14:paraId="702FCB9B">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流程催办、撤回、再次发送等操作；</w:t>
            </w:r>
          </w:p>
          <w:p w14:paraId="2EB596A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关注流程的活动环节和审批人，活动办理完成或审批人办理后推送提醒给用户；</w:t>
            </w:r>
          </w:p>
          <w:p w14:paraId="2C88999E">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按流程类型（分类）查看待办文件，流程数量显示；</w:t>
            </w:r>
          </w:p>
        </w:tc>
      </w:tr>
      <w:tr w14:paraId="36A4B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38061E57">
            <w:pPr>
              <w:pStyle w:val="65"/>
              <w:keepNext w:val="0"/>
              <w:keepLines w:val="0"/>
              <w:pageBreakBefore w:val="0"/>
              <w:kinsoku/>
              <w:wordWrap/>
              <w:overflowPunct/>
              <w:topLinePunct w:val="0"/>
              <w:autoSpaceDE/>
              <w:autoSpaceDN/>
              <w:bidi w:val="0"/>
              <w:adjustRightInd w:val="0"/>
              <w:snapToGrid/>
              <w:spacing w:line="440" w:lineRule="exact"/>
              <w:ind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27D37477">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Merge w:val="continue"/>
            <w:vAlign w:val="center"/>
          </w:tcPr>
          <w:p w14:paraId="0793EDC7">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2D327B82">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我的关注：</w:t>
            </w:r>
            <w:r>
              <w:rPr>
                <w:rFonts w:hint="eastAsia" w:ascii="宋体" w:hAnsi="宋体" w:eastAsia="宋体" w:cs="宋体"/>
                <w:color w:val="auto"/>
                <w:kern w:val="0"/>
                <w:sz w:val="24"/>
                <w:szCs w:val="24"/>
                <w:highlight w:val="none"/>
              </w:rPr>
              <w:t>查看我已经关注的流程，修改关注活动、审批人；</w:t>
            </w:r>
          </w:p>
        </w:tc>
      </w:tr>
      <w:tr w14:paraId="39E0D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71A54E05">
            <w:pPr>
              <w:pStyle w:val="65"/>
              <w:keepNext w:val="0"/>
              <w:keepLines w:val="0"/>
              <w:pageBreakBefore w:val="0"/>
              <w:kinsoku/>
              <w:wordWrap/>
              <w:overflowPunct/>
              <w:topLinePunct w:val="0"/>
              <w:autoSpaceDE/>
              <w:autoSpaceDN/>
              <w:bidi w:val="0"/>
              <w:adjustRightInd w:val="0"/>
              <w:snapToGrid/>
              <w:spacing w:line="440" w:lineRule="exact"/>
              <w:ind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49224854">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Merge w:val="continue"/>
            <w:vAlign w:val="center"/>
          </w:tcPr>
          <w:p w14:paraId="73AFC9F9">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08EBE1FD">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lang w:eastAsia="zh-Hans"/>
              </w:rPr>
              <w:t>我的退回：</w:t>
            </w:r>
            <w:r>
              <w:rPr>
                <w:rFonts w:hint="eastAsia" w:ascii="宋体" w:hAnsi="宋体" w:eastAsia="宋体" w:cs="宋体"/>
                <w:color w:val="auto"/>
                <w:kern w:val="0"/>
                <w:sz w:val="24"/>
                <w:szCs w:val="24"/>
                <w:highlight w:val="none"/>
                <w:lang w:eastAsia="zh-Hans"/>
              </w:rPr>
              <w:t>查看</w:t>
            </w:r>
            <w:r>
              <w:rPr>
                <w:rFonts w:hint="eastAsia" w:ascii="宋体" w:hAnsi="宋体" w:eastAsia="宋体" w:cs="宋体"/>
                <w:color w:val="auto"/>
                <w:kern w:val="0"/>
                <w:sz w:val="24"/>
                <w:szCs w:val="24"/>
                <w:highlight w:val="none"/>
                <w:lang w:eastAsia="zh-CN"/>
              </w:rPr>
              <w:t>其他人</w:t>
            </w:r>
            <w:r>
              <w:rPr>
                <w:rFonts w:hint="eastAsia" w:ascii="宋体" w:hAnsi="宋体" w:eastAsia="宋体" w:cs="宋体"/>
                <w:color w:val="auto"/>
                <w:kern w:val="0"/>
                <w:sz w:val="24"/>
                <w:szCs w:val="24"/>
                <w:highlight w:val="none"/>
                <w:lang w:eastAsia="zh-Hans"/>
              </w:rPr>
              <w:t>退回给</w:t>
            </w:r>
            <w:r>
              <w:rPr>
                <w:rFonts w:hint="eastAsia" w:ascii="宋体" w:hAnsi="宋体" w:eastAsia="宋体" w:cs="宋体"/>
                <w:color w:val="auto"/>
                <w:kern w:val="0"/>
                <w:sz w:val="24"/>
                <w:szCs w:val="24"/>
                <w:highlight w:val="none"/>
                <w:lang w:eastAsia="zh-CN"/>
              </w:rPr>
              <w:t>本人</w:t>
            </w:r>
            <w:r>
              <w:rPr>
                <w:rFonts w:hint="eastAsia" w:ascii="宋体" w:hAnsi="宋体" w:eastAsia="宋体" w:cs="宋体"/>
                <w:color w:val="auto"/>
                <w:kern w:val="0"/>
                <w:sz w:val="24"/>
                <w:szCs w:val="24"/>
                <w:highlight w:val="none"/>
                <w:lang w:eastAsia="zh-Hans"/>
              </w:rPr>
              <w:t>的流程详情和</w:t>
            </w:r>
            <w:r>
              <w:rPr>
                <w:rFonts w:hint="eastAsia" w:ascii="宋体" w:hAnsi="宋体" w:eastAsia="宋体" w:cs="宋体"/>
                <w:color w:val="auto"/>
                <w:kern w:val="0"/>
                <w:sz w:val="24"/>
                <w:szCs w:val="24"/>
                <w:highlight w:val="none"/>
                <w:lang w:eastAsia="zh-CN"/>
              </w:rPr>
              <w:t>本人</w:t>
            </w:r>
            <w:r>
              <w:rPr>
                <w:rFonts w:hint="eastAsia" w:ascii="宋体" w:hAnsi="宋体" w:eastAsia="宋体" w:cs="宋体"/>
                <w:color w:val="auto"/>
                <w:kern w:val="0"/>
                <w:sz w:val="24"/>
                <w:szCs w:val="24"/>
                <w:highlight w:val="none"/>
                <w:lang w:eastAsia="zh-Hans"/>
              </w:rPr>
              <w:t>退回给</w:t>
            </w:r>
            <w:r>
              <w:rPr>
                <w:rFonts w:hint="eastAsia" w:ascii="宋体" w:hAnsi="宋体" w:eastAsia="宋体" w:cs="宋体"/>
                <w:color w:val="auto"/>
                <w:kern w:val="0"/>
                <w:sz w:val="24"/>
                <w:szCs w:val="24"/>
                <w:highlight w:val="none"/>
                <w:lang w:eastAsia="zh-CN"/>
              </w:rPr>
              <w:t>其他人</w:t>
            </w:r>
            <w:r>
              <w:rPr>
                <w:rFonts w:hint="eastAsia" w:ascii="宋体" w:hAnsi="宋体" w:eastAsia="宋体" w:cs="宋体"/>
                <w:color w:val="auto"/>
                <w:kern w:val="0"/>
                <w:sz w:val="24"/>
                <w:szCs w:val="24"/>
                <w:highlight w:val="none"/>
                <w:lang w:eastAsia="zh-Hans"/>
              </w:rPr>
              <w:t>的流程数据；</w:t>
            </w:r>
          </w:p>
        </w:tc>
      </w:tr>
      <w:tr w14:paraId="4E440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35F01589">
            <w:pPr>
              <w:pStyle w:val="65"/>
              <w:keepNext w:val="0"/>
              <w:keepLines w:val="0"/>
              <w:pageBreakBefore w:val="0"/>
              <w:kinsoku/>
              <w:wordWrap/>
              <w:overflowPunct/>
              <w:topLinePunct w:val="0"/>
              <w:autoSpaceDE/>
              <w:autoSpaceDN/>
              <w:bidi w:val="0"/>
              <w:adjustRightInd w:val="0"/>
              <w:snapToGrid/>
              <w:spacing w:line="440" w:lineRule="exact"/>
              <w:ind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26A39B19">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51405C86">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发起流程</w:t>
            </w:r>
          </w:p>
        </w:tc>
        <w:tc>
          <w:tcPr>
            <w:tcW w:w="10773" w:type="dxa"/>
          </w:tcPr>
          <w:p w14:paraId="180A39D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发起流程页面瀑布视图和列表视图切换，三列或四列显示；</w:t>
            </w:r>
          </w:p>
          <w:p w14:paraId="2F5AC716">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TOP8分类显示：</w:t>
            </w:r>
            <w:r>
              <w:rPr>
                <w:rFonts w:hint="eastAsia" w:ascii="宋体" w:hAnsi="宋体" w:eastAsia="宋体" w:cs="宋体"/>
                <w:color w:val="auto"/>
                <w:kern w:val="0"/>
                <w:sz w:val="24"/>
                <w:szCs w:val="24"/>
                <w:highlight w:val="none"/>
              </w:rPr>
              <w:t>显示当前人发起次数最多的8个流程；</w:t>
            </w:r>
          </w:p>
          <w:p w14:paraId="39965F24">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设置常用流程，将流程保存至草稿箱中；</w:t>
            </w:r>
          </w:p>
          <w:p w14:paraId="7244396E">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发起流程前设置阅读流程说明，总是弹出和首次弹出；</w:t>
            </w:r>
          </w:p>
          <w:p w14:paraId="3DD4308A">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3秒自动关闭和已阅关闭；</w:t>
            </w:r>
          </w:p>
          <w:p w14:paraId="785B5D40">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支持</w:t>
            </w:r>
            <w:r>
              <w:rPr>
                <w:rFonts w:hint="eastAsia" w:ascii="宋体" w:hAnsi="宋体" w:eastAsia="宋体" w:cs="宋体"/>
                <w:color w:val="auto"/>
                <w:kern w:val="0"/>
                <w:sz w:val="24"/>
                <w:szCs w:val="24"/>
                <w:highlight w:val="none"/>
              </w:rPr>
              <w:t>显示和发起第三方系统流程；</w:t>
            </w:r>
          </w:p>
        </w:tc>
      </w:tr>
      <w:tr w14:paraId="70E1D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1B7FC756">
            <w:pPr>
              <w:pStyle w:val="65"/>
              <w:keepNext w:val="0"/>
              <w:keepLines w:val="0"/>
              <w:pageBreakBefore w:val="0"/>
              <w:kinsoku/>
              <w:wordWrap/>
              <w:overflowPunct/>
              <w:topLinePunct w:val="0"/>
              <w:autoSpaceDE/>
              <w:autoSpaceDN/>
              <w:bidi w:val="0"/>
              <w:adjustRightInd w:val="0"/>
              <w:snapToGrid/>
              <w:spacing w:line="440" w:lineRule="exact"/>
              <w:ind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789AF87C">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72182A3E">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草稿箱</w:t>
            </w:r>
          </w:p>
        </w:tc>
        <w:tc>
          <w:tcPr>
            <w:tcW w:w="10773" w:type="dxa"/>
          </w:tcPr>
          <w:p w14:paraId="6B9469D5">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按流程查看暂存的申请流程，批量提交、批量删除；批量提交必填项的校验；</w:t>
            </w:r>
          </w:p>
        </w:tc>
      </w:tr>
      <w:tr w14:paraId="5B7D6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176448F9">
            <w:pPr>
              <w:pStyle w:val="65"/>
              <w:keepNext w:val="0"/>
              <w:keepLines w:val="0"/>
              <w:pageBreakBefore w:val="0"/>
              <w:kinsoku/>
              <w:wordWrap/>
              <w:overflowPunct/>
              <w:topLinePunct w:val="0"/>
              <w:autoSpaceDE/>
              <w:autoSpaceDN/>
              <w:bidi w:val="0"/>
              <w:adjustRightInd w:val="0"/>
              <w:snapToGrid/>
              <w:spacing w:line="440" w:lineRule="exact"/>
              <w:ind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027AB051">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77C3AA03">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下属待办</w:t>
            </w:r>
          </w:p>
        </w:tc>
        <w:tc>
          <w:tcPr>
            <w:tcW w:w="10773" w:type="dxa"/>
          </w:tcPr>
          <w:p w14:paraId="436DB7CD">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查看下属用户的待办流程，按下属姓名、流程标题查询；</w:t>
            </w:r>
          </w:p>
        </w:tc>
      </w:tr>
      <w:tr w14:paraId="38C26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01E3D7A0">
            <w:pPr>
              <w:pStyle w:val="65"/>
              <w:keepNext w:val="0"/>
              <w:keepLines w:val="0"/>
              <w:pageBreakBefore w:val="0"/>
              <w:kinsoku/>
              <w:wordWrap/>
              <w:overflowPunct/>
              <w:topLinePunct w:val="0"/>
              <w:autoSpaceDE/>
              <w:autoSpaceDN/>
              <w:bidi w:val="0"/>
              <w:adjustRightInd w:val="0"/>
              <w:snapToGrid/>
              <w:spacing w:line="440" w:lineRule="exact"/>
              <w:ind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0DECEE97">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178AF7D4">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流程转交</w:t>
            </w:r>
          </w:p>
        </w:tc>
        <w:tc>
          <w:tcPr>
            <w:tcW w:w="10773" w:type="dxa"/>
          </w:tcPr>
          <w:p w14:paraId="44D235EC">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管理员权限，批量转交待办的流程；转交选择组织或个人；</w:t>
            </w:r>
          </w:p>
        </w:tc>
      </w:tr>
      <w:tr w14:paraId="1C189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4F71E8F7">
            <w:pPr>
              <w:pStyle w:val="65"/>
              <w:keepNext w:val="0"/>
              <w:keepLines w:val="0"/>
              <w:pageBreakBefore w:val="0"/>
              <w:kinsoku/>
              <w:wordWrap/>
              <w:overflowPunct/>
              <w:topLinePunct w:val="0"/>
              <w:autoSpaceDE/>
              <w:autoSpaceDN/>
              <w:bidi w:val="0"/>
              <w:adjustRightInd w:val="0"/>
              <w:snapToGrid/>
              <w:spacing w:line="440" w:lineRule="exact"/>
              <w:ind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3DAE3E58">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3980973E">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流程查询</w:t>
            </w:r>
          </w:p>
        </w:tc>
        <w:tc>
          <w:tcPr>
            <w:tcW w:w="10773" w:type="dxa"/>
          </w:tcPr>
          <w:p w14:paraId="04CB59A6">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开启打印标识，流程查询列表标题根据打印记录，显示已打印标识；</w:t>
            </w:r>
          </w:p>
          <w:p w14:paraId="66F07C1B">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查询所有流程记录，表单页面显示正常办结、取消、作废标识；</w:t>
            </w:r>
          </w:p>
          <w:p w14:paraId="68DEFFC6">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按流程分类、流程状态、发起人、流程标题、发起时间筛选流程记录；</w:t>
            </w:r>
          </w:p>
          <w:p w14:paraId="24B43642">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 w:eastAsia="zh-CN"/>
              </w:rPr>
            </w:pPr>
            <w:r>
              <w:rPr>
                <w:rFonts w:hint="eastAsia" w:ascii="宋体" w:hAnsi="宋体" w:eastAsia="宋体" w:cs="宋体"/>
                <w:color w:val="auto"/>
                <w:kern w:val="0"/>
                <w:sz w:val="24"/>
                <w:szCs w:val="24"/>
                <w:highlight w:val="none"/>
                <w:lang w:eastAsia="zh-CN"/>
              </w:rPr>
              <w:t>分管领导、部门负责人、</w:t>
            </w:r>
            <w:r>
              <w:rPr>
                <w:rFonts w:hint="eastAsia" w:ascii="宋体" w:hAnsi="宋体" w:eastAsia="宋体" w:cs="宋体"/>
                <w:color w:val="auto"/>
                <w:kern w:val="0"/>
                <w:sz w:val="24"/>
                <w:szCs w:val="24"/>
                <w:highlight w:val="none"/>
              </w:rPr>
              <w:t>管理员权限，修改表单信息，修改批示意见内容；</w:t>
            </w:r>
          </w:p>
          <w:p w14:paraId="0C87C968">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分管领导、部门负责人、</w:t>
            </w:r>
            <w:r>
              <w:rPr>
                <w:rFonts w:hint="eastAsia" w:ascii="宋体" w:hAnsi="宋体" w:eastAsia="宋体" w:cs="宋体"/>
                <w:color w:val="auto"/>
                <w:kern w:val="0"/>
                <w:sz w:val="24"/>
                <w:szCs w:val="24"/>
                <w:highlight w:val="none"/>
              </w:rPr>
              <w:t>管理员权限，干预流程走向，跳转、退回、作废、更新版本、结束、催办、转交等操作；</w:t>
            </w:r>
          </w:p>
          <w:p w14:paraId="093460CE">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分管领导、部门负责人、</w:t>
            </w:r>
            <w:r>
              <w:rPr>
                <w:rFonts w:hint="eastAsia" w:ascii="宋体" w:hAnsi="宋体" w:eastAsia="宋体" w:cs="宋体"/>
                <w:color w:val="auto"/>
                <w:kern w:val="0"/>
                <w:sz w:val="24"/>
                <w:szCs w:val="24"/>
                <w:highlight w:val="none"/>
              </w:rPr>
              <w:t>管理员权限，批量更新版本；对流程实例的发起人进行消息推送提醒；</w:t>
            </w:r>
          </w:p>
          <w:p w14:paraId="6EF905C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查看表单所有打印记录，包括打印人、打印时间、打印客户端IP等信息；</w:t>
            </w:r>
          </w:p>
        </w:tc>
      </w:tr>
      <w:tr w14:paraId="4269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37731EB1">
            <w:pPr>
              <w:pStyle w:val="65"/>
              <w:keepNext w:val="0"/>
              <w:keepLines w:val="0"/>
              <w:pageBreakBefore w:val="0"/>
              <w:kinsoku/>
              <w:wordWrap/>
              <w:overflowPunct/>
              <w:topLinePunct w:val="0"/>
              <w:autoSpaceDE/>
              <w:autoSpaceDN/>
              <w:bidi w:val="0"/>
              <w:adjustRightInd w:val="0"/>
              <w:snapToGrid/>
              <w:spacing w:line="440" w:lineRule="exact"/>
              <w:ind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4D8C720C">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23C97DF1">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批示查询</w:t>
            </w:r>
          </w:p>
        </w:tc>
        <w:tc>
          <w:tcPr>
            <w:tcW w:w="10773" w:type="dxa"/>
          </w:tcPr>
          <w:p w14:paraId="214BF36E">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分管领导、部门负责人、流程</w:t>
            </w:r>
            <w:r>
              <w:rPr>
                <w:rFonts w:hint="eastAsia" w:ascii="宋体" w:hAnsi="宋体" w:eastAsia="宋体" w:cs="宋体"/>
                <w:color w:val="auto"/>
                <w:kern w:val="0"/>
                <w:sz w:val="24"/>
                <w:szCs w:val="24"/>
                <w:highlight w:val="none"/>
              </w:rPr>
              <w:t>管理员（秘书或文书）可快速检索领导批示意见，导出权限范围内的领导批示意见；</w:t>
            </w:r>
          </w:p>
        </w:tc>
      </w:tr>
      <w:tr w14:paraId="14795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441D99E6">
            <w:pPr>
              <w:pStyle w:val="65"/>
              <w:keepNext w:val="0"/>
              <w:keepLines w:val="0"/>
              <w:pageBreakBefore w:val="0"/>
              <w:kinsoku/>
              <w:wordWrap/>
              <w:overflowPunct/>
              <w:topLinePunct w:val="0"/>
              <w:autoSpaceDE/>
              <w:autoSpaceDN/>
              <w:bidi w:val="0"/>
              <w:adjustRightInd w:val="0"/>
              <w:snapToGrid/>
              <w:spacing w:line="440" w:lineRule="exact"/>
              <w:ind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219EA7B7">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2DB7B709">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效率分析</w:t>
            </w:r>
          </w:p>
        </w:tc>
        <w:tc>
          <w:tcPr>
            <w:tcW w:w="10773" w:type="dxa"/>
          </w:tcPr>
          <w:p w14:paraId="5404A5AC">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流程流转统计、人员办理统计、部门办理统计、办理状态统计、人员超时统计、流程超时统计；</w:t>
            </w:r>
          </w:p>
        </w:tc>
      </w:tr>
      <w:tr w14:paraId="1E052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701FF8CD">
            <w:pPr>
              <w:pStyle w:val="65"/>
              <w:keepNext w:val="0"/>
              <w:keepLines w:val="0"/>
              <w:pageBreakBefore w:val="0"/>
              <w:kinsoku/>
              <w:wordWrap/>
              <w:overflowPunct/>
              <w:topLinePunct w:val="0"/>
              <w:autoSpaceDE/>
              <w:autoSpaceDN/>
              <w:bidi w:val="0"/>
              <w:adjustRightInd w:val="0"/>
              <w:snapToGrid/>
              <w:spacing w:line="440" w:lineRule="exact"/>
              <w:ind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7EECF2A4">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Merge w:val="restart"/>
            <w:vAlign w:val="center"/>
          </w:tcPr>
          <w:p w14:paraId="3D24B87F">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流程设置</w:t>
            </w:r>
          </w:p>
        </w:tc>
        <w:tc>
          <w:tcPr>
            <w:tcW w:w="10773" w:type="dxa"/>
          </w:tcPr>
          <w:p w14:paraId="51AE2DD2">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流程分类：</w:t>
            </w:r>
            <w:r>
              <w:rPr>
                <w:rFonts w:hint="eastAsia" w:ascii="宋体" w:hAnsi="宋体" w:eastAsia="宋体" w:cs="宋体"/>
                <w:color w:val="auto"/>
                <w:kern w:val="0"/>
                <w:sz w:val="24"/>
                <w:szCs w:val="24"/>
                <w:highlight w:val="none"/>
              </w:rPr>
              <w:t>设置流程分类名称、编码，增、删、改、查操作；</w:t>
            </w:r>
          </w:p>
        </w:tc>
      </w:tr>
      <w:tr w14:paraId="1F734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17C7FBBA">
            <w:pPr>
              <w:pStyle w:val="65"/>
              <w:keepNext w:val="0"/>
              <w:keepLines w:val="0"/>
              <w:pageBreakBefore w:val="0"/>
              <w:kinsoku/>
              <w:wordWrap/>
              <w:overflowPunct/>
              <w:topLinePunct w:val="0"/>
              <w:autoSpaceDE/>
              <w:autoSpaceDN/>
              <w:bidi w:val="0"/>
              <w:adjustRightInd w:val="0"/>
              <w:snapToGrid/>
              <w:spacing w:line="440" w:lineRule="exact"/>
              <w:ind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5451E02D">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Merge w:val="continue"/>
            <w:vAlign w:val="center"/>
          </w:tcPr>
          <w:p w14:paraId="63C7BA39">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5D32F0DC">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流程管理：</w:t>
            </w:r>
            <w:r>
              <w:rPr>
                <w:rFonts w:hint="eastAsia" w:ascii="宋体" w:hAnsi="宋体" w:eastAsia="宋体" w:cs="宋体"/>
                <w:color w:val="auto"/>
                <w:kern w:val="0"/>
                <w:sz w:val="24"/>
                <w:szCs w:val="24"/>
                <w:highlight w:val="none"/>
              </w:rPr>
              <w:t>对流程活动节点、流程审批人、流程图、流程表单进行自定义设计，可以对流程进行部署发布、修改、删除等操作；</w:t>
            </w:r>
          </w:p>
        </w:tc>
      </w:tr>
      <w:tr w14:paraId="047F1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02B3D967">
            <w:pPr>
              <w:pStyle w:val="65"/>
              <w:keepNext w:val="0"/>
              <w:keepLines w:val="0"/>
              <w:pageBreakBefore w:val="0"/>
              <w:kinsoku/>
              <w:wordWrap/>
              <w:overflowPunct/>
              <w:topLinePunct w:val="0"/>
              <w:autoSpaceDE/>
              <w:autoSpaceDN/>
              <w:bidi w:val="0"/>
              <w:adjustRightInd w:val="0"/>
              <w:snapToGrid/>
              <w:spacing w:line="440" w:lineRule="exact"/>
              <w:ind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6ADCECE7">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Merge w:val="continue"/>
            <w:vAlign w:val="center"/>
          </w:tcPr>
          <w:p w14:paraId="76B93D16">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423143CE">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流程设置查询：</w:t>
            </w:r>
            <w:r>
              <w:rPr>
                <w:rFonts w:hint="eastAsia" w:ascii="宋体" w:hAnsi="宋体" w:eastAsia="宋体" w:cs="宋体"/>
                <w:color w:val="auto"/>
                <w:kern w:val="0"/>
                <w:sz w:val="24"/>
                <w:szCs w:val="24"/>
                <w:highlight w:val="none"/>
              </w:rPr>
              <w:t>按流程名称、活动名称、参与者查询流程活动设置详情；</w:t>
            </w:r>
          </w:p>
        </w:tc>
      </w:tr>
      <w:tr w14:paraId="0E232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5402EE17">
            <w:pPr>
              <w:pStyle w:val="65"/>
              <w:keepNext w:val="0"/>
              <w:keepLines w:val="0"/>
              <w:pageBreakBefore w:val="0"/>
              <w:kinsoku/>
              <w:wordWrap/>
              <w:overflowPunct/>
              <w:topLinePunct w:val="0"/>
              <w:autoSpaceDE/>
              <w:autoSpaceDN/>
              <w:bidi w:val="0"/>
              <w:adjustRightInd w:val="0"/>
              <w:snapToGrid/>
              <w:spacing w:line="440" w:lineRule="exact"/>
              <w:ind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2AE65DBE">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Merge w:val="continue"/>
            <w:vAlign w:val="center"/>
          </w:tcPr>
          <w:p w14:paraId="122A97AD">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1BDAFC2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表单管理：</w:t>
            </w:r>
            <w:r>
              <w:rPr>
                <w:rFonts w:hint="eastAsia" w:ascii="宋体" w:hAnsi="宋体" w:eastAsia="宋体" w:cs="宋体"/>
                <w:color w:val="auto"/>
                <w:kern w:val="0"/>
                <w:sz w:val="24"/>
                <w:szCs w:val="24"/>
                <w:highlight w:val="none"/>
              </w:rPr>
              <w:t>表单增删改查、复制操作；</w:t>
            </w:r>
          </w:p>
          <w:p w14:paraId="45536AAC">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自定义设计HTML表单和矩阵表单；</w:t>
            </w:r>
          </w:p>
          <w:p w14:paraId="38F11E86">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自定义设计HTML打印模板和套打模板；</w:t>
            </w:r>
          </w:p>
          <w:p w14:paraId="644F1D10">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表单字段联动设置；</w:t>
            </w:r>
          </w:p>
          <w:p w14:paraId="25171E26">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在线预览表单样式；</w:t>
            </w:r>
          </w:p>
        </w:tc>
      </w:tr>
      <w:tr w14:paraId="3CFE9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5A7AB0F2">
            <w:pPr>
              <w:pStyle w:val="65"/>
              <w:keepNext w:val="0"/>
              <w:keepLines w:val="0"/>
              <w:pageBreakBefore w:val="0"/>
              <w:kinsoku/>
              <w:wordWrap/>
              <w:overflowPunct/>
              <w:topLinePunct w:val="0"/>
              <w:autoSpaceDE/>
              <w:autoSpaceDN/>
              <w:bidi w:val="0"/>
              <w:adjustRightInd w:val="0"/>
              <w:snapToGrid/>
              <w:spacing w:line="440" w:lineRule="exact"/>
              <w:ind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2B4C9C21">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Merge w:val="continue"/>
            <w:vAlign w:val="center"/>
          </w:tcPr>
          <w:p w14:paraId="0A23AECE">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0C514C32">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数据表：</w:t>
            </w:r>
            <w:r>
              <w:rPr>
                <w:rFonts w:hint="eastAsia" w:ascii="宋体" w:hAnsi="宋体" w:eastAsia="宋体" w:cs="宋体"/>
                <w:color w:val="auto"/>
                <w:kern w:val="0"/>
                <w:sz w:val="24"/>
                <w:szCs w:val="24"/>
                <w:highlight w:val="none"/>
              </w:rPr>
              <w:t>管理数据表和数据表中的字段信息；</w:t>
            </w:r>
          </w:p>
          <w:p w14:paraId="191972C0">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按分类管理，对数据表进行同步、复制、增删改查操作；</w:t>
            </w:r>
          </w:p>
          <w:p w14:paraId="36E1695A">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对数据表中字段进行增删改查、同步操作，定义字段属性；</w:t>
            </w:r>
          </w:p>
        </w:tc>
      </w:tr>
      <w:tr w14:paraId="64065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restart"/>
            <w:vAlign w:val="center"/>
          </w:tcPr>
          <w:p w14:paraId="34714418">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restart"/>
            <w:vAlign w:val="center"/>
          </w:tcPr>
          <w:p w14:paraId="2CB9BB27">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公文管理</w:t>
            </w:r>
          </w:p>
        </w:tc>
        <w:tc>
          <w:tcPr>
            <w:tcW w:w="1559" w:type="dxa"/>
            <w:vAlign w:val="center"/>
          </w:tcPr>
          <w:p w14:paraId="0B8AB758">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公文办公业务需求总述</w:t>
            </w:r>
          </w:p>
        </w:tc>
        <w:tc>
          <w:tcPr>
            <w:tcW w:w="10773" w:type="dxa"/>
          </w:tcPr>
          <w:p w14:paraId="3EEA382F">
            <w:pPr>
              <w:keepNext w:val="0"/>
              <w:keepLines w:val="0"/>
              <w:pageBreakBefore w:val="0"/>
              <w:widowControl/>
              <w:kinsoku/>
              <w:wordWrap/>
              <w:overflowPunct/>
              <w:topLinePunct w:val="0"/>
              <w:autoSpaceDE/>
              <w:autoSpaceDN/>
              <w:bidi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公文处理主要实现收文、发文的流转、审批、催办督办等功能，并对文件、信息处理情况提供了简单易用的实时监控机制，方便单位领导及时掌握单位工作人员的工作情况。信息流转的处理范围包括如收文、发文、传阅公文、签报等等。公文处理子系统具体工作流程可以由企业系统管理员在无须改动程序的情况下进行灵活定义，实现办公室人员收发文处理工作流自动化，过程计算机化，提高办公效率。</w:t>
            </w:r>
          </w:p>
          <w:p w14:paraId="34DD87A1">
            <w:pPr>
              <w:keepNext w:val="0"/>
              <w:keepLines w:val="0"/>
              <w:pageBreakBefore w:val="0"/>
              <w:widowControl/>
              <w:kinsoku/>
              <w:wordWrap/>
              <w:overflowPunct/>
              <w:topLinePunct w:val="0"/>
              <w:autoSpaceDE/>
              <w:autoSpaceDN/>
              <w:bidi w:val="0"/>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(2)公文管理平台不但能</w:t>
            </w:r>
            <w:r>
              <w:rPr>
                <w:rFonts w:hint="eastAsia" w:ascii="宋体" w:hAnsi="宋体" w:eastAsia="宋体" w:cs="宋体"/>
                <w:color w:val="auto"/>
                <w:kern w:val="0"/>
                <w:sz w:val="24"/>
                <w:szCs w:val="24"/>
                <w:highlight w:val="none"/>
                <w:lang w:eastAsia="zh-CN"/>
              </w:rPr>
              <w:t>进行</w:t>
            </w:r>
            <w:r>
              <w:rPr>
                <w:rFonts w:hint="eastAsia" w:ascii="宋体" w:hAnsi="宋体" w:eastAsia="宋体" w:cs="宋体"/>
                <w:color w:val="auto"/>
                <w:kern w:val="0"/>
                <w:sz w:val="24"/>
                <w:szCs w:val="24"/>
                <w:highlight w:val="none"/>
              </w:rPr>
              <w:t>各类复杂公文的流转，灵活的加签、减签。还</w:t>
            </w:r>
            <w:r>
              <w:rPr>
                <w:rFonts w:hint="eastAsia" w:ascii="宋体" w:hAnsi="宋体" w:eastAsia="宋体" w:cs="宋体"/>
                <w:color w:val="auto"/>
                <w:kern w:val="0"/>
                <w:sz w:val="24"/>
                <w:szCs w:val="24"/>
                <w:highlight w:val="none"/>
                <w:lang w:eastAsia="zh-CN"/>
              </w:rPr>
              <w:t>能</w:t>
            </w:r>
            <w:r>
              <w:rPr>
                <w:rFonts w:hint="eastAsia" w:ascii="宋体" w:hAnsi="宋体" w:eastAsia="宋体" w:cs="宋体"/>
                <w:color w:val="auto"/>
                <w:kern w:val="0"/>
                <w:sz w:val="24"/>
                <w:szCs w:val="24"/>
                <w:highlight w:val="none"/>
              </w:rPr>
              <w:t>自动套红、加密信封等，让公文办文更简便。</w:t>
            </w:r>
          </w:p>
        </w:tc>
      </w:tr>
      <w:tr w14:paraId="738A1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55447640">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527D3035">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6FB360F0">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发起公文</w:t>
            </w:r>
          </w:p>
        </w:tc>
        <w:tc>
          <w:tcPr>
            <w:tcW w:w="10773" w:type="dxa"/>
          </w:tcPr>
          <w:p w14:paraId="50209C86">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按单位公文分类发起公文审批事项：</w:t>
            </w:r>
            <w:r>
              <w:rPr>
                <w:rFonts w:hint="eastAsia" w:ascii="宋体" w:hAnsi="宋体" w:eastAsia="宋体" w:cs="宋体"/>
                <w:color w:val="auto"/>
                <w:kern w:val="0"/>
                <w:sz w:val="24"/>
                <w:szCs w:val="24"/>
                <w:highlight w:val="none"/>
              </w:rPr>
              <w:t>如发文审批流程、收文审批流程、签报流程；</w:t>
            </w:r>
          </w:p>
          <w:p w14:paraId="1FD21A0B">
            <w:pPr>
              <w:keepNext w:val="0"/>
              <w:keepLines w:val="0"/>
              <w:pageBreakBefore w:val="0"/>
              <w:widowControl/>
              <w:kinsoku/>
              <w:wordWrap/>
              <w:overflowPunct/>
              <w:topLinePunct w:val="0"/>
              <w:autoSpaceDE/>
              <w:autoSpaceDN/>
              <w:bidi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发起公文可以自定义公文最常用的公文审批事项（系统</w:t>
            </w:r>
            <w:r>
              <w:rPr>
                <w:rFonts w:hint="eastAsia" w:ascii="宋体" w:hAnsi="宋体" w:eastAsia="宋体" w:cs="宋体"/>
                <w:color w:val="auto"/>
                <w:kern w:val="0"/>
                <w:sz w:val="24"/>
                <w:szCs w:val="24"/>
                <w:highlight w:val="none"/>
                <w:lang w:val="en-US" w:eastAsia="zh-CN"/>
              </w:rPr>
              <w:t>支持</w:t>
            </w:r>
            <w:r>
              <w:rPr>
                <w:rFonts w:hint="eastAsia" w:ascii="宋体" w:hAnsi="宋体" w:eastAsia="宋体" w:cs="宋体"/>
                <w:color w:val="auto"/>
                <w:kern w:val="0"/>
                <w:sz w:val="24"/>
                <w:szCs w:val="24"/>
                <w:highlight w:val="none"/>
              </w:rPr>
              <w:t>智能识别办事人员前8个用的最频繁的发文审批事项）、可以按常用流程识别分类；</w:t>
            </w:r>
          </w:p>
          <w:p w14:paraId="3F7A9554">
            <w:pPr>
              <w:keepNext w:val="0"/>
              <w:keepLines w:val="0"/>
              <w:pageBreakBefore w:val="0"/>
              <w:widowControl/>
              <w:kinsoku/>
              <w:wordWrap/>
              <w:overflowPunct/>
              <w:topLinePunct w:val="0"/>
              <w:autoSpaceDE/>
              <w:autoSpaceDN/>
              <w:bidi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办文人员可以对自己办理的重要公文进行个人收藏，收藏夹名称个人</w:t>
            </w:r>
            <w:r>
              <w:rPr>
                <w:rFonts w:hint="eastAsia" w:ascii="宋体" w:hAnsi="宋体" w:eastAsia="宋体" w:cs="宋体"/>
                <w:color w:val="auto"/>
                <w:kern w:val="0"/>
                <w:sz w:val="24"/>
                <w:szCs w:val="24"/>
                <w:highlight w:val="none"/>
                <w:lang w:eastAsia="zh-CN"/>
              </w:rPr>
              <w:t>可</w:t>
            </w:r>
            <w:r>
              <w:rPr>
                <w:rFonts w:hint="eastAsia" w:ascii="宋体" w:hAnsi="宋体" w:eastAsia="宋体" w:cs="宋体"/>
                <w:color w:val="auto"/>
                <w:kern w:val="0"/>
                <w:sz w:val="24"/>
                <w:szCs w:val="24"/>
                <w:highlight w:val="none"/>
              </w:rPr>
              <w:t>按需进行自定义。</w:t>
            </w:r>
          </w:p>
          <w:p w14:paraId="19C0EFE9">
            <w:pPr>
              <w:keepNext w:val="0"/>
              <w:keepLines w:val="0"/>
              <w:pageBreakBefore w:val="0"/>
              <w:widowControl/>
              <w:kinsoku/>
              <w:wordWrap/>
              <w:overflowPunct/>
              <w:topLinePunct w:val="0"/>
              <w:autoSpaceDE/>
              <w:autoSpaceDN/>
              <w:bidi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对某些或个别公文审批事项进行关注，可根据办公室关注的需要，关注办理或办理活动，也可关注相应办理人的办理操作，并可及时提醒关注人。</w:t>
            </w:r>
          </w:p>
          <w:p w14:paraId="0313E295">
            <w:pPr>
              <w:keepNext w:val="0"/>
              <w:keepLines w:val="0"/>
              <w:pageBreakBefore w:val="0"/>
              <w:widowControl/>
              <w:kinsoku/>
              <w:wordWrap/>
              <w:overflowPunct/>
              <w:topLinePunct w:val="0"/>
              <w:autoSpaceDE/>
              <w:autoSpaceDN/>
              <w:bidi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起草拟文、直接打开红头文件、编号。</w:t>
            </w:r>
          </w:p>
          <w:p w14:paraId="5CC7F6B9">
            <w:pPr>
              <w:keepNext w:val="0"/>
              <w:keepLines w:val="0"/>
              <w:pageBreakBefore w:val="0"/>
              <w:widowControl/>
              <w:kinsoku/>
              <w:wordWrap/>
              <w:overflowPunct/>
              <w:topLinePunct w:val="0"/>
              <w:autoSpaceDE/>
              <w:autoSpaceDN/>
              <w:bidi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插入word、wps、pdf、ofd等多种格式文件作为正文。</w:t>
            </w:r>
          </w:p>
          <w:p w14:paraId="6F8912F5">
            <w:pPr>
              <w:keepNext w:val="0"/>
              <w:keepLines w:val="0"/>
              <w:pageBreakBefore w:val="0"/>
              <w:widowControl/>
              <w:kinsoku/>
              <w:wordWrap/>
              <w:overflowPunct/>
              <w:topLinePunct w:val="0"/>
              <w:autoSpaceDE/>
              <w:autoSpaceDN/>
              <w:bidi w:val="0"/>
              <w:snapToGrid/>
              <w:spacing w:line="440" w:lineRule="exact"/>
              <w:jc w:val="left"/>
              <w:textAlignment w:val="auto"/>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公文表单标题填写时进行联想自动带出相关公文文字内容和补齐功能或判断相同标题是否进行过收文或发文等操作。</w:t>
            </w:r>
          </w:p>
          <w:p w14:paraId="1458B537">
            <w:pPr>
              <w:keepNext w:val="0"/>
              <w:keepLines w:val="0"/>
              <w:pageBreakBefore w:val="0"/>
              <w:widowControl/>
              <w:kinsoku/>
              <w:wordWrap/>
              <w:overflowPunct/>
              <w:topLinePunct w:val="0"/>
              <w:autoSpaceDE/>
              <w:autoSpaceDN/>
              <w:bidi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公文辅助写作，公文起草、核稿、签发等环节均可通过搜索信息、公文的历史记录双屏展现，快速检索、拖拽相应内容或复制粘贴使用。</w:t>
            </w:r>
          </w:p>
          <w:p w14:paraId="360EB43E">
            <w:pPr>
              <w:keepNext w:val="0"/>
              <w:keepLines w:val="0"/>
              <w:pageBreakBefore w:val="0"/>
              <w:widowControl/>
              <w:kinsoku/>
              <w:wordWrap/>
              <w:overflowPunct/>
              <w:topLinePunct w:val="0"/>
              <w:autoSpaceDE/>
              <w:autoSpaceDN/>
              <w:bidi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公文流转中表单内容修改记录日志保存、流程办理中附件上传删除记录保存。</w:t>
            </w:r>
          </w:p>
          <w:p w14:paraId="35BDC414">
            <w:pPr>
              <w:keepNext w:val="0"/>
              <w:keepLines w:val="0"/>
              <w:pageBreakBefore w:val="0"/>
              <w:widowControl/>
              <w:kinsoku/>
              <w:wordWrap/>
              <w:overflowPunct/>
              <w:topLinePunct w:val="0"/>
              <w:autoSpaceDE/>
              <w:autoSpaceDN/>
              <w:bidi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公文发文流转中的正文/正式公文进行版本管理，办理中可根据实际需要进行公文版本的回退或版本的追溯。</w:t>
            </w:r>
          </w:p>
          <w:p w14:paraId="70577B9E">
            <w:pPr>
              <w:keepNext w:val="0"/>
              <w:keepLines w:val="0"/>
              <w:pageBreakBefore w:val="0"/>
              <w:widowControl/>
              <w:kinsoku/>
              <w:wordWrap/>
              <w:overflowPunct/>
              <w:topLinePunct w:val="0"/>
              <w:autoSpaceDE/>
              <w:autoSpaceDN/>
              <w:bidi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转发文、转收文、转签报文件关联，关联公文以及事务审批相关流程。</w:t>
            </w:r>
          </w:p>
          <w:p w14:paraId="4C2D07D3">
            <w:pPr>
              <w:keepNext w:val="0"/>
              <w:keepLines w:val="0"/>
              <w:pageBreakBefore w:val="0"/>
              <w:widowControl/>
              <w:kinsoku/>
              <w:wordWrap/>
              <w:overflowPunct/>
              <w:topLinePunct w:val="0"/>
              <w:autoSpaceDE/>
              <w:autoSpaceDN/>
              <w:bidi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正文、正式公文、附件嵌套至页签中进行切换显示。</w:t>
            </w:r>
          </w:p>
          <w:p w14:paraId="50273F77">
            <w:pPr>
              <w:keepNext w:val="0"/>
              <w:keepLines w:val="0"/>
              <w:pageBreakBefore w:val="0"/>
              <w:widowControl/>
              <w:kinsoku/>
              <w:wordWrap/>
              <w:overflowPunct/>
              <w:topLinePunct w:val="0"/>
              <w:autoSpaceDE/>
              <w:autoSpaceDN/>
              <w:bidi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发文附件上传时并生成序号，并且在套红时，带入正文中。</w:t>
            </w:r>
          </w:p>
          <w:p w14:paraId="4D51B403">
            <w:pPr>
              <w:keepNext w:val="0"/>
              <w:keepLines w:val="0"/>
              <w:pageBreakBefore w:val="0"/>
              <w:widowControl/>
              <w:kinsoku/>
              <w:wordWrap/>
              <w:overflowPunct/>
              <w:topLinePunct w:val="0"/>
              <w:autoSpaceDE/>
              <w:autoSpaceDN/>
              <w:bidi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OCR识别，多种图片等格式的文件识别成文字、辅助编辑正文内容。</w:t>
            </w:r>
          </w:p>
          <w:p w14:paraId="34E0CFE1">
            <w:pPr>
              <w:keepNext w:val="0"/>
              <w:keepLines w:val="0"/>
              <w:pageBreakBefore w:val="0"/>
              <w:widowControl/>
              <w:kinsoku/>
              <w:wordWrap/>
              <w:overflowPunct/>
              <w:topLinePunct w:val="0"/>
              <w:autoSpaceDE/>
              <w:autoSpaceDN/>
              <w:bidi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发文转版生成公文二维码，便于来文的时候扫描二维码，自动带出公文元数据。</w:t>
            </w:r>
          </w:p>
          <w:p w14:paraId="60F7B089">
            <w:pPr>
              <w:keepNext w:val="0"/>
              <w:keepLines w:val="0"/>
              <w:pageBreakBefore w:val="0"/>
              <w:widowControl/>
              <w:kinsoku/>
              <w:wordWrap/>
              <w:overflowPunct/>
              <w:topLinePunct w:val="0"/>
              <w:autoSpaceDE/>
              <w:autoSpaceDN/>
              <w:bidi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文号可按需进行预留，也可实现跨年进行补录公文，公文文号也可以进行作废或进行释放处理，办文编号时也可自由选择空闲编号。</w:t>
            </w:r>
          </w:p>
          <w:p w14:paraId="6BB4E0D8">
            <w:pPr>
              <w:keepNext w:val="0"/>
              <w:keepLines w:val="0"/>
              <w:pageBreakBefore w:val="0"/>
              <w:widowControl/>
              <w:kinsoku/>
              <w:wordWrap/>
              <w:overflowPunct/>
              <w:topLinePunct w:val="0"/>
              <w:autoSpaceDE/>
              <w:autoSpaceDN/>
              <w:bidi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公文分发后，文员可以全程跟踪收文单位是否已签收、是否已收文办理、是否有退回记录，也可以进行分发撤回操作、补发操作或进行传阅操作。</w:t>
            </w:r>
          </w:p>
        </w:tc>
      </w:tr>
      <w:tr w14:paraId="18ECC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5FD03FD7">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3C1CAE3F">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Merge w:val="restart"/>
            <w:vAlign w:val="center"/>
          </w:tcPr>
          <w:p w14:paraId="7D57A0F8">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公文办理</w:t>
            </w:r>
          </w:p>
        </w:tc>
        <w:tc>
          <w:tcPr>
            <w:tcW w:w="10773" w:type="dxa"/>
          </w:tcPr>
          <w:p w14:paraId="04A7343B">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待办公文：</w:t>
            </w:r>
            <w:r>
              <w:rPr>
                <w:rFonts w:hint="eastAsia" w:ascii="宋体" w:hAnsi="宋体" w:eastAsia="宋体" w:cs="宋体"/>
                <w:color w:val="auto"/>
                <w:sz w:val="24"/>
                <w:szCs w:val="24"/>
                <w:highlight w:val="none"/>
              </w:rPr>
              <w:t>处理待审批的公文，设置待办页签、批量通过审批，可配置驳回、加签流程操作按钮；版式手写签批；</w:t>
            </w:r>
          </w:p>
        </w:tc>
      </w:tr>
      <w:tr w14:paraId="0F5E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11981133">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005F4129">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Merge w:val="continue"/>
            <w:vAlign w:val="center"/>
          </w:tcPr>
          <w:p w14:paraId="5DD5435A">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07D36620">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待阅公文：</w:t>
            </w:r>
            <w:r>
              <w:rPr>
                <w:rFonts w:hint="eastAsia" w:ascii="宋体" w:hAnsi="宋体" w:eastAsia="宋体" w:cs="宋体"/>
                <w:color w:val="auto"/>
                <w:sz w:val="24"/>
                <w:szCs w:val="24"/>
                <w:highlight w:val="none"/>
              </w:rPr>
              <w:t>处理待查阅的公文，包含传阅件与收文、批量阅件、批量收文；</w:t>
            </w:r>
          </w:p>
        </w:tc>
      </w:tr>
      <w:tr w14:paraId="549A7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575F75F7">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2BEDC9DD">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Merge w:val="continue"/>
            <w:vAlign w:val="center"/>
          </w:tcPr>
          <w:p w14:paraId="66B994F0">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577F77C0">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已办公文：</w:t>
            </w:r>
            <w:r>
              <w:rPr>
                <w:rFonts w:hint="eastAsia" w:ascii="宋体" w:hAnsi="宋体" w:eastAsia="宋体" w:cs="宋体"/>
                <w:color w:val="auto"/>
                <w:sz w:val="24"/>
                <w:szCs w:val="24"/>
                <w:highlight w:val="none"/>
              </w:rPr>
              <w:t>查询已经办理的公文流程；可配置撤回等流程操作按钮；</w:t>
            </w:r>
          </w:p>
        </w:tc>
      </w:tr>
      <w:tr w14:paraId="190A9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755B3A31">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69D6A490">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Merge w:val="continue"/>
            <w:vAlign w:val="center"/>
          </w:tcPr>
          <w:p w14:paraId="6F2B32B1">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0FFFA6E5">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已阅公文：</w:t>
            </w:r>
            <w:r>
              <w:rPr>
                <w:rFonts w:hint="eastAsia" w:ascii="宋体" w:hAnsi="宋体" w:eastAsia="宋体" w:cs="宋体"/>
                <w:color w:val="auto"/>
                <w:sz w:val="24"/>
                <w:szCs w:val="24"/>
                <w:highlight w:val="none"/>
              </w:rPr>
              <w:t>查询已经查看的公文流程；</w:t>
            </w:r>
          </w:p>
        </w:tc>
      </w:tr>
      <w:tr w14:paraId="09274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3B2305AC">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3801BDA5">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Merge w:val="continue"/>
            <w:vAlign w:val="center"/>
          </w:tcPr>
          <w:p w14:paraId="53990B98">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6025AF20">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办理查阅：</w:t>
            </w:r>
            <w:r>
              <w:rPr>
                <w:rFonts w:hint="eastAsia" w:ascii="宋体" w:hAnsi="宋体" w:eastAsia="宋体" w:cs="宋体"/>
                <w:color w:val="auto"/>
                <w:sz w:val="24"/>
                <w:szCs w:val="24"/>
                <w:highlight w:val="none"/>
              </w:rPr>
              <w:t>根据流程查看人、维护人，干预流程流转；</w:t>
            </w:r>
          </w:p>
        </w:tc>
      </w:tr>
      <w:tr w14:paraId="4064D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6E253D05">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6809C8BF">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72C1BCBD">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草稿箱</w:t>
            </w:r>
          </w:p>
        </w:tc>
        <w:tc>
          <w:tcPr>
            <w:tcW w:w="10773" w:type="dxa"/>
          </w:tcPr>
          <w:p w14:paraId="44325221">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公文流程批量提交、批量删除；</w:t>
            </w:r>
          </w:p>
        </w:tc>
      </w:tr>
      <w:tr w14:paraId="2FC56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61E7A6ED">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5652DDA4">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31966250">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我的公文</w:t>
            </w:r>
          </w:p>
        </w:tc>
        <w:tc>
          <w:tcPr>
            <w:tcW w:w="10773" w:type="dxa"/>
          </w:tcPr>
          <w:p w14:paraId="769E546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我的发起：</w:t>
            </w:r>
            <w:r>
              <w:rPr>
                <w:rFonts w:hint="eastAsia" w:ascii="宋体" w:hAnsi="宋体" w:eastAsia="宋体" w:cs="宋体"/>
                <w:color w:val="auto"/>
                <w:sz w:val="24"/>
                <w:szCs w:val="24"/>
                <w:highlight w:val="none"/>
              </w:rPr>
              <w:t>查询所有发起公文流程，导出列表数据；流程催办、撤回、收藏、再次发送等操作；</w:t>
            </w:r>
          </w:p>
          <w:p w14:paraId="12CE0A36">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我的分发：</w:t>
            </w:r>
            <w:r>
              <w:rPr>
                <w:rFonts w:hint="eastAsia" w:ascii="宋体" w:hAnsi="宋体" w:eastAsia="宋体" w:cs="宋体"/>
                <w:color w:val="auto"/>
                <w:sz w:val="24"/>
                <w:szCs w:val="24"/>
                <w:highlight w:val="none"/>
              </w:rPr>
              <w:t>查看已分发的公文和被退回的公文记录；撤回、补发已分发的公文；</w:t>
            </w:r>
          </w:p>
          <w:p w14:paraId="13D0B98A">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我的关注：</w:t>
            </w:r>
            <w:r>
              <w:rPr>
                <w:rFonts w:hint="eastAsia" w:ascii="宋体" w:hAnsi="宋体" w:eastAsia="宋体" w:cs="宋体"/>
                <w:color w:val="auto"/>
                <w:sz w:val="24"/>
                <w:szCs w:val="24"/>
                <w:highlight w:val="none"/>
              </w:rPr>
              <w:t>查看关注的公文，取消关注；</w:t>
            </w:r>
          </w:p>
          <w:p w14:paraId="3D2D21E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我的退回：</w:t>
            </w:r>
            <w:r>
              <w:rPr>
                <w:rFonts w:hint="eastAsia" w:ascii="宋体" w:hAnsi="宋体" w:eastAsia="宋体" w:cs="宋体"/>
                <w:color w:val="auto"/>
                <w:sz w:val="24"/>
                <w:szCs w:val="24"/>
                <w:highlight w:val="none"/>
              </w:rPr>
              <w:t>查看其他人退给</w:t>
            </w:r>
            <w:r>
              <w:rPr>
                <w:rFonts w:hint="eastAsia" w:ascii="宋体" w:hAnsi="宋体" w:eastAsia="宋体" w:cs="宋体"/>
                <w:color w:val="auto"/>
                <w:sz w:val="24"/>
                <w:szCs w:val="24"/>
                <w:highlight w:val="none"/>
                <w:lang w:eastAsia="zh-CN"/>
              </w:rPr>
              <w:t>本人</w:t>
            </w:r>
            <w:r>
              <w:rPr>
                <w:rFonts w:hint="eastAsia" w:ascii="宋体" w:hAnsi="宋体" w:eastAsia="宋体" w:cs="宋体"/>
                <w:color w:val="auto"/>
                <w:sz w:val="24"/>
                <w:szCs w:val="24"/>
                <w:highlight w:val="none"/>
              </w:rPr>
              <w:t>的流程，</w:t>
            </w:r>
            <w:r>
              <w:rPr>
                <w:rFonts w:hint="eastAsia" w:ascii="宋体" w:hAnsi="宋体" w:eastAsia="宋体" w:cs="宋体"/>
                <w:color w:val="auto"/>
                <w:sz w:val="24"/>
                <w:szCs w:val="24"/>
                <w:highlight w:val="none"/>
                <w:lang w:eastAsia="zh-CN"/>
              </w:rPr>
              <w:t>本人</w:t>
            </w:r>
            <w:r>
              <w:rPr>
                <w:rFonts w:hint="eastAsia" w:ascii="宋体" w:hAnsi="宋体" w:eastAsia="宋体" w:cs="宋体"/>
                <w:color w:val="auto"/>
                <w:sz w:val="24"/>
                <w:szCs w:val="24"/>
                <w:highlight w:val="none"/>
              </w:rPr>
              <w:t>退给其他</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的流程及其他人退给</w:t>
            </w:r>
            <w:r>
              <w:rPr>
                <w:rFonts w:hint="eastAsia" w:ascii="宋体" w:hAnsi="宋体" w:eastAsia="宋体" w:cs="宋体"/>
                <w:color w:val="auto"/>
                <w:sz w:val="24"/>
                <w:szCs w:val="24"/>
                <w:highlight w:val="none"/>
                <w:lang w:eastAsia="zh-CN"/>
              </w:rPr>
              <w:t>本人</w:t>
            </w:r>
            <w:r>
              <w:rPr>
                <w:rFonts w:hint="eastAsia" w:ascii="宋体" w:hAnsi="宋体" w:eastAsia="宋体" w:cs="宋体"/>
                <w:color w:val="auto"/>
                <w:sz w:val="24"/>
                <w:szCs w:val="24"/>
                <w:highlight w:val="none"/>
              </w:rPr>
              <w:t>的分发件详情；</w:t>
            </w:r>
          </w:p>
          <w:p w14:paraId="5A3F233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收藏夹：</w:t>
            </w:r>
            <w:r>
              <w:rPr>
                <w:rFonts w:hint="eastAsia" w:ascii="宋体" w:hAnsi="宋体" w:eastAsia="宋体" w:cs="宋体"/>
                <w:color w:val="auto"/>
                <w:sz w:val="24"/>
                <w:szCs w:val="24"/>
                <w:highlight w:val="none"/>
              </w:rPr>
              <w:t>设置收藏夹分类，收藏及取消收藏公文；</w:t>
            </w:r>
          </w:p>
        </w:tc>
      </w:tr>
      <w:tr w14:paraId="1AE74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47879F45">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0994349B">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2BBA34B8">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收文管理和收文登记</w:t>
            </w:r>
          </w:p>
        </w:tc>
        <w:tc>
          <w:tcPr>
            <w:tcW w:w="10773" w:type="dxa"/>
          </w:tcPr>
          <w:p w14:paraId="407685B3">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办文人员收文登记后，对来文可以转收文、转签报、也可以进行转发文办理。也可以直接进行分发处理。</w:t>
            </w:r>
          </w:p>
          <w:p w14:paraId="6994AA90">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收文登记的正式公文，导入正式公文</w:t>
            </w:r>
            <w:r>
              <w:rPr>
                <w:rFonts w:hint="eastAsia" w:ascii="宋体" w:hAnsi="宋体" w:eastAsia="宋体" w:cs="宋体"/>
                <w:color w:val="auto"/>
                <w:sz w:val="24"/>
                <w:szCs w:val="24"/>
                <w:highlight w:val="none"/>
                <w:lang w:eastAsia="zh-CN"/>
              </w:rPr>
              <w:t>等可通过</w:t>
            </w:r>
            <w:r>
              <w:rPr>
                <w:rFonts w:hint="eastAsia" w:ascii="宋体" w:hAnsi="宋体" w:eastAsia="宋体" w:cs="宋体"/>
                <w:color w:val="auto"/>
                <w:sz w:val="24"/>
                <w:szCs w:val="24"/>
                <w:highlight w:val="none"/>
              </w:rPr>
              <w:t>文件识别方式上传。</w:t>
            </w:r>
          </w:p>
          <w:p w14:paraId="2D438951">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收文时外来文件直接进行OCR识别。</w:t>
            </w:r>
          </w:p>
          <w:p w14:paraId="2C9F2373">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二维码扫描自动带入相关公文原数据到登记单。</w:t>
            </w:r>
          </w:p>
          <w:p w14:paraId="77F60D3A">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自定义列表分类：按时间分类、按活动节点分类。</w:t>
            </w:r>
          </w:p>
          <w:p w14:paraId="38E8E33B">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统一阅件入口：阅件和收文于待阅公文中，方便领导查阅。</w:t>
            </w:r>
          </w:p>
          <w:p w14:paraId="14041F72">
            <w:pPr>
              <w:keepNext w:val="0"/>
              <w:keepLines w:val="0"/>
              <w:pageBreakBefore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领导意见秘书代录，秘书转呈领导。</w:t>
            </w:r>
          </w:p>
          <w:p w14:paraId="16D26DB1">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来文单位进行登记，转收文、转发文、转签报、分发、二维码扫描、扫描仪识别、智能提取、文件识别等；</w:t>
            </w:r>
          </w:p>
        </w:tc>
      </w:tr>
      <w:tr w14:paraId="2F85B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6523CC62">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76697FFD">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37B5EC7A">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公文签报</w:t>
            </w:r>
          </w:p>
        </w:tc>
        <w:tc>
          <w:tcPr>
            <w:tcW w:w="10773" w:type="dxa"/>
          </w:tcPr>
          <w:p w14:paraId="0C68B7EB">
            <w:pPr>
              <w:keepNext w:val="0"/>
              <w:keepLines w:val="0"/>
              <w:pageBreakBefore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白头文，签报审批自定义；</w:t>
            </w:r>
          </w:p>
          <w:p w14:paraId="0F0A23EF">
            <w:pPr>
              <w:keepNext w:val="0"/>
              <w:keepLines w:val="0"/>
              <w:pageBreakBefore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收文、发文、签报要求可以互转，自动带入公文表单业务数据。</w:t>
            </w:r>
          </w:p>
        </w:tc>
      </w:tr>
      <w:tr w14:paraId="5DA81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717D85E3">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239BFF22">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3D4C0651">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公文转交</w:t>
            </w:r>
          </w:p>
        </w:tc>
        <w:tc>
          <w:tcPr>
            <w:tcW w:w="10773" w:type="dxa"/>
          </w:tcPr>
          <w:p w14:paraId="5CC594B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可以批量转交给他人办理；</w:t>
            </w:r>
          </w:p>
        </w:tc>
      </w:tr>
      <w:tr w14:paraId="50F5C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1554A18F">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29364A20">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4EB7C970">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公文统计</w:t>
            </w:r>
          </w:p>
        </w:tc>
        <w:tc>
          <w:tcPr>
            <w:tcW w:w="10773" w:type="dxa"/>
          </w:tcPr>
          <w:p w14:paraId="468BB3D2">
            <w:pPr>
              <w:keepNext w:val="0"/>
              <w:keepLines w:val="0"/>
              <w:pageBreakBefore w:val="0"/>
              <w:tabs>
                <w:tab w:val="left" w:pos="1523"/>
              </w:tabs>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发文量统计、收文量统计、签到量统计、来文单位统计、登记量统计、来文单位统计、办件量统计、签收情况统计、领导文件统计等。（提供产品截图）自定义设置显示哪些统计数据分类。</w:t>
            </w:r>
          </w:p>
        </w:tc>
      </w:tr>
      <w:tr w14:paraId="48E76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5F26601A">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7EC5E887">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47ED6BE9">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效率分析</w:t>
            </w:r>
          </w:p>
        </w:tc>
        <w:tc>
          <w:tcPr>
            <w:tcW w:w="10773" w:type="dxa"/>
          </w:tcPr>
          <w:p w14:paraId="15FD617B">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对公文流程数量、单个流程类型平均耗时进行统计分析；</w:t>
            </w:r>
          </w:p>
        </w:tc>
      </w:tr>
      <w:tr w14:paraId="7A564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4C6BFC61">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754AD83A">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50297144">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公文查询</w:t>
            </w:r>
          </w:p>
        </w:tc>
        <w:tc>
          <w:tcPr>
            <w:tcW w:w="10773" w:type="dxa"/>
          </w:tcPr>
          <w:p w14:paraId="3518ECE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发文查询、收文查询、签报查询；管理员干预流程流转；</w:t>
            </w:r>
          </w:p>
        </w:tc>
      </w:tr>
      <w:tr w14:paraId="5584E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206C7C3F">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1976FB3B">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31B99764">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公文监控</w:t>
            </w:r>
          </w:p>
        </w:tc>
        <w:tc>
          <w:tcPr>
            <w:tcW w:w="10773" w:type="dxa"/>
          </w:tcPr>
          <w:p w14:paraId="30D042DD">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对公文进行分类查询，可以对个别公文流程进行特殊干预，如：转交、传阅、跳转、作废、提前结束等。</w:t>
            </w:r>
          </w:p>
          <w:p w14:paraId="569EFFA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公文删除后，有权限的管理员可以在废件箱中进行删除日志的查询。</w:t>
            </w:r>
          </w:p>
          <w:p w14:paraId="478F5B4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红绿灯（个人灯、文件等）、紧急程度、附件标识等特殊标记。</w:t>
            </w:r>
          </w:p>
          <w:p w14:paraId="0DCC796A">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选择下载、打包下载、自定义选择打印内容。</w:t>
            </w:r>
          </w:p>
          <w:p w14:paraId="2981967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主流程环节各部门内部发起子流程审批办理后返回主流程继续办理。</w:t>
            </w:r>
          </w:p>
          <w:p w14:paraId="2DCECFEE">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附件统一管理，流程流转过程的表单中、批示意见中、表单右侧留言区的附件上传后，均在表单页签“附件”中集中展示，便于统一管理与维护。</w:t>
            </w:r>
          </w:p>
          <w:p w14:paraId="14BB0255">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针对于分发的特殊操作：补发、分发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撤回、查看签收情况、查看撤回情况、查看退回记录等。</w:t>
            </w:r>
          </w:p>
          <w:p w14:paraId="703C7A21">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公文办理效率分析图表展现。</w:t>
            </w:r>
          </w:p>
          <w:p w14:paraId="038866D4">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对重点关注的领导文件办理情况进行统计。</w:t>
            </w:r>
          </w:p>
          <w:p w14:paraId="76A37141">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公文流转统计、人员办理统计、部门办理统计、办理状态统计、人员超时统计、流程超时统计。</w:t>
            </w:r>
          </w:p>
          <w:p w14:paraId="7C1EC339">
            <w:pPr>
              <w:keepNext w:val="0"/>
              <w:keepLines w:val="0"/>
              <w:pageBreakBefore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公文统计数据的多维度统计分析，且穿透至具体明细页面。</w:t>
            </w:r>
          </w:p>
        </w:tc>
      </w:tr>
      <w:tr w14:paraId="1EED3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6A733CC5">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5CC0E25F">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6294D665">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废件箱</w:t>
            </w:r>
          </w:p>
        </w:tc>
        <w:tc>
          <w:tcPr>
            <w:tcW w:w="10773" w:type="dxa"/>
          </w:tcPr>
          <w:p w14:paraId="2B95BA08">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废件箱彻底删除或还原</w:t>
            </w:r>
            <w:r>
              <w:rPr>
                <w:rFonts w:hint="eastAsia" w:ascii="宋体" w:hAnsi="宋体" w:eastAsia="宋体" w:cs="宋体"/>
                <w:color w:val="auto"/>
                <w:sz w:val="24"/>
                <w:szCs w:val="24"/>
                <w:highlight w:val="none"/>
                <w:lang w:eastAsia="zh-CN"/>
              </w:rPr>
              <w:t>。</w:t>
            </w:r>
          </w:p>
        </w:tc>
      </w:tr>
      <w:tr w14:paraId="17572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2E925383">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3DB35026">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Merge w:val="restart"/>
            <w:vAlign w:val="center"/>
          </w:tcPr>
          <w:p w14:paraId="46CF27FE">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公文设置</w:t>
            </w:r>
          </w:p>
        </w:tc>
        <w:tc>
          <w:tcPr>
            <w:tcW w:w="10773" w:type="dxa"/>
          </w:tcPr>
          <w:p w14:paraId="4B93A91A">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基础设置：</w:t>
            </w:r>
            <w:r>
              <w:rPr>
                <w:rFonts w:hint="eastAsia" w:ascii="宋体" w:hAnsi="宋体" w:eastAsia="宋体" w:cs="宋体"/>
                <w:color w:val="auto"/>
                <w:sz w:val="24"/>
                <w:szCs w:val="24"/>
                <w:highlight w:val="none"/>
              </w:rPr>
              <w:t>插入正文类别、列表操作配置、调用WPS客户端、流式只读调预览、生成份号、生成二维码、表单正文双屏、起草流式调模板、打印默认勾选标题、</w:t>
            </w:r>
            <w:bookmarkStart w:id="66" w:name="OLE_LINK4"/>
            <w:bookmarkStart w:id="67" w:name="OLE_LINK3"/>
            <w:r>
              <w:rPr>
                <w:rFonts w:hint="eastAsia" w:ascii="宋体" w:hAnsi="宋体" w:eastAsia="宋体" w:cs="宋体"/>
                <w:color w:val="auto"/>
                <w:sz w:val="24"/>
                <w:szCs w:val="24"/>
                <w:highlight w:val="none"/>
              </w:rPr>
              <w:t>标题联想、来文单位联想、统一标识、待办分类、分发内容、传阅内容、单位显示长度、公文统计设置、文字识别、智能提取、二维码扫描、辅助写作、全文检索、正文转版、正文转换文件格式、选择成员对象、转版按钮、转发文转收文转签报设置、公文查阅设置等设置项内容的设置；</w:t>
            </w:r>
          </w:p>
          <w:bookmarkEnd w:id="66"/>
          <w:bookmarkEnd w:id="67"/>
          <w:p w14:paraId="244F9BE4">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流程设置：</w:t>
            </w:r>
            <w:r>
              <w:rPr>
                <w:rFonts w:hint="eastAsia" w:ascii="宋体" w:hAnsi="宋体" w:eastAsia="宋体" w:cs="宋体"/>
                <w:color w:val="auto"/>
                <w:sz w:val="24"/>
                <w:szCs w:val="24"/>
                <w:highlight w:val="none"/>
              </w:rPr>
              <w:t>设置发文流程、收文流程、签报流程；</w:t>
            </w:r>
          </w:p>
          <w:p w14:paraId="5E887C5A">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流程设置查询：</w:t>
            </w:r>
            <w:r>
              <w:rPr>
                <w:rFonts w:hint="eastAsia" w:ascii="宋体" w:hAnsi="宋体" w:eastAsia="宋体" w:cs="宋体"/>
                <w:color w:val="auto"/>
                <w:sz w:val="24"/>
                <w:szCs w:val="24"/>
                <w:highlight w:val="none"/>
              </w:rPr>
              <w:t>查询流程内设置的节点内容（参与方式、办理方式、参与者、活动按钮）；</w:t>
            </w:r>
          </w:p>
          <w:p w14:paraId="0FF6B1D4">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统一标识设置：</w:t>
            </w:r>
            <w:r>
              <w:rPr>
                <w:rFonts w:hint="eastAsia" w:ascii="宋体" w:hAnsi="宋体" w:eastAsia="宋体" w:cs="宋体"/>
                <w:color w:val="auto"/>
                <w:sz w:val="24"/>
                <w:szCs w:val="24"/>
                <w:highlight w:val="none"/>
              </w:rPr>
              <w:t>设置单位统一标识；</w:t>
            </w:r>
          </w:p>
          <w:p w14:paraId="05B48CEA">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表单设置：</w:t>
            </w:r>
            <w:r>
              <w:rPr>
                <w:rFonts w:hint="eastAsia" w:ascii="宋体" w:hAnsi="宋体" w:eastAsia="宋体" w:cs="宋体"/>
                <w:color w:val="auto"/>
                <w:sz w:val="24"/>
                <w:szCs w:val="24"/>
                <w:highlight w:val="none"/>
              </w:rPr>
              <w:t>设置发文表单、收文表单、签报表单、收文登记表单；</w:t>
            </w:r>
          </w:p>
          <w:p w14:paraId="1C76BC12">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流水号设置：</w:t>
            </w:r>
            <w:r>
              <w:rPr>
                <w:rFonts w:hint="eastAsia" w:ascii="宋体" w:hAnsi="宋体" w:eastAsia="宋体" w:cs="宋体"/>
                <w:color w:val="auto"/>
                <w:sz w:val="24"/>
                <w:szCs w:val="24"/>
                <w:highlight w:val="none"/>
              </w:rPr>
              <w:t>设置收文流水号、收文登记流水号；</w:t>
            </w:r>
            <w:r>
              <w:rPr>
                <w:rFonts w:hint="eastAsia" w:ascii="宋体" w:hAnsi="宋体" w:eastAsia="宋体" w:cs="宋体"/>
                <w:b/>
                <w:color w:val="auto"/>
                <w:sz w:val="24"/>
                <w:szCs w:val="24"/>
                <w:highlight w:val="none"/>
              </w:rPr>
              <w:t>分发单位设置：</w:t>
            </w:r>
            <w:r>
              <w:rPr>
                <w:rFonts w:hint="eastAsia" w:ascii="宋体" w:hAnsi="宋体" w:eastAsia="宋体" w:cs="宋体"/>
                <w:color w:val="auto"/>
                <w:sz w:val="24"/>
                <w:szCs w:val="24"/>
                <w:highlight w:val="none"/>
              </w:rPr>
              <w:t>设置分发单位；</w:t>
            </w:r>
          </w:p>
          <w:p w14:paraId="56094BF2">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公文员设置：</w:t>
            </w:r>
            <w:r>
              <w:rPr>
                <w:rFonts w:hint="eastAsia" w:ascii="宋体" w:hAnsi="宋体" w:eastAsia="宋体" w:cs="宋体"/>
                <w:color w:val="auto"/>
                <w:sz w:val="24"/>
                <w:szCs w:val="24"/>
                <w:highlight w:val="none"/>
              </w:rPr>
              <w:t>设置组织公文员；</w:t>
            </w:r>
            <w:r>
              <w:rPr>
                <w:rFonts w:hint="eastAsia" w:ascii="宋体" w:hAnsi="宋体" w:eastAsia="宋体" w:cs="宋体"/>
                <w:b/>
                <w:color w:val="auto"/>
                <w:sz w:val="24"/>
                <w:szCs w:val="24"/>
                <w:highlight w:val="none"/>
              </w:rPr>
              <w:t>枚举设置：</w:t>
            </w:r>
            <w:r>
              <w:rPr>
                <w:rFonts w:hint="eastAsia" w:ascii="宋体" w:hAnsi="宋体" w:eastAsia="宋体" w:cs="宋体"/>
                <w:color w:val="auto"/>
                <w:sz w:val="24"/>
                <w:szCs w:val="24"/>
                <w:highlight w:val="none"/>
              </w:rPr>
              <w:t>自定义公文管理中需要用的各类枚举；</w:t>
            </w:r>
          </w:p>
        </w:tc>
      </w:tr>
      <w:tr w14:paraId="5923C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48EBD662">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1375A8BD">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Merge w:val="continue"/>
            <w:vAlign w:val="center"/>
          </w:tcPr>
          <w:p w14:paraId="26B06A97">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09B22DDE">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发文设置：</w:t>
            </w:r>
            <w:r>
              <w:rPr>
                <w:rFonts w:hint="eastAsia" w:ascii="宋体" w:hAnsi="宋体" w:eastAsia="宋体" w:cs="宋体"/>
                <w:color w:val="auto"/>
                <w:sz w:val="24"/>
                <w:szCs w:val="24"/>
                <w:highlight w:val="none"/>
              </w:rPr>
              <w:t>设置发文字号、字号共用、正文模板管理、模板标签管理、图片签章管理；</w:t>
            </w:r>
          </w:p>
        </w:tc>
      </w:tr>
      <w:tr w14:paraId="46821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615F5EBB">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725EC473">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Merge w:val="continue"/>
            <w:vAlign w:val="center"/>
          </w:tcPr>
          <w:p w14:paraId="4A3ACEFD">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3D298283">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收文设置：</w:t>
            </w:r>
            <w:r>
              <w:rPr>
                <w:rFonts w:hint="eastAsia" w:ascii="宋体" w:hAnsi="宋体" w:eastAsia="宋体" w:cs="宋体"/>
                <w:color w:val="auto"/>
                <w:sz w:val="24"/>
                <w:szCs w:val="24"/>
                <w:highlight w:val="none"/>
              </w:rPr>
              <w:t>设置来文单位、收文模板、收文标签；</w:t>
            </w:r>
          </w:p>
        </w:tc>
      </w:tr>
      <w:tr w14:paraId="63B0C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63A37139">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506E9733">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Merge w:val="continue"/>
            <w:vAlign w:val="center"/>
          </w:tcPr>
          <w:p w14:paraId="7CED3003">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7999606E">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签报设置：</w:t>
            </w:r>
            <w:r>
              <w:rPr>
                <w:rFonts w:hint="eastAsia" w:ascii="宋体" w:hAnsi="宋体" w:eastAsia="宋体" w:cs="宋体"/>
                <w:color w:val="auto"/>
                <w:sz w:val="24"/>
                <w:szCs w:val="24"/>
                <w:highlight w:val="none"/>
              </w:rPr>
              <w:t>正文模板管理、模板标签管理；</w:t>
            </w:r>
          </w:p>
        </w:tc>
      </w:tr>
      <w:tr w14:paraId="5B91A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restart"/>
            <w:vAlign w:val="center"/>
          </w:tcPr>
          <w:p w14:paraId="70D009AD">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restart"/>
            <w:vAlign w:val="center"/>
          </w:tcPr>
          <w:p w14:paraId="61A9C0AF">
            <w:pPr>
              <w:keepNext w:val="0"/>
              <w:keepLines w:val="0"/>
              <w:pageBreakBefore w:val="0"/>
              <w:kinsoku/>
              <w:wordWrap/>
              <w:overflowPunct/>
              <w:topLinePunct w:val="0"/>
              <w:autoSpaceDE/>
              <w:autoSpaceDN/>
              <w:bidi w:val="0"/>
              <w:adjustRightInd w:val="0"/>
              <w:snapToGrid/>
              <w:spacing w:line="44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督办管理</w:t>
            </w:r>
          </w:p>
        </w:tc>
        <w:tc>
          <w:tcPr>
            <w:tcW w:w="1559" w:type="dxa"/>
            <w:vAlign w:val="center"/>
          </w:tcPr>
          <w:p w14:paraId="44400658">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督查督办业务需求</w:t>
            </w:r>
          </w:p>
        </w:tc>
        <w:tc>
          <w:tcPr>
            <w:tcW w:w="10773" w:type="dxa"/>
          </w:tcPr>
          <w:p w14:paraId="40247706">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要求对督办事项按照立项、交办、催办、审核、办结</w:t>
            </w:r>
            <w:r>
              <w:rPr>
                <w:rFonts w:hint="eastAsia" w:ascii="宋体" w:hAnsi="宋体" w:eastAsia="宋体" w:cs="宋体"/>
                <w:color w:val="auto"/>
                <w:kern w:val="0"/>
                <w:sz w:val="24"/>
                <w:szCs w:val="24"/>
                <w:highlight w:val="none"/>
                <w:lang w:eastAsia="zh-CN"/>
              </w:rPr>
              <w:t>五</w:t>
            </w:r>
            <w:r>
              <w:rPr>
                <w:rFonts w:hint="eastAsia" w:ascii="宋体" w:hAnsi="宋体" w:eastAsia="宋体" w:cs="宋体"/>
                <w:color w:val="auto"/>
                <w:kern w:val="0"/>
                <w:sz w:val="24"/>
                <w:szCs w:val="24"/>
                <w:highlight w:val="none"/>
              </w:rPr>
              <w:t>项程序建立督办运行机制，为单位政务督查工作的高效、有序开展搭建科学的工作平台，形成程序化、制度化、信息化的督查模式和方法，确保工作质量和效率明显提高，促进各项工作的贯彻落实的督办管理。督查督办要实现单位对各个工作任务的督办、催办和审核。要求可以面向所有督办任务来源，下发督办通知红头文件、单次反馈及长期反馈，实现端到端的快速反馈及审核</w:t>
            </w:r>
            <w:r>
              <w:rPr>
                <w:rFonts w:hint="eastAsia" w:ascii="宋体" w:hAnsi="宋体" w:eastAsia="宋体" w:cs="宋体"/>
                <w:color w:val="auto"/>
                <w:kern w:val="0"/>
                <w:sz w:val="24"/>
                <w:szCs w:val="24"/>
                <w:highlight w:val="none"/>
                <w:lang w:eastAsia="zh-CN"/>
              </w:rPr>
              <w:t>，要能定期显示对需督办事项的办理状态的显示等。</w:t>
            </w:r>
          </w:p>
        </w:tc>
      </w:tr>
      <w:tr w14:paraId="399A7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1C1F1C50">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50EB35E8">
            <w:pPr>
              <w:keepNext w:val="0"/>
              <w:keepLines w:val="0"/>
              <w:pageBreakBefore w:val="0"/>
              <w:kinsoku/>
              <w:wordWrap/>
              <w:overflowPunct/>
              <w:topLinePunct w:val="0"/>
              <w:autoSpaceDE/>
              <w:autoSpaceDN/>
              <w:bidi w:val="0"/>
              <w:adjustRightInd w:val="0"/>
              <w:snapToGrid/>
              <w:spacing w:line="440" w:lineRule="exact"/>
              <w:textAlignment w:val="auto"/>
              <w:rPr>
                <w:rFonts w:hint="eastAsia" w:ascii="宋体" w:hAnsi="宋体" w:eastAsia="宋体" w:cs="宋体"/>
                <w:b/>
                <w:bCs/>
                <w:color w:val="auto"/>
                <w:kern w:val="0"/>
                <w:sz w:val="24"/>
                <w:szCs w:val="24"/>
                <w:highlight w:val="none"/>
              </w:rPr>
            </w:pPr>
          </w:p>
        </w:tc>
        <w:tc>
          <w:tcPr>
            <w:tcW w:w="1559" w:type="dxa"/>
            <w:vAlign w:val="center"/>
          </w:tcPr>
          <w:p w14:paraId="34725C15">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督查督办门户</w:t>
            </w:r>
          </w:p>
        </w:tc>
        <w:tc>
          <w:tcPr>
            <w:tcW w:w="10773" w:type="dxa"/>
          </w:tcPr>
          <w:p w14:paraId="57D4AFCA">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可以配置督办方门户、承办方门户和领导门户；</w:t>
            </w:r>
          </w:p>
        </w:tc>
      </w:tr>
      <w:tr w14:paraId="64B0C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34A1A4BF">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72425515">
            <w:pPr>
              <w:keepNext w:val="0"/>
              <w:keepLines w:val="0"/>
              <w:pageBreakBefore w:val="0"/>
              <w:kinsoku/>
              <w:wordWrap/>
              <w:overflowPunct/>
              <w:topLinePunct w:val="0"/>
              <w:autoSpaceDE/>
              <w:autoSpaceDN/>
              <w:bidi w:val="0"/>
              <w:adjustRightInd w:val="0"/>
              <w:snapToGrid/>
              <w:spacing w:line="440" w:lineRule="exact"/>
              <w:textAlignment w:val="auto"/>
              <w:rPr>
                <w:rFonts w:hint="eastAsia" w:ascii="宋体" w:hAnsi="宋体" w:eastAsia="宋体" w:cs="宋体"/>
                <w:b/>
                <w:bCs/>
                <w:color w:val="auto"/>
                <w:kern w:val="0"/>
                <w:sz w:val="24"/>
                <w:szCs w:val="24"/>
                <w:highlight w:val="none"/>
              </w:rPr>
            </w:pPr>
          </w:p>
        </w:tc>
        <w:tc>
          <w:tcPr>
            <w:tcW w:w="1559" w:type="dxa"/>
            <w:vAlign w:val="center"/>
          </w:tcPr>
          <w:p w14:paraId="7CA73C74">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任务总览</w:t>
            </w:r>
          </w:p>
        </w:tc>
        <w:tc>
          <w:tcPr>
            <w:tcW w:w="10773" w:type="dxa"/>
          </w:tcPr>
          <w:p w14:paraId="67714BCF">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任务总览模块显示所有督办类别下的督办任务，按照几种督办类别分类显示，有权限的用户可以进行查看列表及详情页面，也可以做批示和关注；</w:t>
            </w:r>
          </w:p>
        </w:tc>
      </w:tr>
      <w:tr w14:paraId="5CE71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36C6EA8C">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10D604A5">
            <w:pPr>
              <w:keepNext w:val="0"/>
              <w:keepLines w:val="0"/>
              <w:pageBreakBefore w:val="0"/>
              <w:kinsoku/>
              <w:wordWrap/>
              <w:overflowPunct/>
              <w:topLinePunct w:val="0"/>
              <w:autoSpaceDE/>
              <w:autoSpaceDN/>
              <w:bidi w:val="0"/>
              <w:adjustRightInd w:val="0"/>
              <w:snapToGrid/>
              <w:spacing w:line="440" w:lineRule="exact"/>
              <w:textAlignment w:val="auto"/>
              <w:rPr>
                <w:rFonts w:hint="eastAsia" w:ascii="宋体" w:hAnsi="宋体" w:eastAsia="宋体" w:cs="宋体"/>
                <w:b/>
                <w:bCs/>
                <w:color w:val="auto"/>
                <w:kern w:val="0"/>
                <w:sz w:val="24"/>
                <w:szCs w:val="24"/>
                <w:highlight w:val="none"/>
              </w:rPr>
            </w:pPr>
          </w:p>
        </w:tc>
        <w:tc>
          <w:tcPr>
            <w:tcW w:w="1559" w:type="dxa"/>
            <w:vAlign w:val="center"/>
          </w:tcPr>
          <w:p w14:paraId="4D9B55ED">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领导关注</w:t>
            </w:r>
          </w:p>
        </w:tc>
        <w:tc>
          <w:tcPr>
            <w:tcW w:w="10773" w:type="dxa"/>
          </w:tcPr>
          <w:p w14:paraId="07542D35">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展示牵头领导的督办任务和从任务总览关注过来的任务，可以查看详情、取消关注和批示；</w:t>
            </w:r>
          </w:p>
        </w:tc>
      </w:tr>
      <w:tr w14:paraId="2526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2AA375FA">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06C0D5D5">
            <w:pPr>
              <w:keepNext w:val="0"/>
              <w:keepLines w:val="0"/>
              <w:pageBreakBefore w:val="0"/>
              <w:kinsoku/>
              <w:wordWrap/>
              <w:overflowPunct/>
              <w:topLinePunct w:val="0"/>
              <w:autoSpaceDE/>
              <w:autoSpaceDN/>
              <w:bidi w:val="0"/>
              <w:adjustRightInd w:val="0"/>
              <w:snapToGrid/>
              <w:spacing w:line="440" w:lineRule="exact"/>
              <w:textAlignment w:val="auto"/>
              <w:rPr>
                <w:rFonts w:hint="eastAsia" w:ascii="宋体" w:hAnsi="宋体" w:eastAsia="宋体" w:cs="宋体"/>
                <w:b/>
                <w:bCs/>
                <w:color w:val="auto"/>
                <w:kern w:val="0"/>
                <w:sz w:val="24"/>
                <w:szCs w:val="24"/>
                <w:highlight w:val="none"/>
              </w:rPr>
            </w:pPr>
          </w:p>
        </w:tc>
        <w:tc>
          <w:tcPr>
            <w:tcW w:w="1559" w:type="dxa"/>
            <w:vAlign w:val="center"/>
          </w:tcPr>
          <w:p w14:paraId="1900D033">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任务办理</w:t>
            </w:r>
          </w:p>
        </w:tc>
        <w:tc>
          <w:tcPr>
            <w:tcW w:w="10773" w:type="dxa"/>
          </w:tcPr>
          <w:p w14:paraId="2A481C29">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分为待办、已办、待阅、已阅、催办、流程和批示；待办包括各个环节的审核，已办包括已经办理的审核，待阅包括各个环节的审阅，已阅包括已经审阅的</w:t>
            </w:r>
            <w:r>
              <w:rPr>
                <w:rFonts w:hint="eastAsia" w:ascii="宋体" w:hAnsi="宋体" w:eastAsia="宋体" w:cs="宋体"/>
                <w:color w:val="auto"/>
                <w:kern w:val="0"/>
                <w:sz w:val="24"/>
                <w:szCs w:val="24"/>
                <w:highlight w:val="none"/>
                <w:lang w:eastAsia="zh-CN"/>
              </w:rPr>
              <w:t>文</w:t>
            </w:r>
            <w:r>
              <w:rPr>
                <w:rFonts w:hint="eastAsia" w:ascii="宋体" w:hAnsi="宋体" w:eastAsia="宋体" w:cs="宋体"/>
                <w:color w:val="auto"/>
                <w:kern w:val="0"/>
                <w:sz w:val="24"/>
                <w:szCs w:val="24"/>
                <w:highlight w:val="none"/>
              </w:rPr>
              <w:t>件，催办展示催促办理的事项，流程展示所有权限范围的流程数据，批示可以显示已批示的记录，可以回复；</w:t>
            </w:r>
          </w:p>
        </w:tc>
      </w:tr>
      <w:tr w14:paraId="46C5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0E4864B5">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6C7234C6">
            <w:pPr>
              <w:keepNext w:val="0"/>
              <w:keepLines w:val="0"/>
              <w:pageBreakBefore w:val="0"/>
              <w:kinsoku/>
              <w:wordWrap/>
              <w:overflowPunct/>
              <w:topLinePunct w:val="0"/>
              <w:autoSpaceDE/>
              <w:autoSpaceDN/>
              <w:bidi w:val="0"/>
              <w:adjustRightInd w:val="0"/>
              <w:snapToGrid/>
              <w:spacing w:line="440" w:lineRule="exact"/>
              <w:textAlignment w:val="auto"/>
              <w:rPr>
                <w:rFonts w:hint="eastAsia" w:ascii="宋体" w:hAnsi="宋体" w:eastAsia="宋体" w:cs="宋体"/>
                <w:b/>
                <w:bCs/>
                <w:color w:val="auto"/>
                <w:kern w:val="0"/>
                <w:sz w:val="24"/>
                <w:szCs w:val="24"/>
                <w:highlight w:val="none"/>
              </w:rPr>
            </w:pPr>
          </w:p>
        </w:tc>
        <w:tc>
          <w:tcPr>
            <w:tcW w:w="1559" w:type="dxa"/>
            <w:vAlign w:val="center"/>
          </w:tcPr>
          <w:p w14:paraId="433E2099">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任务督办</w:t>
            </w:r>
          </w:p>
        </w:tc>
        <w:tc>
          <w:tcPr>
            <w:tcW w:w="10773" w:type="dxa"/>
          </w:tcPr>
          <w:p w14:paraId="62EDBB6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包括预立项、督办立项、任务下达和督办考评，预立项是从公文推送的待立项内容，可以提交督办或退回，督办立项可以进行统一立项、审核；任务下达新建任务或导入任务（含已结项任务），无办结时限任务，进行编辑、催办、终止、删除、分发等操作；督办考评是可以针对已办结的任务进行结果性评价打分；以不同维度生成督办报告；</w:t>
            </w:r>
          </w:p>
        </w:tc>
      </w:tr>
      <w:tr w14:paraId="17DEC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3BDC37CF">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0AAAC81B">
            <w:pPr>
              <w:keepNext w:val="0"/>
              <w:keepLines w:val="0"/>
              <w:pageBreakBefore w:val="0"/>
              <w:kinsoku/>
              <w:wordWrap/>
              <w:overflowPunct/>
              <w:topLinePunct w:val="0"/>
              <w:autoSpaceDE/>
              <w:autoSpaceDN/>
              <w:bidi w:val="0"/>
              <w:adjustRightInd w:val="0"/>
              <w:snapToGrid/>
              <w:spacing w:line="440" w:lineRule="exact"/>
              <w:textAlignment w:val="auto"/>
              <w:rPr>
                <w:rFonts w:hint="eastAsia" w:ascii="宋体" w:hAnsi="宋体" w:eastAsia="宋体" w:cs="宋体"/>
                <w:b/>
                <w:bCs/>
                <w:color w:val="auto"/>
                <w:kern w:val="0"/>
                <w:sz w:val="24"/>
                <w:szCs w:val="24"/>
                <w:highlight w:val="none"/>
              </w:rPr>
            </w:pPr>
          </w:p>
        </w:tc>
        <w:tc>
          <w:tcPr>
            <w:tcW w:w="1559" w:type="dxa"/>
            <w:vAlign w:val="center"/>
          </w:tcPr>
          <w:p w14:paraId="4317EC46">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承办任务</w:t>
            </w:r>
          </w:p>
        </w:tc>
        <w:tc>
          <w:tcPr>
            <w:tcW w:w="10773" w:type="dxa"/>
          </w:tcPr>
          <w:p w14:paraId="1BD0705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包括主办任务、协办任务、交办任务和积分查询功能，主办任务可以进行任务分解，预案上报、反馈、交办操作；协办任务可以给主办单位上报、反馈和交办；交办任务可以查看转入和转出的任务情况；积分查询可以查看承办单位自己的得分情况；</w:t>
            </w:r>
          </w:p>
        </w:tc>
      </w:tr>
      <w:tr w14:paraId="6FF4F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47D914C3">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66E0D19B">
            <w:pPr>
              <w:keepNext w:val="0"/>
              <w:keepLines w:val="0"/>
              <w:pageBreakBefore w:val="0"/>
              <w:kinsoku/>
              <w:wordWrap/>
              <w:overflowPunct/>
              <w:topLinePunct w:val="0"/>
              <w:autoSpaceDE/>
              <w:autoSpaceDN/>
              <w:bidi w:val="0"/>
              <w:adjustRightInd w:val="0"/>
              <w:snapToGrid/>
              <w:spacing w:line="440" w:lineRule="exact"/>
              <w:textAlignment w:val="auto"/>
              <w:rPr>
                <w:rFonts w:hint="eastAsia" w:ascii="宋体" w:hAnsi="宋体" w:eastAsia="宋体" w:cs="宋体"/>
                <w:b/>
                <w:bCs/>
                <w:color w:val="auto"/>
                <w:kern w:val="0"/>
                <w:sz w:val="24"/>
                <w:szCs w:val="24"/>
                <w:highlight w:val="none"/>
              </w:rPr>
            </w:pPr>
          </w:p>
        </w:tc>
        <w:tc>
          <w:tcPr>
            <w:tcW w:w="1559" w:type="dxa"/>
            <w:vAlign w:val="center"/>
          </w:tcPr>
          <w:p w14:paraId="7E1C8CB6">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统计分析</w:t>
            </w:r>
          </w:p>
        </w:tc>
        <w:tc>
          <w:tcPr>
            <w:tcW w:w="10773" w:type="dxa"/>
          </w:tcPr>
          <w:p w14:paraId="0DF6DDB0">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按承办单位统计、任务类别统计、办理状态统计、领导批示统计；</w:t>
            </w:r>
          </w:p>
        </w:tc>
      </w:tr>
      <w:tr w14:paraId="39E97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0FC216A7">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27BC9233">
            <w:pPr>
              <w:keepNext w:val="0"/>
              <w:keepLines w:val="0"/>
              <w:pageBreakBefore w:val="0"/>
              <w:kinsoku/>
              <w:wordWrap/>
              <w:overflowPunct/>
              <w:topLinePunct w:val="0"/>
              <w:autoSpaceDE/>
              <w:autoSpaceDN/>
              <w:bidi w:val="0"/>
              <w:adjustRightInd w:val="0"/>
              <w:snapToGrid/>
              <w:spacing w:line="440" w:lineRule="exact"/>
              <w:textAlignment w:val="auto"/>
              <w:rPr>
                <w:rFonts w:hint="eastAsia" w:ascii="宋体" w:hAnsi="宋体" w:eastAsia="宋体" w:cs="宋体"/>
                <w:b/>
                <w:bCs/>
                <w:color w:val="auto"/>
                <w:kern w:val="0"/>
                <w:sz w:val="24"/>
                <w:szCs w:val="24"/>
                <w:highlight w:val="none"/>
              </w:rPr>
            </w:pPr>
          </w:p>
        </w:tc>
        <w:tc>
          <w:tcPr>
            <w:tcW w:w="1559" w:type="dxa"/>
            <w:vAlign w:val="center"/>
          </w:tcPr>
          <w:p w14:paraId="7123808D">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系统设置</w:t>
            </w:r>
          </w:p>
        </w:tc>
        <w:tc>
          <w:tcPr>
            <w:tcW w:w="10773" w:type="dxa"/>
          </w:tcPr>
          <w:p w14:paraId="7ED24252">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包括：基础设置、任务类别、任务编号、单位设置、积分设置、表管理、表单管理、流程设置、督查标签设置和督查模板设置</w:t>
            </w:r>
            <w:r>
              <w:rPr>
                <w:rFonts w:hint="eastAsia" w:ascii="宋体" w:hAnsi="宋体" w:eastAsia="宋体" w:cs="宋体"/>
                <w:color w:val="auto"/>
                <w:kern w:val="0"/>
                <w:sz w:val="24"/>
                <w:szCs w:val="24"/>
                <w:highlight w:val="none"/>
                <w:lang w:eastAsia="zh-CN"/>
              </w:rPr>
              <w:t>；</w:t>
            </w:r>
          </w:p>
        </w:tc>
      </w:tr>
      <w:tr w14:paraId="60824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restart"/>
            <w:vAlign w:val="center"/>
          </w:tcPr>
          <w:p w14:paraId="09F2F47A">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restart"/>
            <w:vAlign w:val="center"/>
          </w:tcPr>
          <w:p w14:paraId="62239D62">
            <w:pPr>
              <w:keepNext w:val="0"/>
              <w:keepLines w:val="0"/>
              <w:pageBreakBefore w:val="0"/>
              <w:kinsoku/>
              <w:wordWrap/>
              <w:overflowPunct/>
              <w:topLinePunct w:val="0"/>
              <w:autoSpaceDE/>
              <w:autoSpaceDN/>
              <w:bidi w:val="0"/>
              <w:adjustRightInd w:val="0"/>
              <w:snapToGrid/>
              <w:spacing w:line="44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公告管理</w:t>
            </w:r>
          </w:p>
        </w:tc>
        <w:tc>
          <w:tcPr>
            <w:tcW w:w="1559" w:type="dxa"/>
            <w:vAlign w:val="center"/>
          </w:tcPr>
          <w:p w14:paraId="1CC607B6">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公告管理</w:t>
            </w:r>
          </w:p>
        </w:tc>
        <w:tc>
          <w:tcPr>
            <w:tcW w:w="10773" w:type="dxa"/>
          </w:tcPr>
          <w:p w14:paraId="4B854618">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建立总工会对内统一的官方的信息公告发布窗口：</w:t>
            </w:r>
            <w:r>
              <w:rPr>
                <w:rFonts w:hint="eastAsia" w:ascii="宋体" w:hAnsi="宋体" w:eastAsia="宋体" w:cs="宋体"/>
                <w:color w:val="auto"/>
                <w:kern w:val="0"/>
                <w:sz w:val="24"/>
                <w:szCs w:val="24"/>
                <w:highlight w:val="none"/>
              </w:rPr>
              <w:t>通过办公系统办公窗口给所有单位工作人员发布通知和公告，提供总工会对内信息发布统一入口。实现单位通知公告的充分共享，最大化的减少信息孤岛的存在，以集中式的信息通告推送到系统办公平台，让不同的部门、不同的岗位、不同的人员都可快速的有针对性的获取通知公告。</w:t>
            </w:r>
          </w:p>
          <w:p w14:paraId="7D911DCA">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通知公告要提供审核机制，公告在经过相关部门和领导审批通过后才可以将信息发布到协同办公平台的公文发布专栏中。</w:t>
            </w:r>
          </w:p>
        </w:tc>
      </w:tr>
      <w:tr w14:paraId="36D3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15638F64">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6481A70E">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Align w:val="center"/>
          </w:tcPr>
          <w:p w14:paraId="67FC47DD">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公告栏目内容</w:t>
            </w:r>
          </w:p>
        </w:tc>
        <w:tc>
          <w:tcPr>
            <w:tcW w:w="10773" w:type="dxa"/>
          </w:tcPr>
          <w:p w14:paraId="7F4466D2">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按栏目树的方式显示有权限查看的内容；</w:t>
            </w:r>
          </w:p>
          <w:p w14:paraId="5F978B7E">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列表、缩略图和视频多种视图展示信息；</w:t>
            </w:r>
          </w:p>
          <w:p w14:paraId="69BD92BC">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对内容增删改查、置顶（可设置指定结束日期）、移动、复制、同步；</w:t>
            </w:r>
          </w:p>
          <w:p w14:paraId="1F9530F6">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设置自动移动栏目规则；对置顶的信息进行排序；列表显示自定义设置；</w:t>
            </w:r>
          </w:p>
          <w:p w14:paraId="6CEB2C4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显示不同状态标签：置顶、未读、新信息</w:t>
            </w:r>
            <w:r>
              <w:rPr>
                <w:rFonts w:hint="eastAsia" w:ascii="宋体" w:hAnsi="宋体" w:eastAsia="宋体" w:cs="宋体"/>
                <w:color w:val="auto"/>
                <w:kern w:val="0"/>
                <w:sz w:val="24"/>
                <w:szCs w:val="24"/>
                <w:highlight w:val="none"/>
                <w:lang w:eastAsia="zh-CN"/>
              </w:rPr>
              <w:t>等</w:t>
            </w:r>
            <w:r>
              <w:rPr>
                <w:rFonts w:hint="eastAsia" w:ascii="宋体" w:hAnsi="宋体" w:eastAsia="宋体" w:cs="宋体"/>
                <w:color w:val="auto"/>
                <w:kern w:val="0"/>
                <w:sz w:val="24"/>
                <w:szCs w:val="24"/>
                <w:highlight w:val="none"/>
              </w:rPr>
              <w:t>；</w:t>
            </w:r>
          </w:p>
          <w:p w14:paraId="030AC8C4">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按标题、栏目名称、发布人、发布时间等查询项快速定位信息；</w:t>
            </w:r>
          </w:p>
          <w:p w14:paraId="427D2FE1">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删除信息后保存到系统回收站；</w:t>
            </w:r>
          </w:p>
          <w:p w14:paraId="7E6741C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信息详情页查看上一条和下一条信息，有图片的信息点击图片放大查看；</w:t>
            </w:r>
          </w:p>
          <w:p w14:paraId="64DF1ECA">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信息详情页查看版本记录，可删除、恢复版本，受权限控制；</w:t>
            </w:r>
          </w:p>
          <w:p w14:paraId="46ADB2CB">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查看信息的阅读情况包括是否阅读和阅读时间、附件下载情况包括是否下载和下载时间、打印情况包括打印时间和打印次数；</w:t>
            </w:r>
          </w:p>
          <w:p w14:paraId="23C4F1F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发布HTML、文件链接、在线编辑、地址链接等多种内容类型信息；</w:t>
            </w:r>
          </w:p>
          <w:p w14:paraId="57915D85">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短信、移动端、系统消息、邮件提醒，可设置推送范围，重要信息不遗漏；</w:t>
            </w:r>
          </w:p>
          <w:p w14:paraId="6474C4C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基于流程引擎，发布信息进行报批和审核；</w:t>
            </w:r>
          </w:p>
          <w:p w14:paraId="2E2481B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跨频道多选栏目快速发布信息；</w:t>
            </w:r>
          </w:p>
          <w:p w14:paraId="11C4A1D5">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发布信息时设置关联信息，在查看信息详情时，可拉到底部查看关联的信息；</w:t>
            </w:r>
          </w:p>
          <w:p w14:paraId="03934186">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多重权限控制，包括查看、维护、删除、下载、复制、打印等权限范围控制；</w:t>
            </w:r>
          </w:p>
          <w:p w14:paraId="7E5F98A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发布继续功能，发布信息后打开该栏目下新信息表单实现在同一个栏目下快速发布多条信息的场景；</w:t>
            </w:r>
          </w:p>
          <w:p w14:paraId="0E58A825">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收藏信息至个人中心-收藏夹下创建的分类中；</w:t>
            </w:r>
          </w:p>
          <w:p w14:paraId="667021FB">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视频栏目下文件链接类型信息上传的视频在列表页播放；</w:t>
            </w:r>
          </w:p>
          <w:p w14:paraId="5744A1E4">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控制文件链接类型信息下内容文件的下载；</w:t>
            </w:r>
          </w:p>
          <w:p w14:paraId="75F24748">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查看信息详情以及预览图片、附件时显示水印；</w:t>
            </w:r>
          </w:p>
        </w:tc>
      </w:tr>
      <w:tr w14:paraId="3B3A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6C1EC7B1">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37AD1010">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Align w:val="center"/>
          </w:tcPr>
          <w:p w14:paraId="66BE0B41">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公告栏目管理</w:t>
            </w:r>
          </w:p>
        </w:tc>
        <w:tc>
          <w:tcPr>
            <w:tcW w:w="10773" w:type="dxa"/>
          </w:tcPr>
          <w:p w14:paraId="16E5C873">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对所有栏目进行管理，栏目树结构查看方式；</w:t>
            </w:r>
          </w:p>
          <w:p w14:paraId="0B29F391">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设置栏目名称、所属栏目、栏目类型、新信息标识、是否允许评论和点赞、是否使用内容模板等基本信息，</w:t>
            </w:r>
          </w:p>
          <w:p w14:paraId="69A54EF3">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新建/查看/维护范围、是否审批关联等属性；</w:t>
            </w:r>
          </w:p>
        </w:tc>
      </w:tr>
      <w:tr w14:paraId="6327F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2AB61755">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7132A8B5">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Merge w:val="restart"/>
            <w:vAlign w:val="center"/>
          </w:tcPr>
          <w:p w14:paraId="36A599B7">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公告审核</w:t>
            </w:r>
          </w:p>
        </w:tc>
        <w:tc>
          <w:tcPr>
            <w:tcW w:w="10773" w:type="dxa"/>
          </w:tcPr>
          <w:p w14:paraId="05815498">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待审信息：</w:t>
            </w:r>
            <w:r>
              <w:rPr>
                <w:rFonts w:hint="eastAsia" w:ascii="宋体" w:hAnsi="宋体" w:eastAsia="宋体" w:cs="宋体"/>
                <w:color w:val="auto"/>
                <w:kern w:val="0"/>
                <w:sz w:val="24"/>
                <w:szCs w:val="24"/>
                <w:highlight w:val="none"/>
              </w:rPr>
              <w:t>处理待我审核的信息流程，按流程查找信息；</w:t>
            </w:r>
          </w:p>
        </w:tc>
      </w:tr>
      <w:tr w14:paraId="46BCE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0A1CFC22">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347BF7DF">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Merge w:val="continue"/>
            <w:vAlign w:val="center"/>
          </w:tcPr>
          <w:p w14:paraId="5875F624">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5CD8CE0E">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已审信息：</w:t>
            </w:r>
            <w:r>
              <w:rPr>
                <w:rFonts w:hint="eastAsia" w:ascii="宋体" w:hAnsi="宋体" w:eastAsia="宋体" w:cs="宋体"/>
                <w:color w:val="auto"/>
                <w:kern w:val="0"/>
                <w:sz w:val="24"/>
                <w:szCs w:val="24"/>
                <w:highlight w:val="none"/>
              </w:rPr>
              <w:t>查看我已审核的信息流程，导出审核数据；</w:t>
            </w:r>
          </w:p>
        </w:tc>
      </w:tr>
      <w:tr w14:paraId="20824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52C9314C">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449E6F3C">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Merge w:val="continue"/>
            <w:vAlign w:val="center"/>
          </w:tcPr>
          <w:p w14:paraId="7C40FC84">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40992E5E">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待阅信息：</w:t>
            </w:r>
            <w:r>
              <w:rPr>
                <w:rFonts w:hint="eastAsia" w:ascii="宋体" w:hAnsi="宋体" w:eastAsia="宋体" w:cs="宋体"/>
                <w:color w:val="auto"/>
                <w:kern w:val="0"/>
                <w:sz w:val="24"/>
                <w:szCs w:val="24"/>
                <w:highlight w:val="none"/>
              </w:rPr>
              <w:t>管理传阅给我的信息流程，查看流程详情；</w:t>
            </w:r>
          </w:p>
        </w:tc>
      </w:tr>
      <w:tr w14:paraId="0347A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0711B19E">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2EA97A91">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Merge w:val="continue"/>
            <w:vAlign w:val="center"/>
          </w:tcPr>
          <w:p w14:paraId="18288C3F">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1A88F7E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已阅信息：</w:t>
            </w:r>
            <w:r>
              <w:rPr>
                <w:rFonts w:hint="eastAsia" w:ascii="宋体" w:hAnsi="宋体" w:eastAsia="宋体" w:cs="宋体"/>
                <w:color w:val="auto"/>
                <w:kern w:val="0"/>
                <w:sz w:val="24"/>
                <w:szCs w:val="24"/>
                <w:highlight w:val="none"/>
              </w:rPr>
              <w:t>管理我已阅件的信息流程；</w:t>
            </w:r>
          </w:p>
        </w:tc>
      </w:tr>
      <w:tr w14:paraId="4A242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240EE2FD">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603AE61D">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Align w:val="center"/>
          </w:tcPr>
          <w:p w14:paraId="115D8BD4">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公告信息查询</w:t>
            </w:r>
          </w:p>
        </w:tc>
        <w:tc>
          <w:tcPr>
            <w:tcW w:w="10773" w:type="dxa"/>
          </w:tcPr>
          <w:p w14:paraId="22EA9F61">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信息流程查询：</w:t>
            </w:r>
            <w:r>
              <w:rPr>
                <w:rFonts w:hint="eastAsia" w:ascii="宋体" w:hAnsi="宋体" w:eastAsia="宋体" w:cs="宋体"/>
                <w:color w:val="auto"/>
                <w:kern w:val="0"/>
                <w:sz w:val="24"/>
                <w:szCs w:val="24"/>
                <w:highlight w:val="none"/>
              </w:rPr>
              <w:t>根据流程查看人、维护人、管理员设置查询信息流程记录；</w:t>
            </w:r>
          </w:p>
          <w:p w14:paraId="63C35A0E">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按流程状态、发起人、标题、时间筛选流程记录；</w:t>
            </w:r>
          </w:p>
        </w:tc>
      </w:tr>
      <w:tr w14:paraId="1BD5B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33966A47">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46E26CC6">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Align w:val="center"/>
          </w:tcPr>
          <w:p w14:paraId="25492785">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我发布的内容</w:t>
            </w:r>
          </w:p>
        </w:tc>
        <w:tc>
          <w:tcPr>
            <w:tcW w:w="10773" w:type="dxa"/>
          </w:tcPr>
          <w:p w14:paraId="74C14A6E">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我的发布：</w:t>
            </w:r>
            <w:r>
              <w:rPr>
                <w:rFonts w:hint="eastAsia" w:ascii="宋体" w:hAnsi="宋体" w:eastAsia="宋体" w:cs="宋体"/>
                <w:color w:val="auto"/>
                <w:kern w:val="0"/>
                <w:sz w:val="24"/>
                <w:szCs w:val="24"/>
                <w:highlight w:val="none"/>
              </w:rPr>
              <w:t>管理本人发布的信息，查看信息审核流程审批记录；</w:t>
            </w:r>
          </w:p>
          <w:p w14:paraId="6F87384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编辑、同步、移动、复制、删除、收藏信息；</w:t>
            </w:r>
          </w:p>
        </w:tc>
      </w:tr>
      <w:tr w14:paraId="43DE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04C3BBE9">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2DF3B8D9">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Align w:val="center"/>
          </w:tcPr>
          <w:p w14:paraId="2B9453DA">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我的关注</w:t>
            </w:r>
          </w:p>
        </w:tc>
        <w:tc>
          <w:tcPr>
            <w:tcW w:w="10773" w:type="dxa"/>
          </w:tcPr>
          <w:p w14:paraId="22CA804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我的关注：</w:t>
            </w:r>
            <w:r>
              <w:rPr>
                <w:rFonts w:hint="eastAsia" w:ascii="宋体" w:hAnsi="宋体" w:eastAsia="宋体" w:cs="宋体"/>
                <w:color w:val="auto"/>
                <w:kern w:val="0"/>
                <w:sz w:val="24"/>
                <w:szCs w:val="24"/>
                <w:highlight w:val="none"/>
              </w:rPr>
              <w:t>关注当前用户查看范围内的栏目，列表展示关注栏目下的所有的信息；</w:t>
            </w:r>
          </w:p>
          <w:p w14:paraId="045689CE">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也收藏信息至个人中心-收藏夹下创建的分类中；</w:t>
            </w:r>
          </w:p>
        </w:tc>
      </w:tr>
      <w:tr w14:paraId="6C08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5D9A9464">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1A32ECFD">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Align w:val="center"/>
          </w:tcPr>
          <w:p w14:paraId="663333F9">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草稿箱</w:t>
            </w:r>
          </w:p>
        </w:tc>
        <w:tc>
          <w:tcPr>
            <w:tcW w:w="10773" w:type="dxa"/>
          </w:tcPr>
          <w:p w14:paraId="34F4592D">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草稿箱：</w:t>
            </w:r>
            <w:r>
              <w:rPr>
                <w:rFonts w:hint="eastAsia" w:ascii="宋体" w:hAnsi="宋体" w:eastAsia="宋体" w:cs="宋体"/>
                <w:color w:val="auto"/>
                <w:kern w:val="0"/>
                <w:sz w:val="24"/>
                <w:szCs w:val="24"/>
                <w:highlight w:val="none"/>
              </w:rPr>
              <w:t>编辑、发布、删除草稿信息，可批量删除；</w:t>
            </w:r>
          </w:p>
        </w:tc>
      </w:tr>
      <w:tr w14:paraId="1E33F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19E02564">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0144A28F">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Align w:val="center"/>
          </w:tcPr>
          <w:p w14:paraId="71EECDC9">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信息统计</w:t>
            </w:r>
          </w:p>
        </w:tc>
        <w:tc>
          <w:tcPr>
            <w:tcW w:w="10773" w:type="dxa"/>
          </w:tcPr>
          <w:p w14:paraId="38BAAEBC">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按组织、发布人</w:t>
            </w:r>
            <w:r>
              <w:rPr>
                <w:rFonts w:hint="eastAsia" w:ascii="宋体" w:hAnsi="宋体" w:eastAsia="宋体" w:cs="宋体"/>
                <w:color w:val="auto"/>
                <w:kern w:val="0"/>
                <w:sz w:val="24"/>
                <w:szCs w:val="24"/>
                <w:highlight w:val="none"/>
                <w:lang w:eastAsia="zh-CN"/>
              </w:rPr>
              <w:t>等</w:t>
            </w:r>
            <w:r>
              <w:rPr>
                <w:rFonts w:hint="eastAsia" w:ascii="宋体" w:hAnsi="宋体" w:eastAsia="宋体" w:cs="宋体"/>
                <w:color w:val="auto"/>
                <w:kern w:val="0"/>
                <w:sz w:val="24"/>
                <w:szCs w:val="24"/>
                <w:highlight w:val="none"/>
              </w:rPr>
              <w:t>统计信息数量；</w:t>
            </w:r>
          </w:p>
        </w:tc>
      </w:tr>
      <w:tr w14:paraId="5E0A3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14CAFD9A">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5251BC71">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Align w:val="center"/>
          </w:tcPr>
          <w:p w14:paraId="681B5FBC">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积分统计</w:t>
            </w:r>
          </w:p>
        </w:tc>
        <w:tc>
          <w:tcPr>
            <w:tcW w:w="10773" w:type="dxa"/>
          </w:tcPr>
          <w:p w14:paraId="4337089C">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积分规则设置，不同操作设置不同积分；</w:t>
            </w:r>
          </w:p>
          <w:p w14:paraId="05E8EAE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以信息、栏目、用户、组织为计算标准进行积分统计；</w:t>
            </w:r>
          </w:p>
          <w:p w14:paraId="78A48C76">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查询信息积分趋势图；</w:t>
            </w:r>
          </w:p>
        </w:tc>
      </w:tr>
      <w:tr w14:paraId="10619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0B61CA42">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4D2AC09D">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Align w:val="center"/>
          </w:tcPr>
          <w:p w14:paraId="2B7ABD0B">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内容模板</w:t>
            </w:r>
          </w:p>
        </w:tc>
        <w:tc>
          <w:tcPr>
            <w:tcW w:w="10773" w:type="dxa"/>
          </w:tcPr>
          <w:p w14:paraId="4679B91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按类别管理内容模板；模板类别的增删改查；</w:t>
            </w:r>
          </w:p>
          <w:p w14:paraId="47ECE871">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内容模板的增删改查，设置模块的适用范围；</w:t>
            </w:r>
          </w:p>
          <w:p w14:paraId="29311443">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在发布信息时可选择内容模板快速发布信息，提高发布质量和效率；</w:t>
            </w:r>
          </w:p>
        </w:tc>
      </w:tr>
      <w:tr w14:paraId="6F115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206035F8">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0BEBAED3">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Align w:val="center"/>
          </w:tcPr>
          <w:p w14:paraId="3F660A3E">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公告审核流程管理</w:t>
            </w:r>
          </w:p>
        </w:tc>
        <w:tc>
          <w:tcPr>
            <w:tcW w:w="10773" w:type="dxa"/>
            <w:vAlign w:val="center"/>
          </w:tcPr>
          <w:p w14:paraId="2C21A353">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对信息审核流程的流程节点进行自定义设计，部署、修改、删除流程；</w:t>
            </w:r>
          </w:p>
        </w:tc>
      </w:tr>
      <w:tr w14:paraId="7385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restart"/>
            <w:vAlign w:val="center"/>
          </w:tcPr>
          <w:p w14:paraId="75CD2B17">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restart"/>
            <w:vAlign w:val="center"/>
          </w:tcPr>
          <w:p w14:paraId="4E884FAA">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日程管理</w:t>
            </w:r>
          </w:p>
        </w:tc>
        <w:tc>
          <w:tcPr>
            <w:tcW w:w="1559" w:type="dxa"/>
            <w:vAlign w:val="center"/>
          </w:tcPr>
          <w:p w14:paraId="7EBCCEC7">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日程管理</w:t>
            </w:r>
          </w:p>
        </w:tc>
        <w:tc>
          <w:tcPr>
            <w:tcW w:w="10773" w:type="dxa"/>
          </w:tcPr>
          <w:p w14:paraId="71BE55D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可以</w:t>
            </w:r>
            <w:r>
              <w:rPr>
                <w:rFonts w:hint="eastAsia" w:ascii="宋体" w:hAnsi="宋体" w:eastAsia="宋体" w:cs="宋体"/>
                <w:color w:val="auto"/>
                <w:kern w:val="0"/>
                <w:sz w:val="24"/>
                <w:szCs w:val="24"/>
                <w:highlight w:val="none"/>
                <w:lang w:eastAsia="zh-CN"/>
              </w:rPr>
              <w:t>对用户所属人员</w:t>
            </w:r>
            <w:r>
              <w:rPr>
                <w:rFonts w:hint="eastAsia" w:ascii="宋体" w:hAnsi="宋体" w:eastAsia="宋体" w:cs="宋体"/>
                <w:color w:val="auto"/>
                <w:kern w:val="0"/>
                <w:sz w:val="24"/>
                <w:szCs w:val="24"/>
                <w:highlight w:val="none"/>
              </w:rPr>
              <w:t>日程进行管理，领导可以查看到下属工作日程，需要关注领导日程的办公室人员可以看到领导日程安排，可以更高效的通过平台确定领导的时间安排，在领导方便没有安排的时间段内去做工作汇报更有利于提高办公效率。</w:t>
            </w:r>
          </w:p>
        </w:tc>
      </w:tr>
      <w:tr w14:paraId="58C9E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4B0D754F">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5B4950F1">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Align w:val="center"/>
          </w:tcPr>
          <w:p w14:paraId="2CFEA262">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我的日程</w:t>
            </w:r>
          </w:p>
        </w:tc>
        <w:tc>
          <w:tcPr>
            <w:tcW w:w="10773" w:type="dxa"/>
          </w:tcPr>
          <w:p w14:paraId="3DFAE712">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设置日程分类，多种颜色进行标识，按分类查看日程；</w:t>
            </w:r>
          </w:p>
          <w:p w14:paraId="76866DF4">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共享分类，包括这个分类的允许查看、允许维护范围；</w:t>
            </w:r>
          </w:p>
          <w:p w14:paraId="3649C1D1">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以日视图、周视图、工作周视图、月视图、列表视图查看日程安排；</w:t>
            </w:r>
          </w:p>
          <w:p w14:paraId="6FC2CDD5">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共享日程，设置查看范围和维护范围；</w:t>
            </w:r>
          </w:p>
          <w:p w14:paraId="1F89CA0A">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点击新建按钮或点击、拖动选中日历区块创建普通日程、全天日程和重复日程；</w:t>
            </w:r>
          </w:p>
          <w:p w14:paraId="6DA7C16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标注日程的重要程度，普通/重要；</w:t>
            </w:r>
          </w:p>
          <w:p w14:paraId="07CCDC4C">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设置日程参与人，提高协作办公效率；</w:t>
            </w:r>
          </w:p>
          <w:p w14:paraId="5E5EC1C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日程到提醒时间移动端、短信、邮件推送；</w:t>
            </w:r>
          </w:p>
          <w:p w14:paraId="738ED233">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标记完成日程，完成的日程置灰；导出日程；</w:t>
            </w:r>
          </w:p>
          <w:p w14:paraId="4796FDA4">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按日程状态、标题快速检索定位；</w:t>
            </w:r>
          </w:p>
        </w:tc>
      </w:tr>
      <w:tr w14:paraId="160E9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7EDC1B38">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5E8B7BC2">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Align w:val="center"/>
          </w:tcPr>
          <w:p w14:paraId="215C2E6A">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领导日程</w:t>
            </w:r>
          </w:p>
        </w:tc>
        <w:tc>
          <w:tcPr>
            <w:tcW w:w="10773" w:type="dxa"/>
          </w:tcPr>
          <w:p w14:paraId="4462A2DA">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秘书等领导授权人员可以查看、维护领导的日程安排；</w:t>
            </w:r>
          </w:p>
          <w:p w14:paraId="30FDDF01">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有维护权限的用户对领导日程进行增删改查、共享、导入日程操作；</w:t>
            </w:r>
          </w:p>
          <w:p w14:paraId="4A5A32D3">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按概览模式和详情模式导出领导日程；按领导分类、单位、领导筛选日程查看；</w:t>
            </w:r>
          </w:p>
          <w:p w14:paraId="34D9FBE4">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以日视图、周视图、工作周视图、月视图、列表视图查看日程安排；</w:t>
            </w:r>
          </w:p>
        </w:tc>
      </w:tr>
      <w:tr w14:paraId="3B3B2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4D3B173B">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5A66C26E">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Align w:val="center"/>
          </w:tcPr>
          <w:p w14:paraId="1410C33F">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其他日程</w:t>
            </w:r>
          </w:p>
        </w:tc>
        <w:tc>
          <w:tcPr>
            <w:tcW w:w="10773" w:type="dxa"/>
          </w:tcPr>
          <w:p w14:paraId="64CE0600">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日程设置-自定义设置处设置日程栏目，查看范围下人员才能查看到这个栏目，展示相关人员创建的日程；</w:t>
            </w:r>
          </w:p>
          <w:p w14:paraId="4A64C4E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以日视图、周视图、工作周视图、月视图、列表视图查看日程安排；</w:t>
            </w:r>
          </w:p>
          <w:p w14:paraId="51FB09F1">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日程查看、导出；按相关人员、日程标题快速检索日程；</w:t>
            </w:r>
          </w:p>
        </w:tc>
      </w:tr>
      <w:tr w14:paraId="768BE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2ACE4E23">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1EB6BEB0">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sz w:val="24"/>
                <w:szCs w:val="24"/>
                <w:highlight w:val="none"/>
              </w:rPr>
            </w:pPr>
          </w:p>
        </w:tc>
        <w:tc>
          <w:tcPr>
            <w:tcW w:w="1559" w:type="dxa"/>
            <w:vAlign w:val="center"/>
          </w:tcPr>
          <w:p w14:paraId="2237196E">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共享给</w:t>
            </w:r>
          </w:p>
          <w:p w14:paraId="436C29DC">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我的日程</w:t>
            </w:r>
          </w:p>
        </w:tc>
        <w:tc>
          <w:tcPr>
            <w:tcW w:w="10773" w:type="dxa"/>
          </w:tcPr>
          <w:p w14:paraId="62E19BD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按共享用户查看、导出、维护共享给我的日程（维护范围设置）；</w:t>
            </w:r>
          </w:p>
          <w:p w14:paraId="45018F5B">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以日视图、周视图、工作周视图、月视图、列表视图查看日程安排；</w:t>
            </w:r>
          </w:p>
          <w:p w14:paraId="0F328C9A">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日程到提醒时间移动端、短信、邮件推送；</w:t>
            </w:r>
          </w:p>
          <w:p w14:paraId="19436E15">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按共享人、日程标题快速检索日程；</w:t>
            </w:r>
          </w:p>
        </w:tc>
      </w:tr>
      <w:tr w14:paraId="46852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4C420EFC">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09206EDC">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Merge w:val="restart"/>
            <w:vAlign w:val="center"/>
          </w:tcPr>
          <w:p w14:paraId="438A3FDF">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日程设置</w:t>
            </w:r>
          </w:p>
          <w:p w14:paraId="12086596">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（灵活）</w:t>
            </w:r>
          </w:p>
        </w:tc>
        <w:tc>
          <w:tcPr>
            <w:tcW w:w="10773" w:type="dxa"/>
          </w:tcPr>
          <w:p w14:paraId="4BC1A86D">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视图显示设置：</w:t>
            </w:r>
            <w:r>
              <w:rPr>
                <w:rFonts w:hint="eastAsia" w:ascii="宋体" w:hAnsi="宋体" w:eastAsia="宋体" w:cs="宋体"/>
                <w:color w:val="auto"/>
                <w:kern w:val="0"/>
                <w:sz w:val="24"/>
                <w:szCs w:val="24"/>
                <w:highlight w:val="none"/>
              </w:rPr>
              <w:t>设置各个日程菜单下显示的视图；</w:t>
            </w:r>
          </w:p>
          <w:p w14:paraId="5A446C3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设置领导日程、下属日程、其他日程、共享给日程周视图日程排序规则，按照时间或人员进行排序；</w:t>
            </w:r>
          </w:p>
        </w:tc>
      </w:tr>
      <w:tr w14:paraId="70D0C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046FB66E">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012F922C">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Merge w:val="continue"/>
            <w:vAlign w:val="center"/>
          </w:tcPr>
          <w:p w14:paraId="1DFF1A5B">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450EE238">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工作周设置：</w:t>
            </w:r>
            <w:r>
              <w:rPr>
                <w:rFonts w:hint="eastAsia" w:ascii="宋体" w:hAnsi="宋体" w:eastAsia="宋体" w:cs="宋体"/>
                <w:color w:val="auto"/>
                <w:kern w:val="0"/>
                <w:sz w:val="24"/>
                <w:szCs w:val="24"/>
                <w:highlight w:val="none"/>
              </w:rPr>
              <w:t>工作周日历显示区间设置，工作日显示/隐藏设置；</w:t>
            </w:r>
          </w:p>
        </w:tc>
      </w:tr>
      <w:tr w14:paraId="2274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1D555445">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5B9E3AB0">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Merge w:val="continue"/>
            <w:vAlign w:val="center"/>
          </w:tcPr>
          <w:p w14:paraId="5BB569E4">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0E185E94">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日程信息字段设置：</w:t>
            </w:r>
            <w:r>
              <w:rPr>
                <w:rFonts w:hint="eastAsia" w:ascii="宋体" w:hAnsi="宋体" w:eastAsia="宋体" w:cs="宋体"/>
                <w:color w:val="auto"/>
                <w:kern w:val="0"/>
                <w:sz w:val="24"/>
                <w:szCs w:val="24"/>
                <w:highlight w:val="none"/>
              </w:rPr>
              <w:t>设置新建、查看、编辑日程时显示的字段；</w:t>
            </w:r>
          </w:p>
          <w:p w14:paraId="0F6BA70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标题开启/关闭快速选择功能；</w:t>
            </w:r>
          </w:p>
          <w:p w14:paraId="5F3D25A0">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日期时间设置开始结束/上午下午模式；</w:t>
            </w:r>
          </w:p>
        </w:tc>
      </w:tr>
      <w:tr w14:paraId="2A238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3BA7F0CD">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231C61C0">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Merge w:val="continue"/>
            <w:vAlign w:val="center"/>
          </w:tcPr>
          <w:p w14:paraId="141FD877">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5F7D0716">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日程显示设置：</w:t>
            </w:r>
            <w:r>
              <w:rPr>
                <w:rFonts w:hint="eastAsia" w:ascii="宋体" w:hAnsi="宋体" w:eastAsia="宋体" w:cs="宋体"/>
                <w:color w:val="auto"/>
                <w:kern w:val="0"/>
                <w:sz w:val="24"/>
                <w:szCs w:val="24"/>
                <w:highlight w:val="none"/>
              </w:rPr>
              <w:t>设置是否显示领导日程、下属日程和共享给我的日程；</w:t>
            </w:r>
          </w:p>
          <w:p w14:paraId="2D5A71F3">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设置日程同步，若开启并配置，OA创建的日程和</w:t>
            </w:r>
            <w:r>
              <w:rPr>
                <w:rFonts w:hint="eastAsia" w:ascii="宋体" w:hAnsi="宋体" w:eastAsia="宋体" w:cs="宋体"/>
                <w:color w:val="auto"/>
                <w:kern w:val="0"/>
                <w:sz w:val="24"/>
                <w:szCs w:val="24"/>
                <w:highlight w:val="none"/>
                <w:lang w:eastAsia="zh-CN"/>
              </w:rPr>
              <w:t>移动平台</w:t>
            </w:r>
            <w:r>
              <w:rPr>
                <w:rFonts w:hint="eastAsia" w:ascii="宋体" w:hAnsi="宋体" w:eastAsia="宋体" w:cs="宋体"/>
                <w:color w:val="auto"/>
                <w:kern w:val="0"/>
                <w:sz w:val="24"/>
                <w:szCs w:val="24"/>
                <w:highlight w:val="none"/>
              </w:rPr>
              <w:t>创建的日程可双向同步；</w:t>
            </w:r>
          </w:p>
        </w:tc>
      </w:tr>
      <w:tr w14:paraId="309E0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77770ECD">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5C883C66">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Merge w:val="continue"/>
            <w:vAlign w:val="center"/>
          </w:tcPr>
          <w:p w14:paraId="0CAD95AF">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vAlign w:val="center"/>
          </w:tcPr>
          <w:p w14:paraId="5F3C06CC">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选人页签设置：</w:t>
            </w:r>
            <w:r>
              <w:rPr>
                <w:rFonts w:hint="eastAsia" w:ascii="宋体" w:hAnsi="宋体" w:eastAsia="宋体" w:cs="宋体"/>
                <w:color w:val="auto"/>
                <w:kern w:val="0"/>
                <w:sz w:val="24"/>
                <w:szCs w:val="24"/>
                <w:highlight w:val="none"/>
              </w:rPr>
              <w:t>设置日程参与人、可查看范围、可维护范围选人时的页签显示；</w:t>
            </w:r>
          </w:p>
        </w:tc>
      </w:tr>
      <w:tr w14:paraId="20206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2CCE832B">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2005C7F7">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Merge w:val="continue"/>
            <w:vAlign w:val="center"/>
          </w:tcPr>
          <w:p w14:paraId="2B34686E">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vAlign w:val="center"/>
          </w:tcPr>
          <w:p w14:paraId="76982C7B">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领导日程分类设置：</w:t>
            </w:r>
            <w:r>
              <w:rPr>
                <w:rFonts w:hint="eastAsia" w:ascii="宋体" w:hAnsi="宋体" w:eastAsia="宋体" w:cs="宋体"/>
                <w:color w:val="auto"/>
                <w:kern w:val="0"/>
                <w:sz w:val="24"/>
                <w:szCs w:val="24"/>
                <w:highlight w:val="none"/>
              </w:rPr>
              <w:t>设置多个领导日程分类，设置可查看范围，指定分类的适用范围；</w:t>
            </w:r>
          </w:p>
        </w:tc>
      </w:tr>
      <w:tr w14:paraId="42FBA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519929B6">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0726660C">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Merge w:val="continue"/>
            <w:vAlign w:val="center"/>
          </w:tcPr>
          <w:p w14:paraId="551D781E">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vAlign w:val="center"/>
          </w:tcPr>
          <w:p w14:paraId="4BE47D1A">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领导日程设置：</w:t>
            </w:r>
            <w:r>
              <w:rPr>
                <w:rFonts w:hint="eastAsia" w:ascii="宋体" w:hAnsi="宋体" w:eastAsia="宋体" w:cs="宋体"/>
                <w:color w:val="auto"/>
                <w:kern w:val="0"/>
                <w:sz w:val="24"/>
                <w:szCs w:val="24"/>
                <w:highlight w:val="none"/>
              </w:rPr>
              <w:t>设置所属的领导日程分类，添加相关领导、设置对应的日程维护人和可查看范围；</w:t>
            </w:r>
          </w:p>
        </w:tc>
      </w:tr>
      <w:tr w14:paraId="0AC24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25DA4A7A">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37D4EE0F">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Merge w:val="continue"/>
            <w:vAlign w:val="center"/>
          </w:tcPr>
          <w:p w14:paraId="2256140A">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vAlign w:val="center"/>
          </w:tcPr>
          <w:p w14:paraId="1C29AAA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自定义设置日程栏目，设置栏目名称、展示日程的人员、查看日程的人员；</w:t>
            </w:r>
          </w:p>
        </w:tc>
      </w:tr>
      <w:tr w14:paraId="445E0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0493C3CE">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5A7F1C5A">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Merge w:val="continue"/>
            <w:vAlign w:val="center"/>
          </w:tcPr>
          <w:p w14:paraId="2D75A8F8">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vAlign w:val="center"/>
          </w:tcPr>
          <w:p w14:paraId="294AD24A">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基础状态设置：</w:t>
            </w:r>
            <w:r>
              <w:rPr>
                <w:rFonts w:hint="eastAsia" w:ascii="宋体" w:hAnsi="宋体" w:eastAsia="宋体" w:cs="宋体"/>
                <w:color w:val="auto"/>
                <w:kern w:val="0"/>
                <w:sz w:val="24"/>
                <w:szCs w:val="24"/>
                <w:highlight w:val="none"/>
              </w:rPr>
              <w:t>维护基础状态内容，在创建日程时可选择基础状态快速填入标题；</w:t>
            </w:r>
          </w:p>
        </w:tc>
      </w:tr>
      <w:tr w14:paraId="6AB78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restart"/>
            <w:vAlign w:val="center"/>
          </w:tcPr>
          <w:p w14:paraId="3660BAE3">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restart"/>
            <w:vAlign w:val="center"/>
          </w:tcPr>
          <w:p w14:paraId="1589EB6D">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无纸化会议</w:t>
            </w:r>
          </w:p>
        </w:tc>
        <w:tc>
          <w:tcPr>
            <w:tcW w:w="1559" w:type="dxa"/>
            <w:vAlign w:val="center"/>
          </w:tcPr>
          <w:p w14:paraId="17606E1F">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会议总览</w:t>
            </w:r>
          </w:p>
        </w:tc>
        <w:tc>
          <w:tcPr>
            <w:tcW w:w="10773" w:type="dxa"/>
            <w:vAlign w:val="center"/>
          </w:tcPr>
          <w:p w14:paraId="5805F6F4">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查看当前已公布会议、历史参加会议，相关会议等将永久存档会议文件，参会人员可随时根据会议名称查看历史会议相关文件。</w:t>
            </w:r>
          </w:p>
        </w:tc>
      </w:tr>
      <w:tr w14:paraId="7A2D9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4C335879">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30114B7C">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14B32A11">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会议室管理</w:t>
            </w:r>
          </w:p>
        </w:tc>
        <w:tc>
          <w:tcPr>
            <w:tcW w:w="10773" w:type="dxa"/>
            <w:vAlign w:val="center"/>
          </w:tcPr>
          <w:p w14:paraId="08739A6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预约会议室时可自动检测会议室是否被占用，在线显示各会议室的预约状况、使用状况、审批状况等。</w:t>
            </w:r>
          </w:p>
        </w:tc>
      </w:tr>
      <w:tr w14:paraId="22537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11F12328">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4AA4E400">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42F3AEF9">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会议日程议程</w:t>
            </w:r>
          </w:p>
        </w:tc>
        <w:tc>
          <w:tcPr>
            <w:tcW w:w="10773" w:type="dxa"/>
            <w:vAlign w:val="center"/>
          </w:tcPr>
          <w:p w14:paraId="479B6F4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查看相关日程会议信息，会议日程将自动按时间排序显示到日程中，参会人员随时点击查看。</w:t>
            </w:r>
          </w:p>
          <w:p w14:paraId="682E7FB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（1）会议日程查看</w:t>
            </w:r>
          </w:p>
          <w:p w14:paraId="11472AE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★会议日程根据日期、时间排列展示，可直接查看会议名称、具体会议时间，自行添加新建个人日程。</w:t>
            </w:r>
          </w:p>
          <w:p w14:paraId="556B0C2C">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（2）会议议程</w:t>
            </w:r>
          </w:p>
          <w:p w14:paraId="627EE4A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参会人员可查看本次会议的所有议程及相关文件。</w:t>
            </w:r>
          </w:p>
        </w:tc>
      </w:tr>
      <w:tr w14:paraId="662CE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260166DD">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56DBC6E3">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6263A78E">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会议信息管理</w:t>
            </w:r>
          </w:p>
        </w:tc>
        <w:tc>
          <w:tcPr>
            <w:tcW w:w="10773" w:type="dxa"/>
            <w:vAlign w:val="center"/>
          </w:tcPr>
          <w:p w14:paraId="2771D8DD">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（1）预约会议</w:t>
            </w:r>
          </w:p>
          <w:p w14:paraId="60B1AB9E">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办会人员可提前预约会议，提前通知参会人员相关会议信息</w:t>
            </w:r>
          </w:p>
          <w:p w14:paraId="7A3F8C38">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（2）新增会议</w:t>
            </w:r>
          </w:p>
          <w:p w14:paraId="176E0241">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办会人员可在线新增会议，设置会议会徽，选择相关会议类型，填写会议名称等。</w:t>
            </w:r>
          </w:p>
          <w:p w14:paraId="3DD8A05E">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（3）会议发布</w:t>
            </w:r>
          </w:p>
          <w:p w14:paraId="49D4753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随时选择发布会议，系统将自动通知与会者，提供会议议程、相关文档等材料。</w:t>
            </w:r>
          </w:p>
          <w:p w14:paraId="1D8E6B46">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（4）会议重置</w:t>
            </w:r>
          </w:p>
          <w:p w14:paraId="4352C951">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★如参会人员需提前了解会议情况，真实会议场景模拟，结束后可重置会议数据。</w:t>
            </w:r>
          </w:p>
          <w:p w14:paraId="0AE66E02">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（5）大屏预览</w:t>
            </w:r>
          </w:p>
          <w:p w14:paraId="124E1F1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★大屏预览功能，可以等比预览会议大屏效果，在开会前调整所有议程的标题大小、字体、颜色、行高、间距、对齐方式，智能适配各种分辨率等比缩放。</w:t>
            </w:r>
          </w:p>
        </w:tc>
      </w:tr>
      <w:tr w14:paraId="40078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21221C79">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15349D93">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03A2DDB2">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会议人员管理</w:t>
            </w:r>
          </w:p>
        </w:tc>
        <w:tc>
          <w:tcPr>
            <w:tcW w:w="10773" w:type="dxa"/>
            <w:vAlign w:val="center"/>
          </w:tcPr>
          <w:p w14:paraId="4CD62E0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（1）同步参会人员</w:t>
            </w:r>
          </w:p>
          <w:p w14:paraId="0537F5C2">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★同步历史参会人员信息，无需重复输入参会人员信息。</w:t>
            </w:r>
          </w:p>
          <w:p w14:paraId="7747B314">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（2）修改参会状态</w:t>
            </w:r>
          </w:p>
          <w:p w14:paraId="69759561">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可变更参会人员状态，如“出席”或“请假”。</w:t>
            </w:r>
          </w:p>
          <w:p w14:paraId="4BD5C08A">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（3）同屏权限设置</w:t>
            </w:r>
          </w:p>
          <w:p w14:paraId="449E5242">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设置同屏发起人权限，确保协作的顺利进行。</w:t>
            </w:r>
          </w:p>
          <w:p w14:paraId="4C57D67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（4）导出参会人员</w:t>
            </w:r>
          </w:p>
          <w:p w14:paraId="7DD3D4CA">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一键导出与会人员所有信息，包括姓名、联系方式、所在单位等。</w:t>
            </w:r>
          </w:p>
          <w:p w14:paraId="4EDB012C">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en-US" w:eastAsia="zh-CN"/>
              </w:rPr>
              <w:t>（5）导出桌牌</w:t>
            </w:r>
          </w:p>
          <w:p w14:paraId="40A058A5">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shd w:val="clear" w:color="auto" w:fill="auto"/>
                <w:lang w:val="en-US" w:eastAsia="zh-CN"/>
              </w:rPr>
              <w:t>通过系统导出不同样式的桌牌信息，满足各种会议场景，简化桌牌制作流程。</w:t>
            </w:r>
          </w:p>
        </w:tc>
      </w:tr>
      <w:tr w14:paraId="244BD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0AA135A0">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67B1930A">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0C6F3054">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会议材料管理</w:t>
            </w:r>
          </w:p>
        </w:tc>
        <w:tc>
          <w:tcPr>
            <w:tcW w:w="10773" w:type="dxa"/>
            <w:vAlign w:val="center"/>
          </w:tcPr>
          <w:p w14:paraId="0EAB0EA0">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（1）会议材料预下载</w:t>
            </w:r>
          </w:p>
          <w:p w14:paraId="41A4A0F3">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办会人员可一键控制参会人员终端预下载参会文件，多格式文件，如pdf;doc;docx;wps;xls;xlsx;ppt;pptx;jpg;gif;png;jpeg;bmp;mp4;mp3;ofd；et;dps等。</w:t>
            </w:r>
          </w:p>
          <w:p w14:paraId="325A34AD">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（2）文件分类管理</w:t>
            </w:r>
          </w:p>
          <w:p w14:paraId="5CDDD1E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新增/修改/删除文件分类，分类结果实时同步参会人员终端，文件分类模式应用到新的会议中。</w:t>
            </w:r>
          </w:p>
          <w:p w14:paraId="619F8E8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（3）上传会议材料</w:t>
            </w:r>
          </w:p>
          <w:p w14:paraId="715DC88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会议材料可根据会议议程进行上传，也可根据文件分类进行上传。</w:t>
            </w:r>
          </w:p>
          <w:p w14:paraId="7B9BC814">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★每个文件根据不同查看权限进行设置分发，可以查看分发人数和查收百分比。</w:t>
            </w:r>
          </w:p>
          <w:p w14:paraId="60A3417C">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（4）上传议题</w:t>
            </w:r>
          </w:p>
          <w:p w14:paraId="571871C0">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议程管理功能，可以添加、编辑、删除议程。</w:t>
            </w:r>
          </w:p>
          <w:p w14:paraId="5114BF94">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上传会议文件压缩包，系统根据文件内容自动生成完整会议议题和文件，投票的议题需单独补充。</w:t>
            </w:r>
          </w:p>
          <w:p w14:paraId="013AC455">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多级议程功能，议程、议题、材料三级结构管理，可以鼠标拖动自由调整议程顺序。</w:t>
            </w:r>
          </w:p>
          <w:p w14:paraId="4EBEDA36">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（5）议程预览</w:t>
            </w:r>
          </w:p>
          <w:p w14:paraId="6A0595B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提前预览大屏显示议程情况，可实时进行议程排版，如字体大小、字体颜色、间距、行距等调整。</w:t>
            </w:r>
          </w:p>
          <w:p w14:paraId="6A5C099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（6）AI语音播报</w:t>
            </w:r>
          </w:p>
          <w:p w14:paraId="088005A5">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★AI实播功能，后台将文件通过加密方式上传，根据输入的文本，由系统机器人进行语音宣读。 </w:t>
            </w:r>
          </w:p>
        </w:tc>
      </w:tr>
      <w:tr w14:paraId="708A9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47F1D369">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04476A52">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02316414">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会议材料推送</w:t>
            </w:r>
          </w:p>
        </w:tc>
        <w:tc>
          <w:tcPr>
            <w:tcW w:w="10773" w:type="dxa"/>
            <w:vAlign w:val="center"/>
          </w:tcPr>
          <w:p w14:paraId="63C04CA3">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（1）批量推送</w:t>
            </w:r>
          </w:p>
          <w:p w14:paraId="1D5F618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一键批量分发，重复多次上传推送，最新文件版本实时更新。</w:t>
            </w:r>
          </w:p>
          <w:p w14:paraId="67C0D432">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（2）指定推送</w:t>
            </w:r>
          </w:p>
          <w:p w14:paraId="014F27A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若文件涉及敏感或特定内容的，指定需要接收的参会人员，只有被指定的终端才可查看分发的文件。</w:t>
            </w:r>
          </w:p>
        </w:tc>
      </w:tr>
      <w:tr w14:paraId="66D7B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7790A477">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539D4449">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2C2B4AD5">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批注回传收集</w:t>
            </w:r>
          </w:p>
        </w:tc>
        <w:tc>
          <w:tcPr>
            <w:tcW w:w="10773" w:type="dxa"/>
            <w:vAlign w:val="center"/>
          </w:tcPr>
          <w:p w14:paraId="0F4E19BB">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会议的所有批注内容进行自动回收汇总，按文件显示批注内容，可以逐条查看并转化成文字，可以一键导出归档后的文字批注。</w:t>
            </w:r>
          </w:p>
        </w:tc>
      </w:tr>
      <w:tr w14:paraId="2F6D6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4A51CB15">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7E82AA53">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6F2D486F">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会后材料归档</w:t>
            </w:r>
          </w:p>
        </w:tc>
        <w:tc>
          <w:tcPr>
            <w:tcW w:w="10773" w:type="dxa"/>
            <w:vAlign w:val="center"/>
          </w:tcPr>
          <w:p w14:paraId="5E88860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（1）数据归档</w:t>
            </w:r>
          </w:p>
          <w:p w14:paraId="6FA2CAD5">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一键销毁功能，会后针对重要文件，可以进行集中技术销毁、不留历史痕迹，客户端将不能再查看相关文件内容；</w:t>
            </w:r>
          </w:p>
          <w:p w14:paraId="71A32130">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自动回收手写标记并汇总，按文件显示手写内容，可逐条查看并转化成文字；</w:t>
            </w:r>
          </w:p>
          <w:p w14:paraId="36CEB586">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自动收集文字和图片审议备注并汇总，按文件显示备注内容；</w:t>
            </w:r>
          </w:p>
          <w:p w14:paraId="12123D60">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结果查看功能，可根据会议集中查看签到、表决、测评等互动议程的结果数据，一键导出EXCEL存档；</w:t>
            </w:r>
          </w:p>
          <w:p w14:paraId="69898FE2">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数据打包功能，可以一键下载所有互动议程结果数据；</w:t>
            </w:r>
          </w:p>
          <w:p w14:paraId="25FE216B">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会务文件管理，可以上传管理会议服务、会风会纪、会议记录等会务文件，进行集中统一管理。</w:t>
            </w:r>
          </w:p>
          <w:p w14:paraId="72244F65">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（2）历史材料</w:t>
            </w:r>
          </w:p>
          <w:p w14:paraId="5A0E678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★汇聚所有历史材料，办会单位可根据材料上传时间、会议材料所属会议、文件类型、文件名称等搜索相关文件。</w:t>
            </w:r>
          </w:p>
        </w:tc>
      </w:tr>
      <w:tr w14:paraId="0396D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4183B048">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3D5F198E">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7CD04BCB">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终端管理</w:t>
            </w:r>
          </w:p>
        </w:tc>
        <w:tc>
          <w:tcPr>
            <w:tcW w:w="10773" w:type="dxa"/>
            <w:vAlign w:val="center"/>
          </w:tcPr>
          <w:p w14:paraId="59D439CE">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（1）终端文件自动删除</w:t>
            </w:r>
          </w:p>
          <w:p w14:paraId="7276987D">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对所有会议终端进行定期自动批量删除，所有会议终端将不能再查看相关文件内容。</w:t>
            </w:r>
          </w:p>
          <w:p w14:paraId="3F3746F0">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（2）通信监控</w:t>
            </w:r>
          </w:p>
          <w:p w14:paraId="5DFC4EFC">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★为帮助管理人员及时了解参会人员终端的运行状况和问题情况，通信监控功能汇聚所有终端日志信息，导出日志。</w:t>
            </w:r>
          </w:p>
        </w:tc>
      </w:tr>
      <w:tr w14:paraId="3A5BF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143C4425">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3E6F437D">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25A62B1C">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会议纪要</w:t>
            </w:r>
          </w:p>
        </w:tc>
        <w:tc>
          <w:tcPr>
            <w:tcW w:w="10773" w:type="dxa"/>
            <w:vAlign w:val="center"/>
          </w:tcPr>
          <w:p w14:paraId="3D0B3CA4">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AI 提炼会议纪要，会场键盘声、脚步声等杂音降噪，多语种、方言转文字。</w:t>
            </w:r>
          </w:p>
          <w:p w14:paraId="0E514222">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★配备智能语音转写系统1套。</w:t>
            </w:r>
          </w:p>
          <w:p w14:paraId="7ED600C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1.支持运用大规模的语言模型，智能预测语境，提供智能断句和标点符号的预测，可对结果中出现数字、日期、时间等内容格式化成规整的文本，可在会议或教学过程中提供实时字幕，实现直播效果。</w:t>
            </w:r>
          </w:p>
          <w:p w14:paraId="3B88BC0C">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2.具有硬件接口：≥1×HDMI、≥1×DP、≥2×USB2.0、≥2×USB3.0、≥1×MIC in、≥1×Line out。</w:t>
            </w:r>
          </w:p>
          <w:p w14:paraId="0C15C493">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3.建立应用与语音识别引擎的长链接，对不限时长的音频流作实时识别，可以做到“边说话边同步输出文字”的效果，内置智能断句，可提供每句话开始结束时间，适用于实时直播字幕、实时会议记录</w:t>
            </w:r>
          </w:p>
          <w:p w14:paraId="60F12158">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4.语音识别准确率：标准普通话转写准确率≥96%。</w:t>
            </w:r>
          </w:p>
          <w:p w14:paraId="260BE4E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支持将实时外部音频信号转换成文字文本，转写文本可按照发言人角色进行自动分离，内容更加清晰直观。支持设置自动分段、语气词过滤、禁忌词屏蔽以及添加系统热词，优化文本显示。支持对文本中重点或存疑内容进行标记，方便会后整理文稿。支持查找文本关键词、按发言人显示文本功能。支持文本编辑，允许编辑单句，修改错别字。</w:t>
            </w:r>
          </w:p>
          <w:p w14:paraId="23D11275">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支持编辑会议纪要，对会议重要内容进行记录。纪要文本支持字体类型、字体大小、加粗、斜体、下划线自定义设置。采用二分屏对照转写文本的方式，记录人员可直接将转写文本内容复制到纪要文本中，提升会议记录效率。</w:t>
            </w:r>
          </w:p>
        </w:tc>
      </w:tr>
      <w:tr w14:paraId="43FF3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0A718870">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7B73D507">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7CA872DC">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移动阅文</w:t>
            </w:r>
          </w:p>
        </w:tc>
        <w:tc>
          <w:tcPr>
            <w:tcW w:w="10773" w:type="dxa"/>
            <w:vAlign w:val="center"/>
          </w:tcPr>
          <w:p w14:paraId="408CB210">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（1）会议材料列表</w:t>
            </w:r>
          </w:p>
          <w:p w14:paraId="662EF6B4">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会议材料以会议形式展现，参会人员可根据参与会议查看相关会议材料。</w:t>
            </w:r>
          </w:p>
          <w:p w14:paraId="3C12B9F1">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★文件显示已读未读状态。</w:t>
            </w:r>
          </w:p>
          <w:p w14:paraId="09FA4CD8">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文件通过加密通道下载，内置安全加密文档阅读器，在线、离线多模式浏览。</w:t>
            </w:r>
          </w:p>
          <w:p w14:paraId="6B5FD91E">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办会人员可于后台查看文件的阅读情况，提醒未读参会人员及时对文件进行审议。</w:t>
            </w:r>
          </w:p>
          <w:p w14:paraId="680ED549">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（2）文件查看</w:t>
            </w:r>
          </w:p>
          <w:p w14:paraId="2FAB6EA5">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横竖屏浏览文件，上下滑动浏览翻页，也可以点击快速翻页。</w:t>
            </w:r>
          </w:p>
          <w:p w14:paraId="0215A2DE">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★可根据文件不同类型，以无水印或使用桌牌水印、自定义水印形式呈现。</w:t>
            </w:r>
          </w:p>
          <w:p w14:paraId="64943EB2">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（3）分屏比较</w:t>
            </w:r>
          </w:p>
          <w:p w14:paraId="6DBD1615">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★左右分屏、上下分屏形式，可选择不同文件或相同文件进行对比查看。</w:t>
            </w:r>
          </w:p>
          <w:p w14:paraId="7944DBA5">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（4）多媒体播放</w:t>
            </w:r>
          </w:p>
          <w:p w14:paraId="0DFB3158">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大会期间参会人员可通过本系统查看多媒体视频、规划文件等。多种文件格式，如pdf;doc;docx;wps;xls;xlsx;ppt;pptx;jpg;gif;png;jpeg;bmp;mp4;mp3;ofd；et;dps等。</w:t>
            </w:r>
          </w:p>
        </w:tc>
      </w:tr>
      <w:tr w14:paraId="1A63F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53E5C7D1">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7D408550">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67BD96F6">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文件审议</w:t>
            </w:r>
          </w:p>
        </w:tc>
        <w:tc>
          <w:tcPr>
            <w:tcW w:w="10773" w:type="dxa"/>
            <w:vAlign w:val="center"/>
          </w:tcPr>
          <w:p w14:paraId="14824CE3">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（1）文件查看</w:t>
            </w:r>
          </w:p>
          <w:p w14:paraId="029C97F3">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横竖屏浏览文件，上下滑动浏览翻页，也可以点击快速翻页。可根据文件不同类型，以无水印或增加水印形式呈现。</w:t>
            </w:r>
          </w:p>
          <w:p w14:paraId="3268F120">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（2）文件批注</w:t>
            </w:r>
          </w:p>
          <w:p w14:paraId="1C967088">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选择多种文件批注方式，批注信息将自动实时保存。</w:t>
            </w:r>
          </w:p>
          <w:p w14:paraId="22545101">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（1）手写批注，手写模式，真实还原手写笔锋，参会人员能在纸质书写一般。</w:t>
            </w:r>
          </w:p>
          <w:p w14:paraId="11F8ED65">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（2）打字批注，参会人员可打字输入批注信息。</w:t>
            </w:r>
          </w:p>
          <w:p w14:paraId="06649E5D">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 w:eastAsia="zh-CN"/>
              </w:rPr>
            </w:pPr>
            <w:r>
              <w:rPr>
                <w:rFonts w:hint="eastAsia" w:ascii="宋体" w:hAnsi="宋体" w:eastAsia="宋体" w:cs="宋体"/>
                <w:color w:val="auto"/>
                <w:kern w:val="0"/>
                <w:sz w:val="24"/>
                <w:szCs w:val="24"/>
                <w:highlight w:val="none"/>
                <w:lang w:val="en-US" w:eastAsia="zh-CN"/>
              </w:rPr>
              <w:t>（3）文件标记。</w:t>
            </w:r>
          </w:p>
          <w:p w14:paraId="7D252FC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如参会人员对文件进行高亮、下线划、删除线等标记，单笔擦除或全屏清除。</w:t>
            </w:r>
          </w:p>
        </w:tc>
      </w:tr>
      <w:tr w14:paraId="1CB1A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03F78391">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1B79DC47">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08BEAD62">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安全阅文</w:t>
            </w:r>
          </w:p>
        </w:tc>
        <w:tc>
          <w:tcPr>
            <w:tcW w:w="10773" w:type="dxa"/>
            <w:vAlign w:val="center"/>
          </w:tcPr>
          <w:p w14:paraId="74FDE34E">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（1）文件安全水印</w:t>
            </w:r>
          </w:p>
          <w:p w14:paraId="0BC33112">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文件材料水印、桌牌水印、自定义水印等形式呈现（文件上传后均需带有水印）。</w:t>
            </w:r>
          </w:p>
          <w:p w14:paraId="40EA59E4">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（2）离线查看模式</w:t>
            </w:r>
          </w:p>
          <w:p w14:paraId="5E56C88B">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★会议终端离线模式查看文件，提高文件的安全性。</w:t>
            </w:r>
          </w:p>
          <w:p w14:paraId="3EF4A94C">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（3）安全阅读器</w:t>
            </w:r>
          </w:p>
          <w:p w14:paraId="5360AC6B">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★文件默认使用安全阅读器，进行文字提示。</w:t>
            </w:r>
          </w:p>
        </w:tc>
      </w:tr>
      <w:tr w14:paraId="13808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20BF7106">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190B049C">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4B6897FB">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多角色客户端</w:t>
            </w:r>
          </w:p>
        </w:tc>
        <w:tc>
          <w:tcPr>
            <w:tcW w:w="10773" w:type="dxa"/>
            <w:vAlign w:val="center"/>
          </w:tcPr>
          <w:p w14:paraId="6C5E43B4">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若当前终端设备故障，可实时切换至新的设备终端，保障会议顺利进行。</w:t>
            </w:r>
          </w:p>
          <w:p w14:paraId="566F65A4">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根据议题内容由管理员对参会人员进行分类，即根据内容将相关人员拉入出席、列席等模块，终端根据自身所在的模块自动对参会人员显示相关内容，同时拥有相关权限（即签到、赞成等互动议程功能）。</w:t>
            </w:r>
          </w:p>
          <w:p w14:paraId="208E06D0">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主持人终端切换</w:t>
            </w:r>
          </w:p>
          <w:p w14:paraId="36CB7C70">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其他用户可无缝切换至主持人角色，通过终端设备，实时掌握会议进度。</w:t>
            </w:r>
          </w:p>
          <w:p w14:paraId="0F70A8B1">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可查看出席人员会前具体签到情况，预览当前会议所有议程，便于了解会议的整体安排。一键快速定位至未开始议程。</w:t>
            </w:r>
          </w:p>
          <w:p w14:paraId="30DB4D5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（4）★服务终端</w:t>
            </w:r>
          </w:p>
          <w:p w14:paraId="6DF2ED1B">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工作人员可通过服务终端实现扫码报道、扫码用餐、签到本、服务消息接收、电子纸条传送。通过电子纸条功能，向主持人终端发送电子纸条信息，主持人终端会置顶显示电子纸条信息。</w:t>
            </w:r>
          </w:p>
        </w:tc>
      </w:tr>
      <w:tr w14:paraId="05809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restart"/>
            <w:vAlign w:val="center"/>
          </w:tcPr>
          <w:p w14:paraId="2948C39F">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both"/>
              <w:textAlignment w:val="auto"/>
              <w:rPr>
                <w:rFonts w:hint="eastAsia" w:ascii="宋体" w:hAnsi="宋体" w:eastAsia="宋体" w:cs="宋体"/>
                <w:b/>
                <w:color w:val="auto"/>
                <w:kern w:val="0"/>
                <w:sz w:val="24"/>
                <w:szCs w:val="24"/>
                <w:highlight w:val="none"/>
              </w:rPr>
            </w:pPr>
          </w:p>
        </w:tc>
        <w:tc>
          <w:tcPr>
            <w:tcW w:w="1196" w:type="dxa"/>
            <w:vMerge w:val="restart"/>
            <w:vAlign w:val="center"/>
          </w:tcPr>
          <w:p w14:paraId="25DC96DE">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综合事务</w:t>
            </w:r>
          </w:p>
        </w:tc>
        <w:tc>
          <w:tcPr>
            <w:tcW w:w="1559" w:type="dxa"/>
            <w:vAlign w:val="center"/>
          </w:tcPr>
          <w:p w14:paraId="2FD39C87">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请假管理</w:t>
            </w:r>
          </w:p>
        </w:tc>
        <w:tc>
          <w:tcPr>
            <w:tcW w:w="10773" w:type="dxa"/>
          </w:tcPr>
          <w:p w14:paraId="1A01702A">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对机关内部请假事宜实现快速高效的电子化审批，满足领导通过移动办公可以远程审批请假事项，实现单位领导请假、处级领导请假审批、</w:t>
            </w:r>
            <w:r>
              <w:rPr>
                <w:rFonts w:hint="eastAsia" w:ascii="宋体" w:hAnsi="宋体" w:eastAsia="宋体" w:cs="宋体"/>
                <w:color w:val="auto"/>
                <w:kern w:val="0"/>
                <w:sz w:val="24"/>
                <w:szCs w:val="24"/>
                <w:highlight w:val="none"/>
                <w:lang w:eastAsia="zh-CN"/>
              </w:rPr>
              <w:t>其他工作人员</w:t>
            </w:r>
            <w:r>
              <w:rPr>
                <w:rFonts w:hint="eastAsia" w:ascii="宋体" w:hAnsi="宋体" w:eastAsia="宋体" w:cs="宋体"/>
                <w:color w:val="auto"/>
                <w:kern w:val="0"/>
                <w:sz w:val="24"/>
                <w:szCs w:val="24"/>
                <w:highlight w:val="none"/>
              </w:rPr>
              <w:t>请假审批的统一管理</w:t>
            </w:r>
            <w:r>
              <w:rPr>
                <w:rFonts w:hint="eastAsia" w:ascii="宋体" w:hAnsi="宋体" w:eastAsia="宋体" w:cs="宋体"/>
                <w:color w:val="auto"/>
                <w:kern w:val="0"/>
                <w:sz w:val="24"/>
                <w:szCs w:val="24"/>
                <w:highlight w:val="none"/>
                <w:lang w:eastAsia="zh-CN"/>
              </w:rPr>
              <w:t>；</w:t>
            </w:r>
          </w:p>
        </w:tc>
      </w:tr>
      <w:tr w14:paraId="5E090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2729DF4E">
            <w:pPr>
              <w:pStyle w:val="65"/>
              <w:keepNext w:val="0"/>
              <w:keepLines w:val="0"/>
              <w:pageBreakBefore w:val="0"/>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0E0AAE51">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24085062">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公务出差</w:t>
            </w:r>
          </w:p>
        </w:tc>
        <w:tc>
          <w:tcPr>
            <w:tcW w:w="10773" w:type="dxa"/>
          </w:tcPr>
          <w:p w14:paraId="5B78E050">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对单位人员的出差审批进行统一审批、统一登记备案的管理：实现对公务出差的经费、时间等相关内容的审批，通过无纸化办公平台更加高效的管理因公出差，实现单位因公出差的过程审批管理和电子留痕</w:t>
            </w:r>
            <w:r>
              <w:rPr>
                <w:rFonts w:hint="eastAsia" w:ascii="宋体" w:hAnsi="宋体" w:eastAsia="宋体" w:cs="宋体"/>
                <w:color w:val="auto"/>
                <w:kern w:val="0"/>
                <w:sz w:val="24"/>
                <w:szCs w:val="24"/>
                <w:highlight w:val="none"/>
                <w:lang w:eastAsia="zh-CN"/>
              </w:rPr>
              <w:t>；</w:t>
            </w:r>
          </w:p>
        </w:tc>
      </w:tr>
      <w:tr w14:paraId="2CDAC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186F5D13">
            <w:pPr>
              <w:pStyle w:val="65"/>
              <w:keepNext w:val="0"/>
              <w:keepLines w:val="0"/>
              <w:pageBreakBefore w:val="0"/>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5DF990C0">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4133871D">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lang w:eastAsia="zh-CN"/>
              </w:rPr>
              <w:t>公务接待</w:t>
            </w:r>
          </w:p>
        </w:tc>
        <w:tc>
          <w:tcPr>
            <w:tcW w:w="10773" w:type="dxa"/>
          </w:tcPr>
          <w:p w14:paraId="742DABB2">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实现对各类公文接待的线上全流程审批</w:t>
            </w:r>
            <w:r>
              <w:rPr>
                <w:rFonts w:hint="eastAsia" w:ascii="宋体" w:hAnsi="宋体" w:eastAsia="宋体" w:cs="宋体"/>
                <w:color w:val="auto"/>
                <w:kern w:val="0"/>
                <w:sz w:val="24"/>
                <w:szCs w:val="24"/>
                <w:highlight w:val="none"/>
                <w:lang w:eastAsia="zh-CN"/>
              </w:rPr>
              <w:t>；</w:t>
            </w:r>
          </w:p>
        </w:tc>
      </w:tr>
      <w:tr w14:paraId="53E84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44359DD7">
            <w:pPr>
              <w:pStyle w:val="65"/>
              <w:keepNext w:val="0"/>
              <w:keepLines w:val="0"/>
              <w:pageBreakBefore w:val="0"/>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0F9F9827">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66D271C9">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lang w:eastAsia="zh-CN"/>
              </w:rPr>
              <w:t>意见建议</w:t>
            </w:r>
          </w:p>
        </w:tc>
        <w:tc>
          <w:tcPr>
            <w:tcW w:w="10773" w:type="dxa"/>
          </w:tcPr>
          <w:p w14:paraId="39829474">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实现对系统意见建议的登记，提交，反馈等功能</w:t>
            </w:r>
            <w:r>
              <w:rPr>
                <w:rFonts w:hint="eastAsia" w:ascii="宋体" w:hAnsi="宋体" w:eastAsia="宋体" w:cs="宋体"/>
                <w:color w:val="auto"/>
                <w:kern w:val="0"/>
                <w:sz w:val="24"/>
                <w:szCs w:val="24"/>
                <w:highlight w:val="none"/>
                <w:lang w:eastAsia="zh-CN"/>
              </w:rPr>
              <w:t>。</w:t>
            </w:r>
          </w:p>
        </w:tc>
      </w:tr>
      <w:tr w14:paraId="1D996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restart"/>
            <w:vAlign w:val="center"/>
          </w:tcPr>
          <w:p w14:paraId="77BBA27B">
            <w:pPr>
              <w:pStyle w:val="65"/>
              <w:keepNext w:val="0"/>
              <w:keepLines w:val="0"/>
              <w:pageBreakBefore w:val="0"/>
              <w:kinsoku/>
              <w:wordWrap/>
              <w:overflowPunct/>
              <w:topLinePunct w:val="0"/>
              <w:autoSpaceDE/>
              <w:autoSpaceDN/>
              <w:bidi w:val="0"/>
              <w:adjustRightInd w:val="0"/>
              <w:snapToGrid/>
              <w:spacing w:line="440" w:lineRule="exact"/>
              <w:ind w:left="0" w:firstLine="0" w:firstLineChars="0"/>
              <w:jc w:val="both"/>
              <w:textAlignment w:val="auto"/>
              <w:rPr>
                <w:rFonts w:hint="eastAsia" w:ascii="宋体" w:hAnsi="宋体" w:eastAsia="宋体" w:cs="宋体"/>
                <w:b/>
                <w:color w:val="auto"/>
                <w:kern w:val="0"/>
                <w:sz w:val="24"/>
                <w:szCs w:val="24"/>
                <w:highlight w:val="none"/>
                <w:lang w:val="en"/>
              </w:rPr>
            </w:pPr>
            <w:r>
              <w:rPr>
                <w:rFonts w:hint="eastAsia" w:ascii="宋体" w:hAnsi="宋体" w:eastAsia="宋体" w:cs="宋体"/>
                <w:b/>
                <w:color w:val="auto"/>
                <w:kern w:val="0"/>
                <w:sz w:val="24"/>
                <w:szCs w:val="24"/>
                <w:highlight w:val="none"/>
                <w:lang w:val="en"/>
              </w:rPr>
              <w:t>8</w:t>
            </w:r>
          </w:p>
        </w:tc>
        <w:tc>
          <w:tcPr>
            <w:tcW w:w="1196" w:type="dxa"/>
            <w:vMerge w:val="restart"/>
            <w:vAlign w:val="center"/>
          </w:tcPr>
          <w:p w14:paraId="27967FD0">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lang w:val="en" w:eastAsia="zh-CN"/>
              </w:rPr>
            </w:pPr>
            <w:r>
              <w:rPr>
                <w:rFonts w:hint="eastAsia" w:ascii="宋体" w:hAnsi="宋体" w:eastAsia="宋体" w:cs="宋体"/>
                <w:b/>
                <w:bCs/>
                <w:color w:val="auto"/>
                <w:kern w:val="0"/>
                <w:sz w:val="24"/>
                <w:szCs w:val="24"/>
                <w:highlight w:val="none"/>
                <w:lang w:val="en" w:eastAsia="zh-CN"/>
              </w:rPr>
              <w:t>用车管理</w:t>
            </w:r>
          </w:p>
        </w:tc>
        <w:tc>
          <w:tcPr>
            <w:tcW w:w="1559" w:type="dxa"/>
            <w:vAlign w:val="center"/>
          </w:tcPr>
          <w:p w14:paraId="7039413A">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rPr>
              <w:t>用车管理需求</w:t>
            </w:r>
          </w:p>
        </w:tc>
        <w:tc>
          <w:tcPr>
            <w:tcW w:w="10773" w:type="dxa"/>
          </w:tcPr>
          <w:p w14:paraId="0CE7A0A5">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用车管理主要是对车辆、司机和用车过程留痕管理的管理，实现单位公车用车费用的节约和用车管理的过程留痕管理：包括对车辆使用情况以列表方式查看车辆使用情况，可以申请使用车辆，通过日期范围可以根据日、周、月来查看。车辆申请审批所有需要使用的车辆。车辆查询显示所有可查看的车辆，通过车牌、车辆类型、司机等信息搜索车辆。车辆信息的维护管理。</w:t>
            </w:r>
          </w:p>
        </w:tc>
      </w:tr>
      <w:tr w14:paraId="6B47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7EEC468C">
            <w:pPr>
              <w:pStyle w:val="65"/>
              <w:keepNext w:val="0"/>
              <w:keepLines w:val="0"/>
              <w:pageBreakBefore w:val="0"/>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298E410A">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53CE49BE">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rPr>
              <w:t>用车申请</w:t>
            </w:r>
          </w:p>
        </w:tc>
        <w:tc>
          <w:tcPr>
            <w:tcW w:w="10773" w:type="dxa"/>
            <w:vAlign w:val="top"/>
          </w:tcPr>
          <w:p w14:paraId="64A7D71A">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发起用车申请流程，申请记录</w:t>
            </w:r>
            <w:r>
              <w:rPr>
                <w:rFonts w:hint="eastAsia" w:ascii="宋体" w:hAnsi="宋体" w:eastAsia="宋体" w:cs="宋体"/>
                <w:color w:val="auto"/>
                <w:kern w:val="0"/>
                <w:sz w:val="24"/>
                <w:szCs w:val="24"/>
                <w:highlight w:val="none"/>
                <w:lang w:eastAsia="zh-CN"/>
              </w:rPr>
              <w:t>等，具体按照区总机关用车管理相关规定执行</w:t>
            </w:r>
            <w:r>
              <w:rPr>
                <w:rFonts w:hint="eastAsia" w:ascii="宋体" w:hAnsi="宋体" w:eastAsia="宋体" w:cs="宋体"/>
                <w:color w:val="auto"/>
                <w:kern w:val="0"/>
                <w:sz w:val="24"/>
                <w:szCs w:val="24"/>
                <w:highlight w:val="none"/>
              </w:rPr>
              <w:t>；</w:t>
            </w:r>
          </w:p>
        </w:tc>
      </w:tr>
      <w:tr w14:paraId="6067E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589D3B47">
            <w:pPr>
              <w:pStyle w:val="65"/>
              <w:keepNext w:val="0"/>
              <w:keepLines w:val="0"/>
              <w:pageBreakBefore w:val="0"/>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448BE92E">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2A28DC0A">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rPr>
              <w:t>基础管理</w:t>
            </w:r>
          </w:p>
        </w:tc>
        <w:tc>
          <w:tcPr>
            <w:tcW w:w="10773" w:type="dxa"/>
            <w:vAlign w:val="top"/>
          </w:tcPr>
          <w:p w14:paraId="1161D7F4">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车辆信息，司机管理，违章/事故管理；</w:t>
            </w:r>
          </w:p>
        </w:tc>
      </w:tr>
      <w:tr w14:paraId="3C701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13019A41">
            <w:pPr>
              <w:pStyle w:val="65"/>
              <w:keepNext w:val="0"/>
              <w:keepLines w:val="0"/>
              <w:pageBreakBefore w:val="0"/>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72250C61">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12496F61">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rPr>
              <w:t>车辆统计</w:t>
            </w:r>
          </w:p>
        </w:tc>
        <w:tc>
          <w:tcPr>
            <w:tcW w:w="10773" w:type="dxa"/>
            <w:vAlign w:val="top"/>
          </w:tcPr>
          <w:p w14:paraId="69803E4A">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单车核算统计，车辆运行统计，部门用车统计；</w:t>
            </w:r>
          </w:p>
        </w:tc>
      </w:tr>
      <w:tr w14:paraId="6046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restart"/>
            <w:vAlign w:val="center"/>
          </w:tcPr>
          <w:p w14:paraId="271826B4">
            <w:pPr>
              <w:pStyle w:val="65"/>
              <w:keepNext w:val="0"/>
              <w:keepLines w:val="0"/>
              <w:pageBreakBefore w:val="0"/>
              <w:numPr>
                <w:ilvl w:val="0"/>
                <w:numId w:val="0"/>
              </w:numPr>
              <w:kinsoku/>
              <w:wordWrap/>
              <w:overflowPunct/>
              <w:topLinePunct w:val="0"/>
              <w:autoSpaceDE/>
              <w:autoSpaceDN/>
              <w:bidi w:val="0"/>
              <w:adjustRightInd w:val="0"/>
              <w:snapToGrid/>
              <w:spacing w:line="440" w:lineRule="exact"/>
              <w:ind w:leftChars="0"/>
              <w:jc w:val="both"/>
              <w:textAlignment w:val="auto"/>
              <w:rPr>
                <w:rFonts w:hint="eastAsia" w:ascii="宋体" w:hAnsi="宋体" w:eastAsia="宋体" w:cs="宋体"/>
                <w:b/>
                <w:color w:val="auto"/>
                <w:kern w:val="0"/>
                <w:sz w:val="24"/>
                <w:szCs w:val="24"/>
                <w:highlight w:val="none"/>
                <w:lang w:val="en" w:eastAsia="zh-CN"/>
              </w:rPr>
            </w:pPr>
            <w:r>
              <w:rPr>
                <w:rFonts w:hint="eastAsia" w:ascii="宋体" w:hAnsi="宋体" w:eastAsia="宋体" w:cs="宋体"/>
                <w:b/>
                <w:color w:val="auto"/>
                <w:kern w:val="0"/>
                <w:sz w:val="24"/>
                <w:szCs w:val="24"/>
                <w:highlight w:val="none"/>
                <w:lang w:val="en" w:eastAsia="zh-CN"/>
              </w:rPr>
              <w:t>9</w:t>
            </w:r>
          </w:p>
        </w:tc>
        <w:tc>
          <w:tcPr>
            <w:tcW w:w="1196" w:type="dxa"/>
            <w:vMerge w:val="restart"/>
            <w:vAlign w:val="center"/>
          </w:tcPr>
          <w:p w14:paraId="4177CF80">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个人中心</w:t>
            </w:r>
          </w:p>
        </w:tc>
        <w:tc>
          <w:tcPr>
            <w:tcW w:w="1559" w:type="dxa"/>
            <w:vMerge w:val="restart"/>
            <w:vAlign w:val="center"/>
          </w:tcPr>
          <w:p w14:paraId="11BA1C19">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个人设置</w:t>
            </w:r>
          </w:p>
        </w:tc>
        <w:tc>
          <w:tcPr>
            <w:tcW w:w="10773" w:type="dxa"/>
          </w:tcPr>
          <w:p w14:paraId="7FB1DC0C">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用户姓名、头像、身份证号、联系方式、地址、电子邮箱、移动电话、个人签名等基础信息设置；</w:t>
            </w:r>
          </w:p>
        </w:tc>
      </w:tr>
      <w:tr w14:paraId="66BAC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279E6205">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4E4DBA92">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Merge w:val="continue"/>
            <w:vAlign w:val="center"/>
          </w:tcPr>
          <w:p w14:paraId="051222D9">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0C79E754">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重置当前用户登录密码，密码二次确认；</w:t>
            </w:r>
          </w:p>
        </w:tc>
      </w:tr>
      <w:tr w14:paraId="18BED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6E531B02">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3496595B">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Merge w:val="continue"/>
            <w:vAlign w:val="center"/>
          </w:tcPr>
          <w:p w14:paraId="02B19104">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35CF4C81">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个人账号角色权限查询；流程转交代理人设置</w:t>
            </w:r>
            <w:r>
              <w:rPr>
                <w:rFonts w:hint="eastAsia" w:ascii="宋体" w:hAnsi="宋体" w:eastAsia="宋体" w:cs="宋体"/>
                <w:color w:val="auto"/>
                <w:kern w:val="0"/>
                <w:sz w:val="24"/>
                <w:szCs w:val="24"/>
                <w:highlight w:val="none"/>
                <w:lang w:eastAsia="zh-CN"/>
              </w:rPr>
              <w:t>。</w:t>
            </w:r>
          </w:p>
        </w:tc>
      </w:tr>
      <w:tr w14:paraId="6EE84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0C92FD81">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16E788FC">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3D449C10">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常用语</w:t>
            </w:r>
          </w:p>
        </w:tc>
        <w:tc>
          <w:tcPr>
            <w:tcW w:w="10773" w:type="dxa"/>
          </w:tcPr>
          <w:p w14:paraId="6B2CF4D1">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设置个人常用语，流程审批时选择个人常用语快速审批；</w:t>
            </w:r>
          </w:p>
        </w:tc>
      </w:tr>
      <w:tr w14:paraId="297EB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6F72E2F0">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57928525">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Align w:val="center"/>
          </w:tcPr>
          <w:p w14:paraId="00DD07BB">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群组</w:t>
            </w:r>
          </w:p>
        </w:tc>
        <w:tc>
          <w:tcPr>
            <w:tcW w:w="10773" w:type="dxa"/>
          </w:tcPr>
          <w:p w14:paraId="6802691B">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对个人群组进行新增、修改、删除，添加成员等操作；查看单位群组列表和群组内成员</w:t>
            </w:r>
            <w:r>
              <w:rPr>
                <w:rFonts w:hint="eastAsia" w:ascii="宋体" w:hAnsi="宋体" w:eastAsia="宋体" w:cs="宋体"/>
                <w:color w:val="auto"/>
                <w:kern w:val="0"/>
                <w:sz w:val="24"/>
                <w:szCs w:val="24"/>
                <w:highlight w:val="none"/>
                <w:lang w:eastAsia="zh-CN"/>
              </w:rPr>
              <w:t>。</w:t>
            </w:r>
          </w:p>
        </w:tc>
      </w:tr>
      <w:tr w14:paraId="01E8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04A360D1">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3224F828">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Merge w:val="restart"/>
            <w:vAlign w:val="center"/>
          </w:tcPr>
          <w:p w14:paraId="591CFE9B">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通讯录</w:t>
            </w:r>
          </w:p>
        </w:tc>
        <w:tc>
          <w:tcPr>
            <w:tcW w:w="10773" w:type="dxa"/>
          </w:tcPr>
          <w:p w14:paraId="01EEA0FA">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单位联系人：</w:t>
            </w:r>
            <w:r>
              <w:rPr>
                <w:rFonts w:hint="eastAsia" w:ascii="宋体" w:hAnsi="宋体" w:eastAsia="宋体" w:cs="宋体"/>
                <w:color w:val="auto"/>
                <w:kern w:val="0"/>
                <w:sz w:val="24"/>
                <w:szCs w:val="24"/>
                <w:highlight w:val="none"/>
              </w:rPr>
              <w:t>查看单位联系人的用户信息(姓名、所属组织、性别、办公电话、移动电话、电子邮箱、职务、工作状态、英文名、办公地点、备用电话等信息，设置列表显示字段）；</w:t>
            </w:r>
          </w:p>
          <w:p w14:paraId="5CF94BE8">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将通讯录中的用</w:t>
            </w:r>
            <w:r>
              <w:rPr>
                <w:rFonts w:hint="eastAsia" w:ascii="宋体" w:hAnsi="宋体" w:eastAsia="宋体" w:cs="宋体"/>
                <w:color w:val="auto"/>
                <w:kern w:val="0"/>
                <w:sz w:val="24"/>
                <w:szCs w:val="24"/>
                <w:highlight w:val="none"/>
                <w:lang w:eastAsia="zh-CN"/>
              </w:rPr>
              <w:t>户</w:t>
            </w:r>
            <w:r>
              <w:rPr>
                <w:rFonts w:hint="eastAsia" w:ascii="宋体" w:hAnsi="宋体" w:eastAsia="宋体" w:cs="宋体"/>
                <w:color w:val="auto"/>
                <w:kern w:val="0"/>
                <w:sz w:val="24"/>
                <w:szCs w:val="24"/>
                <w:highlight w:val="none"/>
              </w:rPr>
              <w:t>添加至个人群组，设置或取消常用联系人；</w:t>
            </w:r>
          </w:p>
          <w:p w14:paraId="277227C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单位联系人列表查询项、列表项自定义显示</w:t>
            </w:r>
            <w:r>
              <w:rPr>
                <w:rFonts w:hint="eastAsia" w:ascii="宋体" w:hAnsi="宋体" w:eastAsia="宋体" w:cs="宋体"/>
                <w:color w:val="auto"/>
                <w:kern w:val="0"/>
                <w:sz w:val="24"/>
                <w:szCs w:val="24"/>
                <w:highlight w:val="none"/>
                <w:lang w:eastAsia="zh-CN"/>
              </w:rPr>
              <w:t>。</w:t>
            </w:r>
          </w:p>
        </w:tc>
      </w:tr>
      <w:tr w14:paraId="46850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5649FB65">
            <w:pPr>
              <w:pStyle w:val="65"/>
              <w:keepNext w:val="0"/>
              <w:keepLines w:val="0"/>
              <w:pageBreakBefore w:val="0"/>
              <w:numPr>
                <w:ilvl w:val="0"/>
                <w:numId w:val="3"/>
              </w:numPr>
              <w:kinsoku/>
              <w:wordWrap/>
              <w:overflowPunct/>
              <w:topLinePunct w:val="0"/>
              <w:autoSpaceDE/>
              <w:autoSpaceDN/>
              <w:bidi w:val="0"/>
              <w:adjustRightInd w:val="0"/>
              <w:snapToGrid/>
              <w:spacing w:line="440" w:lineRule="exact"/>
              <w:ind w:left="0" w:firstLine="0" w:firstLineChars="0"/>
              <w:jc w:val="center"/>
              <w:textAlignment w:val="auto"/>
              <w:rPr>
                <w:rFonts w:hint="eastAsia" w:ascii="宋体" w:hAnsi="宋体" w:eastAsia="宋体" w:cs="宋体"/>
                <w:b/>
                <w:color w:val="auto"/>
                <w:kern w:val="0"/>
                <w:sz w:val="24"/>
                <w:szCs w:val="24"/>
                <w:highlight w:val="none"/>
              </w:rPr>
            </w:pPr>
          </w:p>
        </w:tc>
        <w:tc>
          <w:tcPr>
            <w:tcW w:w="1196" w:type="dxa"/>
            <w:vMerge w:val="continue"/>
            <w:vAlign w:val="center"/>
          </w:tcPr>
          <w:p w14:paraId="57299696">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p>
        </w:tc>
        <w:tc>
          <w:tcPr>
            <w:tcW w:w="1559" w:type="dxa"/>
            <w:vMerge w:val="continue"/>
            <w:vAlign w:val="center"/>
          </w:tcPr>
          <w:p w14:paraId="0A31AFC0">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42320E03">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个人联系人：</w:t>
            </w:r>
            <w:r>
              <w:rPr>
                <w:rFonts w:hint="eastAsia" w:ascii="宋体" w:hAnsi="宋体" w:eastAsia="宋体" w:cs="宋体"/>
                <w:color w:val="auto"/>
                <w:kern w:val="0"/>
                <w:sz w:val="24"/>
                <w:szCs w:val="24"/>
                <w:highlight w:val="none"/>
              </w:rPr>
              <w:t>新增、修改、删除个人联系人，记录姓名、单位、联系方式等信息；</w:t>
            </w:r>
          </w:p>
          <w:p w14:paraId="425EC123">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分组显示个人联系人；设置或取消常用联系人；导入个人联系人</w:t>
            </w:r>
            <w:r>
              <w:rPr>
                <w:rFonts w:hint="eastAsia" w:ascii="宋体" w:hAnsi="宋体" w:eastAsia="宋体" w:cs="宋体"/>
                <w:color w:val="auto"/>
                <w:kern w:val="0"/>
                <w:sz w:val="24"/>
                <w:szCs w:val="24"/>
                <w:highlight w:val="none"/>
                <w:lang w:eastAsia="zh-CN"/>
              </w:rPr>
              <w:t>。</w:t>
            </w:r>
          </w:p>
        </w:tc>
      </w:tr>
      <w:tr w14:paraId="61D35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Align w:val="center"/>
          </w:tcPr>
          <w:p w14:paraId="3D97A347">
            <w:pPr>
              <w:pStyle w:val="65"/>
              <w:keepNext w:val="0"/>
              <w:keepLines w:val="0"/>
              <w:pageBreakBefore w:val="0"/>
              <w:numPr>
                <w:ilvl w:val="0"/>
                <w:numId w:val="0"/>
              </w:numPr>
              <w:kinsoku/>
              <w:wordWrap/>
              <w:overflowPunct/>
              <w:topLinePunct w:val="0"/>
              <w:autoSpaceDE/>
              <w:autoSpaceDN/>
              <w:bidi w:val="0"/>
              <w:adjustRightInd w:val="0"/>
              <w:snapToGrid/>
              <w:spacing w:line="440" w:lineRule="exact"/>
              <w:ind w:leftChars="0"/>
              <w:jc w:val="both"/>
              <w:textAlignment w:val="auto"/>
              <w:rPr>
                <w:rFonts w:hint="default"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 w:eastAsia="zh-CN"/>
              </w:rPr>
              <w:t>1</w:t>
            </w:r>
            <w:r>
              <w:rPr>
                <w:rFonts w:hint="eastAsia" w:ascii="宋体" w:hAnsi="宋体" w:eastAsia="宋体" w:cs="宋体"/>
                <w:b/>
                <w:color w:val="auto"/>
                <w:kern w:val="0"/>
                <w:sz w:val="24"/>
                <w:szCs w:val="24"/>
                <w:highlight w:val="none"/>
                <w:lang w:val="en-US" w:eastAsia="zh-CN"/>
              </w:rPr>
              <w:t>0</w:t>
            </w:r>
          </w:p>
        </w:tc>
        <w:tc>
          <w:tcPr>
            <w:tcW w:w="1196" w:type="dxa"/>
            <w:vAlign w:val="center"/>
          </w:tcPr>
          <w:p w14:paraId="3F24FAA0">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移动办公</w:t>
            </w:r>
          </w:p>
        </w:tc>
        <w:tc>
          <w:tcPr>
            <w:tcW w:w="1559" w:type="dxa"/>
            <w:vAlign w:val="center"/>
          </w:tcPr>
          <w:p w14:paraId="6161A06B">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移动办公</w:t>
            </w:r>
          </w:p>
        </w:tc>
        <w:tc>
          <w:tcPr>
            <w:tcW w:w="10773" w:type="dxa"/>
          </w:tcPr>
          <w:p w14:paraId="5959505B">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通过移动办公满足机关领导及办公人员随时随地办公，提升办公效率，完成无纸化办公的最后一公里，实现在外出差和外出的审批和公文处理等。包括移动端办公首页、移动端待办消息提醒推送：包括待办提醒、待阅提醒、在线办理流程审批</w:t>
            </w:r>
            <w:r>
              <w:rPr>
                <w:rFonts w:hint="eastAsia" w:ascii="宋体" w:hAnsi="宋体" w:eastAsia="宋体" w:cs="宋体"/>
                <w:color w:val="auto"/>
                <w:kern w:val="0"/>
                <w:sz w:val="24"/>
                <w:szCs w:val="24"/>
                <w:highlight w:val="none"/>
                <w:lang w:eastAsia="zh-CN"/>
              </w:rPr>
              <w:t>。手机短信提醒等功能；</w:t>
            </w:r>
          </w:p>
          <w:p w14:paraId="22D68C4C">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待办：</w:t>
            </w:r>
            <w:r>
              <w:rPr>
                <w:rFonts w:hint="eastAsia" w:ascii="宋体" w:hAnsi="宋体" w:eastAsia="宋体" w:cs="宋体"/>
                <w:color w:val="auto"/>
                <w:kern w:val="0"/>
                <w:sz w:val="24"/>
                <w:szCs w:val="24"/>
                <w:highlight w:val="none"/>
              </w:rPr>
              <w:t>处理待审批的流程，手写签批，版式签批和H5签批，版式签批OFD文件和PDF文件签批，客户端已集成ArteryPaper、金格、数科、福昕</w:t>
            </w:r>
            <w:r>
              <w:rPr>
                <w:rFonts w:hint="eastAsia" w:ascii="宋体" w:hAnsi="宋体" w:eastAsia="宋体" w:cs="宋体"/>
                <w:color w:val="auto"/>
                <w:kern w:val="0"/>
                <w:sz w:val="24"/>
                <w:szCs w:val="24"/>
                <w:highlight w:val="none"/>
                <w:lang w:eastAsia="zh-CN"/>
              </w:rPr>
              <w:t>等</w:t>
            </w:r>
            <w:r>
              <w:rPr>
                <w:rFonts w:hint="eastAsia" w:ascii="宋体" w:hAnsi="宋体" w:eastAsia="宋体" w:cs="宋体"/>
                <w:color w:val="auto"/>
                <w:kern w:val="0"/>
                <w:sz w:val="24"/>
                <w:szCs w:val="24"/>
                <w:highlight w:val="none"/>
              </w:rPr>
              <w:t>；</w:t>
            </w:r>
          </w:p>
          <w:p w14:paraId="12CA3C45">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关注流程的活动环节和审批人，活动办理完成或审批人办理后推送提醒给用户；可配置退回、加签、转交等流程操作按钮；按照流程标题查询；</w:t>
            </w:r>
          </w:p>
          <w:p w14:paraId="7BC9B643">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待阅：</w:t>
            </w:r>
            <w:r>
              <w:rPr>
                <w:rFonts w:hint="eastAsia" w:ascii="宋体" w:hAnsi="宋体" w:eastAsia="宋体" w:cs="宋体"/>
                <w:color w:val="auto"/>
                <w:kern w:val="0"/>
                <w:sz w:val="24"/>
                <w:szCs w:val="24"/>
                <w:highlight w:val="none"/>
              </w:rPr>
              <w:t>处理待查阅的流程；关注流程的活动环节和审批人，活动办理完成或审批人办理后推送提醒给用户；按照流程标题查询；</w:t>
            </w:r>
          </w:p>
          <w:p w14:paraId="1EE8C470">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已办：</w:t>
            </w:r>
            <w:r>
              <w:rPr>
                <w:rFonts w:hint="eastAsia" w:ascii="宋体" w:hAnsi="宋体" w:eastAsia="宋体" w:cs="宋体"/>
                <w:color w:val="auto"/>
                <w:kern w:val="0"/>
                <w:sz w:val="24"/>
                <w:szCs w:val="24"/>
                <w:highlight w:val="none"/>
              </w:rPr>
              <w:t>按照流程标题查询已经办理的审批流程；可配置撤回等流程操作按钮；关注流程的活动环节和审批人，活动办理完成或审批人办理后推送提醒给用户；</w:t>
            </w:r>
          </w:p>
          <w:p w14:paraId="1E9082C3">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已阅：</w:t>
            </w:r>
            <w:r>
              <w:rPr>
                <w:rFonts w:hint="eastAsia" w:ascii="宋体" w:hAnsi="宋体" w:eastAsia="宋体" w:cs="宋体"/>
                <w:color w:val="auto"/>
                <w:kern w:val="0"/>
                <w:sz w:val="24"/>
                <w:szCs w:val="24"/>
                <w:highlight w:val="none"/>
              </w:rPr>
              <w:t>按照流程标题查询已经查看的审批流程；</w:t>
            </w:r>
          </w:p>
          <w:p w14:paraId="0FD6D044">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关注流程的活动环节和审批人，活动办理完成或审批人办理后推送提醒给用户；</w:t>
            </w:r>
          </w:p>
          <w:p w14:paraId="5268867B">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我的：</w:t>
            </w:r>
            <w:r>
              <w:rPr>
                <w:rFonts w:hint="eastAsia" w:ascii="宋体" w:hAnsi="宋体" w:eastAsia="宋体" w:cs="宋体"/>
                <w:color w:val="auto"/>
                <w:kern w:val="0"/>
                <w:sz w:val="24"/>
                <w:szCs w:val="24"/>
                <w:highlight w:val="none"/>
              </w:rPr>
              <w:t>按照流程标题查询所有发起的审批流程；流程催办、撤回等操作；</w:t>
            </w:r>
          </w:p>
          <w:p w14:paraId="73C606C5">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关注流程的活动环节和审批人，活动办理完成或审批人办理后推送提醒给用户；</w:t>
            </w:r>
          </w:p>
          <w:p w14:paraId="54414132">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流程事务审批：发起流程，将流程保存到草稿箱；按流程分类显示能发起的流程，滑动流程分类选择对应的流程；</w:t>
            </w:r>
          </w:p>
          <w:p w14:paraId="05CCE2B0">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根据流程名称进行查询；公告信息新建和查阅；通过手机端实现内部邮件的收发；通过手机端实现无纸化会议通知的查看等；</w:t>
            </w:r>
          </w:p>
        </w:tc>
      </w:tr>
      <w:tr w14:paraId="43CCC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Align w:val="center"/>
          </w:tcPr>
          <w:p w14:paraId="6B8E2AF5">
            <w:pPr>
              <w:pStyle w:val="65"/>
              <w:keepNext w:val="0"/>
              <w:keepLines w:val="0"/>
              <w:pageBreakBefore w:val="0"/>
              <w:numPr>
                <w:ilvl w:val="0"/>
                <w:numId w:val="0"/>
              </w:numPr>
              <w:kinsoku/>
              <w:wordWrap/>
              <w:overflowPunct/>
              <w:topLinePunct w:val="0"/>
              <w:autoSpaceDE/>
              <w:autoSpaceDN/>
              <w:bidi w:val="0"/>
              <w:adjustRightInd w:val="0"/>
              <w:snapToGrid/>
              <w:spacing w:line="440" w:lineRule="exact"/>
              <w:ind w:leftChars="0"/>
              <w:jc w:val="both"/>
              <w:textAlignment w:val="auto"/>
              <w:rPr>
                <w:rFonts w:hint="default"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11</w:t>
            </w:r>
          </w:p>
        </w:tc>
        <w:tc>
          <w:tcPr>
            <w:tcW w:w="1196" w:type="dxa"/>
            <w:vAlign w:val="center"/>
          </w:tcPr>
          <w:p w14:paraId="15BB8B11">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公文智能化应用</w:t>
            </w:r>
          </w:p>
        </w:tc>
        <w:tc>
          <w:tcPr>
            <w:tcW w:w="1559" w:type="dxa"/>
            <w:vAlign w:val="center"/>
          </w:tcPr>
          <w:p w14:paraId="663A9F27">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bCs/>
                <w:color w:val="auto"/>
                <w:kern w:val="0"/>
                <w:sz w:val="24"/>
                <w:szCs w:val="24"/>
                <w:highlight w:val="none"/>
              </w:rPr>
              <w:t>公文智能化应用</w:t>
            </w:r>
          </w:p>
        </w:tc>
        <w:tc>
          <w:tcPr>
            <w:tcW w:w="10773" w:type="dxa"/>
          </w:tcPr>
          <w:p w14:paraId="4B5BA6E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公文标题联想、来文单位联想，具体要求：提供统一的入口，可以作为独立系统使用，也和协同办公系统，或办公软件如WPS，Word集成</w:t>
            </w:r>
            <w:r>
              <w:rPr>
                <w:rFonts w:hint="eastAsia" w:ascii="宋体" w:hAnsi="宋体" w:eastAsia="宋体" w:cs="宋体"/>
                <w:color w:val="auto"/>
                <w:kern w:val="0"/>
                <w:sz w:val="24"/>
                <w:szCs w:val="24"/>
                <w:highlight w:val="none"/>
                <w:lang w:eastAsia="zh-CN"/>
              </w:rPr>
              <w:t>使用</w:t>
            </w:r>
            <w:r>
              <w:rPr>
                <w:rFonts w:hint="eastAsia" w:ascii="宋体" w:hAnsi="宋体" w:eastAsia="宋体" w:cs="宋体"/>
                <w:color w:val="auto"/>
                <w:kern w:val="0"/>
                <w:sz w:val="24"/>
                <w:szCs w:val="24"/>
                <w:highlight w:val="none"/>
              </w:rPr>
              <w:t>。</w:t>
            </w:r>
          </w:p>
          <w:p w14:paraId="78E15E31">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▲公文排版</w:t>
            </w:r>
            <w:r>
              <w:rPr>
                <w:rFonts w:hint="eastAsia" w:ascii="宋体" w:hAnsi="宋体" w:eastAsia="宋体" w:cs="宋体"/>
                <w:color w:val="auto"/>
                <w:kern w:val="0"/>
                <w:sz w:val="24"/>
                <w:szCs w:val="24"/>
                <w:highlight w:val="none"/>
                <w:lang w:val="en-US" w:eastAsia="zh-CN"/>
              </w:rPr>
              <w:t>:按照建设单位需求，定制对应的公文模板，满足建设单位公文的格式要求。</w:t>
            </w:r>
          </w:p>
          <w:p w14:paraId="6D6DEA4C">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▲智能编校:按照建设单位需求，提供5个终端1年的黑马校对授权，满足流失文件的错字等校对需求。</w:t>
            </w:r>
          </w:p>
          <w:p w14:paraId="375C67D6">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▲如有接入其他智写平台需求，需免费提供技术确保能够接入相应端口应用。</w:t>
            </w:r>
          </w:p>
        </w:tc>
      </w:tr>
      <w:tr w14:paraId="210C9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restart"/>
            <w:vAlign w:val="center"/>
          </w:tcPr>
          <w:p w14:paraId="22C9D327">
            <w:pPr>
              <w:pStyle w:val="65"/>
              <w:keepNext w:val="0"/>
              <w:keepLines w:val="0"/>
              <w:pageBreakBefore w:val="0"/>
              <w:kinsoku/>
              <w:wordWrap/>
              <w:overflowPunct/>
              <w:topLinePunct w:val="0"/>
              <w:autoSpaceDE/>
              <w:autoSpaceDN/>
              <w:bidi w:val="0"/>
              <w:adjustRightInd w:val="0"/>
              <w:snapToGrid/>
              <w:spacing w:line="440" w:lineRule="exact"/>
              <w:ind w:left="0" w:leftChars="0" w:firstLine="0" w:firstLineChars="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w:t>
            </w:r>
          </w:p>
        </w:tc>
        <w:tc>
          <w:tcPr>
            <w:tcW w:w="1196" w:type="dxa"/>
            <w:vMerge w:val="restart"/>
            <w:vAlign w:val="center"/>
          </w:tcPr>
          <w:p w14:paraId="451D015C">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系统管理</w:t>
            </w:r>
          </w:p>
        </w:tc>
        <w:tc>
          <w:tcPr>
            <w:tcW w:w="1559" w:type="dxa"/>
            <w:vAlign w:val="center"/>
          </w:tcPr>
          <w:p w14:paraId="070EC762">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流程分类</w:t>
            </w:r>
          </w:p>
        </w:tc>
        <w:tc>
          <w:tcPr>
            <w:tcW w:w="10773" w:type="dxa"/>
          </w:tcPr>
          <w:p w14:paraId="606D6FE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对流程进行分类管理；</w:t>
            </w:r>
          </w:p>
        </w:tc>
      </w:tr>
      <w:tr w14:paraId="5BFFB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707B7F2E">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196" w:type="dxa"/>
            <w:vMerge w:val="continue"/>
            <w:vAlign w:val="center"/>
          </w:tcPr>
          <w:p w14:paraId="4073327C">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Align w:val="center"/>
          </w:tcPr>
          <w:p w14:paraId="61666DD0">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流程管理</w:t>
            </w:r>
          </w:p>
        </w:tc>
        <w:tc>
          <w:tcPr>
            <w:tcW w:w="10773" w:type="dxa"/>
          </w:tcPr>
          <w:p w14:paraId="29ED1AA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对业务流程的新增、修改、删除、设计、部署、流程版本、表单设计等功能进行管理；</w:t>
            </w:r>
          </w:p>
          <w:p w14:paraId="486B890D">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编辑流程名称、流程编码、选择流程分类和图标；</w:t>
            </w:r>
          </w:p>
          <w:p w14:paraId="128A0A4D">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设置流程发起人、流程查看人、流程维护人、流程管理员；</w:t>
            </w:r>
          </w:p>
          <w:p w14:paraId="12A943B5">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设置流程是否移动端发起；实时控制流程的状态，启用状态的流程用户可进行发起操作；</w:t>
            </w:r>
          </w:p>
          <w:p w14:paraId="1832ADC3">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配置第三方系统流程</w:t>
            </w:r>
            <w:r>
              <w:rPr>
                <w:rFonts w:hint="eastAsia" w:ascii="宋体" w:hAnsi="宋体" w:eastAsia="宋体" w:cs="宋体"/>
                <w:color w:val="auto"/>
                <w:kern w:val="0"/>
                <w:sz w:val="24"/>
                <w:szCs w:val="24"/>
                <w:highlight w:val="none"/>
                <w:lang w:eastAsia="zh-CN"/>
              </w:rPr>
              <w:t>。</w:t>
            </w:r>
          </w:p>
        </w:tc>
      </w:tr>
      <w:tr w14:paraId="2156A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565DCA6C">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196" w:type="dxa"/>
            <w:vMerge w:val="continue"/>
            <w:vAlign w:val="center"/>
          </w:tcPr>
          <w:p w14:paraId="720198DB">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Align w:val="center"/>
          </w:tcPr>
          <w:p w14:paraId="3A1AFA4F">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流程设计器</w:t>
            </w:r>
          </w:p>
        </w:tc>
        <w:tc>
          <w:tcPr>
            <w:tcW w:w="10773" w:type="dxa"/>
          </w:tcPr>
          <w:p w14:paraId="739E1FB0">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设计和修改流程，选择自由流程和固定流程；</w:t>
            </w:r>
          </w:p>
          <w:p w14:paraId="7CF60DCB">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HTML表单、矩阵表单和使用外部表单；不同的活动节点使用不同的表单；</w:t>
            </w:r>
          </w:p>
          <w:p w14:paraId="58D772B4">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流程设置-基础设置自定义流程提醒标题、批示意见相关设置、关联流程范围设置、主流程设置、调用过程设置、手写签批设置、归档设置、提示方式设置等；</w:t>
            </w:r>
          </w:p>
          <w:p w14:paraId="128619CB">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流程设置-高级设置批示意见排序设置、打印缩放、打印标识、流程预警提醒和超期提醒设置；</w:t>
            </w:r>
          </w:p>
          <w:p w14:paraId="06C014D5">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流程设置-事件处理自定义流程发起、结束、取消、作废的处理事件，设置HTTPS接口，满足复杂的审批业务；</w:t>
            </w:r>
          </w:p>
          <w:p w14:paraId="70153900">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流程设置-查询设置自定义查询项和列表项字段，满足复杂的流程查询场景；</w:t>
            </w:r>
          </w:p>
          <w:p w14:paraId="66020D2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活动设置-用户活动、阅件活动、发起人活动、随机活动、自动返回活动、子流程、调用过程，活动的基础设置、数据权限、操作权限、事件处理；</w:t>
            </w:r>
          </w:p>
          <w:p w14:paraId="0842B1BC">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活动设置-基础设置活动名称、参与者、参与方式、办理方式、批示意见、审批时限、自动审批办理等设置；</w:t>
            </w:r>
          </w:p>
          <w:p w14:paraId="278A6F8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活动设置-数据权限控制表单字段的读写、隐藏、必填等；</w:t>
            </w:r>
          </w:p>
          <w:p w14:paraId="2682E94E">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活动设置-操作权限控制当前审批活动拥有哪些操作按钮；</w:t>
            </w:r>
          </w:p>
          <w:p w14:paraId="2F1CD860">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通用按钮-打印、阅件、转发、下载、邮件转发；</w:t>
            </w:r>
          </w:p>
          <w:p w14:paraId="656D4B4C">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待办按钮-退回、关联流程、转交、加签、跳转、部门办理、作废、结束；</w:t>
            </w:r>
          </w:p>
          <w:p w14:paraId="600BC73A">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已办按钮-撤回、收回、补签、撤签、反馈；</w:t>
            </w:r>
          </w:p>
          <w:p w14:paraId="1D39CF5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我的按钮-撤回；发起按钮-关联流程；</w:t>
            </w:r>
          </w:p>
          <w:p w14:paraId="6886317C">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审批过程催办、取消、代录操作；</w:t>
            </w:r>
          </w:p>
          <w:p w14:paraId="4FF687D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活动设置-事件处理自定义任务提交后、退回后、加签后、转交后、跳转后、撤回后的处理事件，设置HTTPS接口，满足复杂的审批业务；设置网关及条件，排他网关、并行网关、包含网关；</w:t>
            </w:r>
          </w:p>
          <w:p w14:paraId="765AB6FD">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网关路径条件设置，复杂的条件表达式，根据表单字段值、批示意见态度判断流程走向；</w:t>
            </w:r>
          </w:p>
          <w:p w14:paraId="7C8E7B1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流程校验，验证流程图设计是否完整；</w:t>
            </w:r>
          </w:p>
          <w:p w14:paraId="728A3A3A">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流程设计导入XML、导出XML功能</w:t>
            </w:r>
            <w:r>
              <w:rPr>
                <w:rFonts w:hint="eastAsia" w:ascii="宋体" w:hAnsi="宋体" w:eastAsia="宋体" w:cs="宋体"/>
                <w:color w:val="auto"/>
                <w:kern w:val="0"/>
                <w:sz w:val="24"/>
                <w:szCs w:val="24"/>
                <w:highlight w:val="none"/>
                <w:lang w:eastAsia="zh-CN"/>
              </w:rPr>
              <w:t>。</w:t>
            </w:r>
          </w:p>
        </w:tc>
      </w:tr>
      <w:tr w14:paraId="58296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3B3AE9EB">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196" w:type="dxa"/>
            <w:vMerge w:val="continue"/>
            <w:vAlign w:val="center"/>
          </w:tcPr>
          <w:p w14:paraId="76932B1A">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Align w:val="center"/>
          </w:tcPr>
          <w:p w14:paraId="777C4363">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流程设置查询</w:t>
            </w:r>
          </w:p>
        </w:tc>
        <w:tc>
          <w:tcPr>
            <w:tcW w:w="10773" w:type="dxa"/>
          </w:tcPr>
          <w:p w14:paraId="2FA1783C">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查询流程的相关设置，包括流程分类、流程名称、活动名称、参与方式、办理方式、参与者、活动按钮</w:t>
            </w:r>
            <w:r>
              <w:rPr>
                <w:rFonts w:hint="eastAsia" w:ascii="宋体" w:hAnsi="宋体" w:eastAsia="宋体" w:cs="宋体"/>
                <w:color w:val="auto"/>
                <w:kern w:val="0"/>
                <w:sz w:val="24"/>
                <w:szCs w:val="24"/>
                <w:highlight w:val="none"/>
                <w:lang w:eastAsia="zh-CN"/>
              </w:rPr>
              <w:t>。</w:t>
            </w:r>
          </w:p>
        </w:tc>
      </w:tr>
      <w:tr w14:paraId="63044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2255A52E">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196" w:type="dxa"/>
            <w:vMerge w:val="continue"/>
            <w:vAlign w:val="center"/>
          </w:tcPr>
          <w:p w14:paraId="50EC69AA">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Align w:val="center"/>
          </w:tcPr>
          <w:p w14:paraId="093535FE">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按钮方案</w:t>
            </w:r>
          </w:p>
        </w:tc>
        <w:tc>
          <w:tcPr>
            <w:tcW w:w="10773" w:type="dxa"/>
          </w:tcPr>
          <w:p w14:paraId="2B2C0343">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设置按钮使用场景的组合，保存为按钮方案</w:t>
            </w:r>
            <w:r>
              <w:rPr>
                <w:rFonts w:hint="eastAsia" w:ascii="宋体" w:hAnsi="宋体" w:eastAsia="宋体" w:cs="宋体"/>
                <w:color w:val="auto"/>
                <w:kern w:val="0"/>
                <w:sz w:val="24"/>
                <w:szCs w:val="24"/>
                <w:highlight w:val="none"/>
                <w:lang w:eastAsia="zh-CN"/>
              </w:rPr>
              <w:t>。</w:t>
            </w:r>
          </w:p>
        </w:tc>
      </w:tr>
      <w:tr w14:paraId="0D370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7D7C2DCF">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196" w:type="dxa"/>
            <w:vMerge w:val="continue"/>
            <w:vAlign w:val="center"/>
          </w:tcPr>
          <w:p w14:paraId="7E83C5C5">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Align w:val="center"/>
          </w:tcPr>
          <w:p w14:paraId="29548E4C">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按钮管理</w:t>
            </w:r>
          </w:p>
        </w:tc>
        <w:tc>
          <w:tcPr>
            <w:tcW w:w="10773" w:type="dxa"/>
          </w:tcPr>
          <w:p w14:paraId="04C1C65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对流程活动节点的按钮进行管理，按钮排序设置，自定义按钮扩展</w:t>
            </w:r>
            <w:r>
              <w:rPr>
                <w:rFonts w:hint="eastAsia" w:ascii="宋体" w:hAnsi="宋体" w:eastAsia="宋体" w:cs="宋体"/>
                <w:color w:val="auto"/>
                <w:kern w:val="0"/>
                <w:sz w:val="24"/>
                <w:szCs w:val="24"/>
                <w:highlight w:val="none"/>
                <w:lang w:eastAsia="zh-CN"/>
              </w:rPr>
              <w:t>。</w:t>
            </w:r>
          </w:p>
        </w:tc>
      </w:tr>
      <w:tr w14:paraId="300B4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168C7ABD">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196" w:type="dxa"/>
            <w:vMerge w:val="continue"/>
            <w:vAlign w:val="center"/>
          </w:tcPr>
          <w:p w14:paraId="08CE5A7D">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Align w:val="center"/>
          </w:tcPr>
          <w:p w14:paraId="7B4364EF">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函数管理</w:t>
            </w:r>
          </w:p>
        </w:tc>
        <w:tc>
          <w:tcPr>
            <w:tcW w:w="10773" w:type="dxa"/>
          </w:tcPr>
          <w:p w14:paraId="038EE42C">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流程引擎使用函数管理，通过函数实现流程条件判断、流程标题定义、活动参与人设置等功能</w:t>
            </w:r>
            <w:r>
              <w:rPr>
                <w:rFonts w:hint="eastAsia" w:ascii="宋体" w:hAnsi="宋体" w:eastAsia="宋体" w:cs="宋体"/>
                <w:color w:val="auto"/>
                <w:kern w:val="0"/>
                <w:sz w:val="24"/>
                <w:szCs w:val="24"/>
                <w:highlight w:val="none"/>
                <w:lang w:eastAsia="zh-CN"/>
              </w:rPr>
              <w:t>。</w:t>
            </w:r>
          </w:p>
        </w:tc>
      </w:tr>
      <w:tr w14:paraId="3FAAD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16BABA9B">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196" w:type="dxa"/>
            <w:vMerge w:val="continue"/>
            <w:vAlign w:val="center"/>
          </w:tcPr>
          <w:p w14:paraId="53216FEF">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Align w:val="center"/>
          </w:tcPr>
          <w:p w14:paraId="0B1DBEA6">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eastAsia="zh-Hans"/>
              </w:rPr>
              <w:t>通用</w:t>
            </w:r>
            <w:r>
              <w:rPr>
                <w:rFonts w:hint="eastAsia" w:ascii="宋体" w:hAnsi="宋体" w:eastAsia="宋体" w:cs="宋体"/>
                <w:b/>
                <w:color w:val="auto"/>
                <w:kern w:val="0"/>
                <w:sz w:val="24"/>
                <w:szCs w:val="24"/>
                <w:highlight w:val="none"/>
              </w:rPr>
              <w:t>设置</w:t>
            </w:r>
          </w:p>
        </w:tc>
        <w:tc>
          <w:tcPr>
            <w:tcW w:w="10773" w:type="dxa"/>
          </w:tcPr>
          <w:p w14:paraId="1EF1D84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设置流程发起页面展现模式：</w:t>
            </w:r>
            <w:r>
              <w:rPr>
                <w:rFonts w:hint="eastAsia" w:ascii="宋体" w:hAnsi="宋体" w:eastAsia="宋体" w:cs="宋体"/>
                <w:color w:val="auto"/>
                <w:kern w:val="0"/>
                <w:sz w:val="24"/>
                <w:szCs w:val="24"/>
                <w:highlight w:val="none"/>
              </w:rPr>
              <w:t>瀑布模式和列表模式；</w:t>
            </w:r>
          </w:p>
          <w:p w14:paraId="789C0FDB">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设置流程发起页面是否显示TOP8分类；</w:t>
            </w:r>
          </w:p>
          <w:p w14:paraId="58F9C1B6">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设置各应用流程审批相关列表流程树是否显示和默认显示状态；</w:t>
            </w:r>
          </w:p>
          <w:p w14:paraId="5514E13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Hans"/>
              </w:rPr>
              <w:t>设置流程转发、阅件、转交、加签操作的选人页签设置；</w:t>
            </w:r>
          </w:p>
          <w:p w14:paraId="172E6F71">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eastAsia="zh-Hans"/>
              </w:rPr>
            </w:pPr>
            <w:r>
              <w:rPr>
                <w:rFonts w:hint="eastAsia" w:ascii="宋体" w:hAnsi="宋体" w:eastAsia="宋体" w:cs="宋体"/>
                <w:color w:val="auto"/>
                <w:kern w:val="0"/>
                <w:sz w:val="24"/>
                <w:szCs w:val="24"/>
                <w:highlight w:val="none"/>
              </w:rPr>
              <w:t>设置与流程审批相关的内容，如新增领导秘书关系设置，用于配置呈领导和秘书代录的功能；</w:t>
            </w:r>
          </w:p>
          <w:p w14:paraId="19D25FF1">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Hans"/>
              </w:rPr>
              <w:t>设置批示意见是否</w:t>
            </w:r>
            <w:r>
              <w:rPr>
                <w:rFonts w:hint="eastAsia" w:ascii="宋体" w:hAnsi="宋体" w:eastAsia="宋体" w:cs="宋体"/>
                <w:color w:val="auto"/>
                <w:kern w:val="0"/>
                <w:sz w:val="24"/>
                <w:szCs w:val="24"/>
                <w:highlight w:val="none"/>
              </w:rPr>
              <w:t>输入时联想历史文本内容；</w:t>
            </w:r>
          </w:p>
          <w:p w14:paraId="4AC547ED">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设置领导批示意见加粗显示；设置需要集成的三方业务系统；</w:t>
            </w:r>
          </w:p>
          <w:p w14:paraId="784C78B1">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设置三方业务系统提供的接口（获取所有表单信息及对应字段信息接口、根据表单ID获取表单信息及对应字段信息接口、流程办结回调接口、事件处理类接口），在线测试接口</w:t>
            </w:r>
            <w:r>
              <w:rPr>
                <w:rFonts w:hint="eastAsia" w:ascii="宋体" w:hAnsi="宋体" w:eastAsia="宋体" w:cs="宋体"/>
                <w:color w:val="auto"/>
                <w:kern w:val="0"/>
                <w:sz w:val="24"/>
                <w:szCs w:val="24"/>
                <w:highlight w:val="none"/>
                <w:lang w:eastAsia="zh-CN"/>
              </w:rPr>
              <w:t>。</w:t>
            </w:r>
          </w:p>
        </w:tc>
      </w:tr>
      <w:tr w14:paraId="1E76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46B080F9">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196" w:type="dxa"/>
            <w:vMerge w:val="continue"/>
            <w:vAlign w:val="center"/>
          </w:tcPr>
          <w:p w14:paraId="6866ED7B">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Merge w:val="restart"/>
            <w:vAlign w:val="center"/>
          </w:tcPr>
          <w:p w14:paraId="4BE32567">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系统配置</w:t>
            </w:r>
          </w:p>
        </w:tc>
        <w:tc>
          <w:tcPr>
            <w:tcW w:w="10773" w:type="dxa"/>
          </w:tcPr>
          <w:p w14:paraId="5E24678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系统设置基础设置、流式组件设置、版式组件设置、预览设置、附件设置、提醒设置、日志设置、自定义设置；</w:t>
            </w:r>
          </w:p>
          <w:p w14:paraId="1DCA2FF2">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基础设置包括系统</w:t>
            </w:r>
            <w:r>
              <w:rPr>
                <w:rFonts w:hint="eastAsia" w:ascii="宋体" w:hAnsi="宋体" w:eastAsia="宋体" w:cs="宋体"/>
                <w:color w:val="auto"/>
                <w:kern w:val="0"/>
                <w:sz w:val="24"/>
                <w:szCs w:val="24"/>
                <w:highlight w:val="none"/>
                <w:lang w:eastAsia="zh-Hans"/>
              </w:rPr>
              <w:t>手写意见设置</w:t>
            </w:r>
            <w:r>
              <w:rPr>
                <w:rFonts w:hint="eastAsia" w:ascii="宋体" w:hAnsi="宋体" w:eastAsia="宋体" w:cs="宋体"/>
                <w:color w:val="auto"/>
                <w:kern w:val="0"/>
                <w:sz w:val="24"/>
                <w:szCs w:val="24"/>
                <w:highlight w:val="none"/>
              </w:rPr>
              <w:t>；第三方地图配置，用于系统定位功能；系统显示模式设置，国家公祭日自动切换；</w:t>
            </w:r>
          </w:p>
          <w:p w14:paraId="1B8FE551">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手写意见OFD文件和PDF文件签批，已集成金格、数科、福昕、ArteryPaper；</w:t>
            </w:r>
          </w:p>
          <w:p w14:paraId="7A3BF76B">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第三方地图</w:t>
            </w:r>
            <w:r>
              <w:rPr>
                <w:rFonts w:hint="eastAsia" w:ascii="宋体" w:hAnsi="宋体" w:eastAsia="宋体" w:cs="宋体"/>
                <w:color w:val="auto"/>
                <w:kern w:val="0"/>
                <w:sz w:val="24"/>
                <w:szCs w:val="24"/>
                <w:highlight w:val="none"/>
                <w:lang w:eastAsia="zh-CN"/>
              </w:rPr>
              <w:t>支持新创目录下的系统模式</w:t>
            </w:r>
            <w:r>
              <w:rPr>
                <w:rFonts w:hint="eastAsia" w:ascii="宋体" w:hAnsi="宋体" w:eastAsia="宋体" w:cs="宋体"/>
                <w:color w:val="auto"/>
                <w:kern w:val="0"/>
                <w:sz w:val="24"/>
                <w:szCs w:val="24"/>
                <w:highlight w:val="none"/>
              </w:rPr>
              <w:t>；</w:t>
            </w:r>
          </w:p>
          <w:p w14:paraId="27774E50">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Hans"/>
              </w:rPr>
              <w:t>流式组件设置</w:t>
            </w:r>
            <w:r>
              <w:rPr>
                <w:rFonts w:hint="eastAsia" w:ascii="宋体" w:hAnsi="宋体" w:eastAsia="宋体" w:cs="宋体"/>
                <w:color w:val="auto"/>
                <w:kern w:val="0"/>
                <w:sz w:val="24"/>
                <w:szCs w:val="24"/>
                <w:highlight w:val="none"/>
              </w:rPr>
              <w:t>PC端和移动端流式组件的选择，金格iWebOffice、WPS网页版、WPS客户端、永中Office、WPS云文档、永中WebOffice、竹简；</w:t>
            </w:r>
          </w:p>
          <w:p w14:paraId="2F7276DB">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版式组件设置</w:t>
            </w:r>
            <w:r>
              <w:rPr>
                <w:rFonts w:hint="eastAsia" w:ascii="宋体" w:hAnsi="宋体" w:eastAsia="宋体" w:cs="宋体"/>
                <w:color w:val="auto"/>
                <w:kern w:val="0"/>
                <w:sz w:val="24"/>
                <w:szCs w:val="24"/>
                <w:highlight w:val="none"/>
                <w:lang w:eastAsia="zh-Hans"/>
              </w:rPr>
              <w:t>版式阅读设置</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Hans"/>
              </w:rPr>
              <w:t>版式</w:t>
            </w:r>
            <w:r>
              <w:rPr>
                <w:rFonts w:hint="eastAsia" w:ascii="宋体" w:hAnsi="宋体" w:eastAsia="宋体" w:cs="宋体"/>
                <w:color w:val="auto"/>
                <w:kern w:val="0"/>
                <w:sz w:val="24"/>
                <w:szCs w:val="24"/>
                <w:highlight w:val="none"/>
              </w:rPr>
              <w:t>转换</w:t>
            </w:r>
            <w:r>
              <w:rPr>
                <w:rFonts w:hint="eastAsia" w:ascii="宋体" w:hAnsi="宋体" w:eastAsia="宋体" w:cs="宋体"/>
                <w:color w:val="auto"/>
                <w:kern w:val="0"/>
                <w:sz w:val="24"/>
                <w:szCs w:val="24"/>
                <w:highlight w:val="none"/>
                <w:lang w:eastAsia="zh-Hans"/>
              </w:rPr>
              <w:t>设置</w:t>
            </w:r>
            <w:r>
              <w:rPr>
                <w:rFonts w:hint="eastAsia" w:ascii="宋体" w:hAnsi="宋体" w:eastAsia="宋体" w:cs="宋体"/>
                <w:color w:val="auto"/>
                <w:kern w:val="0"/>
                <w:sz w:val="24"/>
                <w:szCs w:val="24"/>
                <w:highlight w:val="none"/>
              </w:rPr>
              <w:t>；</w:t>
            </w:r>
          </w:p>
          <w:p w14:paraId="4B46072D">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预览设置系统附件预览服务的选择，yozo、openoffice、wps、wps云文档、ArteryPaper、福昕、数科</w:t>
            </w:r>
            <w:r>
              <w:rPr>
                <w:rFonts w:hint="eastAsia" w:ascii="宋体" w:hAnsi="宋体" w:eastAsia="宋体" w:cs="宋体"/>
                <w:color w:val="auto"/>
                <w:kern w:val="0"/>
                <w:sz w:val="24"/>
                <w:szCs w:val="24"/>
                <w:highlight w:val="none"/>
                <w:lang w:eastAsia="zh-CN"/>
              </w:rPr>
              <w:t>、文档、表格、幻灯片</w:t>
            </w:r>
            <w:r>
              <w:rPr>
                <w:rFonts w:hint="eastAsia" w:ascii="宋体" w:hAnsi="宋体" w:eastAsia="宋体" w:cs="宋体"/>
                <w:color w:val="auto"/>
                <w:kern w:val="0"/>
                <w:sz w:val="24"/>
                <w:szCs w:val="24"/>
                <w:highlight w:val="none"/>
              </w:rPr>
              <w:t>；</w:t>
            </w:r>
          </w:p>
          <w:p w14:paraId="4D24EC86">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附件预览水印，水印格式自定义设置；</w:t>
            </w:r>
          </w:p>
          <w:p w14:paraId="4AF51F2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附件预览加密文件预览；</w:t>
            </w:r>
          </w:p>
          <w:p w14:paraId="14134A8B">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附件预览页面的打印、放大/缩小、下载按钮配置显示；</w:t>
            </w:r>
          </w:p>
          <w:p w14:paraId="2125700B">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附件设置附件大小、附件类型设置，附件是否在线编辑，附件存储是否加密和加密算法设置；</w:t>
            </w:r>
          </w:p>
          <w:p w14:paraId="2BE191E5">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提醒设置</w:t>
            </w:r>
            <w:r>
              <w:rPr>
                <w:rFonts w:hint="eastAsia" w:ascii="宋体" w:hAnsi="宋体" w:eastAsia="宋体" w:cs="宋体"/>
                <w:color w:val="auto"/>
                <w:kern w:val="0"/>
                <w:sz w:val="24"/>
                <w:szCs w:val="24"/>
                <w:highlight w:val="none"/>
                <w:lang w:eastAsia="zh-Hans"/>
              </w:rPr>
              <w:t>移动端、短信提醒设置；弹窗提醒设置</w:t>
            </w:r>
            <w:r>
              <w:rPr>
                <w:rFonts w:hint="eastAsia" w:ascii="宋体" w:hAnsi="宋体" w:eastAsia="宋体" w:cs="宋体"/>
                <w:color w:val="auto"/>
                <w:kern w:val="0"/>
                <w:sz w:val="24"/>
                <w:szCs w:val="24"/>
                <w:highlight w:val="none"/>
              </w:rPr>
              <w:t>；</w:t>
            </w:r>
          </w:p>
          <w:p w14:paraId="77ED5A9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启用日志设置；自定义设置，为项目二开配置提供便捷设置；</w:t>
            </w:r>
          </w:p>
        </w:tc>
      </w:tr>
      <w:tr w14:paraId="373E2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1CC51F86">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196" w:type="dxa"/>
            <w:vMerge w:val="continue"/>
            <w:vAlign w:val="center"/>
          </w:tcPr>
          <w:p w14:paraId="389331A7">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Merge w:val="continue"/>
            <w:vAlign w:val="center"/>
          </w:tcPr>
          <w:p w14:paraId="54534004">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6F9BC566">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移动访问设置-移动端服务配置可视化；</w:t>
            </w:r>
          </w:p>
        </w:tc>
      </w:tr>
      <w:tr w14:paraId="7E7FF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29520F6C">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196" w:type="dxa"/>
            <w:vMerge w:val="continue"/>
            <w:vAlign w:val="center"/>
          </w:tcPr>
          <w:p w14:paraId="441D2981">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Merge w:val="continue"/>
            <w:vAlign w:val="center"/>
          </w:tcPr>
          <w:p w14:paraId="4F8DF2AB">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6B5F1740">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设置工作日和节假日，用于流程超期等业务判断；</w:t>
            </w:r>
          </w:p>
          <w:p w14:paraId="0139D12A">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设置工作时间，用于用户的考勤状态判断；</w:t>
            </w:r>
          </w:p>
        </w:tc>
      </w:tr>
      <w:tr w14:paraId="2C5FF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42A68324">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196" w:type="dxa"/>
            <w:vMerge w:val="continue"/>
            <w:vAlign w:val="center"/>
          </w:tcPr>
          <w:p w14:paraId="04C7653C">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Merge w:val="continue"/>
            <w:vAlign w:val="center"/>
          </w:tcPr>
          <w:p w14:paraId="56D962DD">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09E87CB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Hans"/>
              </w:rPr>
              <w:t>后台登录页logo、系统名称、网页标题、背景图以及版权信息的设置</w:t>
            </w:r>
            <w:r>
              <w:rPr>
                <w:rFonts w:hint="eastAsia" w:ascii="宋体" w:hAnsi="宋体" w:eastAsia="宋体" w:cs="宋体"/>
                <w:color w:val="auto"/>
                <w:kern w:val="0"/>
                <w:sz w:val="24"/>
                <w:szCs w:val="24"/>
                <w:highlight w:val="none"/>
              </w:rPr>
              <w:t>；</w:t>
            </w:r>
          </w:p>
          <w:p w14:paraId="6886F978">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eastAsia="zh-Hans"/>
              </w:rPr>
            </w:pPr>
            <w:r>
              <w:rPr>
                <w:rFonts w:hint="eastAsia" w:ascii="宋体" w:hAnsi="宋体" w:eastAsia="宋体" w:cs="宋体"/>
                <w:color w:val="auto"/>
                <w:kern w:val="0"/>
                <w:sz w:val="24"/>
                <w:szCs w:val="24"/>
                <w:highlight w:val="none"/>
                <w:lang w:eastAsia="zh-Hans"/>
              </w:rPr>
              <w:t>后台门户logo、</w:t>
            </w:r>
            <w:r>
              <w:rPr>
                <w:rFonts w:hint="eastAsia" w:ascii="宋体" w:hAnsi="宋体" w:eastAsia="宋体" w:cs="宋体"/>
                <w:color w:val="auto"/>
                <w:kern w:val="0"/>
                <w:sz w:val="24"/>
                <w:szCs w:val="24"/>
                <w:highlight w:val="none"/>
              </w:rPr>
              <w:t>logo大小、</w:t>
            </w:r>
            <w:r>
              <w:rPr>
                <w:rFonts w:hint="eastAsia" w:ascii="宋体" w:hAnsi="宋体" w:eastAsia="宋体" w:cs="宋体"/>
                <w:color w:val="auto"/>
                <w:kern w:val="0"/>
                <w:sz w:val="24"/>
                <w:szCs w:val="24"/>
                <w:highlight w:val="none"/>
                <w:lang w:eastAsia="zh-Hans"/>
              </w:rPr>
              <w:t>网页标题的设置</w:t>
            </w:r>
            <w:r>
              <w:rPr>
                <w:rFonts w:hint="eastAsia" w:ascii="宋体" w:hAnsi="宋体" w:eastAsia="宋体" w:cs="宋体"/>
                <w:color w:val="auto"/>
                <w:kern w:val="0"/>
                <w:sz w:val="24"/>
                <w:szCs w:val="24"/>
                <w:highlight w:val="none"/>
              </w:rPr>
              <w:t>；</w:t>
            </w:r>
          </w:p>
        </w:tc>
      </w:tr>
      <w:tr w14:paraId="5E10E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194227FA">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196" w:type="dxa"/>
            <w:vMerge w:val="continue"/>
            <w:vAlign w:val="center"/>
          </w:tcPr>
          <w:p w14:paraId="3CB818B4">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Merge w:val="continue"/>
            <w:vAlign w:val="center"/>
          </w:tcPr>
          <w:p w14:paraId="01D61483">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5E69BC4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b/>
                <w:color w:val="auto"/>
                <w:kern w:val="0"/>
                <w:sz w:val="24"/>
                <w:szCs w:val="24"/>
                <w:highlight w:val="none"/>
              </w:rPr>
              <w:t>枚举管理：</w:t>
            </w:r>
            <w:r>
              <w:rPr>
                <w:rFonts w:hint="eastAsia" w:ascii="宋体" w:hAnsi="宋体" w:eastAsia="宋体" w:cs="宋体"/>
                <w:color w:val="auto"/>
                <w:kern w:val="0"/>
                <w:sz w:val="24"/>
                <w:szCs w:val="24"/>
                <w:highlight w:val="none"/>
              </w:rPr>
              <w:t>管理系统枚举字段，提供常用的公共枚举</w:t>
            </w:r>
            <w:r>
              <w:rPr>
                <w:rFonts w:hint="eastAsia" w:ascii="宋体" w:hAnsi="宋体" w:eastAsia="宋体" w:cs="宋体"/>
                <w:color w:val="auto"/>
                <w:kern w:val="0"/>
                <w:sz w:val="24"/>
                <w:szCs w:val="24"/>
                <w:highlight w:val="none"/>
                <w:lang w:eastAsia="zh-CN"/>
              </w:rPr>
              <w:t>。</w:t>
            </w:r>
          </w:p>
        </w:tc>
      </w:tr>
      <w:tr w14:paraId="1604C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208CC44A">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196" w:type="dxa"/>
            <w:vMerge w:val="continue"/>
            <w:vAlign w:val="center"/>
          </w:tcPr>
          <w:p w14:paraId="37A750B9">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Merge w:val="restart"/>
            <w:vAlign w:val="center"/>
          </w:tcPr>
          <w:p w14:paraId="50F331E1">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统计分析</w:t>
            </w:r>
          </w:p>
        </w:tc>
        <w:tc>
          <w:tcPr>
            <w:tcW w:w="10773" w:type="dxa"/>
          </w:tcPr>
          <w:p w14:paraId="0EAA1C78">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系统使用情况：</w:t>
            </w:r>
            <w:r>
              <w:rPr>
                <w:rFonts w:hint="eastAsia" w:ascii="宋体" w:hAnsi="宋体" w:eastAsia="宋体" w:cs="宋体"/>
                <w:color w:val="auto"/>
                <w:kern w:val="0"/>
                <w:sz w:val="24"/>
                <w:szCs w:val="24"/>
                <w:highlight w:val="none"/>
              </w:rPr>
              <w:t>查看系统整体的访问人数和访问次数，查看统计趋势图和每天的数据记录；</w:t>
            </w:r>
          </w:p>
        </w:tc>
      </w:tr>
      <w:tr w14:paraId="61BFF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59C9E8B8">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196" w:type="dxa"/>
            <w:vMerge w:val="continue"/>
            <w:vAlign w:val="center"/>
          </w:tcPr>
          <w:p w14:paraId="18373001">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Merge w:val="continue"/>
            <w:vAlign w:val="center"/>
          </w:tcPr>
          <w:p w14:paraId="7D8E46BE">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2828190B">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应用使用情况：</w:t>
            </w:r>
            <w:r>
              <w:rPr>
                <w:rFonts w:hint="eastAsia" w:ascii="宋体" w:hAnsi="宋体" w:eastAsia="宋体" w:cs="宋体"/>
                <w:color w:val="auto"/>
                <w:kern w:val="0"/>
                <w:sz w:val="24"/>
                <w:szCs w:val="24"/>
                <w:highlight w:val="none"/>
              </w:rPr>
              <w:t>查看前台各应用的访问人数和访问次数，查看统计趋势图和每天的数据记录；</w:t>
            </w:r>
          </w:p>
        </w:tc>
      </w:tr>
      <w:tr w14:paraId="0A327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05C9BEA7">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196" w:type="dxa"/>
            <w:vMerge w:val="continue"/>
            <w:vAlign w:val="center"/>
          </w:tcPr>
          <w:p w14:paraId="4C360270">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Merge w:val="restart"/>
            <w:vAlign w:val="center"/>
          </w:tcPr>
          <w:p w14:paraId="115C0683">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回收站</w:t>
            </w:r>
          </w:p>
        </w:tc>
        <w:tc>
          <w:tcPr>
            <w:tcW w:w="10773" w:type="dxa"/>
          </w:tcPr>
          <w:p w14:paraId="12A66B76">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信息回收站：</w:t>
            </w:r>
            <w:r>
              <w:rPr>
                <w:rFonts w:hint="eastAsia" w:ascii="宋体" w:hAnsi="宋体" w:eastAsia="宋体" w:cs="宋体"/>
                <w:color w:val="auto"/>
                <w:kern w:val="0"/>
                <w:sz w:val="24"/>
                <w:szCs w:val="24"/>
                <w:highlight w:val="none"/>
              </w:rPr>
              <w:t>在信息频道中删除的信息保存到回收站，恢复、彻底删除；（仅超管账号可见）</w:t>
            </w:r>
          </w:p>
        </w:tc>
      </w:tr>
      <w:tr w14:paraId="4C42A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518496EA">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196" w:type="dxa"/>
            <w:vMerge w:val="continue"/>
            <w:vAlign w:val="center"/>
          </w:tcPr>
          <w:p w14:paraId="291FBA45">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Merge w:val="continue"/>
            <w:vAlign w:val="center"/>
          </w:tcPr>
          <w:p w14:paraId="2BB4DDF8">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54DCF9A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栏目回收站：</w:t>
            </w:r>
            <w:r>
              <w:rPr>
                <w:rFonts w:hint="eastAsia" w:ascii="宋体" w:hAnsi="宋体" w:eastAsia="宋体" w:cs="宋体"/>
                <w:color w:val="auto"/>
                <w:kern w:val="0"/>
                <w:sz w:val="24"/>
                <w:szCs w:val="24"/>
                <w:highlight w:val="none"/>
              </w:rPr>
              <w:t>在信息频道中删除的栏目保存到回收站，恢复、彻底删除；（仅超管账号可见）</w:t>
            </w:r>
          </w:p>
        </w:tc>
      </w:tr>
      <w:tr w14:paraId="1D2CA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1DBF80F3">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196" w:type="dxa"/>
            <w:vMerge w:val="continue"/>
            <w:vAlign w:val="center"/>
          </w:tcPr>
          <w:p w14:paraId="541FBCED">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Merge w:val="restart"/>
            <w:vAlign w:val="center"/>
          </w:tcPr>
          <w:p w14:paraId="17D795BC">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安全配置</w:t>
            </w:r>
          </w:p>
        </w:tc>
        <w:tc>
          <w:tcPr>
            <w:tcW w:w="10773" w:type="dxa"/>
          </w:tcPr>
          <w:p w14:paraId="7515CD28">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安全设置：</w:t>
            </w:r>
            <w:r>
              <w:rPr>
                <w:rFonts w:hint="eastAsia" w:ascii="宋体" w:hAnsi="宋体" w:eastAsia="宋体" w:cs="宋体"/>
                <w:color w:val="auto"/>
                <w:kern w:val="0"/>
                <w:sz w:val="24"/>
                <w:szCs w:val="24"/>
                <w:highlight w:val="none"/>
              </w:rPr>
              <w:t>包括系统超时时间、登录异常提醒、</w:t>
            </w:r>
            <w:r>
              <w:rPr>
                <w:rFonts w:hint="eastAsia" w:ascii="宋体" w:hAnsi="宋体" w:eastAsia="宋体" w:cs="宋体"/>
                <w:color w:val="auto"/>
                <w:kern w:val="0"/>
                <w:sz w:val="24"/>
                <w:szCs w:val="24"/>
                <w:highlight w:val="none"/>
                <w:lang w:eastAsia="zh-Hans"/>
              </w:rPr>
              <w:t>唯一电脑登入设置；</w:t>
            </w:r>
            <w:r>
              <w:rPr>
                <w:rFonts w:hint="eastAsia" w:ascii="宋体" w:hAnsi="宋体" w:eastAsia="宋体" w:cs="宋体"/>
                <w:color w:val="auto"/>
                <w:kern w:val="0"/>
                <w:sz w:val="24"/>
                <w:szCs w:val="24"/>
                <w:highlight w:val="none"/>
              </w:rPr>
              <w:t>密码规则、验证码设置；</w:t>
            </w:r>
          </w:p>
          <w:p w14:paraId="5DE10431">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系统水印设置，水印内容、水印颜色等设置；三员管理等设置；</w:t>
            </w:r>
          </w:p>
        </w:tc>
      </w:tr>
      <w:tr w14:paraId="739F4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5675A51E">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196" w:type="dxa"/>
            <w:vMerge w:val="continue"/>
            <w:vAlign w:val="center"/>
          </w:tcPr>
          <w:p w14:paraId="2AA31776">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Merge w:val="continue"/>
            <w:vAlign w:val="center"/>
          </w:tcPr>
          <w:p w14:paraId="09250137">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6A70505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访问设置：</w:t>
            </w:r>
            <w:r>
              <w:rPr>
                <w:rFonts w:hint="eastAsia" w:ascii="宋体" w:hAnsi="宋体" w:eastAsia="宋体" w:cs="宋体"/>
                <w:color w:val="auto"/>
                <w:kern w:val="0"/>
                <w:sz w:val="24"/>
                <w:szCs w:val="24"/>
                <w:highlight w:val="none"/>
              </w:rPr>
              <w:t>管理访问规则，包括规则名称、访问IP、时间段等信息，新建、编辑、删除等操作；</w:t>
            </w:r>
          </w:p>
        </w:tc>
      </w:tr>
      <w:tr w14:paraId="3C9D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1A5F1B58">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196" w:type="dxa"/>
            <w:vMerge w:val="continue"/>
            <w:vAlign w:val="center"/>
          </w:tcPr>
          <w:p w14:paraId="2A9A8EE3">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Merge w:val="continue"/>
            <w:vAlign w:val="center"/>
          </w:tcPr>
          <w:p w14:paraId="4F0E1251">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5A31C28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敏感词设置：</w:t>
            </w:r>
            <w:r>
              <w:rPr>
                <w:rFonts w:hint="eastAsia" w:ascii="宋体" w:hAnsi="宋体" w:eastAsia="宋体" w:cs="宋体"/>
                <w:color w:val="auto"/>
                <w:kern w:val="0"/>
                <w:sz w:val="24"/>
                <w:szCs w:val="24"/>
                <w:highlight w:val="none"/>
              </w:rPr>
              <w:t>系统敏感词的设置；</w:t>
            </w:r>
          </w:p>
          <w:p w14:paraId="3F4569EA">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敏感词记录：</w:t>
            </w:r>
            <w:r>
              <w:rPr>
                <w:rFonts w:hint="eastAsia" w:ascii="宋体" w:hAnsi="宋体" w:eastAsia="宋体" w:cs="宋体"/>
                <w:color w:val="auto"/>
                <w:kern w:val="0"/>
                <w:sz w:val="24"/>
                <w:szCs w:val="24"/>
                <w:highlight w:val="none"/>
              </w:rPr>
              <w:t>记录应用中敏感词替换操作记录；</w:t>
            </w:r>
          </w:p>
        </w:tc>
      </w:tr>
      <w:tr w14:paraId="5C50D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46721D1D">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196" w:type="dxa"/>
            <w:vMerge w:val="continue"/>
            <w:vAlign w:val="center"/>
          </w:tcPr>
          <w:p w14:paraId="2E2B52A4">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p>
        </w:tc>
        <w:tc>
          <w:tcPr>
            <w:tcW w:w="1559" w:type="dxa"/>
            <w:vMerge w:val="continue"/>
            <w:vAlign w:val="center"/>
          </w:tcPr>
          <w:p w14:paraId="19843DF1">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tcPr>
          <w:p w14:paraId="6E14E78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b/>
                <w:color w:val="auto"/>
                <w:kern w:val="0"/>
                <w:sz w:val="24"/>
                <w:szCs w:val="24"/>
                <w:highlight w:val="none"/>
              </w:rPr>
              <w:t>安全扫描：</w:t>
            </w:r>
            <w:r>
              <w:rPr>
                <w:rFonts w:hint="eastAsia" w:ascii="宋体" w:hAnsi="宋体" w:eastAsia="宋体" w:cs="宋体"/>
                <w:color w:val="auto"/>
                <w:kern w:val="0"/>
                <w:sz w:val="24"/>
                <w:szCs w:val="24"/>
                <w:highlight w:val="none"/>
              </w:rPr>
              <w:t>配置扫描系统和扫描地址，完成对系统的安全扫描并出具扫描报告</w:t>
            </w:r>
            <w:r>
              <w:rPr>
                <w:rFonts w:hint="eastAsia" w:ascii="宋体" w:hAnsi="宋体" w:eastAsia="宋体" w:cs="宋体"/>
                <w:color w:val="auto"/>
                <w:kern w:val="0"/>
                <w:sz w:val="24"/>
                <w:szCs w:val="24"/>
                <w:highlight w:val="none"/>
                <w:lang w:eastAsia="zh-CN"/>
              </w:rPr>
              <w:t>。</w:t>
            </w:r>
          </w:p>
        </w:tc>
      </w:tr>
      <w:tr w14:paraId="4363B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restart"/>
            <w:vAlign w:val="center"/>
          </w:tcPr>
          <w:p w14:paraId="4BC08E9D">
            <w:pPr>
              <w:keepNext w:val="0"/>
              <w:keepLines w:val="0"/>
              <w:pageBreakBefore w:val="0"/>
              <w:kinsoku/>
              <w:wordWrap/>
              <w:overflowPunct/>
              <w:topLinePunct w:val="0"/>
              <w:autoSpaceDE/>
              <w:autoSpaceDN/>
              <w:bidi w:val="0"/>
              <w:adjustRightInd w:val="0"/>
              <w:snapToGrid/>
              <w:spacing w:line="440" w:lineRule="exact"/>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w:t>
            </w:r>
          </w:p>
        </w:tc>
        <w:tc>
          <w:tcPr>
            <w:tcW w:w="1196" w:type="dxa"/>
            <w:vMerge w:val="restart"/>
            <w:vAlign w:val="center"/>
          </w:tcPr>
          <w:p w14:paraId="5C2FCCE8">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技术</w:t>
            </w:r>
            <w:r>
              <w:rPr>
                <w:rFonts w:hint="eastAsia" w:ascii="宋体" w:hAnsi="宋体" w:eastAsia="宋体" w:cs="宋体"/>
                <w:color w:val="auto"/>
                <w:kern w:val="0"/>
                <w:sz w:val="24"/>
                <w:szCs w:val="24"/>
                <w:highlight w:val="none"/>
              </w:rPr>
              <w:t>服务</w:t>
            </w:r>
          </w:p>
        </w:tc>
        <w:tc>
          <w:tcPr>
            <w:tcW w:w="1559" w:type="dxa"/>
            <w:vAlign w:val="center"/>
          </w:tcPr>
          <w:p w14:paraId="6B65BF46">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接口对接服务</w:t>
            </w:r>
          </w:p>
        </w:tc>
        <w:tc>
          <w:tcPr>
            <w:tcW w:w="10773" w:type="dxa"/>
          </w:tcPr>
          <w:p w14:paraId="145322B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b/>
                <w:color w:val="auto"/>
                <w:kern w:val="0"/>
                <w:sz w:val="24"/>
                <w:szCs w:val="24"/>
                <w:highlight w:val="none"/>
                <w:lang w:val="en" w:eastAsia="zh-CN"/>
              </w:rPr>
            </w:pPr>
            <w:r>
              <w:rPr>
                <w:rFonts w:hint="eastAsia" w:ascii="宋体" w:hAnsi="宋体" w:eastAsia="宋体" w:cs="宋体"/>
                <w:color w:val="auto"/>
                <w:kern w:val="0"/>
                <w:sz w:val="24"/>
                <w:szCs w:val="24"/>
                <w:highlight w:val="none"/>
              </w:rPr>
              <w:t>与“新政通”对接、与档案系统对接、电子印章集成</w:t>
            </w:r>
            <w:r>
              <w:rPr>
                <w:rFonts w:hint="eastAsia" w:ascii="宋体" w:hAnsi="宋体" w:eastAsia="宋体" w:cs="宋体"/>
                <w:color w:val="auto"/>
                <w:kern w:val="0"/>
                <w:sz w:val="24"/>
                <w:szCs w:val="24"/>
                <w:highlight w:val="none"/>
                <w:lang w:val="en-US" w:eastAsia="zh-CN"/>
              </w:rPr>
              <w:t>等系统</w:t>
            </w:r>
            <w:r>
              <w:rPr>
                <w:rFonts w:hint="eastAsia" w:ascii="宋体" w:hAnsi="宋体" w:eastAsia="宋体" w:cs="宋体"/>
                <w:color w:val="auto"/>
                <w:kern w:val="0"/>
                <w:sz w:val="24"/>
                <w:szCs w:val="24"/>
                <w:highlight w:val="none"/>
              </w:rPr>
              <w:t>对接</w:t>
            </w:r>
            <w:r>
              <w:rPr>
                <w:rFonts w:hint="eastAsia" w:ascii="宋体" w:hAnsi="宋体" w:eastAsia="宋体" w:cs="宋体"/>
                <w:color w:val="auto"/>
                <w:kern w:val="0"/>
                <w:sz w:val="24"/>
                <w:szCs w:val="24"/>
                <w:highlight w:val="none"/>
                <w:lang w:eastAsia="zh-CN"/>
              </w:rPr>
              <w:t>。</w:t>
            </w:r>
          </w:p>
        </w:tc>
      </w:tr>
      <w:tr w14:paraId="2116B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31EF3EBD">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lang w:val="en-US" w:eastAsia="zh-CN"/>
              </w:rPr>
            </w:pPr>
          </w:p>
        </w:tc>
        <w:tc>
          <w:tcPr>
            <w:tcW w:w="1196" w:type="dxa"/>
            <w:vMerge w:val="continue"/>
            <w:vAlign w:val="center"/>
          </w:tcPr>
          <w:p w14:paraId="34CAD66F">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lang w:eastAsia="zh-CN"/>
              </w:rPr>
            </w:pPr>
          </w:p>
        </w:tc>
        <w:tc>
          <w:tcPr>
            <w:tcW w:w="1559" w:type="dxa"/>
            <w:vAlign w:val="center"/>
          </w:tcPr>
          <w:p w14:paraId="6B245FC8">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lang w:eastAsia="zh-CN"/>
              </w:rPr>
              <w:t>搬迁服务要求</w:t>
            </w:r>
          </w:p>
        </w:tc>
        <w:tc>
          <w:tcPr>
            <w:tcW w:w="10773" w:type="dxa"/>
          </w:tcPr>
          <w:p w14:paraId="4A44BF5A">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根据单位工作实际，针对近</w:t>
            </w:r>
            <w:r>
              <w:rPr>
                <w:rFonts w:hint="eastAsia" w:ascii="宋体" w:hAnsi="宋体" w:eastAsia="宋体" w:cs="宋体"/>
                <w:color w:val="auto"/>
                <w:kern w:val="0"/>
                <w:sz w:val="24"/>
                <w:szCs w:val="24"/>
                <w:highlight w:val="none"/>
                <w:lang w:val="en-US" w:eastAsia="zh-CN"/>
              </w:rPr>
              <w:t>5年</w:t>
            </w:r>
            <w:r>
              <w:rPr>
                <w:rFonts w:hint="eastAsia" w:ascii="宋体" w:hAnsi="宋体" w:eastAsia="宋体" w:cs="宋体"/>
                <w:color w:val="auto"/>
                <w:kern w:val="0"/>
                <w:sz w:val="24"/>
                <w:szCs w:val="24"/>
                <w:highlight w:val="none"/>
                <w:lang w:eastAsia="zh-CN"/>
              </w:rPr>
              <w:t>办公地点的</w:t>
            </w:r>
            <w:r>
              <w:rPr>
                <w:rFonts w:hint="eastAsia" w:ascii="宋体" w:hAnsi="宋体" w:eastAsia="宋体" w:cs="宋体"/>
                <w:color w:val="auto"/>
                <w:kern w:val="0"/>
                <w:sz w:val="24"/>
                <w:szCs w:val="24"/>
                <w:highlight w:val="none"/>
                <w:lang w:val="en-US" w:eastAsia="zh-CN"/>
              </w:rPr>
              <w:t>搬迁工作无偿提供技术保障。</w:t>
            </w:r>
          </w:p>
        </w:tc>
      </w:tr>
      <w:tr w14:paraId="1E7CA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74311FCD">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lang w:val="en-US" w:eastAsia="zh-CN"/>
              </w:rPr>
            </w:pPr>
          </w:p>
        </w:tc>
        <w:tc>
          <w:tcPr>
            <w:tcW w:w="1196" w:type="dxa"/>
            <w:vMerge w:val="continue"/>
            <w:vAlign w:val="center"/>
          </w:tcPr>
          <w:p w14:paraId="3AB29962">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lang w:eastAsia="zh-CN"/>
              </w:rPr>
            </w:pPr>
          </w:p>
        </w:tc>
        <w:tc>
          <w:tcPr>
            <w:tcW w:w="1559" w:type="dxa"/>
            <w:vAlign w:val="center"/>
          </w:tcPr>
          <w:p w14:paraId="38063B8E">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lang w:eastAsia="zh-CN"/>
              </w:rPr>
              <w:t>网络对接</w:t>
            </w:r>
          </w:p>
        </w:tc>
        <w:tc>
          <w:tcPr>
            <w:tcW w:w="10773" w:type="dxa"/>
          </w:tcPr>
          <w:p w14:paraId="19F930CD">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政务外网向政务内网迁移布置的技术</w:t>
            </w:r>
            <w:r>
              <w:rPr>
                <w:rFonts w:hint="eastAsia" w:ascii="宋体" w:hAnsi="宋体" w:eastAsia="宋体" w:cs="宋体"/>
                <w:color w:val="auto"/>
                <w:kern w:val="0"/>
                <w:sz w:val="24"/>
                <w:szCs w:val="24"/>
                <w:highlight w:val="none"/>
                <w:lang w:val="en-US" w:eastAsia="zh-CN"/>
              </w:rPr>
              <w:t>支撑</w:t>
            </w:r>
            <w:r>
              <w:rPr>
                <w:rFonts w:hint="eastAsia" w:ascii="宋体" w:hAnsi="宋体" w:eastAsia="宋体" w:cs="宋体"/>
                <w:color w:val="auto"/>
                <w:kern w:val="0"/>
                <w:sz w:val="24"/>
                <w:szCs w:val="24"/>
                <w:highlight w:val="none"/>
                <w:lang w:eastAsia="zh-CN"/>
              </w:rPr>
              <w:t>。</w:t>
            </w:r>
          </w:p>
        </w:tc>
      </w:tr>
      <w:tr w14:paraId="272D0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0A676EBF">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lang w:val="en-US" w:eastAsia="zh-CN"/>
              </w:rPr>
            </w:pPr>
          </w:p>
        </w:tc>
        <w:tc>
          <w:tcPr>
            <w:tcW w:w="1196" w:type="dxa"/>
            <w:vMerge w:val="continue"/>
            <w:vAlign w:val="center"/>
          </w:tcPr>
          <w:p w14:paraId="7EF5CB1D">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lang w:eastAsia="zh-CN"/>
              </w:rPr>
            </w:pPr>
          </w:p>
        </w:tc>
        <w:tc>
          <w:tcPr>
            <w:tcW w:w="1559" w:type="dxa"/>
            <w:vAlign w:val="center"/>
          </w:tcPr>
          <w:p w14:paraId="3F0A9DAC">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lang w:eastAsia="zh-CN"/>
              </w:rPr>
              <w:t>保密要求</w:t>
            </w:r>
          </w:p>
        </w:tc>
        <w:tc>
          <w:tcPr>
            <w:tcW w:w="10773" w:type="dxa"/>
          </w:tcPr>
          <w:p w14:paraId="11B88D1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符合国家保密相关规定，满足新疆维吾尔自治区党政机关保密相关要求，在后期系统日常维护中，能及时根据国家和自治区保密相关规定及时提出进一步的合理有建设意义的措施，所有施工人员需与甲方签订保密责任书，如乙方因履约中发生失泄密行为，则由乙方承担相应后果。</w:t>
            </w:r>
          </w:p>
        </w:tc>
      </w:tr>
      <w:tr w14:paraId="08EE0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Merge w:val="continue"/>
            <w:vAlign w:val="center"/>
          </w:tcPr>
          <w:p w14:paraId="6FF9E5FE">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lang w:val="en-US" w:eastAsia="zh-CN"/>
              </w:rPr>
            </w:pPr>
          </w:p>
        </w:tc>
        <w:tc>
          <w:tcPr>
            <w:tcW w:w="1196" w:type="dxa"/>
            <w:vMerge w:val="continue"/>
            <w:vAlign w:val="center"/>
          </w:tcPr>
          <w:p w14:paraId="581AAFDC">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lang w:eastAsia="zh-CN"/>
              </w:rPr>
            </w:pPr>
          </w:p>
        </w:tc>
        <w:tc>
          <w:tcPr>
            <w:tcW w:w="1559" w:type="dxa"/>
            <w:vAlign w:val="center"/>
          </w:tcPr>
          <w:p w14:paraId="3C89AA17">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lang w:eastAsia="zh-CN"/>
              </w:rPr>
              <w:t>日常维护</w:t>
            </w:r>
          </w:p>
        </w:tc>
        <w:tc>
          <w:tcPr>
            <w:tcW w:w="10773" w:type="dxa"/>
          </w:tcPr>
          <w:p w14:paraId="723A785A">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该项目上线试运行期间，乙方要及时派出技术人员对甲方工作人员进行系统使用及日常管理应用的培训，并持续对系统使用过程中出现的问题进行优化和处理，进一步满足甲方需求，确保系统稳定。待系统稳定运行后，乙方要定期对该系统进行检查维护，并根据形势需要提出建设性的完善建议。</w:t>
            </w:r>
          </w:p>
        </w:tc>
      </w:tr>
      <w:tr w14:paraId="5CFF1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Align w:val="center"/>
          </w:tcPr>
          <w:p w14:paraId="764D35A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w:t>
            </w:r>
          </w:p>
        </w:tc>
        <w:tc>
          <w:tcPr>
            <w:tcW w:w="1196" w:type="dxa"/>
            <w:vAlign w:val="center"/>
          </w:tcPr>
          <w:p w14:paraId="74F78334">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用户最大使用量</w:t>
            </w:r>
          </w:p>
        </w:tc>
        <w:tc>
          <w:tcPr>
            <w:tcW w:w="1559" w:type="dxa"/>
            <w:vAlign w:val="center"/>
          </w:tcPr>
          <w:p w14:paraId="12886358">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vAlign w:val="center"/>
          </w:tcPr>
          <w:p w14:paraId="4BC557FE">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能够</w:t>
            </w:r>
            <w:r>
              <w:rPr>
                <w:rFonts w:hint="eastAsia" w:ascii="宋体" w:hAnsi="宋体" w:eastAsia="宋体" w:cs="宋体"/>
                <w:color w:val="auto"/>
                <w:kern w:val="0"/>
                <w:sz w:val="24"/>
                <w:szCs w:val="24"/>
                <w:highlight w:val="none"/>
                <w:lang w:val="en-US" w:eastAsia="zh-CN"/>
              </w:rPr>
              <w:t>提供</w:t>
            </w:r>
            <w:r>
              <w:rPr>
                <w:rFonts w:hint="eastAsia" w:ascii="宋体" w:hAnsi="宋体" w:eastAsia="宋体" w:cs="宋体"/>
                <w:color w:val="auto"/>
                <w:kern w:val="0"/>
                <w:sz w:val="24"/>
                <w:szCs w:val="24"/>
                <w:highlight w:val="none"/>
                <w:lang w:eastAsia="zh-CN"/>
              </w:rPr>
              <w:t>最大</w:t>
            </w:r>
            <w:r>
              <w:rPr>
                <w:rFonts w:hint="eastAsia" w:ascii="宋体" w:hAnsi="宋体" w:eastAsia="宋体" w:cs="宋体"/>
                <w:color w:val="auto"/>
                <w:kern w:val="0"/>
                <w:sz w:val="24"/>
                <w:szCs w:val="24"/>
                <w:highlight w:val="none"/>
                <w:lang w:val="en-US" w:eastAsia="zh-CN"/>
              </w:rPr>
              <w:t>500个并发数的使用。</w:t>
            </w:r>
          </w:p>
        </w:tc>
      </w:tr>
      <w:tr w14:paraId="30DE6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Align w:val="center"/>
          </w:tcPr>
          <w:p w14:paraId="1FC04868">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w:t>
            </w:r>
          </w:p>
        </w:tc>
        <w:tc>
          <w:tcPr>
            <w:tcW w:w="1196" w:type="dxa"/>
            <w:vAlign w:val="center"/>
          </w:tcPr>
          <w:p w14:paraId="25F19D17">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产品质保</w:t>
            </w:r>
          </w:p>
        </w:tc>
        <w:tc>
          <w:tcPr>
            <w:tcW w:w="1559" w:type="dxa"/>
            <w:vAlign w:val="center"/>
          </w:tcPr>
          <w:p w14:paraId="0F25B0FC">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vAlign w:val="center"/>
          </w:tcPr>
          <w:p w14:paraId="5D10FC44">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系统软硬件均需提供1年免费质保，后续系统运行维护按照甲方采购相关管理办法执行。</w:t>
            </w:r>
          </w:p>
        </w:tc>
      </w:tr>
      <w:tr w14:paraId="762F4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Align w:val="center"/>
          </w:tcPr>
          <w:p w14:paraId="1754FE11">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w:t>
            </w:r>
          </w:p>
        </w:tc>
        <w:tc>
          <w:tcPr>
            <w:tcW w:w="1196" w:type="dxa"/>
            <w:vAlign w:val="center"/>
          </w:tcPr>
          <w:p w14:paraId="6F9FE8CD">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费用结算</w:t>
            </w:r>
          </w:p>
        </w:tc>
        <w:tc>
          <w:tcPr>
            <w:tcW w:w="1559" w:type="dxa"/>
            <w:vAlign w:val="center"/>
          </w:tcPr>
          <w:p w14:paraId="3EC99AB6">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color w:val="auto"/>
                <w:kern w:val="0"/>
                <w:sz w:val="24"/>
                <w:szCs w:val="24"/>
                <w:highlight w:val="none"/>
              </w:rPr>
            </w:pPr>
          </w:p>
        </w:tc>
        <w:tc>
          <w:tcPr>
            <w:tcW w:w="10773" w:type="dxa"/>
            <w:vAlign w:val="center"/>
          </w:tcPr>
          <w:p w14:paraId="4D1F8908">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根据后期合同按照相关规定留取部分资金作为质保金，确保系统在质保期限内进一步完善合同内相关功能。</w:t>
            </w:r>
          </w:p>
        </w:tc>
      </w:tr>
    </w:tbl>
    <w:p w14:paraId="74A3F8B9">
      <w:pPr>
        <w:bidi w:val="0"/>
        <w:rPr>
          <w:rFonts w:hint="eastAsia"/>
          <w:color w:val="auto"/>
          <w:highlight w:val="none"/>
        </w:rPr>
      </w:pPr>
    </w:p>
    <w:p w14:paraId="2E39BB50">
      <w:pPr>
        <w:bidi w:val="0"/>
        <w:rPr>
          <w:rFonts w:hint="eastAsia"/>
          <w:color w:val="auto"/>
          <w:highlight w:val="none"/>
        </w:rPr>
      </w:pPr>
    </w:p>
    <w:p w14:paraId="3BC8E7B1">
      <w:pPr>
        <w:bidi w:val="0"/>
        <w:rPr>
          <w:rFonts w:hint="eastAsia"/>
          <w:color w:val="auto"/>
          <w:highlight w:val="none"/>
        </w:rPr>
      </w:pPr>
    </w:p>
    <w:p w14:paraId="48924D4B">
      <w:pPr>
        <w:bidi w:val="0"/>
        <w:rPr>
          <w:rFonts w:hint="eastAsia"/>
          <w:color w:val="auto"/>
          <w:highlight w:val="none"/>
        </w:rPr>
      </w:pPr>
    </w:p>
    <w:p w14:paraId="627B6F07">
      <w:pPr>
        <w:pStyle w:val="2"/>
        <w:rPr>
          <w:rFonts w:hint="eastAsia"/>
          <w:color w:val="auto"/>
          <w:highlight w:val="none"/>
        </w:rPr>
      </w:pPr>
    </w:p>
    <w:p w14:paraId="39C47C1A">
      <w:pPr>
        <w:rPr>
          <w:rFonts w:hint="eastAsia"/>
          <w:color w:val="auto"/>
          <w:highlight w:val="none"/>
        </w:rPr>
      </w:pPr>
    </w:p>
    <w:p w14:paraId="26C82D23">
      <w:pPr>
        <w:pStyle w:val="2"/>
        <w:rPr>
          <w:rFonts w:hint="eastAsia"/>
          <w:color w:val="auto"/>
          <w:highlight w:val="none"/>
        </w:rPr>
      </w:pPr>
    </w:p>
    <w:p w14:paraId="46186F5A">
      <w:pPr>
        <w:bidi w:val="0"/>
        <w:rPr>
          <w:rFonts w:hint="eastAsia"/>
          <w:color w:val="auto"/>
          <w:highlight w:val="none"/>
        </w:rPr>
      </w:pPr>
    </w:p>
    <w:p w14:paraId="3180C233">
      <w:pPr>
        <w:rPr>
          <w:rFonts w:hint="eastAsia" w:ascii="宋体" w:hAnsi="宋体" w:eastAsia="宋体" w:cs="宋体"/>
          <w:color w:val="auto"/>
          <w:sz w:val="24"/>
          <w:szCs w:val="24"/>
          <w:highlight w:val="none"/>
        </w:rPr>
      </w:pPr>
    </w:p>
    <w:p w14:paraId="11D42291">
      <w:pPr>
        <w:pStyle w:val="20"/>
        <w:rPr>
          <w:rFonts w:hint="eastAsia"/>
          <w:color w:val="auto"/>
          <w:highlight w:val="none"/>
        </w:rPr>
      </w:pPr>
    </w:p>
    <w:p w14:paraId="2C02765A">
      <w:pPr>
        <w:pStyle w:val="32"/>
        <w:keepNext w:val="0"/>
        <w:keepLines w:val="0"/>
        <w:pageBreakBefore w:val="0"/>
        <w:kinsoku/>
        <w:wordWrap/>
        <w:overflowPunct/>
        <w:topLinePunct w:val="0"/>
        <w:autoSpaceDE/>
        <w:autoSpaceDN/>
        <w:bidi w:val="0"/>
        <w:snapToGrid/>
        <w:spacing w:before="0" w:after="0" w:line="440" w:lineRule="exact"/>
        <w:jc w:val="left"/>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二、配套：</w:t>
      </w:r>
    </w:p>
    <w:tbl>
      <w:tblPr>
        <w:tblStyle w:val="38"/>
        <w:tblW w:w="13551" w:type="dxa"/>
        <w:tblInd w:w="1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83"/>
        <w:gridCol w:w="2257"/>
        <w:gridCol w:w="1864"/>
        <w:gridCol w:w="8647"/>
      </w:tblGrid>
      <w:tr w14:paraId="59FF18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7" w:hRule="atLeast"/>
        </w:trPr>
        <w:tc>
          <w:tcPr>
            <w:tcW w:w="783" w:type="dxa"/>
            <w:tcBorders>
              <w:top w:val="single" w:color="auto" w:sz="4" w:space="0"/>
              <w:left w:val="single" w:color="auto" w:sz="4" w:space="0"/>
              <w:bottom w:val="single" w:color="auto" w:sz="4" w:space="0"/>
              <w:right w:val="single" w:color="auto" w:sz="4" w:space="0"/>
            </w:tcBorders>
            <w:shd w:val="clear" w:color="auto" w:fill="BDD6EE"/>
            <w:vAlign w:val="center"/>
          </w:tcPr>
          <w:p w14:paraId="13C810D2">
            <w:pPr>
              <w:keepNext w:val="0"/>
              <w:keepLines w:val="0"/>
              <w:pageBreakBefore w:val="0"/>
              <w:widowControl/>
              <w:kinsoku/>
              <w:wordWrap/>
              <w:overflowPunct/>
              <w:topLinePunct w:val="0"/>
              <w:autoSpaceDE/>
              <w:autoSpaceDN/>
              <w:bidi w:val="0"/>
              <w:snapToGrid/>
              <w:spacing w:line="440" w:lineRule="exact"/>
              <w:jc w:val="righ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2257" w:type="dxa"/>
            <w:tcBorders>
              <w:top w:val="single" w:color="auto" w:sz="4" w:space="0"/>
              <w:left w:val="single" w:color="auto" w:sz="4" w:space="0"/>
              <w:bottom w:val="single" w:color="auto" w:sz="4" w:space="0"/>
              <w:right w:val="single" w:color="auto" w:sz="4" w:space="0"/>
            </w:tcBorders>
            <w:shd w:val="clear" w:color="auto" w:fill="BDD6EE"/>
            <w:vAlign w:val="center"/>
          </w:tcPr>
          <w:p w14:paraId="3BCCCB05">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产品名称</w:t>
            </w:r>
          </w:p>
        </w:tc>
        <w:tc>
          <w:tcPr>
            <w:tcW w:w="1864" w:type="dxa"/>
            <w:tcBorders>
              <w:top w:val="single" w:color="auto" w:sz="4" w:space="0"/>
              <w:left w:val="single" w:color="auto" w:sz="4" w:space="0"/>
              <w:bottom w:val="single" w:color="auto" w:sz="4" w:space="0"/>
              <w:right w:val="single" w:color="auto" w:sz="4" w:space="0"/>
            </w:tcBorders>
            <w:shd w:val="clear" w:color="auto" w:fill="BDD6EE"/>
            <w:vAlign w:val="center"/>
          </w:tcPr>
          <w:p w14:paraId="3EC344A6">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eastAsia="zh-CN"/>
              </w:rPr>
              <w:t>功能菜单</w:t>
            </w:r>
          </w:p>
        </w:tc>
        <w:tc>
          <w:tcPr>
            <w:tcW w:w="8647" w:type="dxa"/>
            <w:tcBorders>
              <w:top w:val="single" w:color="auto" w:sz="4" w:space="0"/>
              <w:left w:val="single" w:color="auto" w:sz="4" w:space="0"/>
              <w:bottom w:val="single" w:color="auto" w:sz="4" w:space="0"/>
              <w:right w:val="single" w:color="auto" w:sz="4" w:space="0"/>
            </w:tcBorders>
            <w:shd w:val="clear" w:color="auto" w:fill="BDD6EE"/>
            <w:vAlign w:val="center"/>
          </w:tcPr>
          <w:p w14:paraId="1D7100C0">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功能介绍</w:t>
            </w:r>
          </w:p>
        </w:tc>
      </w:tr>
      <w:tr w14:paraId="48785F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83" w:type="dxa"/>
            <w:tcBorders>
              <w:top w:val="single" w:color="auto" w:sz="4" w:space="0"/>
              <w:left w:val="single" w:color="auto" w:sz="4" w:space="0"/>
              <w:right w:val="single" w:color="auto" w:sz="4" w:space="0"/>
            </w:tcBorders>
            <w:shd w:val="clear" w:color="auto" w:fill="FFFFFF"/>
            <w:vAlign w:val="center"/>
          </w:tcPr>
          <w:p w14:paraId="2FE1A100">
            <w:pPr>
              <w:pStyle w:val="65"/>
              <w:keepNext w:val="0"/>
              <w:keepLines w:val="0"/>
              <w:pageBreakBefore w:val="0"/>
              <w:widowControl/>
              <w:numPr>
                <w:ilvl w:val="0"/>
                <w:numId w:val="4"/>
              </w:numPr>
              <w:kinsoku/>
              <w:wordWrap/>
              <w:overflowPunct/>
              <w:topLinePunct w:val="0"/>
              <w:autoSpaceDE/>
              <w:autoSpaceDN/>
              <w:bidi w:val="0"/>
              <w:snapToGrid/>
              <w:spacing w:line="440" w:lineRule="exact"/>
              <w:ind w:left="0" w:firstLineChars="0"/>
              <w:jc w:val="right"/>
              <w:textAlignment w:val="auto"/>
              <w:rPr>
                <w:rFonts w:hint="eastAsia" w:ascii="宋体" w:hAnsi="宋体" w:eastAsia="宋体" w:cs="宋体"/>
                <w:b/>
                <w:color w:val="auto"/>
                <w:kern w:val="0"/>
                <w:sz w:val="24"/>
                <w:szCs w:val="24"/>
                <w:highlight w:val="none"/>
              </w:rPr>
            </w:pPr>
          </w:p>
        </w:tc>
        <w:tc>
          <w:tcPr>
            <w:tcW w:w="2257" w:type="dxa"/>
            <w:tcBorders>
              <w:top w:val="single" w:color="auto" w:sz="4" w:space="0"/>
              <w:left w:val="single" w:color="auto" w:sz="4" w:space="0"/>
              <w:right w:val="single" w:color="auto" w:sz="4" w:space="0"/>
            </w:tcBorders>
            <w:shd w:val="clear" w:color="auto" w:fill="FFFFFF"/>
            <w:vAlign w:val="center"/>
          </w:tcPr>
          <w:p w14:paraId="638FA7B2">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宋体" w:hAnsi="宋体" w:eastAsia="宋体" w:cs="宋体"/>
                <w:b/>
                <w:color w:val="auto"/>
                <w:kern w:val="0"/>
                <w:sz w:val="24"/>
                <w:szCs w:val="24"/>
                <w:highlight w:val="none"/>
                <w:lang w:val="en" w:eastAsia="zh-CN"/>
              </w:rPr>
            </w:pPr>
            <w:r>
              <w:rPr>
                <w:rFonts w:hint="eastAsia" w:ascii="宋体" w:hAnsi="宋体" w:eastAsia="宋体" w:cs="宋体"/>
                <w:b/>
                <w:color w:val="auto"/>
                <w:kern w:val="0"/>
                <w:sz w:val="24"/>
                <w:szCs w:val="24"/>
                <w:highlight w:val="none"/>
              </w:rPr>
              <w:t>文档</w:t>
            </w:r>
            <w:r>
              <w:rPr>
                <w:rFonts w:hint="eastAsia" w:ascii="宋体" w:hAnsi="宋体" w:eastAsia="宋体" w:cs="宋体"/>
                <w:b/>
                <w:color w:val="auto"/>
                <w:kern w:val="0"/>
                <w:sz w:val="24"/>
                <w:szCs w:val="24"/>
                <w:highlight w:val="none"/>
                <w:lang w:eastAsia="zh-CN"/>
              </w:rPr>
              <w:t>中台</w:t>
            </w:r>
          </w:p>
        </w:tc>
        <w:tc>
          <w:tcPr>
            <w:tcW w:w="1864" w:type="dxa"/>
            <w:tcBorders>
              <w:top w:val="single" w:color="auto" w:sz="4" w:space="0"/>
              <w:left w:val="single" w:color="auto" w:sz="4" w:space="0"/>
              <w:bottom w:val="single" w:color="auto" w:sz="4" w:space="0"/>
              <w:right w:val="single" w:color="auto" w:sz="4" w:space="0"/>
            </w:tcBorders>
            <w:shd w:val="clear" w:color="auto" w:fill="FFFFFF"/>
            <w:vAlign w:val="center"/>
          </w:tcPr>
          <w:p w14:paraId="53DF291D">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提供文档中台</w:t>
            </w:r>
          </w:p>
          <w:p w14:paraId="055636A0">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rPr>
              <w:t>1年应用授权</w:t>
            </w:r>
          </w:p>
        </w:tc>
        <w:tc>
          <w:tcPr>
            <w:tcW w:w="8647" w:type="dxa"/>
            <w:tcBorders>
              <w:top w:val="single" w:color="auto" w:sz="4" w:space="0"/>
              <w:left w:val="single" w:color="auto" w:sz="4" w:space="0"/>
              <w:bottom w:val="single" w:color="auto" w:sz="4" w:space="0"/>
              <w:right w:val="single" w:color="auto" w:sz="4" w:space="0"/>
            </w:tcBorders>
            <w:shd w:val="clear" w:color="auto" w:fill="FFFFFF"/>
          </w:tcPr>
          <w:p w14:paraId="245A2C1B">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1.支持在X86服务器和国产服务器环境部署；</w:t>
            </w:r>
          </w:p>
          <w:p w14:paraId="280EAAE2">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2.国产CPU支持：支持鲲鹏920、飞腾2000、海光7280/7285、龙芯LS3C5000l等；</w:t>
            </w:r>
          </w:p>
          <w:p w14:paraId="0CD53262">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3.国产操作系统支持：银河麒麟、UOS、中科方德、龙蜥、龙芯等。</w:t>
            </w:r>
          </w:p>
          <w:p w14:paraId="4F772F54">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4.支持文档在线预览时限制用户数，支持限制打开文件的大小，须支持2G大小的word、excel、ppt、pdf文件在线预览；</w:t>
            </w:r>
          </w:p>
          <w:p w14:paraId="2375BDD0">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5.支持在业务系统中进行多种文件格式（doc、docx、wps、xls、xlsx、et、ppt、pptx、dpt）的在线编辑，同时支持在PDF文件上批注；</w:t>
            </w:r>
          </w:p>
          <w:p w14:paraId="433FC4CB">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eastAsia="zh-CN"/>
              </w:rPr>
              <w:t>6.支持第三方应用调用接口实现套用套红、文档清稿、添加文档水印等能力。</w:t>
            </w:r>
          </w:p>
        </w:tc>
      </w:tr>
      <w:tr w14:paraId="439537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83" w:type="dxa"/>
            <w:tcBorders>
              <w:top w:val="single" w:color="auto" w:sz="4" w:space="0"/>
              <w:left w:val="single" w:color="auto" w:sz="4" w:space="0"/>
              <w:right w:val="single" w:color="auto" w:sz="4" w:space="0"/>
            </w:tcBorders>
            <w:vAlign w:val="center"/>
          </w:tcPr>
          <w:p w14:paraId="483B1A0B">
            <w:pPr>
              <w:pStyle w:val="65"/>
              <w:keepNext w:val="0"/>
              <w:keepLines w:val="0"/>
              <w:pageBreakBefore w:val="0"/>
              <w:widowControl/>
              <w:numPr>
                <w:ilvl w:val="0"/>
                <w:numId w:val="4"/>
              </w:numPr>
              <w:kinsoku/>
              <w:wordWrap/>
              <w:overflowPunct/>
              <w:topLinePunct w:val="0"/>
              <w:autoSpaceDE/>
              <w:autoSpaceDN/>
              <w:bidi w:val="0"/>
              <w:snapToGrid/>
              <w:spacing w:line="440" w:lineRule="exact"/>
              <w:ind w:left="0" w:firstLineChars="0"/>
              <w:jc w:val="right"/>
              <w:textAlignment w:val="auto"/>
              <w:rPr>
                <w:rFonts w:hint="eastAsia" w:ascii="宋体" w:hAnsi="宋体" w:eastAsia="宋体" w:cs="宋体"/>
                <w:b/>
                <w:color w:val="auto"/>
                <w:kern w:val="0"/>
                <w:sz w:val="24"/>
                <w:szCs w:val="24"/>
                <w:highlight w:val="none"/>
              </w:rPr>
            </w:pPr>
          </w:p>
        </w:tc>
        <w:tc>
          <w:tcPr>
            <w:tcW w:w="2257" w:type="dxa"/>
            <w:tcBorders>
              <w:top w:val="single" w:color="auto" w:sz="4" w:space="0"/>
              <w:left w:val="single" w:color="auto" w:sz="4" w:space="0"/>
              <w:bottom w:val="single" w:color="auto" w:sz="4" w:space="0"/>
              <w:right w:val="single" w:color="auto" w:sz="4" w:space="0"/>
            </w:tcBorders>
            <w:vAlign w:val="center"/>
          </w:tcPr>
          <w:p w14:paraId="68EA56BC">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国产化中间件</w:t>
            </w:r>
          </w:p>
        </w:tc>
        <w:tc>
          <w:tcPr>
            <w:tcW w:w="1864" w:type="dxa"/>
            <w:tcBorders>
              <w:top w:val="single" w:color="auto" w:sz="4" w:space="0"/>
              <w:left w:val="single" w:color="auto" w:sz="4" w:space="0"/>
              <w:bottom w:val="single" w:color="auto" w:sz="4" w:space="0"/>
              <w:right w:val="single" w:color="auto" w:sz="4" w:space="0"/>
            </w:tcBorders>
            <w:vAlign w:val="center"/>
          </w:tcPr>
          <w:p w14:paraId="0C29572B">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国产化中间件</w:t>
            </w:r>
          </w:p>
        </w:tc>
        <w:tc>
          <w:tcPr>
            <w:tcW w:w="8647" w:type="dxa"/>
            <w:tcBorders>
              <w:top w:val="single" w:color="auto" w:sz="4" w:space="0"/>
              <w:left w:val="single" w:color="auto" w:sz="4" w:space="0"/>
              <w:bottom w:val="single" w:color="auto" w:sz="4" w:space="0"/>
              <w:right w:val="single" w:color="auto" w:sz="4" w:space="0"/>
            </w:tcBorders>
          </w:tcPr>
          <w:p w14:paraId="0B99E782">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国产主流中间件：要求</w:t>
            </w:r>
            <w:r>
              <w:rPr>
                <w:rFonts w:hint="eastAsia" w:ascii="宋体" w:hAnsi="宋体" w:eastAsia="宋体" w:cs="宋体"/>
                <w:color w:val="auto"/>
                <w:sz w:val="24"/>
                <w:szCs w:val="24"/>
                <w:highlight w:val="none"/>
                <w:lang w:eastAsia="zh-CN"/>
              </w:rPr>
              <w:t>支持</w:t>
            </w:r>
            <w:r>
              <w:rPr>
                <w:rFonts w:hint="eastAsia" w:ascii="宋体" w:hAnsi="宋体" w:eastAsia="宋体" w:cs="宋体"/>
                <w:color w:val="auto"/>
                <w:sz w:val="24"/>
                <w:szCs w:val="24"/>
                <w:highlight w:val="none"/>
              </w:rPr>
              <w:t>和适配全信创基础软硬件环境。</w:t>
            </w:r>
          </w:p>
          <w:p w14:paraId="222C6668">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1、具有自主知识产权；产品必须符合信创要求。</w:t>
            </w:r>
          </w:p>
          <w:p w14:paraId="7A522279">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、中间件产品提供包括 Web容器、监控管理、JAVA规范管理、JMX服务、JMS消息服务、日志管理、应用部署、数据源管理、数据库连接池管理等基础功能。</w:t>
            </w:r>
          </w:p>
          <w:p w14:paraId="025EA7D1">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、中间件产品应用增量文件包在线自动化更新。</w:t>
            </w:r>
          </w:p>
          <w:p w14:paraId="20F721AF">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、中间件产品提供完善的集群技术与 Session 管理，内置分布式会话管理方案。</w:t>
            </w:r>
          </w:p>
          <w:p w14:paraId="57F85B11">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支持</w:t>
            </w:r>
            <w:r>
              <w:rPr>
                <w:rFonts w:hint="eastAsia" w:ascii="宋体" w:hAnsi="宋体" w:eastAsia="宋体" w:cs="宋体"/>
                <w:color w:val="auto"/>
                <w:sz w:val="24"/>
                <w:szCs w:val="24"/>
                <w:highlight w:val="none"/>
              </w:rPr>
              <w:t>多种负载管理算法。</w:t>
            </w:r>
          </w:p>
          <w:p w14:paraId="476C41E7">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、中间件产品通过应用Web接口的QPS、并发数等指标对应用请求进行限流。</w:t>
            </w:r>
          </w:p>
          <w:p w14:paraId="10143DC9">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、中间件产品拦截多种web安全攻击，安全防护统计功能。</w:t>
            </w:r>
          </w:p>
        </w:tc>
      </w:tr>
      <w:tr w14:paraId="74B900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83" w:type="dxa"/>
            <w:tcBorders>
              <w:top w:val="single" w:color="auto" w:sz="4" w:space="0"/>
              <w:left w:val="single" w:color="auto" w:sz="4" w:space="0"/>
              <w:bottom w:val="single" w:color="auto" w:sz="4" w:space="0"/>
              <w:right w:val="single" w:color="auto" w:sz="4" w:space="0"/>
            </w:tcBorders>
            <w:vAlign w:val="center"/>
          </w:tcPr>
          <w:p w14:paraId="2EB56089">
            <w:pPr>
              <w:pStyle w:val="65"/>
              <w:keepNext w:val="0"/>
              <w:keepLines w:val="0"/>
              <w:pageBreakBefore w:val="0"/>
              <w:widowControl/>
              <w:numPr>
                <w:ilvl w:val="0"/>
                <w:numId w:val="4"/>
              </w:numPr>
              <w:kinsoku/>
              <w:wordWrap/>
              <w:overflowPunct/>
              <w:topLinePunct w:val="0"/>
              <w:autoSpaceDE/>
              <w:autoSpaceDN/>
              <w:bidi w:val="0"/>
              <w:snapToGrid/>
              <w:spacing w:line="440" w:lineRule="exact"/>
              <w:ind w:left="0" w:firstLineChars="0"/>
              <w:jc w:val="right"/>
              <w:textAlignment w:val="auto"/>
              <w:rPr>
                <w:rFonts w:hint="eastAsia" w:ascii="宋体" w:hAnsi="宋体" w:eastAsia="宋体" w:cs="宋体"/>
                <w:b/>
                <w:color w:val="auto"/>
                <w:kern w:val="0"/>
                <w:sz w:val="24"/>
                <w:szCs w:val="24"/>
                <w:highlight w:val="none"/>
              </w:rPr>
            </w:pPr>
            <w:bookmarkStart w:id="68" w:name="_Hlk196352652"/>
          </w:p>
        </w:tc>
        <w:tc>
          <w:tcPr>
            <w:tcW w:w="2257" w:type="dxa"/>
            <w:tcBorders>
              <w:top w:val="single" w:color="auto" w:sz="4" w:space="0"/>
              <w:left w:val="single" w:color="auto" w:sz="4" w:space="0"/>
              <w:bottom w:val="single" w:color="auto" w:sz="4" w:space="0"/>
              <w:right w:val="single" w:color="auto" w:sz="4" w:space="0"/>
            </w:tcBorders>
            <w:vAlign w:val="center"/>
          </w:tcPr>
          <w:p w14:paraId="6053EC27">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国产数据库</w:t>
            </w:r>
          </w:p>
        </w:tc>
        <w:tc>
          <w:tcPr>
            <w:tcW w:w="1864" w:type="dxa"/>
            <w:tcBorders>
              <w:top w:val="single" w:color="auto" w:sz="4" w:space="0"/>
              <w:left w:val="single" w:color="auto" w:sz="4" w:space="0"/>
              <w:bottom w:val="single" w:color="auto" w:sz="4" w:space="0"/>
              <w:right w:val="single" w:color="auto" w:sz="4" w:space="0"/>
            </w:tcBorders>
            <w:vAlign w:val="center"/>
          </w:tcPr>
          <w:p w14:paraId="05008DB5">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国产化数据库</w:t>
            </w:r>
          </w:p>
        </w:tc>
        <w:tc>
          <w:tcPr>
            <w:tcW w:w="8647" w:type="dxa"/>
            <w:tcBorders>
              <w:top w:val="single" w:color="auto" w:sz="4" w:space="0"/>
              <w:left w:val="single" w:color="auto" w:sz="4" w:space="0"/>
              <w:bottom w:val="single" w:color="auto" w:sz="4" w:space="0"/>
              <w:right w:val="single" w:color="auto" w:sz="4" w:space="0"/>
            </w:tcBorders>
          </w:tcPr>
          <w:p w14:paraId="0986A339">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国产主流数据库：</w:t>
            </w:r>
            <w:r>
              <w:rPr>
                <w:rFonts w:hint="eastAsia" w:ascii="宋体" w:hAnsi="宋体" w:eastAsia="宋体" w:cs="宋体"/>
                <w:color w:val="auto"/>
                <w:sz w:val="24"/>
                <w:szCs w:val="24"/>
                <w:highlight w:val="none"/>
                <w:lang w:eastAsia="zh-CN"/>
              </w:rPr>
              <w:t>国产化入围性能稳定的国产化产品。</w:t>
            </w:r>
          </w:p>
          <w:p w14:paraId="72DD5114">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支持</w:t>
            </w:r>
            <w:r>
              <w:rPr>
                <w:rFonts w:hint="eastAsia" w:ascii="宋体" w:hAnsi="宋体" w:eastAsia="宋体" w:cs="宋体"/>
                <w:color w:val="auto"/>
                <w:sz w:val="24"/>
                <w:szCs w:val="24"/>
                <w:highlight w:val="none"/>
              </w:rPr>
              <w:t>多</w:t>
            </w:r>
            <w:r>
              <w:rPr>
                <w:rFonts w:hint="eastAsia" w:ascii="宋体" w:hAnsi="宋体" w:eastAsia="宋体" w:cs="宋体"/>
                <w:color w:val="auto"/>
                <w:sz w:val="24"/>
                <w:szCs w:val="24"/>
                <w:highlight w:val="none"/>
                <w:lang w:val="en-US" w:eastAsia="zh-CN"/>
              </w:rPr>
              <w:t>模式</w:t>
            </w:r>
            <w:r>
              <w:rPr>
                <w:rFonts w:hint="eastAsia" w:ascii="宋体" w:hAnsi="宋体" w:eastAsia="宋体" w:cs="宋体"/>
                <w:color w:val="auto"/>
                <w:sz w:val="24"/>
                <w:szCs w:val="24"/>
                <w:highlight w:val="none"/>
              </w:rPr>
              <w:t>索引</w:t>
            </w:r>
            <w:r>
              <w:rPr>
                <w:rFonts w:hint="eastAsia" w:ascii="宋体" w:hAnsi="宋体" w:eastAsia="宋体" w:cs="宋体"/>
                <w:color w:val="auto"/>
                <w:sz w:val="24"/>
                <w:szCs w:val="24"/>
                <w:highlight w:val="none"/>
                <w:lang w:val="en-US" w:eastAsia="zh-CN"/>
              </w:rPr>
              <w:t>及管理</w:t>
            </w:r>
            <w:r>
              <w:rPr>
                <w:rFonts w:hint="eastAsia" w:ascii="宋体" w:hAnsi="宋体" w:eastAsia="宋体" w:cs="宋体"/>
                <w:color w:val="auto"/>
                <w:sz w:val="24"/>
                <w:szCs w:val="24"/>
                <w:highlight w:val="none"/>
                <w:lang w:eastAsia="zh-CN"/>
              </w:rPr>
              <w:t>。</w:t>
            </w:r>
          </w:p>
          <w:p w14:paraId="305F9945">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2.支持</w:t>
            </w:r>
            <w:r>
              <w:rPr>
                <w:rFonts w:hint="eastAsia" w:ascii="宋体" w:hAnsi="宋体" w:eastAsia="宋体" w:cs="宋体"/>
                <w:color w:val="auto"/>
                <w:sz w:val="24"/>
                <w:szCs w:val="24"/>
                <w:highlight w:val="none"/>
              </w:rPr>
              <w:t>数据库内存及执行计划智能配置。</w:t>
            </w:r>
          </w:p>
          <w:p w14:paraId="5B1FEF68">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支持</w:t>
            </w:r>
            <w:r>
              <w:rPr>
                <w:rFonts w:hint="eastAsia" w:ascii="宋体" w:hAnsi="宋体" w:eastAsia="宋体" w:cs="宋体"/>
                <w:color w:val="auto"/>
                <w:sz w:val="24"/>
                <w:szCs w:val="24"/>
                <w:highlight w:val="none"/>
              </w:rPr>
              <w:t>数据</w:t>
            </w:r>
            <w:r>
              <w:rPr>
                <w:rFonts w:hint="eastAsia" w:ascii="宋体" w:hAnsi="宋体" w:eastAsia="宋体" w:cs="宋体"/>
                <w:color w:val="auto"/>
                <w:sz w:val="24"/>
                <w:szCs w:val="24"/>
                <w:highlight w:val="none"/>
                <w:lang w:val="en-US" w:eastAsia="zh-CN"/>
              </w:rPr>
              <w:t>国密算法</w:t>
            </w:r>
            <w:r>
              <w:rPr>
                <w:rFonts w:hint="eastAsia" w:ascii="宋体" w:hAnsi="宋体" w:eastAsia="宋体" w:cs="宋体"/>
                <w:color w:val="auto"/>
                <w:sz w:val="24"/>
                <w:szCs w:val="24"/>
                <w:highlight w:val="none"/>
              </w:rPr>
              <w:t>加密存储。</w:t>
            </w:r>
          </w:p>
          <w:p w14:paraId="6E871841">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支持</w:t>
            </w:r>
            <w:r>
              <w:rPr>
                <w:rFonts w:hint="eastAsia" w:ascii="宋体" w:hAnsi="宋体" w:eastAsia="宋体" w:cs="宋体"/>
                <w:color w:val="auto"/>
                <w:sz w:val="24"/>
                <w:szCs w:val="24"/>
                <w:highlight w:val="none"/>
              </w:rPr>
              <w:t>多集群体系架构。</w:t>
            </w:r>
          </w:p>
          <w:p w14:paraId="509BBB94">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支持</w:t>
            </w:r>
            <w:r>
              <w:rPr>
                <w:rFonts w:hint="eastAsia" w:ascii="宋体" w:hAnsi="宋体" w:eastAsia="宋体" w:cs="宋体"/>
                <w:color w:val="auto"/>
                <w:sz w:val="24"/>
                <w:szCs w:val="24"/>
                <w:highlight w:val="none"/>
              </w:rPr>
              <w:t>物理备份及恢复，包括全量、增量和差异备份及恢复功能。</w:t>
            </w:r>
          </w:p>
          <w:p w14:paraId="17FD3FC8">
            <w:pPr>
              <w:keepNext w:val="0"/>
              <w:keepLines w:val="0"/>
              <w:pageBreakBefore w:val="0"/>
              <w:kinsoku/>
              <w:wordWrap/>
              <w:overflowPunct/>
              <w:topLinePunct w:val="0"/>
              <w:autoSpaceDE/>
              <w:autoSpaceDN/>
              <w:bidi w:val="0"/>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具备</w:t>
            </w:r>
            <w:r>
              <w:rPr>
                <w:rFonts w:hint="eastAsia" w:ascii="宋体" w:hAnsi="宋体" w:eastAsia="宋体" w:cs="宋体"/>
                <w:color w:val="auto"/>
                <w:sz w:val="24"/>
                <w:szCs w:val="24"/>
                <w:highlight w:val="none"/>
              </w:rPr>
              <w:t>审计功能，</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审计日志分析。</w:t>
            </w:r>
          </w:p>
        </w:tc>
      </w:tr>
      <w:tr w14:paraId="65DF74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83" w:type="dxa"/>
            <w:tcBorders>
              <w:top w:val="single" w:color="auto" w:sz="4" w:space="0"/>
              <w:left w:val="single" w:color="auto" w:sz="4" w:space="0"/>
              <w:bottom w:val="single" w:color="auto" w:sz="4" w:space="0"/>
              <w:right w:val="single" w:color="auto" w:sz="4" w:space="0"/>
            </w:tcBorders>
            <w:vAlign w:val="center"/>
          </w:tcPr>
          <w:p w14:paraId="4B3EAB48">
            <w:pPr>
              <w:pStyle w:val="65"/>
              <w:keepNext w:val="0"/>
              <w:keepLines w:val="0"/>
              <w:pageBreakBefore w:val="0"/>
              <w:widowControl/>
              <w:numPr>
                <w:ilvl w:val="0"/>
                <w:numId w:val="4"/>
              </w:numPr>
              <w:kinsoku/>
              <w:wordWrap/>
              <w:overflowPunct/>
              <w:topLinePunct w:val="0"/>
              <w:autoSpaceDE/>
              <w:autoSpaceDN/>
              <w:bidi w:val="0"/>
              <w:snapToGrid/>
              <w:spacing w:line="440" w:lineRule="exact"/>
              <w:ind w:left="0" w:firstLineChars="0"/>
              <w:jc w:val="right"/>
              <w:textAlignment w:val="auto"/>
              <w:rPr>
                <w:rFonts w:hint="eastAsia" w:ascii="宋体" w:hAnsi="宋体" w:eastAsia="宋体" w:cs="宋体"/>
                <w:b/>
                <w:color w:val="auto"/>
                <w:kern w:val="0"/>
                <w:sz w:val="24"/>
                <w:szCs w:val="24"/>
                <w:highlight w:val="none"/>
              </w:rPr>
            </w:pPr>
          </w:p>
        </w:tc>
        <w:tc>
          <w:tcPr>
            <w:tcW w:w="2257" w:type="dxa"/>
            <w:tcBorders>
              <w:top w:val="single" w:color="auto" w:sz="4" w:space="0"/>
              <w:left w:val="single" w:color="auto" w:sz="4" w:space="0"/>
              <w:bottom w:val="single" w:color="auto" w:sz="4" w:space="0"/>
              <w:right w:val="single" w:color="auto" w:sz="4" w:space="0"/>
            </w:tcBorders>
            <w:vAlign w:val="center"/>
          </w:tcPr>
          <w:p w14:paraId="55F3A0F7">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电子印章</w:t>
            </w:r>
          </w:p>
        </w:tc>
        <w:tc>
          <w:tcPr>
            <w:tcW w:w="1864" w:type="dxa"/>
            <w:tcBorders>
              <w:top w:val="single" w:color="auto" w:sz="4" w:space="0"/>
              <w:left w:val="single" w:color="auto" w:sz="4" w:space="0"/>
              <w:bottom w:val="single" w:color="auto" w:sz="4" w:space="0"/>
              <w:right w:val="single" w:color="auto" w:sz="4" w:space="0"/>
            </w:tcBorders>
            <w:vAlign w:val="center"/>
          </w:tcPr>
          <w:p w14:paraId="1732A2EA">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电子印章系统</w:t>
            </w:r>
          </w:p>
        </w:tc>
        <w:tc>
          <w:tcPr>
            <w:tcW w:w="8647" w:type="dxa"/>
            <w:tcBorders>
              <w:top w:val="single" w:color="auto" w:sz="4" w:space="0"/>
              <w:left w:val="single" w:color="auto" w:sz="4" w:space="0"/>
              <w:bottom w:val="single" w:color="auto" w:sz="4" w:space="0"/>
              <w:right w:val="single" w:color="auto" w:sz="4" w:space="0"/>
            </w:tcBorders>
            <w:vAlign w:val="center"/>
          </w:tcPr>
          <w:p w14:paraId="4D14394B">
            <w:pPr>
              <w:keepNext w:val="0"/>
              <w:keepLines w:val="0"/>
              <w:pageBreakBefore w:val="0"/>
              <w:kinsoku/>
              <w:wordWrap/>
              <w:overflowPunct/>
              <w:topLinePunct w:val="0"/>
              <w:autoSpaceDE/>
              <w:autoSpaceDN/>
              <w:bidi w:val="0"/>
              <w:snapToGrid/>
              <w:spacing w:line="44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实现文件的线上加盖电子以及制章等功能</w:t>
            </w:r>
            <w:r>
              <w:rPr>
                <w:rFonts w:hint="eastAsia" w:ascii="宋体" w:hAnsi="宋体" w:eastAsia="宋体" w:cs="宋体"/>
                <w:color w:val="auto"/>
                <w:sz w:val="24"/>
                <w:szCs w:val="24"/>
                <w:highlight w:val="none"/>
                <w:lang w:eastAsia="zh-CN"/>
              </w:rPr>
              <w:t>。</w:t>
            </w:r>
          </w:p>
        </w:tc>
      </w:tr>
      <w:tr w14:paraId="60338D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83" w:type="dxa"/>
            <w:tcBorders>
              <w:top w:val="single" w:color="auto" w:sz="4" w:space="0"/>
              <w:left w:val="single" w:color="auto" w:sz="4" w:space="0"/>
              <w:bottom w:val="single" w:color="auto" w:sz="4" w:space="0"/>
              <w:right w:val="single" w:color="auto" w:sz="4" w:space="0"/>
            </w:tcBorders>
            <w:vAlign w:val="center"/>
          </w:tcPr>
          <w:p w14:paraId="2765C07D">
            <w:pPr>
              <w:pStyle w:val="65"/>
              <w:keepNext w:val="0"/>
              <w:keepLines w:val="0"/>
              <w:pageBreakBefore w:val="0"/>
              <w:widowControl/>
              <w:numPr>
                <w:ilvl w:val="0"/>
                <w:numId w:val="4"/>
              </w:numPr>
              <w:kinsoku/>
              <w:wordWrap/>
              <w:overflowPunct/>
              <w:topLinePunct w:val="0"/>
              <w:autoSpaceDE/>
              <w:autoSpaceDN/>
              <w:bidi w:val="0"/>
              <w:snapToGrid/>
              <w:spacing w:line="440" w:lineRule="exact"/>
              <w:ind w:left="0" w:firstLineChars="0"/>
              <w:jc w:val="right"/>
              <w:textAlignment w:val="auto"/>
              <w:rPr>
                <w:rFonts w:hint="eastAsia" w:ascii="宋体" w:hAnsi="宋体" w:eastAsia="宋体" w:cs="宋体"/>
                <w:b/>
                <w:color w:val="auto"/>
                <w:kern w:val="0"/>
                <w:sz w:val="24"/>
                <w:szCs w:val="24"/>
                <w:highlight w:val="none"/>
              </w:rPr>
            </w:pPr>
          </w:p>
        </w:tc>
        <w:tc>
          <w:tcPr>
            <w:tcW w:w="2257" w:type="dxa"/>
            <w:tcBorders>
              <w:top w:val="single" w:color="auto" w:sz="4" w:space="0"/>
              <w:left w:val="single" w:color="auto" w:sz="4" w:space="0"/>
              <w:bottom w:val="single" w:color="auto" w:sz="4" w:space="0"/>
              <w:right w:val="single" w:color="auto" w:sz="4" w:space="0"/>
            </w:tcBorders>
            <w:vAlign w:val="center"/>
          </w:tcPr>
          <w:p w14:paraId="5250E45D">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版式软件</w:t>
            </w:r>
          </w:p>
        </w:tc>
        <w:tc>
          <w:tcPr>
            <w:tcW w:w="1864" w:type="dxa"/>
            <w:tcBorders>
              <w:top w:val="single" w:color="auto" w:sz="4" w:space="0"/>
              <w:left w:val="single" w:color="auto" w:sz="4" w:space="0"/>
              <w:bottom w:val="single" w:color="auto" w:sz="4" w:space="0"/>
              <w:right w:val="single" w:color="auto" w:sz="4" w:space="0"/>
            </w:tcBorders>
            <w:vAlign w:val="center"/>
          </w:tcPr>
          <w:p w14:paraId="634CB756">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版式软件</w:t>
            </w:r>
          </w:p>
        </w:tc>
        <w:tc>
          <w:tcPr>
            <w:tcW w:w="8647" w:type="dxa"/>
            <w:tcBorders>
              <w:top w:val="single" w:color="auto" w:sz="4" w:space="0"/>
              <w:left w:val="single" w:color="auto" w:sz="4" w:space="0"/>
              <w:bottom w:val="single" w:color="auto" w:sz="4" w:space="0"/>
              <w:right w:val="single" w:color="auto" w:sz="4" w:space="0"/>
            </w:tcBorders>
            <w:vAlign w:val="center"/>
          </w:tcPr>
          <w:p w14:paraId="238F0D3E">
            <w:pPr>
              <w:keepNext w:val="0"/>
              <w:keepLines w:val="0"/>
              <w:pageBreakBefore w:val="0"/>
              <w:kinsoku/>
              <w:wordWrap/>
              <w:overflowPunct/>
              <w:topLinePunct w:val="0"/>
              <w:autoSpaceDE/>
              <w:autoSpaceDN/>
              <w:bidi w:val="0"/>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提供国家标准格式进行各类文件的转版功能，转为OFD/PDF等文件。</w:t>
            </w:r>
          </w:p>
        </w:tc>
      </w:tr>
      <w:tr w14:paraId="5DAC6E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83" w:type="dxa"/>
            <w:tcBorders>
              <w:top w:val="single" w:color="auto" w:sz="4" w:space="0"/>
              <w:left w:val="single" w:color="auto" w:sz="4" w:space="0"/>
              <w:bottom w:val="single" w:color="auto" w:sz="4" w:space="0"/>
              <w:right w:val="single" w:color="auto" w:sz="4" w:space="0"/>
            </w:tcBorders>
            <w:vAlign w:val="center"/>
          </w:tcPr>
          <w:p w14:paraId="73079A47">
            <w:pPr>
              <w:pStyle w:val="65"/>
              <w:keepNext w:val="0"/>
              <w:keepLines w:val="0"/>
              <w:pageBreakBefore w:val="0"/>
              <w:widowControl/>
              <w:numPr>
                <w:ilvl w:val="0"/>
                <w:numId w:val="4"/>
              </w:numPr>
              <w:kinsoku/>
              <w:wordWrap/>
              <w:overflowPunct/>
              <w:topLinePunct w:val="0"/>
              <w:autoSpaceDE/>
              <w:autoSpaceDN/>
              <w:bidi w:val="0"/>
              <w:snapToGrid/>
              <w:spacing w:line="440" w:lineRule="exact"/>
              <w:ind w:left="0" w:firstLineChars="0"/>
              <w:jc w:val="right"/>
              <w:textAlignment w:val="auto"/>
              <w:rPr>
                <w:rFonts w:hint="eastAsia" w:ascii="宋体" w:hAnsi="宋体" w:eastAsia="宋体" w:cs="宋体"/>
                <w:b/>
                <w:color w:val="auto"/>
                <w:kern w:val="0"/>
                <w:sz w:val="24"/>
                <w:szCs w:val="24"/>
                <w:highlight w:val="none"/>
              </w:rPr>
            </w:pPr>
          </w:p>
        </w:tc>
        <w:tc>
          <w:tcPr>
            <w:tcW w:w="2257" w:type="dxa"/>
            <w:vMerge w:val="restart"/>
            <w:tcBorders>
              <w:top w:val="single" w:color="auto" w:sz="4" w:space="0"/>
              <w:left w:val="single" w:color="auto" w:sz="4" w:space="0"/>
              <w:right w:val="single" w:color="auto" w:sz="4" w:space="0"/>
            </w:tcBorders>
            <w:vAlign w:val="center"/>
          </w:tcPr>
          <w:p w14:paraId="5870E5B6">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lang w:eastAsia="zh-CN"/>
              </w:rPr>
              <w:t>移动办公配套</w:t>
            </w:r>
          </w:p>
        </w:tc>
        <w:tc>
          <w:tcPr>
            <w:tcW w:w="1864" w:type="dxa"/>
            <w:tcBorders>
              <w:top w:val="single" w:color="auto" w:sz="4" w:space="0"/>
              <w:left w:val="single" w:color="auto" w:sz="4" w:space="0"/>
              <w:bottom w:val="single" w:color="auto" w:sz="4" w:space="0"/>
              <w:right w:val="single" w:color="auto" w:sz="4" w:space="0"/>
            </w:tcBorders>
            <w:vAlign w:val="center"/>
          </w:tcPr>
          <w:p w14:paraId="6CAAC877">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lang w:eastAsia="zh-CN"/>
              </w:rPr>
              <w:t>移动办公安全平板</w:t>
            </w:r>
          </w:p>
        </w:tc>
        <w:tc>
          <w:tcPr>
            <w:tcW w:w="8647" w:type="dxa"/>
            <w:tcBorders>
              <w:top w:val="single" w:color="auto" w:sz="4" w:space="0"/>
              <w:left w:val="single" w:color="auto" w:sz="4" w:space="0"/>
              <w:bottom w:val="single" w:color="auto" w:sz="4" w:space="0"/>
              <w:right w:val="single" w:color="auto" w:sz="4" w:space="0"/>
            </w:tcBorders>
            <w:vAlign w:val="center"/>
          </w:tcPr>
          <w:p w14:paraId="2DC36421">
            <w:pPr>
              <w:keepNext w:val="0"/>
              <w:keepLines w:val="0"/>
              <w:pageBreakBefore w:val="0"/>
              <w:kinsoku/>
              <w:wordWrap/>
              <w:overflowPunct/>
              <w:topLinePunct w:val="0"/>
              <w:autoSpaceDE/>
              <w:autoSpaceDN/>
              <w:bidi w:val="0"/>
              <w:snapToGrid/>
              <w:spacing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国产平板数量</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 w:eastAsia="zh-CN"/>
              </w:rPr>
              <w:t>5</w:t>
            </w:r>
            <w:r>
              <w:rPr>
                <w:rFonts w:hint="eastAsia" w:ascii="宋体" w:hAnsi="宋体" w:eastAsia="宋体" w:cs="宋体"/>
                <w:color w:val="auto"/>
                <w:sz w:val="24"/>
                <w:szCs w:val="24"/>
                <w:highlight w:val="none"/>
                <w:lang w:val="en-US" w:eastAsia="zh-CN"/>
              </w:rPr>
              <w:t>台，要有配套的无纸化会议系统独立APP</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操作系统属于信创目录上的操作系统。</w:t>
            </w:r>
          </w:p>
          <w:p w14:paraId="69013991">
            <w:pPr>
              <w:keepNext w:val="0"/>
              <w:keepLines w:val="0"/>
              <w:pageBreakBefore w:val="0"/>
              <w:kinsoku/>
              <w:wordWrap/>
              <w:overflowPunct/>
              <w:topLinePunct w:val="0"/>
              <w:autoSpaceDE/>
              <w:autoSpaceDN/>
              <w:bidi w:val="0"/>
              <w:snapToGrid/>
              <w:spacing w:line="44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平板各项参数要为当前国产领先水准。</w:t>
            </w:r>
          </w:p>
          <w:p w14:paraId="245FBFA4">
            <w:pPr>
              <w:keepNext w:val="0"/>
              <w:keepLines w:val="0"/>
              <w:pageBreakBefore w:val="0"/>
              <w:kinsoku/>
              <w:wordWrap/>
              <w:overflowPunct/>
              <w:topLinePunct w:val="0"/>
              <w:autoSpaceDE/>
              <w:autoSpaceDN/>
              <w:bidi w:val="0"/>
              <w:snapToGrid/>
              <w:spacing w:line="44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华为 平板 12.2英寸 16GB+512GB,SIM卡版，长271.25mm；宽182.53mm；高5.5mm，像素800W+1300W ，分辨率2.8-3.2K</w:t>
            </w:r>
          </w:p>
        </w:tc>
      </w:tr>
      <w:tr w14:paraId="7BB2F5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83" w:type="dxa"/>
            <w:tcBorders>
              <w:top w:val="single" w:color="auto" w:sz="4" w:space="0"/>
              <w:left w:val="single" w:color="auto" w:sz="4" w:space="0"/>
              <w:bottom w:val="single" w:color="auto" w:sz="4" w:space="0"/>
              <w:right w:val="single" w:color="auto" w:sz="4" w:space="0"/>
            </w:tcBorders>
            <w:vAlign w:val="center"/>
          </w:tcPr>
          <w:p w14:paraId="3444BE77">
            <w:pPr>
              <w:pStyle w:val="65"/>
              <w:keepNext w:val="0"/>
              <w:keepLines w:val="0"/>
              <w:pageBreakBefore w:val="0"/>
              <w:widowControl/>
              <w:numPr>
                <w:ilvl w:val="0"/>
                <w:numId w:val="4"/>
              </w:numPr>
              <w:kinsoku/>
              <w:wordWrap/>
              <w:overflowPunct/>
              <w:topLinePunct w:val="0"/>
              <w:autoSpaceDE/>
              <w:autoSpaceDN/>
              <w:bidi w:val="0"/>
              <w:snapToGrid/>
              <w:spacing w:line="440" w:lineRule="exact"/>
              <w:ind w:left="0" w:firstLineChars="0"/>
              <w:jc w:val="right"/>
              <w:textAlignment w:val="auto"/>
              <w:rPr>
                <w:rFonts w:hint="eastAsia" w:ascii="宋体" w:hAnsi="宋体" w:eastAsia="宋体" w:cs="宋体"/>
                <w:b/>
                <w:color w:val="auto"/>
                <w:kern w:val="0"/>
                <w:sz w:val="24"/>
                <w:szCs w:val="24"/>
                <w:highlight w:val="none"/>
              </w:rPr>
            </w:pPr>
          </w:p>
        </w:tc>
        <w:tc>
          <w:tcPr>
            <w:tcW w:w="2257" w:type="dxa"/>
            <w:vMerge w:val="continue"/>
            <w:tcBorders>
              <w:left w:val="single" w:color="auto" w:sz="4" w:space="0"/>
              <w:right w:val="single" w:color="auto" w:sz="4" w:space="0"/>
            </w:tcBorders>
            <w:vAlign w:val="center"/>
          </w:tcPr>
          <w:p w14:paraId="02E0CDF3">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宋体" w:hAnsi="宋体" w:eastAsia="宋体" w:cs="宋体"/>
                <w:b/>
                <w:color w:val="auto"/>
                <w:kern w:val="0"/>
                <w:sz w:val="24"/>
                <w:szCs w:val="24"/>
                <w:highlight w:val="none"/>
                <w:lang w:eastAsia="zh-CN"/>
              </w:rPr>
            </w:pPr>
          </w:p>
        </w:tc>
        <w:tc>
          <w:tcPr>
            <w:tcW w:w="1864" w:type="dxa"/>
            <w:tcBorders>
              <w:top w:val="single" w:color="auto" w:sz="4" w:space="0"/>
              <w:left w:val="single" w:color="auto" w:sz="4" w:space="0"/>
              <w:bottom w:val="single" w:color="auto" w:sz="4" w:space="0"/>
              <w:right w:val="single" w:color="auto" w:sz="4" w:space="0"/>
            </w:tcBorders>
            <w:vAlign w:val="center"/>
          </w:tcPr>
          <w:p w14:paraId="1A23AA99">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lang w:eastAsia="zh-CN"/>
              </w:rPr>
              <w:t>物联网卡</w:t>
            </w:r>
          </w:p>
        </w:tc>
        <w:tc>
          <w:tcPr>
            <w:tcW w:w="8647" w:type="dxa"/>
            <w:tcBorders>
              <w:top w:val="single" w:color="auto" w:sz="4" w:space="0"/>
              <w:left w:val="single" w:color="auto" w:sz="4" w:space="0"/>
              <w:bottom w:val="single" w:color="auto" w:sz="4" w:space="0"/>
              <w:right w:val="single" w:color="auto" w:sz="4" w:space="0"/>
            </w:tcBorders>
            <w:vAlign w:val="center"/>
          </w:tcPr>
          <w:p w14:paraId="0CC61612">
            <w:pPr>
              <w:keepNext w:val="0"/>
              <w:keepLines w:val="0"/>
              <w:pageBreakBefore w:val="0"/>
              <w:kinsoku/>
              <w:wordWrap/>
              <w:overflowPunct/>
              <w:topLinePunct w:val="0"/>
              <w:autoSpaceDE/>
              <w:autoSpaceDN/>
              <w:bidi w:val="0"/>
              <w:snapToGrid/>
              <w:spacing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 w:eastAsia="zh-CN"/>
              </w:rPr>
              <w:t>5</w:t>
            </w:r>
            <w:r>
              <w:rPr>
                <w:rFonts w:hint="eastAsia" w:ascii="宋体" w:hAnsi="宋体" w:eastAsia="宋体" w:cs="宋体"/>
                <w:color w:val="auto"/>
                <w:sz w:val="24"/>
                <w:szCs w:val="24"/>
                <w:highlight w:val="none"/>
                <w:lang w:val="en-US" w:eastAsia="zh-CN"/>
              </w:rPr>
              <w:t>张物联网卡2年的通讯费。</w:t>
            </w:r>
          </w:p>
        </w:tc>
      </w:tr>
      <w:tr w14:paraId="5CD25E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83" w:type="dxa"/>
            <w:tcBorders>
              <w:top w:val="single" w:color="auto" w:sz="4" w:space="0"/>
              <w:left w:val="single" w:color="auto" w:sz="4" w:space="0"/>
              <w:bottom w:val="single" w:color="auto" w:sz="4" w:space="0"/>
              <w:right w:val="single" w:color="auto" w:sz="4" w:space="0"/>
            </w:tcBorders>
            <w:vAlign w:val="center"/>
          </w:tcPr>
          <w:p w14:paraId="613FAAE4">
            <w:pPr>
              <w:pStyle w:val="65"/>
              <w:keepNext w:val="0"/>
              <w:keepLines w:val="0"/>
              <w:pageBreakBefore w:val="0"/>
              <w:widowControl/>
              <w:numPr>
                <w:ilvl w:val="0"/>
                <w:numId w:val="4"/>
              </w:numPr>
              <w:kinsoku/>
              <w:wordWrap/>
              <w:overflowPunct/>
              <w:topLinePunct w:val="0"/>
              <w:autoSpaceDE/>
              <w:autoSpaceDN/>
              <w:bidi w:val="0"/>
              <w:snapToGrid/>
              <w:spacing w:line="440" w:lineRule="exact"/>
              <w:ind w:left="0" w:firstLineChars="0"/>
              <w:jc w:val="right"/>
              <w:textAlignment w:val="auto"/>
              <w:rPr>
                <w:rFonts w:hint="eastAsia" w:ascii="宋体" w:hAnsi="宋体" w:eastAsia="宋体" w:cs="宋体"/>
                <w:b/>
                <w:color w:val="auto"/>
                <w:kern w:val="0"/>
                <w:sz w:val="24"/>
                <w:szCs w:val="24"/>
                <w:highlight w:val="none"/>
              </w:rPr>
            </w:pPr>
          </w:p>
        </w:tc>
        <w:tc>
          <w:tcPr>
            <w:tcW w:w="2257" w:type="dxa"/>
            <w:vMerge w:val="continue"/>
            <w:tcBorders>
              <w:left w:val="single" w:color="auto" w:sz="4" w:space="0"/>
              <w:right w:val="single" w:color="auto" w:sz="4" w:space="0"/>
            </w:tcBorders>
            <w:vAlign w:val="center"/>
          </w:tcPr>
          <w:p w14:paraId="2EEB4D65">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宋体" w:hAnsi="宋体" w:eastAsia="宋体" w:cs="宋体"/>
                <w:b/>
                <w:color w:val="auto"/>
                <w:kern w:val="0"/>
                <w:sz w:val="24"/>
                <w:szCs w:val="24"/>
                <w:highlight w:val="none"/>
                <w:lang w:eastAsia="zh-CN"/>
              </w:rPr>
            </w:pPr>
          </w:p>
        </w:tc>
        <w:tc>
          <w:tcPr>
            <w:tcW w:w="1864" w:type="dxa"/>
            <w:tcBorders>
              <w:top w:val="single" w:color="auto" w:sz="4" w:space="0"/>
              <w:left w:val="single" w:color="auto" w:sz="4" w:space="0"/>
              <w:bottom w:val="single" w:color="auto" w:sz="4" w:space="0"/>
              <w:right w:val="single" w:color="auto" w:sz="4" w:space="0"/>
            </w:tcBorders>
            <w:vAlign w:val="center"/>
          </w:tcPr>
          <w:p w14:paraId="125B23BC">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lang w:eastAsia="zh-CN"/>
              </w:rPr>
              <w:t>键盘</w:t>
            </w:r>
          </w:p>
        </w:tc>
        <w:tc>
          <w:tcPr>
            <w:tcW w:w="8647" w:type="dxa"/>
            <w:tcBorders>
              <w:top w:val="single" w:color="auto" w:sz="4" w:space="0"/>
              <w:left w:val="single" w:color="auto" w:sz="4" w:space="0"/>
              <w:bottom w:val="single" w:color="auto" w:sz="4" w:space="0"/>
              <w:right w:val="single" w:color="auto" w:sz="4" w:space="0"/>
            </w:tcBorders>
            <w:vAlign w:val="center"/>
          </w:tcPr>
          <w:p w14:paraId="6CBE3E84">
            <w:pPr>
              <w:keepNext w:val="0"/>
              <w:keepLines w:val="0"/>
              <w:pageBreakBefore w:val="0"/>
              <w:kinsoku/>
              <w:wordWrap/>
              <w:overflowPunct/>
              <w:topLinePunct w:val="0"/>
              <w:autoSpaceDE/>
              <w:autoSpaceDN/>
              <w:bidi w:val="0"/>
              <w:snapToGrid/>
              <w:spacing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智能磁吸键盘4</w:t>
            </w:r>
            <w:r>
              <w:rPr>
                <w:rFonts w:hint="eastAsia" w:ascii="宋体" w:hAnsi="宋体" w:eastAsia="宋体" w:cs="宋体"/>
                <w:color w:val="auto"/>
                <w:sz w:val="24"/>
                <w:szCs w:val="24"/>
                <w:highlight w:val="none"/>
                <w:lang w:val="en" w:eastAsia="zh-CN"/>
              </w:rPr>
              <w:t>5</w:t>
            </w:r>
            <w:r>
              <w:rPr>
                <w:rFonts w:hint="eastAsia" w:ascii="宋体" w:hAnsi="宋体" w:eastAsia="宋体" w:cs="宋体"/>
                <w:color w:val="auto"/>
                <w:sz w:val="24"/>
                <w:szCs w:val="24"/>
                <w:highlight w:val="none"/>
                <w:lang w:val="en-US" w:eastAsia="zh-CN"/>
              </w:rPr>
              <w:t>个。</w:t>
            </w:r>
          </w:p>
        </w:tc>
      </w:tr>
      <w:tr w14:paraId="26B402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83" w:type="dxa"/>
            <w:tcBorders>
              <w:top w:val="single" w:color="auto" w:sz="4" w:space="0"/>
              <w:left w:val="single" w:color="auto" w:sz="4" w:space="0"/>
              <w:bottom w:val="single" w:color="auto" w:sz="4" w:space="0"/>
              <w:right w:val="single" w:color="auto" w:sz="4" w:space="0"/>
            </w:tcBorders>
            <w:vAlign w:val="center"/>
          </w:tcPr>
          <w:p w14:paraId="30A6389D">
            <w:pPr>
              <w:pStyle w:val="65"/>
              <w:keepNext w:val="0"/>
              <w:keepLines w:val="0"/>
              <w:pageBreakBefore w:val="0"/>
              <w:widowControl/>
              <w:numPr>
                <w:ilvl w:val="0"/>
                <w:numId w:val="4"/>
              </w:numPr>
              <w:kinsoku/>
              <w:wordWrap/>
              <w:overflowPunct/>
              <w:topLinePunct w:val="0"/>
              <w:autoSpaceDE/>
              <w:autoSpaceDN/>
              <w:bidi w:val="0"/>
              <w:snapToGrid/>
              <w:spacing w:line="440" w:lineRule="exact"/>
              <w:ind w:left="0" w:firstLineChars="0"/>
              <w:jc w:val="right"/>
              <w:textAlignment w:val="auto"/>
              <w:rPr>
                <w:rFonts w:hint="eastAsia" w:ascii="宋体" w:hAnsi="宋体" w:eastAsia="宋体" w:cs="宋体"/>
                <w:b/>
                <w:color w:val="auto"/>
                <w:kern w:val="0"/>
                <w:sz w:val="24"/>
                <w:szCs w:val="24"/>
                <w:highlight w:val="none"/>
              </w:rPr>
            </w:pPr>
          </w:p>
        </w:tc>
        <w:tc>
          <w:tcPr>
            <w:tcW w:w="2257" w:type="dxa"/>
            <w:vMerge w:val="continue"/>
            <w:tcBorders>
              <w:left w:val="single" w:color="auto" w:sz="4" w:space="0"/>
              <w:right w:val="single" w:color="auto" w:sz="4" w:space="0"/>
            </w:tcBorders>
            <w:vAlign w:val="center"/>
          </w:tcPr>
          <w:p w14:paraId="4213A49D">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宋体" w:hAnsi="宋体" w:eastAsia="宋体" w:cs="宋体"/>
                <w:b/>
                <w:color w:val="auto"/>
                <w:kern w:val="0"/>
                <w:sz w:val="24"/>
                <w:szCs w:val="24"/>
                <w:highlight w:val="none"/>
                <w:lang w:eastAsia="zh-CN"/>
              </w:rPr>
            </w:pPr>
          </w:p>
        </w:tc>
        <w:tc>
          <w:tcPr>
            <w:tcW w:w="1864" w:type="dxa"/>
            <w:tcBorders>
              <w:top w:val="single" w:color="auto" w:sz="4" w:space="0"/>
              <w:left w:val="single" w:color="auto" w:sz="4" w:space="0"/>
              <w:bottom w:val="single" w:color="auto" w:sz="4" w:space="0"/>
              <w:right w:val="single" w:color="auto" w:sz="4" w:space="0"/>
            </w:tcBorders>
            <w:vAlign w:val="center"/>
          </w:tcPr>
          <w:p w14:paraId="52D6136B">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手写笔</w:t>
            </w:r>
          </w:p>
        </w:tc>
        <w:tc>
          <w:tcPr>
            <w:tcW w:w="8647" w:type="dxa"/>
            <w:tcBorders>
              <w:top w:val="single" w:color="auto" w:sz="4" w:space="0"/>
              <w:left w:val="single" w:color="auto" w:sz="4" w:space="0"/>
              <w:bottom w:val="single" w:color="auto" w:sz="4" w:space="0"/>
              <w:right w:val="single" w:color="auto" w:sz="4" w:space="0"/>
            </w:tcBorders>
            <w:vAlign w:val="center"/>
          </w:tcPr>
          <w:p w14:paraId="02383615">
            <w:pPr>
              <w:keepNext w:val="0"/>
              <w:keepLines w:val="0"/>
              <w:pageBreakBefore w:val="0"/>
              <w:kinsoku/>
              <w:wordWrap/>
              <w:overflowPunct/>
              <w:topLinePunct w:val="0"/>
              <w:autoSpaceDE/>
              <w:autoSpaceDN/>
              <w:bidi w:val="0"/>
              <w:snapToGrid/>
              <w:spacing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手写笔</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 w:eastAsia="zh-CN"/>
              </w:rPr>
              <w:t>5</w:t>
            </w:r>
            <w:r>
              <w:rPr>
                <w:rFonts w:hint="eastAsia" w:ascii="宋体" w:hAnsi="宋体" w:eastAsia="宋体" w:cs="宋体"/>
                <w:color w:val="auto"/>
                <w:sz w:val="24"/>
                <w:szCs w:val="24"/>
                <w:highlight w:val="none"/>
                <w:lang w:val="en-US" w:eastAsia="zh-CN"/>
              </w:rPr>
              <w:t>个。</w:t>
            </w:r>
          </w:p>
        </w:tc>
      </w:tr>
      <w:tr w14:paraId="48D5E8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83" w:type="dxa"/>
            <w:tcBorders>
              <w:top w:val="single" w:color="auto" w:sz="4" w:space="0"/>
              <w:left w:val="single" w:color="auto" w:sz="4" w:space="0"/>
              <w:bottom w:val="single" w:color="auto" w:sz="4" w:space="0"/>
              <w:right w:val="single" w:color="auto" w:sz="4" w:space="0"/>
            </w:tcBorders>
            <w:vAlign w:val="center"/>
          </w:tcPr>
          <w:p w14:paraId="1713DF9A">
            <w:pPr>
              <w:pStyle w:val="65"/>
              <w:keepNext w:val="0"/>
              <w:keepLines w:val="0"/>
              <w:pageBreakBefore w:val="0"/>
              <w:widowControl/>
              <w:numPr>
                <w:ilvl w:val="0"/>
                <w:numId w:val="4"/>
              </w:numPr>
              <w:kinsoku/>
              <w:wordWrap/>
              <w:overflowPunct/>
              <w:topLinePunct w:val="0"/>
              <w:autoSpaceDE/>
              <w:autoSpaceDN/>
              <w:bidi w:val="0"/>
              <w:snapToGrid/>
              <w:spacing w:line="440" w:lineRule="exact"/>
              <w:ind w:left="0" w:firstLineChars="0"/>
              <w:jc w:val="right"/>
              <w:textAlignment w:val="auto"/>
              <w:rPr>
                <w:rFonts w:hint="eastAsia" w:ascii="宋体" w:hAnsi="宋体" w:eastAsia="宋体" w:cs="宋体"/>
                <w:b/>
                <w:color w:val="auto"/>
                <w:kern w:val="0"/>
                <w:sz w:val="24"/>
                <w:szCs w:val="24"/>
                <w:highlight w:val="none"/>
              </w:rPr>
            </w:pPr>
          </w:p>
        </w:tc>
        <w:tc>
          <w:tcPr>
            <w:tcW w:w="2257" w:type="dxa"/>
            <w:vMerge w:val="continue"/>
            <w:tcBorders>
              <w:left w:val="single" w:color="auto" w:sz="4" w:space="0"/>
              <w:right w:val="single" w:color="auto" w:sz="4" w:space="0"/>
            </w:tcBorders>
            <w:vAlign w:val="center"/>
          </w:tcPr>
          <w:p w14:paraId="5B6155D4">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宋体" w:hAnsi="宋体" w:eastAsia="宋体" w:cs="宋体"/>
                <w:b/>
                <w:color w:val="auto"/>
                <w:kern w:val="0"/>
                <w:sz w:val="24"/>
                <w:szCs w:val="24"/>
                <w:highlight w:val="none"/>
                <w:lang w:eastAsia="zh-CN"/>
              </w:rPr>
            </w:pPr>
          </w:p>
        </w:tc>
        <w:tc>
          <w:tcPr>
            <w:tcW w:w="1864" w:type="dxa"/>
            <w:tcBorders>
              <w:top w:val="single" w:color="auto" w:sz="4" w:space="0"/>
              <w:left w:val="single" w:color="auto" w:sz="4" w:space="0"/>
              <w:bottom w:val="single" w:color="auto" w:sz="4" w:space="0"/>
              <w:right w:val="single" w:color="auto" w:sz="4" w:space="0"/>
            </w:tcBorders>
            <w:vAlign w:val="center"/>
          </w:tcPr>
          <w:p w14:paraId="5345AD7A">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lang w:eastAsia="zh-CN"/>
              </w:rPr>
              <w:t>移动终端安全管控系统</w:t>
            </w:r>
          </w:p>
        </w:tc>
        <w:tc>
          <w:tcPr>
            <w:tcW w:w="8647" w:type="dxa"/>
            <w:tcBorders>
              <w:top w:val="single" w:color="auto" w:sz="4" w:space="0"/>
              <w:left w:val="single" w:color="auto" w:sz="4" w:space="0"/>
              <w:bottom w:val="single" w:color="auto" w:sz="4" w:space="0"/>
              <w:right w:val="single" w:color="auto" w:sz="4" w:space="0"/>
            </w:tcBorders>
            <w:vAlign w:val="center"/>
          </w:tcPr>
          <w:p w14:paraId="2285CECD">
            <w:pPr>
              <w:keepNext w:val="0"/>
              <w:keepLines w:val="0"/>
              <w:pageBreakBefore w:val="0"/>
              <w:kinsoku/>
              <w:wordWrap/>
              <w:overflowPunct/>
              <w:topLinePunct w:val="0"/>
              <w:autoSpaceDE/>
              <w:autoSpaceDN/>
              <w:bidi w:val="0"/>
              <w:snapToGrid/>
              <w:spacing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包括设备管理、权限管控、网络及应用白名单管控功能（管理平台</w:t>
            </w:r>
            <w:r>
              <w:rPr>
                <w:rFonts w:hint="eastAsia" w:ascii="宋体" w:hAnsi="宋体" w:eastAsia="宋体" w:cs="宋体"/>
                <w:color w:val="auto"/>
                <w:sz w:val="24"/>
                <w:szCs w:val="24"/>
                <w:highlight w:val="none"/>
                <w:lang w:val="en-US" w:eastAsia="zh-CN"/>
              </w:rPr>
              <w:t>+45个终端授权</w:t>
            </w:r>
            <w:r>
              <w:rPr>
                <w:rFonts w:hint="eastAsia" w:ascii="宋体" w:hAnsi="宋体" w:eastAsia="宋体" w:cs="宋体"/>
                <w:color w:val="auto"/>
                <w:sz w:val="24"/>
                <w:szCs w:val="24"/>
                <w:highlight w:val="none"/>
                <w:lang w:eastAsia="zh-CN"/>
              </w:rPr>
              <w:t>）。</w:t>
            </w:r>
          </w:p>
        </w:tc>
      </w:tr>
      <w:bookmarkEnd w:id="68"/>
    </w:tbl>
    <w:p w14:paraId="5502EAA8">
      <w:pPr>
        <w:bidi w:val="0"/>
        <w:rPr>
          <w:rFonts w:hint="eastAsia"/>
          <w:color w:val="auto"/>
          <w:highlight w:val="none"/>
        </w:rPr>
        <w:sectPr>
          <w:pgSz w:w="16838" w:h="11905" w:orient="landscape"/>
          <w:pgMar w:top="1814" w:right="1474" w:bottom="1814" w:left="1474" w:header="850" w:footer="850" w:gutter="0"/>
          <w:cols w:space="0" w:num="1"/>
          <w:rtlGutter w:val="0"/>
          <w:docGrid w:linePitch="462" w:charSpace="0"/>
        </w:sectPr>
      </w:pPr>
    </w:p>
    <w:p w14:paraId="2949B7F9">
      <w:pPr>
        <w:pStyle w:val="22"/>
        <w:tabs>
          <w:tab w:val="left" w:pos="0"/>
        </w:tabs>
        <w:spacing w:line="240" w:lineRule="auto"/>
        <w:ind w:left="0" w:leftChars="0" w:firstLine="0" w:firstLineChars="0"/>
        <w:jc w:val="center"/>
        <w:outlineLvl w:val="0"/>
        <w:rPr>
          <w:rFonts w:hint="eastAsia" w:ascii="宋体" w:hAnsi="宋体" w:eastAsia="宋体" w:cs="宋体"/>
          <w:b/>
          <w:color w:val="auto"/>
          <w:sz w:val="36"/>
          <w:highlight w:val="none"/>
        </w:rPr>
      </w:pPr>
      <w:bookmarkStart w:id="69" w:name="_Toc480368414"/>
      <w:bookmarkStart w:id="70" w:name="_Toc20014"/>
      <w:r>
        <w:rPr>
          <w:rFonts w:hint="eastAsia" w:ascii="宋体" w:hAnsi="宋体" w:eastAsia="宋体" w:cs="宋体"/>
          <w:b/>
          <w:color w:val="auto"/>
          <w:sz w:val="36"/>
          <w:highlight w:val="none"/>
        </w:rPr>
        <w:t>第四部分   评审方法（综合评分法）</w:t>
      </w:r>
      <w:bookmarkEnd w:id="69"/>
      <w:bookmarkEnd w:id="70"/>
    </w:p>
    <w:p w14:paraId="4224B227">
      <w:pPr>
        <w:keepNext w:val="0"/>
        <w:keepLines w:val="0"/>
        <w:pageBreakBefore w:val="0"/>
        <w:kinsoku/>
        <w:wordWrap/>
        <w:overflowPunct/>
        <w:topLinePunct w:val="0"/>
        <w:autoSpaceDE/>
        <w:autoSpaceDN/>
        <w:bidi w:val="0"/>
        <w:spacing w:line="440" w:lineRule="exact"/>
        <w:ind w:firstLine="480" w:firstLineChars="200"/>
        <w:rPr>
          <w:rFonts w:hint="eastAsia" w:ascii="宋体" w:hAnsi="宋体" w:eastAsia="宋体" w:cs="宋体"/>
          <w:color w:val="auto"/>
          <w:kern w:val="0"/>
          <w:sz w:val="24"/>
          <w:highlight w:val="none"/>
        </w:rPr>
      </w:pPr>
      <w:bookmarkStart w:id="71" w:name="percentDesc"/>
      <w:bookmarkEnd w:id="71"/>
      <w:r>
        <w:rPr>
          <w:rFonts w:hint="eastAsia" w:ascii="宋体" w:hAnsi="宋体" w:eastAsia="宋体" w:cs="宋体"/>
          <w:color w:val="auto"/>
          <w:sz w:val="24"/>
          <w:highlight w:val="none"/>
        </w:rPr>
        <w:t>本项目评审方法见招标文件第二部分“</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须知前附表”中第21项的规定。</w:t>
      </w:r>
      <w:r>
        <w:rPr>
          <w:rFonts w:hint="eastAsia" w:ascii="宋体" w:hAnsi="宋体" w:eastAsia="宋体" w:cs="宋体"/>
          <w:color w:val="auto"/>
          <w:kern w:val="0"/>
          <w:sz w:val="24"/>
          <w:highlight w:val="none"/>
        </w:rPr>
        <w:t>如果采用综合评分法，评分细则如下：</w:t>
      </w:r>
    </w:p>
    <w:p w14:paraId="3131A2C9">
      <w:pPr>
        <w:pStyle w:val="15"/>
        <w:keepNext w:val="0"/>
        <w:keepLines w:val="0"/>
        <w:pageBreakBefore w:val="0"/>
        <w:kinsoku/>
        <w:wordWrap/>
        <w:overflowPunct/>
        <w:topLinePunct w:val="0"/>
        <w:autoSpaceDE/>
        <w:autoSpaceDN/>
        <w:bidi w:val="0"/>
        <w:spacing w:line="440" w:lineRule="exact"/>
        <w:rPr>
          <w:rStyle w:val="53"/>
          <w:rFonts w:hint="eastAsia" w:ascii="宋体" w:hAnsi="宋体" w:eastAsia="宋体" w:cs="宋体"/>
          <w:b w:val="0"/>
          <w:i w:val="0"/>
          <w:caps w:val="0"/>
          <w:color w:val="auto"/>
          <w:spacing w:val="0"/>
          <w:w w:val="100"/>
          <w:kern w:val="0"/>
          <w:position w:val="0"/>
          <w:sz w:val="24"/>
          <w:szCs w:val="22"/>
          <w:highlight w:val="none"/>
          <w:lang w:val="en-US" w:eastAsia="zh-CN" w:bidi="ar-SA"/>
        </w:rPr>
      </w:pPr>
      <w:r>
        <w:rPr>
          <w:rStyle w:val="53"/>
          <w:rFonts w:hint="eastAsia" w:ascii="宋体" w:hAnsi="宋体" w:eastAsia="宋体" w:cs="宋体"/>
          <w:b w:val="0"/>
          <w:i w:val="0"/>
          <w:caps w:val="0"/>
          <w:color w:val="auto"/>
          <w:spacing w:val="0"/>
          <w:w w:val="100"/>
          <w:kern w:val="0"/>
          <w:position w:val="0"/>
          <w:sz w:val="24"/>
          <w:szCs w:val="22"/>
          <w:highlight w:val="none"/>
          <w:lang w:val="en-US" w:eastAsia="zh-CN" w:bidi="ar-SA"/>
        </w:rPr>
        <w:t>1、初步评审</w:t>
      </w:r>
    </w:p>
    <w:p w14:paraId="23A8057A">
      <w:pPr>
        <w:keepNext w:val="0"/>
        <w:keepLines w:val="0"/>
        <w:pageBreakBefore w:val="0"/>
        <w:kinsoku/>
        <w:wordWrap/>
        <w:overflowPunct/>
        <w:topLinePunct w:val="0"/>
        <w:autoSpaceDE/>
        <w:autoSpaceDN/>
        <w:bidi w:val="0"/>
        <w:snapToGrid/>
        <w:spacing w:before="0" w:beforeAutospacing="0" w:after="0" w:afterAutospacing="0" w:line="440" w:lineRule="exact"/>
        <w:ind w:firstLine="480" w:firstLineChars="200"/>
        <w:jc w:val="both"/>
        <w:textAlignment w:val="baseline"/>
        <w:rPr>
          <w:rFonts w:hint="eastAsia" w:ascii="宋体" w:hAnsi="宋体" w:eastAsia="宋体" w:cs="宋体"/>
          <w:color w:val="auto"/>
          <w:highlight w:val="none"/>
        </w:rPr>
      </w:pPr>
      <w:r>
        <w:rPr>
          <w:rStyle w:val="53"/>
          <w:rFonts w:hint="eastAsia" w:ascii="宋体" w:hAnsi="宋体" w:eastAsia="宋体" w:cs="宋体"/>
          <w:b w:val="0"/>
          <w:i w:val="0"/>
          <w:caps w:val="0"/>
          <w:color w:val="auto"/>
          <w:spacing w:val="0"/>
          <w:w w:val="100"/>
          <w:kern w:val="2"/>
          <w:position w:val="0"/>
          <w:sz w:val="24"/>
          <w:szCs w:val="22"/>
          <w:highlight w:val="none"/>
          <w:lang w:val="en-US" w:eastAsia="zh-CN" w:bidi="ar-SA"/>
        </w:rPr>
        <w:t>评审小组根据评审办法前附表规定的评审因素和评审标准，对供应商的投标文件进行符合性检查。符合性检查不合格的供应商的响应文件作无效文件处理。</w:t>
      </w:r>
    </w:p>
    <w:tbl>
      <w:tblPr>
        <w:tblStyle w:val="38"/>
        <w:tblW w:w="9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7"/>
        <w:gridCol w:w="750"/>
        <w:gridCol w:w="1988"/>
        <w:gridCol w:w="4878"/>
        <w:gridCol w:w="842"/>
        <w:gridCol w:w="843"/>
      </w:tblGrid>
      <w:tr w14:paraId="0675A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347" w:type="dxa"/>
            <w:gridSpan w:val="2"/>
            <w:vMerge w:val="restart"/>
            <w:noWrap w:val="0"/>
            <w:vAlign w:val="center"/>
          </w:tcPr>
          <w:p w14:paraId="1CC7A352">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评分因素</w:t>
            </w:r>
          </w:p>
        </w:tc>
        <w:tc>
          <w:tcPr>
            <w:tcW w:w="1988" w:type="dxa"/>
            <w:vMerge w:val="restart"/>
            <w:noWrap w:val="0"/>
            <w:vAlign w:val="center"/>
          </w:tcPr>
          <w:p w14:paraId="7AFBB695">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评分点</w:t>
            </w:r>
          </w:p>
        </w:tc>
        <w:tc>
          <w:tcPr>
            <w:tcW w:w="4878" w:type="dxa"/>
            <w:vMerge w:val="restart"/>
            <w:noWrap w:val="0"/>
            <w:vAlign w:val="center"/>
          </w:tcPr>
          <w:p w14:paraId="506CF9CF">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评分标准</w:t>
            </w:r>
          </w:p>
        </w:tc>
        <w:tc>
          <w:tcPr>
            <w:tcW w:w="1685" w:type="dxa"/>
            <w:gridSpan w:val="2"/>
            <w:noWrap w:val="0"/>
            <w:vAlign w:val="center"/>
          </w:tcPr>
          <w:p w14:paraId="07C2F5E3">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评审意见</w:t>
            </w:r>
          </w:p>
        </w:tc>
      </w:tr>
      <w:tr w14:paraId="2C554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347" w:type="dxa"/>
            <w:gridSpan w:val="2"/>
            <w:vMerge w:val="continue"/>
            <w:noWrap w:val="0"/>
            <w:vAlign w:val="center"/>
          </w:tcPr>
          <w:p w14:paraId="15CF8656">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color w:val="auto"/>
                <w:sz w:val="24"/>
                <w:highlight w:val="none"/>
              </w:rPr>
            </w:pPr>
          </w:p>
        </w:tc>
        <w:tc>
          <w:tcPr>
            <w:tcW w:w="1988" w:type="dxa"/>
            <w:vMerge w:val="continue"/>
            <w:noWrap w:val="0"/>
            <w:vAlign w:val="center"/>
          </w:tcPr>
          <w:p w14:paraId="47E7D1EA">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color w:val="auto"/>
                <w:sz w:val="24"/>
                <w:highlight w:val="none"/>
              </w:rPr>
            </w:pPr>
          </w:p>
        </w:tc>
        <w:tc>
          <w:tcPr>
            <w:tcW w:w="4878" w:type="dxa"/>
            <w:vMerge w:val="continue"/>
            <w:noWrap w:val="0"/>
            <w:vAlign w:val="center"/>
          </w:tcPr>
          <w:p w14:paraId="3BC8ADB5">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color w:val="auto"/>
                <w:sz w:val="24"/>
                <w:highlight w:val="none"/>
              </w:rPr>
            </w:pPr>
          </w:p>
        </w:tc>
        <w:tc>
          <w:tcPr>
            <w:tcW w:w="842" w:type="dxa"/>
            <w:noWrap w:val="0"/>
            <w:vAlign w:val="center"/>
          </w:tcPr>
          <w:p w14:paraId="629FBEEF">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w:t>
            </w:r>
          </w:p>
        </w:tc>
        <w:tc>
          <w:tcPr>
            <w:tcW w:w="843" w:type="dxa"/>
            <w:noWrap w:val="0"/>
            <w:vAlign w:val="center"/>
          </w:tcPr>
          <w:p w14:paraId="0DA3A655">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否</w:t>
            </w:r>
          </w:p>
        </w:tc>
      </w:tr>
      <w:tr w14:paraId="0BCB1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97" w:type="dxa"/>
            <w:vMerge w:val="restart"/>
            <w:noWrap w:val="0"/>
            <w:vAlign w:val="center"/>
          </w:tcPr>
          <w:p w14:paraId="761EEB5B">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初步评审</w:t>
            </w:r>
          </w:p>
        </w:tc>
        <w:tc>
          <w:tcPr>
            <w:tcW w:w="750" w:type="dxa"/>
            <w:vMerge w:val="restart"/>
            <w:noWrap w:val="0"/>
            <w:vAlign w:val="center"/>
          </w:tcPr>
          <w:p w14:paraId="799A8269">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符合性检查</w:t>
            </w:r>
          </w:p>
        </w:tc>
        <w:tc>
          <w:tcPr>
            <w:tcW w:w="1988" w:type="dxa"/>
            <w:noWrap w:val="0"/>
            <w:vAlign w:val="center"/>
          </w:tcPr>
          <w:p w14:paraId="3B79749F">
            <w:pPr>
              <w:pStyle w:val="7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b w:val="0"/>
                <w:color w:val="auto"/>
                <w:sz w:val="24"/>
                <w:highlight w:val="none"/>
              </w:rPr>
            </w:pPr>
            <w:r>
              <w:rPr>
                <w:rStyle w:val="53"/>
                <w:rFonts w:hint="eastAsia" w:ascii="宋体" w:hAnsi="宋体" w:eastAsia="宋体" w:cs="宋体"/>
                <w:b w:val="0"/>
                <w:bCs/>
                <w:i w:val="0"/>
                <w:caps w:val="0"/>
                <w:color w:val="auto"/>
                <w:spacing w:val="0"/>
                <w:w w:val="100"/>
                <w:position w:val="0"/>
                <w:sz w:val="24"/>
                <w:szCs w:val="24"/>
                <w:highlight w:val="none"/>
                <w:lang w:eastAsia="zh-CN" w:bidi="ar-SA"/>
              </w:rPr>
              <w:t>供应商</w:t>
            </w:r>
            <w:r>
              <w:rPr>
                <w:rStyle w:val="53"/>
                <w:rFonts w:hint="eastAsia" w:ascii="宋体" w:hAnsi="宋体" w:eastAsia="宋体" w:cs="宋体"/>
                <w:b w:val="0"/>
                <w:bCs/>
                <w:i w:val="0"/>
                <w:caps w:val="0"/>
                <w:color w:val="auto"/>
                <w:spacing w:val="0"/>
                <w:w w:val="100"/>
                <w:position w:val="0"/>
                <w:sz w:val="24"/>
                <w:szCs w:val="24"/>
                <w:highlight w:val="none"/>
                <w:lang w:bidi="ar-SA"/>
              </w:rPr>
              <w:t>名称</w:t>
            </w:r>
          </w:p>
        </w:tc>
        <w:tc>
          <w:tcPr>
            <w:tcW w:w="4878" w:type="dxa"/>
            <w:noWrap w:val="0"/>
            <w:vAlign w:val="center"/>
          </w:tcPr>
          <w:p w14:paraId="67202A23">
            <w:pPr>
              <w:pStyle w:val="7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宋体" w:hAnsi="宋体" w:eastAsia="宋体" w:cs="宋体"/>
                <w:color w:val="auto"/>
                <w:sz w:val="24"/>
                <w:highlight w:val="none"/>
              </w:rPr>
            </w:pPr>
            <w:r>
              <w:rPr>
                <w:rStyle w:val="53"/>
                <w:rFonts w:hint="eastAsia" w:ascii="宋体" w:hAnsi="宋体" w:eastAsia="宋体" w:cs="宋体"/>
                <w:b w:val="0"/>
                <w:bCs/>
                <w:i w:val="0"/>
                <w:caps w:val="0"/>
                <w:color w:val="auto"/>
                <w:spacing w:val="0"/>
                <w:w w:val="100"/>
                <w:position w:val="0"/>
                <w:sz w:val="24"/>
                <w:szCs w:val="24"/>
                <w:highlight w:val="none"/>
                <w:lang w:bidi="ar-SA"/>
              </w:rPr>
              <w:t>是否与营业执照一致</w:t>
            </w:r>
          </w:p>
        </w:tc>
        <w:tc>
          <w:tcPr>
            <w:tcW w:w="842" w:type="dxa"/>
            <w:noWrap w:val="0"/>
            <w:vAlign w:val="top"/>
          </w:tcPr>
          <w:p w14:paraId="584B1C91">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z w:val="24"/>
                <w:highlight w:val="none"/>
              </w:rPr>
            </w:pPr>
          </w:p>
        </w:tc>
        <w:tc>
          <w:tcPr>
            <w:tcW w:w="843" w:type="dxa"/>
            <w:noWrap w:val="0"/>
            <w:vAlign w:val="center"/>
          </w:tcPr>
          <w:p w14:paraId="13CCF05D">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z w:val="24"/>
                <w:highlight w:val="none"/>
              </w:rPr>
            </w:pPr>
          </w:p>
        </w:tc>
      </w:tr>
      <w:tr w14:paraId="4B206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97" w:type="dxa"/>
            <w:vMerge w:val="continue"/>
            <w:noWrap w:val="0"/>
            <w:vAlign w:val="top"/>
          </w:tcPr>
          <w:p w14:paraId="6EB5F809">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z w:val="24"/>
                <w:highlight w:val="none"/>
              </w:rPr>
            </w:pPr>
          </w:p>
        </w:tc>
        <w:tc>
          <w:tcPr>
            <w:tcW w:w="750" w:type="dxa"/>
            <w:vMerge w:val="continue"/>
            <w:noWrap w:val="0"/>
            <w:vAlign w:val="center"/>
          </w:tcPr>
          <w:p w14:paraId="65F50846">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z w:val="24"/>
                <w:highlight w:val="none"/>
              </w:rPr>
            </w:pPr>
          </w:p>
        </w:tc>
        <w:tc>
          <w:tcPr>
            <w:tcW w:w="1988" w:type="dxa"/>
            <w:noWrap w:val="0"/>
            <w:vAlign w:val="center"/>
          </w:tcPr>
          <w:p w14:paraId="058D1238">
            <w:pPr>
              <w:pStyle w:val="7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color w:val="auto"/>
                <w:sz w:val="24"/>
                <w:highlight w:val="none"/>
              </w:rPr>
            </w:pPr>
            <w:r>
              <w:rPr>
                <w:rStyle w:val="53"/>
                <w:rFonts w:hint="eastAsia" w:ascii="宋体" w:hAnsi="宋体" w:eastAsia="宋体" w:cs="宋体"/>
                <w:b w:val="0"/>
                <w:bCs/>
                <w:i w:val="0"/>
                <w:caps w:val="0"/>
                <w:color w:val="auto"/>
                <w:spacing w:val="0"/>
                <w:w w:val="100"/>
                <w:position w:val="0"/>
                <w:sz w:val="24"/>
                <w:szCs w:val="24"/>
                <w:highlight w:val="none"/>
                <w:lang w:bidi="ar-SA"/>
              </w:rPr>
              <w:t>投标文件签章</w:t>
            </w:r>
          </w:p>
        </w:tc>
        <w:tc>
          <w:tcPr>
            <w:tcW w:w="4878" w:type="dxa"/>
            <w:noWrap w:val="0"/>
            <w:vAlign w:val="center"/>
          </w:tcPr>
          <w:p w14:paraId="227856E2">
            <w:pPr>
              <w:pStyle w:val="7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宋体" w:hAnsi="宋体" w:eastAsia="宋体" w:cs="宋体"/>
                <w:color w:val="auto"/>
                <w:sz w:val="24"/>
                <w:highlight w:val="none"/>
              </w:rPr>
            </w:pPr>
            <w:r>
              <w:rPr>
                <w:rStyle w:val="53"/>
                <w:rFonts w:hint="eastAsia" w:ascii="宋体" w:hAnsi="宋体" w:eastAsia="宋体" w:cs="宋体"/>
                <w:b w:val="0"/>
                <w:bCs/>
                <w:i w:val="0"/>
                <w:caps w:val="0"/>
                <w:color w:val="auto"/>
                <w:spacing w:val="0"/>
                <w:w w:val="100"/>
                <w:position w:val="0"/>
                <w:sz w:val="24"/>
                <w:szCs w:val="24"/>
                <w:highlight w:val="none"/>
                <w:lang w:bidi="ar-SA"/>
              </w:rPr>
              <w:t>投标文件是否按照规定在应由企业法人或法人授权代表在所有规定签字处逐一签章及加盖单位公章</w:t>
            </w:r>
          </w:p>
        </w:tc>
        <w:tc>
          <w:tcPr>
            <w:tcW w:w="842" w:type="dxa"/>
            <w:noWrap w:val="0"/>
            <w:vAlign w:val="top"/>
          </w:tcPr>
          <w:p w14:paraId="56D24D77">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z w:val="24"/>
                <w:highlight w:val="none"/>
              </w:rPr>
            </w:pPr>
          </w:p>
        </w:tc>
        <w:tc>
          <w:tcPr>
            <w:tcW w:w="843" w:type="dxa"/>
            <w:noWrap w:val="0"/>
            <w:vAlign w:val="center"/>
          </w:tcPr>
          <w:p w14:paraId="7B34C6BF">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z w:val="24"/>
                <w:highlight w:val="none"/>
              </w:rPr>
            </w:pPr>
          </w:p>
        </w:tc>
      </w:tr>
      <w:tr w14:paraId="7B1B8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97" w:type="dxa"/>
            <w:vMerge w:val="continue"/>
            <w:noWrap w:val="0"/>
            <w:vAlign w:val="top"/>
          </w:tcPr>
          <w:p w14:paraId="17C1BB3C">
            <w:pPr>
              <w:keepNext w:val="0"/>
              <w:keepLines w:val="0"/>
              <w:pageBreakBefore w:val="0"/>
              <w:kinsoku/>
              <w:wordWrap/>
              <w:overflowPunct/>
              <w:topLinePunct w:val="0"/>
              <w:autoSpaceDE/>
              <w:autoSpaceDN/>
              <w:bidi w:val="0"/>
              <w:adjustRightInd/>
              <w:snapToGrid/>
              <w:spacing w:line="440" w:lineRule="exact"/>
              <w:ind w:firstLine="0" w:firstLineChars="0"/>
              <w:rPr>
                <w:rFonts w:hint="eastAsia" w:ascii="宋体" w:hAnsi="宋体" w:eastAsia="宋体" w:cs="宋体"/>
                <w:color w:val="auto"/>
                <w:sz w:val="24"/>
                <w:highlight w:val="none"/>
              </w:rPr>
            </w:pPr>
          </w:p>
        </w:tc>
        <w:tc>
          <w:tcPr>
            <w:tcW w:w="750" w:type="dxa"/>
            <w:vMerge w:val="continue"/>
            <w:noWrap w:val="0"/>
            <w:vAlign w:val="center"/>
          </w:tcPr>
          <w:p w14:paraId="23430805">
            <w:pPr>
              <w:keepNext w:val="0"/>
              <w:keepLines w:val="0"/>
              <w:pageBreakBefore w:val="0"/>
              <w:kinsoku/>
              <w:wordWrap/>
              <w:overflowPunct/>
              <w:topLinePunct w:val="0"/>
              <w:autoSpaceDE/>
              <w:autoSpaceDN/>
              <w:bidi w:val="0"/>
              <w:adjustRightInd/>
              <w:snapToGrid/>
              <w:spacing w:line="440" w:lineRule="exact"/>
              <w:ind w:firstLine="0" w:firstLineChars="0"/>
              <w:rPr>
                <w:rFonts w:hint="eastAsia" w:ascii="宋体" w:hAnsi="宋体" w:eastAsia="宋体" w:cs="宋体"/>
                <w:color w:val="auto"/>
                <w:sz w:val="24"/>
                <w:highlight w:val="none"/>
              </w:rPr>
            </w:pPr>
          </w:p>
        </w:tc>
        <w:tc>
          <w:tcPr>
            <w:tcW w:w="1988" w:type="dxa"/>
            <w:noWrap w:val="0"/>
            <w:vAlign w:val="center"/>
          </w:tcPr>
          <w:p w14:paraId="006828ED">
            <w:pPr>
              <w:pStyle w:val="7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color w:val="auto"/>
                <w:sz w:val="24"/>
                <w:highlight w:val="none"/>
              </w:rPr>
            </w:pPr>
            <w:r>
              <w:rPr>
                <w:rStyle w:val="53"/>
                <w:rFonts w:hint="eastAsia" w:ascii="宋体" w:hAnsi="宋体" w:eastAsia="宋体" w:cs="宋体"/>
                <w:b w:val="0"/>
                <w:bCs/>
                <w:i w:val="0"/>
                <w:caps w:val="0"/>
                <w:color w:val="auto"/>
                <w:spacing w:val="0"/>
                <w:w w:val="100"/>
                <w:position w:val="0"/>
                <w:sz w:val="24"/>
                <w:szCs w:val="24"/>
                <w:highlight w:val="none"/>
                <w:lang w:bidi="ar-SA"/>
              </w:rPr>
              <w:t>投标报价</w:t>
            </w:r>
          </w:p>
        </w:tc>
        <w:tc>
          <w:tcPr>
            <w:tcW w:w="4878" w:type="dxa"/>
            <w:noWrap w:val="0"/>
            <w:vAlign w:val="center"/>
          </w:tcPr>
          <w:p w14:paraId="1BDADF43">
            <w:pPr>
              <w:pStyle w:val="7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宋体" w:hAnsi="宋体" w:eastAsia="宋体" w:cs="宋体"/>
                <w:color w:val="auto"/>
                <w:sz w:val="24"/>
                <w:highlight w:val="none"/>
              </w:rPr>
            </w:pPr>
            <w:r>
              <w:rPr>
                <w:rStyle w:val="53"/>
                <w:rFonts w:hint="eastAsia" w:ascii="宋体" w:hAnsi="宋体" w:eastAsia="宋体" w:cs="宋体"/>
                <w:b w:val="0"/>
                <w:bCs/>
                <w:i w:val="0"/>
                <w:caps w:val="0"/>
                <w:color w:val="auto"/>
                <w:spacing w:val="0"/>
                <w:w w:val="100"/>
                <w:position w:val="0"/>
                <w:sz w:val="24"/>
                <w:szCs w:val="24"/>
                <w:highlight w:val="none"/>
                <w:lang w:bidi="ar-SA"/>
              </w:rPr>
              <w:t>投标文件针对同一种货物</w:t>
            </w:r>
            <w:r>
              <w:rPr>
                <w:rStyle w:val="53"/>
                <w:rFonts w:hint="eastAsia" w:ascii="宋体" w:hAnsi="宋体" w:eastAsia="宋体" w:cs="宋体"/>
                <w:b w:val="0"/>
                <w:bCs/>
                <w:i w:val="0"/>
                <w:caps w:val="0"/>
                <w:color w:val="auto"/>
                <w:spacing w:val="0"/>
                <w:w w:val="100"/>
                <w:position w:val="0"/>
                <w:sz w:val="24"/>
                <w:szCs w:val="24"/>
                <w:highlight w:val="none"/>
                <w:lang w:eastAsia="zh-CN" w:bidi="ar-SA"/>
              </w:rPr>
              <w:t>或服务</w:t>
            </w:r>
            <w:r>
              <w:rPr>
                <w:rStyle w:val="53"/>
                <w:rFonts w:hint="eastAsia" w:ascii="宋体" w:hAnsi="宋体" w:eastAsia="宋体" w:cs="宋体"/>
                <w:b w:val="0"/>
                <w:bCs/>
                <w:i w:val="0"/>
                <w:caps w:val="0"/>
                <w:color w:val="auto"/>
                <w:spacing w:val="0"/>
                <w:w w:val="100"/>
                <w:position w:val="0"/>
                <w:sz w:val="24"/>
                <w:szCs w:val="24"/>
                <w:highlight w:val="none"/>
                <w:lang w:bidi="ar-SA"/>
              </w:rPr>
              <w:t>出现了两个或两个以上的报价；报价超过项目/包预算或最高限价或经评标委员会认定低于成本的</w:t>
            </w:r>
          </w:p>
        </w:tc>
        <w:tc>
          <w:tcPr>
            <w:tcW w:w="842" w:type="dxa"/>
            <w:noWrap w:val="0"/>
            <w:vAlign w:val="top"/>
          </w:tcPr>
          <w:p w14:paraId="04D1FA25">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z w:val="24"/>
                <w:highlight w:val="none"/>
              </w:rPr>
            </w:pPr>
          </w:p>
        </w:tc>
        <w:tc>
          <w:tcPr>
            <w:tcW w:w="843" w:type="dxa"/>
            <w:noWrap w:val="0"/>
            <w:vAlign w:val="center"/>
          </w:tcPr>
          <w:p w14:paraId="637C7F9D">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z w:val="24"/>
                <w:highlight w:val="none"/>
              </w:rPr>
            </w:pPr>
          </w:p>
        </w:tc>
      </w:tr>
      <w:tr w14:paraId="22D6E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97" w:type="dxa"/>
            <w:vMerge w:val="continue"/>
            <w:noWrap w:val="0"/>
            <w:vAlign w:val="top"/>
          </w:tcPr>
          <w:p w14:paraId="0657D9AA">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z w:val="24"/>
                <w:highlight w:val="none"/>
              </w:rPr>
            </w:pPr>
          </w:p>
        </w:tc>
        <w:tc>
          <w:tcPr>
            <w:tcW w:w="750" w:type="dxa"/>
            <w:vMerge w:val="continue"/>
            <w:noWrap w:val="0"/>
            <w:vAlign w:val="center"/>
          </w:tcPr>
          <w:p w14:paraId="36AEE6D7">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z w:val="24"/>
                <w:highlight w:val="none"/>
              </w:rPr>
            </w:pPr>
          </w:p>
        </w:tc>
        <w:tc>
          <w:tcPr>
            <w:tcW w:w="1988" w:type="dxa"/>
            <w:noWrap w:val="0"/>
            <w:vAlign w:val="center"/>
          </w:tcPr>
          <w:p w14:paraId="24B03DB4">
            <w:pPr>
              <w:pStyle w:val="7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color w:val="auto"/>
                <w:sz w:val="24"/>
                <w:highlight w:val="none"/>
              </w:rPr>
            </w:pPr>
            <w:r>
              <w:rPr>
                <w:rStyle w:val="53"/>
                <w:rFonts w:hint="eastAsia" w:ascii="宋体" w:hAnsi="宋体" w:eastAsia="宋体" w:cs="宋体"/>
                <w:b w:val="0"/>
                <w:bCs/>
                <w:i w:val="0"/>
                <w:caps w:val="0"/>
                <w:color w:val="auto"/>
                <w:spacing w:val="0"/>
                <w:w w:val="100"/>
                <w:position w:val="0"/>
                <w:sz w:val="24"/>
                <w:szCs w:val="24"/>
                <w:highlight w:val="none"/>
                <w:lang w:bidi="ar-SA"/>
              </w:rPr>
              <w:t>投标文件内容</w:t>
            </w:r>
          </w:p>
        </w:tc>
        <w:tc>
          <w:tcPr>
            <w:tcW w:w="4878" w:type="dxa"/>
            <w:noWrap w:val="0"/>
            <w:vAlign w:val="center"/>
          </w:tcPr>
          <w:p w14:paraId="541A5A90">
            <w:pPr>
              <w:pStyle w:val="7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宋体" w:hAnsi="宋体" w:eastAsia="宋体" w:cs="宋体"/>
                <w:color w:val="auto"/>
                <w:sz w:val="24"/>
                <w:highlight w:val="none"/>
              </w:rPr>
            </w:pPr>
            <w:r>
              <w:rPr>
                <w:rStyle w:val="53"/>
                <w:rFonts w:hint="eastAsia" w:ascii="宋体" w:hAnsi="宋体" w:eastAsia="宋体" w:cs="宋体"/>
                <w:b w:val="0"/>
                <w:bCs/>
                <w:i w:val="0"/>
                <w:caps w:val="0"/>
                <w:color w:val="auto"/>
                <w:spacing w:val="0"/>
                <w:w w:val="100"/>
                <w:position w:val="0"/>
                <w:sz w:val="24"/>
                <w:szCs w:val="24"/>
                <w:highlight w:val="none"/>
                <w:lang w:bidi="ar-SA"/>
              </w:rPr>
              <w:t>投标文件按照招标文件规定的内容填写</w:t>
            </w:r>
          </w:p>
        </w:tc>
        <w:tc>
          <w:tcPr>
            <w:tcW w:w="842" w:type="dxa"/>
            <w:noWrap w:val="0"/>
            <w:vAlign w:val="top"/>
          </w:tcPr>
          <w:p w14:paraId="3AD032D6">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z w:val="24"/>
                <w:highlight w:val="none"/>
              </w:rPr>
            </w:pPr>
          </w:p>
        </w:tc>
        <w:tc>
          <w:tcPr>
            <w:tcW w:w="843" w:type="dxa"/>
            <w:noWrap w:val="0"/>
            <w:vAlign w:val="center"/>
          </w:tcPr>
          <w:p w14:paraId="17B4EE3B">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z w:val="24"/>
                <w:highlight w:val="none"/>
              </w:rPr>
            </w:pPr>
          </w:p>
        </w:tc>
      </w:tr>
      <w:tr w14:paraId="2CCA0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97" w:type="dxa"/>
            <w:vMerge w:val="continue"/>
            <w:noWrap w:val="0"/>
            <w:vAlign w:val="top"/>
          </w:tcPr>
          <w:p w14:paraId="27EFF096">
            <w:pPr>
              <w:keepNext w:val="0"/>
              <w:keepLines w:val="0"/>
              <w:pageBreakBefore w:val="0"/>
              <w:kinsoku/>
              <w:wordWrap/>
              <w:overflowPunct/>
              <w:topLinePunct w:val="0"/>
              <w:autoSpaceDE/>
              <w:autoSpaceDN/>
              <w:bidi w:val="0"/>
              <w:adjustRightInd/>
              <w:snapToGrid/>
              <w:spacing w:line="440" w:lineRule="exact"/>
              <w:ind w:firstLine="0" w:firstLineChars="0"/>
              <w:rPr>
                <w:rFonts w:hint="eastAsia" w:ascii="宋体" w:hAnsi="宋体" w:eastAsia="宋体" w:cs="宋体"/>
                <w:color w:val="auto"/>
                <w:sz w:val="24"/>
                <w:highlight w:val="none"/>
              </w:rPr>
            </w:pPr>
          </w:p>
        </w:tc>
        <w:tc>
          <w:tcPr>
            <w:tcW w:w="750" w:type="dxa"/>
            <w:vMerge w:val="continue"/>
            <w:noWrap w:val="0"/>
            <w:vAlign w:val="center"/>
          </w:tcPr>
          <w:p w14:paraId="2B5C5AF8">
            <w:pPr>
              <w:keepNext w:val="0"/>
              <w:keepLines w:val="0"/>
              <w:pageBreakBefore w:val="0"/>
              <w:kinsoku/>
              <w:wordWrap/>
              <w:overflowPunct/>
              <w:topLinePunct w:val="0"/>
              <w:autoSpaceDE/>
              <w:autoSpaceDN/>
              <w:bidi w:val="0"/>
              <w:adjustRightInd/>
              <w:snapToGrid/>
              <w:spacing w:line="440" w:lineRule="exact"/>
              <w:ind w:firstLine="0" w:firstLineChars="0"/>
              <w:rPr>
                <w:rFonts w:hint="eastAsia" w:ascii="宋体" w:hAnsi="宋体" w:eastAsia="宋体" w:cs="宋体"/>
                <w:color w:val="auto"/>
                <w:sz w:val="24"/>
                <w:highlight w:val="none"/>
              </w:rPr>
            </w:pPr>
          </w:p>
        </w:tc>
        <w:tc>
          <w:tcPr>
            <w:tcW w:w="1988" w:type="dxa"/>
            <w:noWrap w:val="0"/>
            <w:vAlign w:val="center"/>
          </w:tcPr>
          <w:p w14:paraId="5137079F">
            <w:pPr>
              <w:pStyle w:val="7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b/>
                <w:color w:val="auto"/>
                <w:sz w:val="24"/>
                <w:szCs w:val="24"/>
                <w:highlight w:val="none"/>
                <w:lang w:val="en-US" w:bidi="ar-SA"/>
              </w:rPr>
            </w:pPr>
            <w:r>
              <w:rPr>
                <w:rStyle w:val="53"/>
                <w:rFonts w:hint="eastAsia" w:ascii="宋体" w:hAnsi="宋体" w:eastAsia="宋体" w:cs="宋体"/>
                <w:b w:val="0"/>
                <w:bCs/>
                <w:i w:val="0"/>
                <w:caps w:val="0"/>
                <w:color w:val="auto"/>
                <w:spacing w:val="0"/>
                <w:w w:val="100"/>
                <w:position w:val="0"/>
                <w:sz w:val="24"/>
                <w:szCs w:val="24"/>
                <w:highlight w:val="none"/>
                <w:lang w:bidi="ar-SA"/>
              </w:rPr>
              <w:t>投标有效期</w:t>
            </w:r>
          </w:p>
        </w:tc>
        <w:tc>
          <w:tcPr>
            <w:tcW w:w="4878" w:type="dxa"/>
            <w:noWrap w:val="0"/>
            <w:vAlign w:val="center"/>
          </w:tcPr>
          <w:p w14:paraId="4B3BB885">
            <w:pPr>
              <w:pStyle w:val="7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宋体" w:hAnsi="宋体" w:eastAsia="宋体" w:cs="宋体"/>
                <w:b/>
                <w:color w:val="auto"/>
                <w:sz w:val="24"/>
                <w:szCs w:val="24"/>
                <w:highlight w:val="none"/>
                <w:lang w:val="en-US" w:bidi="ar-SA"/>
              </w:rPr>
            </w:pPr>
            <w:r>
              <w:rPr>
                <w:rStyle w:val="53"/>
                <w:rFonts w:hint="eastAsia" w:ascii="宋体" w:hAnsi="宋体" w:eastAsia="宋体" w:cs="宋体"/>
                <w:b w:val="0"/>
                <w:bCs/>
                <w:i w:val="0"/>
                <w:caps w:val="0"/>
                <w:color w:val="auto"/>
                <w:spacing w:val="0"/>
                <w:w w:val="100"/>
                <w:position w:val="0"/>
                <w:sz w:val="24"/>
                <w:szCs w:val="24"/>
                <w:highlight w:val="none"/>
                <w:lang w:bidi="ar-SA"/>
              </w:rPr>
              <w:t>投标有效期满足招标文件要求</w:t>
            </w:r>
          </w:p>
        </w:tc>
        <w:tc>
          <w:tcPr>
            <w:tcW w:w="842" w:type="dxa"/>
            <w:noWrap w:val="0"/>
            <w:vAlign w:val="top"/>
          </w:tcPr>
          <w:p w14:paraId="186D65DB">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z w:val="24"/>
                <w:highlight w:val="none"/>
              </w:rPr>
            </w:pPr>
          </w:p>
        </w:tc>
        <w:tc>
          <w:tcPr>
            <w:tcW w:w="843" w:type="dxa"/>
            <w:noWrap w:val="0"/>
            <w:vAlign w:val="center"/>
          </w:tcPr>
          <w:p w14:paraId="0D77B06C">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z w:val="24"/>
                <w:highlight w:val="none"/>
              </w:rPr>
            </w:pPr>
          </w:p>
        </w:tc>
      </w:tr>
      <w:tr w14:paraId="3B5BC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97" w:type="dxa"/>
            <w:vMerge w:val="continue"/>
            <w:noWrap w:val="0"/>
            <w:vAlign w:val="top"/>
          </w:tcPr>
          <w:p w14:paraId="3FF58F0F">
            <w:pPr>
              <w:keepNext w:val="0"/>
              <w:keepLines w:val="0"/>
              <w:pageBreakBefore w:val="0"/>
              <w:kinsoku/>
              <w:wordWrap/>
              <w:overflowPunct/>
              <w:topLinePunct w:val="0"/>
              <w:autoSpaceDE/>
              <w:autoSpaceDN/>
              <w:bidi w:val="0"/>
              <w:adjustRightInd/>
              <w:snapToGrid/>
              <w:spacing w:line="440" w:lineRule="exact"/>
              <w:ind w:firstLine="0" w:firstLineChars="0"/>
              <w:rPr>
                <w:rFonts w:hint="eastAsia" w:ascii="宋体" w:hAnsi="宋体" w:eastAsia="宋体" w:cs="宋体"/>
                <w:color w:val="auto"/>
                <w:sz w:val="24"/>
                <w:highlight w:val="none"/>
              </w:rPr>
            </w:pPr>
          </w:p>
        </w:tc>
        <w:tc>
          <w:tcPr>
            <w:tcW w:w="750" w:type="dxa"/>
            <w:vMerge w:val="continue"/>
            <w:noWrap w:val="0"/>
            <w:vAlign w:val="center"/>
          </w:tcPr>
          <w:p w14:paraId="40B7C397">
            <w:pPr>
              <w:keepNext w:val="0"/>
              <w:keepLines w:val="0"/>
              <w:pageBreakBefore w:val="0"/>
              <w:kinsoku/>
              <w:wordWrap/>
              <w:overflowPunct/>
              <w:topLinePunct w:val="0"/>
              <w:autoSpaceDE/>
              <w:autoSpaceDN/>
              <w:bidi w:val="0"/>
              <w:adjustRightInd/>
              <w:snapToGrid/>
              <w:spacing w:line="440" w:lineRule="exact"/>
              <w:ind w:firstLine="0" w:firstLineChars="0"/>
              <w:rPr>
                <w:rFonts w:hint="eastAsia" w:ascii="宋体" w:hAnsi="宋体" w:eastAsia="宋体" w:cs="宋体"/>
                <w:color w:val="auto"/>
                <w:sz w:val="24"/>
                <w:highlight w:val="none"/>
              </w:rPr>
            </w:pPr>
          </w:p>
        </w:tc>
        <w:tc>
          <w:tcPr>
            <w:tcW w:w="1988" w:type="dxa"/>
            <w:noWrap w:val="0"/>
            <w:vAlign w:val="center"/>
          </w:tcPr>
          <w:p w14:paraId="363E4944">
            <w:pPr>
              <w:pStyle w:val="7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b/>
                <w:color w:val="auto"/>
                <w:sz w:val="24"/>
                <w:szCs w:val="24"/>
                <w:highlight w:val="none"/>
                <w:lang w:val="en-US" w:eastAsia="zh-CN" w:bidi="ar-SA"/>
              </w:rPr>
            </w:pPr>
            <w:r>
              <w:rPr>
                <w:rStyle w:val="53"/>
                <w:rFonts w:hint="eastAsia" w:ascii="宋体" w:hAnsi="宋体" w:eastAsia="宋体" w:cs="宋体"/>
                <w:b w:val="0"/>
                <w:bCs/>
                <w:i w:val="0"/>
                <w:caps w:val="0"/>
                <w:color w:val="auto"/>
                <w:spacing w:val="0"/>
                <w:w w:val="100"/>
                <w:position w:val="0"/>
                <w:sz w:val="24"/>
                <w:szCs w:val="24"/>
                <w:highlight w:val="none"/>
                <w:lang w:val="en-US" w:eastAsia="zh-CN" w:bidi="ar-SA"/>
              </w:rPr>
              <w:t>服务期限</w:t>
            </w:r>
          </w:p>
        </w:tc>
        <w:tc>
          <w:tcPr>
            <w:tcW w:w="4878" w:type="dxa"/>
            <w:noWrap w:val="0"/>
            <w:vAlign w:val="center"/>
          </w:tcPr>
          <w:p w14:paraId="011CF63B">
            <w:pPr>
              <w:pStyle w:val="7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宋体" w:hAnsi="宋体" w:eastAsia="宋体" w:cs="宋体"/>
                <w:b/>
                <w:color w:val="auto"/>
                <w:sz w:val="24"/>
                <w:szCs w:val="24"/>
                <w:highlight w:val="none"/>
                <w:lang w:val="en-US" w:bidi="ar-SA"/>
              </w:rPr>
            </w:pPr>
            <w:r>
              <w:rPr>
                <w:rStyle w:val="53"/>
                <w:rFonts w:hint="eastAsia" w:ascii="宋体" w:hAnsi="宋体" w:eastAsia="宋体" w:cs="宋体"/>
                <w:b w:val="0"/>
                <w:bCs/>
                <w:i w:val="0"/>
                <w:caps w:val="0"/>
                <w:color w:val="auto"/>
                <w:spacing w:val="0"/>
                <w:w w:val="100"/>
                <w:position w:val="0"/>
                <w:sz w:val="24"/>
                <w:szCs w:val="24"/>
                <w:highlight w:val="none"/>
                <w:lang w:val="en-US" w:eastAsia="zh-CN" w:bidi="ar-SA"/>
              </w:rPr>
              <w:t>服务期限</w:t>
            </w:r>
            <w:r>
              <w:rPr>
                <w:rStyle w:val="53"/>
                <w:rFonts w:hint="eastAsia" w:ascii="宋体" w:hAnsi="宋体" w:eastAsia="宋体" w:cs="宋体"/>
                <w:b w:val="0"/>
                <w:bCs/>
                <w:i w:val="0"/>
                <w:caps w:val="0"/>
                <w:color w:val="auto"/>
                <w:spacing w:val="0"/>
                <w:w w:val="100"/>
                <w:position w:val="0"/>
                <w:sz w:val="24"/>
                <w:szCs w:val="24"/>
                <w:highlight w:val="none"/>
                <w:lang w:bidi="ar-SA"/>
              </w:rPr>
              <w:t>是否满足招标文件要求</w:t>
            </w:r>
          </w:p>
        </w:tc>
        <w:tc>
          <w:tcPr>
            <w:tcW w:w="842" w:type="dxa"/>
            <w:noWrap w:val="0"/>
            <w:vAlign w:val="top"/>
          </w:tcPr>
          <w:p w14:paraId="30A6CBF5">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z w:val="24"/>
                <w:highlight w:val="none"/>
              </w:rPr>
            </w:pPr>
          </w:p>
        </w:tc>
        <w:tc>
          <w:tcPr>
            <w:tcW w:w="843" w:type="dxa"/>
            <w:noWrap w:val="0"/>
            <w:vAlign w:val="center"/>
          </w:tcPr>
          <w:p w14:paraId="4F0BBB85">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z w:val="24"/>
                <w:highlight w:val="none"/>
              </w:rPr>
            </w:pPr>
          </w:p>
        </w:tc>
      </w:tr>
      <w:tr w14:paraId="21C06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97" w:type="dxa"/>
            <w:vMerge w:val="continue"/>
            <w:noWrap w:val="0"/>
            <w:vAlign w:val="top"/>
          </w:tcPr>
          <w:p w14:paraId="1D3FABD3">
            <w:pPr>
              <w:keepNext w:val="0"/>
              <w:keepLines w:val="0"/>
              <w:pageBreakBefore w:val="0"/>
              <w:kinsoku/>
              <w:wordWrap/>
              <w:overflowPunct/>
              <w:topLinePunct w:val="0"/>
              <w:autoSpaceDE/>
              <w:autoSpaceDN/>
              <w:bidi w:val="0"/>
              <w:adjustRightInd/>
              <w:snapToGrid/>
              <w:spacing w:line="440" w:lineRule="exact"/>
              <w:ind w:firstLine="0" w:firstLineChars="0"/>
              <w:rPr>
                <w:rFonts w:hint="eastAsia" w:ascii="宋体" w:hAnsi="宋体" w:eastAsia="宋体" w:cs="宋体"/>
                <w:color w:val="auto"/>
                <w:sz w:val="24"/>
                <w:highlight w:val="none"/>
              </w:rPr>
            </w:pPr>
          </w:p>
        </w:tc>
        <w:tc>
          <w:tcPr>
            <w:tcW w:w="750" w:type="dxa"/>
            <w:vMerge w:val="continue"/>
            <w:noWrap w:val="0"/>
            <w:vAlign w:val="center"/>
          </w:tcPr>
          <w:p w14:paraId="2C8DC3EE">
            <w:pPr>
              <w:keepNext w:val="0"/>
              <w:keepLines w:val="0"/>
              <w:pageBreakBefore w:val="0"/>
              <w:kinsoku/>
              <w:wordWrap/>
              <w:overflowPunct/>
              <w:topLinePunct w:val="0"/>
              <w:autoSpaceDE/>
              <w:autoSpaceDN/>
              <w:bidi w:val="0"/>
              <w:adjustRightInd/>
              <w:snapToGrid/>
              <w:spacing w:line="440" w:lineRule="exact"/>
              <w:ind w:firstLine="0" w:firstLineChars="0"/>
              <w:rPr>
                <w:rFonts w:hint="eastAsia" w:ascii="宋体" w:hAnsi="宋体" w:eastAsia="宋体" w:cs="宋体"/>
                <w:color w:val="auto"/>
                <w:sz w:val="24"/>
                <w:highlight w:val="none"/>
              </w:rPr>
            </w:pPr>
          </w:p>
        </w:tc>
        <w:tc>
          <w:tcPr>
            <w:tcW w:w="1988" w:type="dxa"/>
            <w:noWrap w:val="0"/>
            <w:vAlign w:val="center"/>
          </w:tcPr>
          <w:p w14:paraId="72CFE482">
            <w:pPr>
              <w:pStyle w:val="7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质保期</w:t>
            </w:r>
          </w:p>
        </w:tc>
        <w:tc>
          <w:tcPr>
            <w:tcW w:w="4878" w:type="dxa"/>
            <w:noWrap w:val="0"/>
            <w:vAlign w:val="center"/>
          </w:tcPr>
          <w:p w14:paraId="30324DB5">
            <w:pPr>
              <w:pStyle w:val="7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宋体" w:hAnsi="宋体" w:eastAsia="宋体" w:cs="宋体"/>
                <w:b w:val="0"/>
                <w:bCs/>
                <w:color w:val="auto"/>
                <w:sz w:val="24"/>
                <w:szCs w:val="24"/>
                <w:highlight w:val="none"/>
                <w:lang w:val="en-US" w:bidi="ar-SA"/>
              </w:rPr>
            </w:pPr>
            <w:r>
              <w:rPr>
                <w:rStyle w:val="53"/>
                <w:rFonts w:hint="eastAsia" w:ascii="宋体" w:hAnsi="宋体" w:eastAsia="宋体" w:cs="宋体"/>
                <w:b w:val="0"/>
                <w:bCs/>
                <w:i w:val="0"/>
                <w:caps w:val="0"/>
                <w:color w:val="auto"/>
                <w:spacing w:val="0"/>
                <w:w w:val="100"/>
                <w:position w:val="0"/>
                <w:sz w:val="24"/>
                <w:szCs w:val="24"/>
                <w:highlight w:val="none"/>
                <w:lang w:eastAsia="zh-CN" w:bidi="ar-SA"/>
              </w:rPr>
              <w:t>质保期</w:t>
            </w:r>
            <w:r>
              <w:rPr>
                <w:rStyle w:val="53"/>
                <w:rFonts w:hint="eastAsia" w:ascii="宋体" w:hAnsi="宋体" w:eastAsia="宋体" w:cs="宋体"/>
                <w:b w:val="0"/>
                <w:bCs/>
                <w:i w:val="0"/>
                <w:caps w:val="0"/>
                <w:color w:val="auto"/>
                <w:spacing w:val="0"/>
                <w:w w:val="100"/>
                <w:position w:val="0"/>
                <w:sz w:val="24"/>
                <w:szCs w:val="24"/>
                <w:highlight w:val="none"/>
                <w:lang w:bidi="ar-SA"/>
              </w:rPr>
              <w:t>是否满足招标文件要求</w:t>
            </w:r>
          </w:p>
        </w:tc>
        <w:tc>
          <w:tcPr>
            <w:tcW w:w="842" w:type="dxa"/>
            <w:noWrap w:val="0"/>
            <w:vAlign w:val="top"/>
          </w:tcPr>
          <w:p w14:paraId="4B3D40FE">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z w:val="24"/>
                <w:highlight w:val="none"/>
              </w:rPr>
            </w:pPr>
          </w:p>
        </w:tc>
        <w:tc>
          <w:tcPr>
            <w:tcW w:w="843" w:type="dxa"/>
            <w:noWrap w:val="0"/>
            <w:vAlign w:val="center"/>
          </w:tcPr>
          <w:p w14:paraId="6F45FF07">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z w:val="24"/>
                <w:highlight w:val="none"/>
              </w:rPr>
            </w:pPr>
          </w:p>
        </w:tc>
      </w:tr>
      <w:tr w14:paraId="128C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97" w:type="dxa"/>
            <w:vMerge w:val="continue"/>
            <w:noWrap w:val="0"/>
            <w:vAlign w:val="top"/>
          </w:tcPr>
          <w:p w14:paraId="49A816EF">
            <w:pPr>
              <w:keepNext w:val="0"/>
              <w:keepLines w:val="0"/>
              <w:pageBreakBefore w:val="0"/>
              <w:kinsoku/>
              <w:wordWrap/>
              <w:overflowPunct/>
              <w:topLinePunct w:val="0"/>
              <w:autoSpaceDE/>
              <w:autoSpaceDN/>
              <w:bidi w:val="0"/>
              <w:adjustRightInd/>
              <w:snapToGrid/>
              <w:spacing w:line="440" w:lineRule="exact"/>
              <w:ind w:firstLine="0" w:firstLineChars="0"/>
              <w:rPr>
                <w:rFonts w:hint="eastAsia" w:ascii="宋体" w:hAnsi="宋体" w:eastAsia="宋体" w:cs="宋体"/>
                <w:color w:val="auto"/>
                <w:sz w:val="24"/>
                <w:highlight w:val="none"/>
              </w:rPr>
            </w:pPr>
          </w:p>
        </w:tc>
        <w:tc>
          <w:tcPr>
            <w:tcW w:w="750" w:type="dxa"/>
            <w:vMerge w:val="continue"/>
            <w:noWrap w:val="0"/>
            <w:vAlign w:val="center"/>
          </w:tcPr>
          <w:p w14:paraId="06D50251">
            <w:pPr>
              <w:keepNext w:val="0"/>
              <w:keepLines w:val="0"/>
              <w:pageBreakBefore w:val="0"/>
              <w:kinsoku/>
              <w:wordWrap/>
              <w:overflowPunct/>
              <w:topLinePunct w:val="0"/>
              <w:autoSpaceDE/>
              <w:autoSpaceDN/>
              <w:bidi w:val="0"/>
              <w:adjustRightInd/>
              <w:snapToGrid/>
              <w:spacing w:line="440" w:lineRule="exact"/>
              <w:ind w:firstLine="0" w:firstLineChars="0"/>
              <w:rPr>
                <w:rFonts w:hint="eastAsia" w:ascii="宋体" w:hAnsi="宋体" w:eastAsia="宋体" w:cs="宋体"/>
                <w:color w:val="auto"/>
                <w:sz w:val="24"/>
                <w:highlight w:val="none"/>
              </w:rPr>
            </w:pPr>
          </w:p>
        </w:tc>
        <w:tc>
          <w:tcPr>
            <w:tcW w:w="1988" w:type="dxa"/>
            <w:noWrap w:val="0"/>
            <w:vAlign w:val="center"/>
          </w:tcPr>
          <w:p w14:paraId="2BD4E0B9">
            <w:pPr>
              <w:pStyle w:val="7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center"/>
              <w:textAlignment w:val="baseline"/>
              <w:rPr>
                <w:rFonts w:hint="eastAsia" w:ascii="宋体" w:hAnsi="宋体" w:eastAsia="宋体" w:cs="宋体"/>
                <w:b/>
                <w:color w:val="auto"/>
                <w:sz w:val="24"/>
                <w:szCs w:val="24"/>
                <w:highlight w:val="none"/>
                <w:lang w:val="en-US" w:bidi="ar-SA"/>
              </w:rPr>
            </w:pPr>
            <w:r>
              <w:rPr>
                <w:rStyle w:val="53"/>
                <w:rFonts w:hint="eastAsia" w:ascii="宋体" w:hAnsi="宋体" w:eastAsia="宋体" w:cs="宋体"/>
                <w:b w:val="0"/>
                <w:bCs/>
                <w:i w:val="0"/>
                <w:caps w:val="0"/>
                <w:color w:val="auto"/>
                <w:spacing w:val="0"/>
                <w:w w:val="100"/>
                <w:position w:val="0"/>
                <w:sz w:val="24"/>
                <w:szCs w:val="24"/>
                <w:highlight w:val="none"/>
                <w:lang w:bidi="ar-SA"/>
              </w:rPr>
              <w:t>其他</w:t>
            </w:r>
          </w:p>
        </w:tc>
        <w:tc>
          <w:tcPr>
            <w:tcW w:w="4878" w:type="dxa"/>
            <w:noWrap w:val="0"/>
            <w:vAlign w:val="center"/>
          </w:tcPr>
          <w:p w14:paraId="024DFF9F">
            <w:pPr>
              <w:pStyle w:val="7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0" w:firstLineChars="0"/>
              <w:jc w:val="left"/>
              <w:textAlignment w:val="baseline"/>
              <w:rPr>
                <w:rFonts w:hint="eastAsia" w:ascii="宋体" w:hAnsi="宋体" w:eastAsia="宋体" w:cs="宋体"/>
                <w:b/>
                <w:color w:val="auto"/>
                <w:sz w:val="24"/>
                <w:szCs w:val="24"/>
                <w:highlight w:val="none"/>
                <w:lang w:val="en-US" w:bidi="ar-SA"/>
              </w:rPr>
            </w:pPr>
            <w:r>
              <w:rPr>
                <w:rStyle w:val="53"/>
                <w:rFonts w:hint="eastAsia" w:ascii="宋体" w:hAnsi="宋体" w:eastAsia="宋体" w:cs="宋体"/>
                <w:b w:val="0"/>
                <w:bCs/>
                <w:i w:val="0"/>
                <w:caps w:val="0"/>
                <w:color w:val="auto"/>
                <w:spacing w:val="0"/>
                <w:w w:val="100"/>
                <w:position w:val="0"/>
                <w:sz w:val="24"/>
                <w:szCs w:val="24"/>
                <w:highlight w:val="none"/>
                <w:lang w:bidi="ar-SA"/>
              </w:rPr>
              <w:t>违反国家法律、法规和招标文件规定的其他无效情形</w:t>
            </w:r>
          </w:p>
        </w:tc>
        <w:tc>
          <w:tcPr>
            <w:tcW w:w="842" w:type="dxa"/>
            <w:noWrap w:val="0"/>
            <w:vAlign w:val="top"/>
          </w:tcPr>
          <w:p w14:paraId="71C6EB5D">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z w:val="24"/>
                <w:highlight w:val="none"/>
              </w:rPr>
            </w:pPr>
          </w:p>
        </w:tc>
        <w:tc>
          <w:tcPr>
            <w:tcW w:w="843" w:type="dxa"/>
            <w:noWrap w:val="0"/>
            <w:vAlign w:val="center"/>
          </w:tcPr>
          <w:p w14:paraId="17D9F32F">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sz w:val="24"/>
                <w:highlight w:val="none"/>
              </w:rPr>
            </w:pPr>
          </w:p>
        </w:tc>
      </w:tr>
    </w:tbl>
    <w:p w14:paraId="14820615">
      <w:pPr>
        <w:keepNext w:val="0"/>
        <w:keepLines w:val="0"/>
        <w:pageBreakBefore w:val="0"/>
        <w:kinsoku/>
        <w:wordWrap/>
        <w:overflowPunct/>
        <w:topLinePunct w:val="0"/>
        <w:autoSpaceDE/>
        <w:autoSpaceDN/>
        <w:bidi w:val="0"/>
        <w:snapToGrid/>
        <w:spacing w:before="0" w:beforeAutospacing="0" w:after="0" w:afterAutospacing="0" w:line="440" w:lineRule="exact"/>
        <w:ind w:firstLine="480" w:firstLineChars="200"/>
        <w:jc w:val="both"/>
        <w:textAlignment w:val="baseline"/>
        <w:rPr>
          <w:rStyle w:val="53"/>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2"/>
          <w:highlight w:val="none"/>
          <w:lang w:val="en-US" w:eastAsia="zh-CN" w:bidi="ar-SA"/>
        </w:rPr>
        <w:t>2、详细评审</w:t>
      </w:r>
    </w:p>
    <w:tbl>
      <w:tblPr>
        <w:tblStyle w:val="38"/>
        <w:tblW w:w="10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02"/>
        <w:gridCol w:w="1208"/>
        <w:gridCol w:w="1271"/>
        <w:gridCol w:w="5621"/>
        <w:gridCol w:w="780"/>
      </w:tblGrid>
      <w:tr w14:paraId="69B04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410" w:type="dxa"/>
            <w:gridSpan w:val="2"/>
            <w:noWrap w:val="0"/>
            <w:vAlign w:val="center"/>
          </w:tcPr>
          <w:p w14:paraId="14A8F97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评分因素</w:t>
            </w:r>
          </w:p>
        </w:tc>
        <w:tc>
          <w:tcPr>
            <w:tcW w:w="1271" w:type="dxa"/>
            <w:noWrap w:val="0"/>
            <w:vAlign w:val="center"/>
          </w:tcPr>
          <w:p w14:paraId="5ECBFF9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评分点</w:t>
            </w:r>
          </w:p>
        </w:tc>
        <w:tc>
          <w:tcPr>
            <w:tcW w:w="5621" w:type="dxa"/>
            <w:noWrap w:val="0"/>
            <w:vAlign w:val="center"/>
          </w:tcPr>
          <w:p w14:paraId="3C57410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评分标准</w:t>
            </w:r>
          </w:p>
        </w:tc>
        <w:tc>
          <w:tcPr>
            <w:tcW w:w="780" w:type="dxa"/>
            <w:noWrap w:val="0"/>
            <w:vAlign w:val="center"/>
          </w:tcPr>
          <w:p w14:paraId="0DBD1F7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分值</w:t>
            </w:r>
          </w:p>
        </w:tc>
      </w:tr>
      <w:tr w14:paraId="40604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restart"/>
            <w:noWrap w:val="0"/>
            <w:vAlign w:val="center"/>
          </w:tcPr>
          <w:p w14:paraId="65ED8B1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详细评审</w:t>
            </w:r>
          </w:p>
        </w:tc>
        <w:tc>
          <w:tcPr>
            <w:tcW w:w="1208" w:type="dxa"/>
            <w:noWrap w:val="0"/>
            <w:vAlign w:val="center"/>
          </w:tcPr>
          <w:p w14:paraId="5D723D9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价格评审</w:t>
            </w:r>
          </w:p>
        </w:tc>
        <w:tc>
          <w:tcPr>
            <w:tcW w:w="1271" w:type="dxa"/>
            <w:noWrap w:val="0"/>
            <w:vAlign w:val="center"/>
          </w:tcPr>
          <w:p w14:paraId="65C9F1F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5621" w:type="dxa"/>
            <w:noWrap w:val="0"/>
            <w:vAlign w:val="center"/>
          </w:tcPr>
          <w:p w14:paraId="41F98165">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评标基准价=有效投标报价的最低值，有效投标报价等于基准值的得满分，投标报价得分=（评标基准价/投标报价）×</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。有效投标报价为通过初步审查的供应商报价</w:t>
            </w:r>
          </w:p>
        </w:tc>
        <w:tc>
          <w:tcPr>
            <w:tcW w:w="780" w:type="dxa"/>
            <w:noWrap w:val="0"/>
            <w:vAlign w:val="center"/>
          </w:tcPr>
          <w:p w14:paraId="3B0CB972">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r>
      <w:tr w14:paraId="56800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continue"/>
            <w:noWrap w:val="0"/>
            <w:vAlign w:val="center"/>
          </w:tcPr>
          <w:p w14:paraId="7D829F7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p>
        </w:tc>
        <w:tc>
          <w:tcPr>
            <w:tcW w:w="1208" w:type="dxa"/>
            <w:vMerge w:val="restart"/>
            <w:noWrap w:val="0"/>
            <w:vAlign w:val="center"/>
          </w:tcPr>
          <w:p w14:paraId="0C9C051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商务标评审</w:t>
            </w:r>
          </w:p>
        </w:tc>
        <w:tc>
          <w:tcPr>
            <w:tcW w:w="1271" w:type="dxa"/>
            <w:noWrap w:val="0"/>
            <w:vAlign w:val="center"/>
          </w:tcPr>
          <w:p w14:paraId="161483E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承揽的同类业绩情况</w:t>
            </w:r>
          </w:p>
        </w:tc>
        <w:tc>
          <w:tcPr>
            <w:tcW w:w="5621" w:type="dxa"/>
            <w:noWrap w:val="0"/>
            <w:vAlign w:val="center"/>
          </w:tcPr>
          <w:p w14:paraId="7AC4DCAA">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年1月1日至</w:t>
            </w:r>
            <w:r>
              <w:rPr>
                <w:rFonts w:hint="eastAsia" w:ascii="宋体" w:hAnsi="宋体" w:eastAsia="宋体" w:cs="宋体"/>
                <w:color w:val="auto"/>
                <w:sz w:val="24"/>
                <w:szCs w:val="24"/>
                <w:highlight w:val="none"/>
                <w:lang w:eastAsia="zh-CN"/>
              </w:rPr>
              <w:t>今</w:t>
            </w:r>
            <w:r>
              <w:rPr>
                <w:rFonts w:hint="eastAsia" w:ascii="宋体" w:hAnsi="宋体" w:eastAsia="宋体" w:cs="宋体"/>
                <w:color w:val="auto"/>
                <w:sz w:val="24"/>
                <w:szCs w:val="24"/>
                <w:highlight w:val="none"/>
              </w:rPr>
              <w:t>类似项目业绩，每提供1项有效的业绩得2分，满分10分。注：1.须提供业绩</w:t>
            </w:r>
            <w:r>
              <w:rPr>
                <w:rFonts w:hint="eastAsia" w:ascii="宋体" w:hAnsi="宋体" w:eastAsia="宋体" w:cs="宋体"/>
                <w:color w:val="auto"/>
                <w:sz w:val="24"/>
                <w:szCs w:val="24"/>
                <w:highlight w:val="none"/>
                <w:lang w:eastAsia="zh-CN"/>
              </w:rPr>
              <w:t>中标通知书或</w:t>
            </w: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eastAsia="zh-CN"/>
              </w:rPr>
              <w:t>未按要求提供不得分。</w:t>
            </w:r>
            <w:r>
              <w:rPr>
                <w:rFonts w:hint="eastAsia" w:ascii="宋体" w:hAnsi="宋体" w:eastAsia="宋体" w:cs="宋体"/>
                <w:color w:val="auto"/>
                <w:sz w:val="24"/>
                <w:szCs w:val="24"/>
                <w:highlight w:val="none"/>
              </w:rPr>
              <w:t>2.供应商提供虚假合同的，按虚假投标处理。</w:t>
            </w:r>
          </w:p>
        </w:tc>
        <w:tc>
          <w:tcPr>
            <w:tcW w:w="780" w:type="dxa"/>
            <w:noWrap w:val="0"/>
            <w:vAlign w:val="center"/>
          </w:tcPr>
          <w:p w14:paraId="1C451347">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10</w:t>
            </w:r>
          </w:p>
        </w:tc>
      </w:tr>
      <w:tr w14:paraId="79ECD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continue"/>
            <w:noWrap w:val="0"/>
            <w:vAlign w:val="center"/>
          </w:tcPr>
          <w:p w14:paraId="4CB5820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p>
        </w:tc>
        <w:tc>
          <w:tcPr>
            <w:tcW w:w="1208" w:type="dxa"/>
            <w:vMerge w:val="continue"/>
            <w:noWrap w:val="0"/>
            <w:vAlign w:val="center"/>
          </w:tcPr>
          <w:p w14:paraId="75EA750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p>
        </w:tc>
        <w:tc>
          <w:tcPr>
            <w:tcW w:w="1271" w:type="dxa"/>
            <w:shd w:val="clear" w:color="auto" w:fill="auto"/>
            <w:noWrap w:val="0"/>
            <w:vAlign w:val="center"/>
          </w:tcPr>
          <w:p w14:paraId="10CB23F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认证证书</w:t>
            </w:r>
          </w:p>
        </w:tc>
        <w:tc>
          <w:tcPr>
            <w:tcW w:w="5621" w:type="dxa"/>
            <w:shd w:val="clear" w:color="auto" w:fill="auto"/>
            <w:noWrap w:val="0"/>
            <w:vAlign w:val="center"/>
          </w:tcPr>
          <w:p w14:paraId="328F6B2B">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lang w:val="en-US" w:eastAsia="zh-CN"/>
              </w:rPr>
              <w:t>具有</w:t>
            </w:r>
            <w:r>
              <w:rPr>
                <w:rFonts w:hint="eastAsia" w:ascii="宋体" w:hAnsi="宋体" w:eastAsia="宋体" w:cs="宋体"/>
                <w:color w:val="auto"/>
                <w:sz w:val="24"/>
                <w:szCs w:val="24"/>
                <w:highlight w:val="none"/>
              </w:rPr>
              <w:t>有效期内的质量管理体系认证证书、职业健康安全管理体系认证证书、环境管理体系认证证书、信息技术服务管理体系认证证书的，每一项得1分，最高得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780" w:type="dxa"/>
            <w:shd w:val="clear" w:color="auto" w:fill="auto"/>
            <w:noWrap w:val="0"/>
            <w:vAlign w:val="center"/>
          </w:tcPr>
          <w:p w14:paraId="7BA38CAD">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r>
      <w:tr w14:paraId="28201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continue"/>
            <w:noWrap w:val="0"/>
            <w:vAlign w:val="center"/>
          </w:tcPr>
          <w:p w14:paraId="4642F6D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p>
        </w:tc>
        <w:tc>
          <w:tcPr>
            <w:tcW w:w="1208" w:type="dxa"/>
            <w:vMerge w:val="continue"/>
            <w:noWrap w:val="0"/>
            <w:vAlign w:val="center"/>
          </w:tcPr>
          <w:p w14:paraId="19324D9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p>
        </w:tc>
        <w:tc>
          <w:tcPr>
            <w:tcW w:w="1271" w:type="dxa"/>
            <w:vMerge w:val="restart"/>
            <w:shd w:val="clear" w:color="auto" w:fill="auto"/>
            <w:noWrap w:val="0"/>
            <w:vAlign w:val="center"/>
          </w:tcPr>
          <w:p w14:paraId="7075D83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投标人能力</w:t>
            </w:r>
          </w:p>
        </w:tc>
        <w:tc>
          <w:tcPr>
            <w:tcW w:w="5621" w:type="dxa"/>
            <w:shd w:val="clear" w:color="auto" w:fill="auto"/>
            <w:noWrap w:val="0"/>
            <w:vAlign w:val="center"/>
          </w:tcPr>
          <w:p w14:paraId="152B6E61">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1.投标人具有软件开发CMMI5级得2分，其他级别的CMMI证书，得1分，没有不得分；</w:t>
            </w:r>
          </w:p>
          <w:p w14:paraId="1593C92A">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2.投标人具有CCRC-软件安全开发（一级）得1分，其他不得分；</w:t>
            </w:r>
          </w:p>
          <w:p w14:paraId="70493C79">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3.投标人具有信息系统服务交付能力等级证书（一级）得1分，其他不得分。</w:t>
            </w:r>
          </w:p>
        </w:tc>
        <w:tc>
          <w:tcPr>
            <w:tcW w:w="780" w:type="dxa"/>
            <w:shd w:val="clear" w:color="auto" w:fill="auto"/>
            <w:noWrap w:val="0"/>
            <w:vAlign w:val="center"/>
          </w:tcPr>
          <w:p w14:paraId="73408D1C">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r>
      <w:tr w14:paraId="7CFCA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continue"/>
            <w:noWrap w:val="0"/>
            <w:vAlign w:val="center"/>
          </w:tcPr>
          <w:p w14:paraId="43CB0D8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p>
        </w:tc>
        <w:tc>
          <w:tcPr>
            <w:tcW w:w="1208" w:type="dxa"/>
            <w:vMerge w:val="continue"/>
            <w:noWrap w:val="0"/>
            <w:vAlign w:val="center"/>
          </w:tcPr>
          <w:p w14:paraId="1ACF625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p>
        </w:tc>
        <w:tc>
          <w:tcPr>
            <w:tcW w:w="1271" w:type="dxa"/>
            <w:vMerge w:val="continue"/>
            <w:shd w:val="clear" w:color="auto" w:fill="auto"/>
            <w:noWrap w:val="0"/>
            <w:vAlign w:val="center"/>
          </w:tcPr>
          <w:p w14:paraId="7DE6449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5621" w:type="dxa"/>
            <w:shd w:val="clear" w:color="auto" w:fill="auto"/>
            <w:noWrap w:val="0"/>
            <w:vAlign w:val="center"/>
          </w:tcPr>
          <w:p w14:paraId="4905AF29">
            <w:pPr>
              <w:pStyle w:val="15"/>
              <w:keepNext w:val="0"/>
              <w:keepLines w:val="0"/>
              <w:pageBreakBefore w:val="0"/>
              <w:kinsoku/>
              <w:wordWrap/>
              <w:overflowPunct/>
              <w:topLinePunct w:val="0"/>
              <w:autoSpaceDE/>
              <w:autoSpaceDN/>
              <w:bidi w:val="0"/>
              <w:spacing w:line="44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提供类似国产化政务协同智能办公、国产化公文管理系统、国产化移动办公管理平台、国产化智能工作流平台、国产化督查督办类计算机软件著作权登记证书，每一份得1分，最高得5分;本项累计最高得5分。</w:t>
            </w:r>
          </w:p>
        </w:tc>
        <w:tc>
          <w:tcPr>
            <w:tcW w:w="780" w:type="dxa"/>
            <w:shd w:val="clear" w:color="auto" w:fill="auto"/>
            <w:noWrap w:val="0"/>
            <w:vAlign w:val="center"/>
          </w:tcPr>
          <w:p w14:paraId="052FA472">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r>
      <w:tr w14:paraId="76111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continue"/>
            <w:noWrap w:val="0"/>
            <w:vAlign w:val="center"/>
          </w:tcPr>
          <w:p w14:paraId="62C6A08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p>
        </w:tc>
        <w:tc>
          <w:tcPr>
            <w:tcW w:w="1208" w:type="dxa"/>
            <w:vMerge w:val="continue"/>
            <w:noWrap w:val="0"/>
            <w:vAlign w:val="center"/>
          </w:tcPr>
          <w:p w14:paraId="357BBFB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p>
        </w:tc>
        <w:tc>
          <w:tcPr>
            <w:tcW w:w="1271" w:type="dxa"/>
            <w:shd w:val="clear" w:color="auto" w:fill="auto"/>
            <w:noWrap w:val="0"/>
            <w:vAlign w:val="center"/>
          </w:tcPr>
          <w:p w14:paraId="303172E6">
            <w:pPr>
              <w:pStyle w:val="15"/>
              <w:keepNext w:val="0"/>
              <w:keepLines w:val="0"/>
              <w:pageBreakBefore w:val="0"/>
              <w:kinsoku/>
              <w:wordWrap/>
              <w:overflowPunct/>
              <w:topLinePunct w:val="0"/>
              <w:autoSpaceDE/>
              <w:autoSpaceDN/>
              <w:bidi w:val="0"/>
              <w:spacing w:line="44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投标人服务</w:t>
            </w:r>
          </w:p>
          <w:p w14:paraId="68587905">
            <w:pPr>
              <w:pStyle w:val="15"/>
              <w:keepNext w:val="0"/>
              <w:keepLines w:val="0"/>
              <w:pageBreakBefore w:val="0"/>
              <w:kinsoku/>
              <w:wordWrap/>
              <w:overflowPunct/>
              <w:topLinePunct w:val="0"/>
              <w:autoSpaceDE/>
              <w:autoSpaceDN/>
              <w:bidi w:val="0"/>
              <w:spacing w:line="44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团队实力</w:t>
            </w:r>
          </w:p>
        </w:tc>
        <w:tc>
          <w:tcPr>
            <w:tcW w:w="5621" w:type="dxa"/>
            <w:shd w:val="clear" w:color="auto" w:fill="auto"/>
            <w:noWrap w:val="0"/>
            <w:vAlign w:val="center"/>
          </w:tcPr>
          <w:p w14:paraId="6F17C430">
            <w:pPr>
              <w:pStyle w:val="15"/>
              <w:keepNext w:val="0"/>
              <w:keepLines w:val="0"/>
              <w:pageBreakBefore w:val="0"/>
              <w:kinsoku/>
              <w:wordWrap/>
              <w:overflowPunct/>
              <w:topLinePunct w:val="0"/>
              <w:autoSpaceDE/>
              <w:autoSpaceDN/>
              <w:bidi w:val="0"/>
              <w:spacing w:line="44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1、项目负责人具有人力资源和社会保障部或工业和信息化部批准颁发的高级信息系统项目管理师证书得2分，中级系统集成项目工程师得1分，不满足不得分。共2分。</w:t>
            </w:r>
          </w:p>
          <w:p w14:paraId="5B19D096">
            <w:pPr>
              <w:pStyle w:val="15"/>
              <w:keepNext w:val="0"/>
              <w:keepLines w:val="0"/>
              <w:pageBreakBefore w:val="0"/>
              <w:kinsoku/>
              <w:wordWrap/>
              <w:overflowPunct/>
              <w:topLinePunct w:val="0"/>
              <w:autoSpaceDE/>
              <w:autoSpaceDN/>
              <w:bidi w:val="0"/>
              <w:spacing w:line="44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注：提供项目负责人近6个月内连续6个月投标人为其缴纳社保的证明材料、身份证、毕业证、相关资质证书。少提供或未提供或不清晰无法辨认的，得0分。</w:t>
            </w:r>
          </w:p>
          <w:p w14:paraId="5986A2D5">
            <w:pPr>
              <w:pStyle w:val="15"/>
              <w:keepNext w:val="0"/>
              <w:keepLines w:val="0"/>
              <w:pageBreakBefore w:val="0"/>
              <w:kinsoku/>
              <w:wordWrap/>
              <w:overflowPunct/>
              <w:topLinePunct w:val="0"/>
              <w:autoSpaceDE/>
              <w:autoSpaceDN/>
              <w:bidi w:val="0"/>
              <w:spacing w:line="44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2、技术负责人具有人力资源和社会保障部或工业和信息化部批准颁发的高级信息系统项目管理师证书得2分；中级系统集成项目工程师得1分。共2分。</w:t>
            </w:r>
          </w:p>
          <w:p w14:paraId="4BCDA4B7">
            <w:pPr>
              <w:pStyle w:val="15"/>
              <w:keepNext w:val="0"/>
              <w:keepLines w:val="0"/>
              <w:pageBreakBefore w:val="0"/>
              <w:kinsoku/>
              <w:wordWrap/>
              <w:overflowPunct/>
              <w:topLinePunct w:val="0"/>
              <w:autoSpaceDE/>
              <w:autoSpaceDN/>
              <w:bidi w:val="0"/>
              <w:spacing w:line="44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注：提供技术负责人近6个月内连续6个月投标人为其缴纳社保的证明材料、身份证、毕业证、相关资质证书。少提供或未提供或不清晰无法辨认的，得0分。</w:t>
            </w:r>
          </w:p>
          <w:p w14:paraId="44F186F7">
            <w:pPr>
              <w:pStyle w:val="15"/>
              <w:keepNext w:val="0"/>
              <w:keepLines w:val="0"/>
              <w:pageBreakBefore w:val="0"/>
              <w:kinsoku/>
              <w:wordWrap/>
              <w:overflowPunct/>
              <w:topLinePunct w:val="0"/>
              <w:autoSpaceDE/>
              <w:autoSpaceDN/>
              <w:bidi w:val="0"/>
              <w:spacing w:line="44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3、技术服务团队（4分）（不包含项目负责人及技术负责人）</w:t>
            </w:r>
          </w:p>
          <w:p w14:paraId="76EB6956">
            <w:pPr>
              <w:pStyle w:val="15"/>
              <w:keepNext w:val="0"/>
              <w:keepLines w:val="0"/>
              <w:pageBreakBefore w:val="0"/>
              <w:kinsoku/>
              <w:wordWrap/>
              <w:overflowPunct/>
              <w:topLinePunct w:val="0"/>
              <w:autoSpaceDE/>
              <w:autoSpaceDN/>
              <w:bidi w:val="0"/>
              <w:spacing w:line="44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实施类：具备人力资源和社会保障或工业和信息化部批准颁发的信息系统项目管理师得1分，中级系统集成项目管理工程师或中级工程师证书得0.5分，满分1分；</w:t>
            </w:r>
          </w:p>
          <w:p w14:paraId="25E91201">
            <w:pPr>
              <w:pStyle w:val="15"/>
              <w:keepNext w:val="0"/>
              <w:keepLines w:val="0"/>
              <w:pageBreakBefore w:val="0"/>
              <w:kinsoku/>
              <w:wordWrap/>
              <w:overflowPunct/>
              <w:topLinePunct w:val="0"/>
              <w:autoSpaceDE/>
              <w:autoSpaceDN/>
              <w:bidi w:val="0"/>
              <w:spacing w:line="44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网络类：具备人力资源和社会保障部或工业和信息化部批准颁发的网络规划师得1分，网络工程师得0.5分，满分1分；</w:t>
            </w:r>
          </w:p>
          <w:p w14:paraId="02E82B00">
            <w:pPr>
              <w:pStyle w:val="15"/>
              <w:keepNext w:val="0"/>
              <w:keepLines w:val="0"/>
              <w:pageBreakBefore w:val="0"/>
              <w:kinsoku/>
              <w:wordWrap/>
              <w:overflowPunct/>
              <w:topLinePunct w:val="0"/>
              <w:autoSpaceDE/>
              <w:autoSpaceDN/>
              <w:bidi w:val="0"/>
              <w:spacing w:line="44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安全类：具有国家信息安全测评中心颁发的注册信息安全工程师证书人员证书得1分，满分1分；</w:t>
            </w:r>
          </w:p>
          <w:p w14:paraId="41793757">
            <w:pPr>
              <w:pStyle w:val="15"/>
              <w:keepNext w:val="0"/>
              <w:keepLines w:val="0"/>
              <w:pageBreakBefore w:val="0"/>
              <w:kinsoku/>
              <w:wordWrap/>
              <w:overflowPunct/>
              <w:topLinePunct w:val="0"/>
              <w:autoSpaceDE/>
              <w:autoSpaceDN/>
              <w:bidi w:val="0"/>
              <w:spacing w:line="44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运维类：具备PMP项目管理工程师证书人员得1分，满分1分；</w:t>
            </w:r>
          </w:p>
          <w:p w14:paraId="2422D464">
            <w:pPr>
              <w:pStyle w:val="15"/>
              <w:keepNext w:val="0"/>
              <w:keepLines w:val="0"/>
              <w:pageBreakBefore w:val="0"/>
              <w:kinsoku/>
              <w:wordWrap/>
              <w:overflowPunct/>
              <w:topLinePunct w:val="0"/>
              <w:autoSpaceDE/>
              <w:autoSpaceDN/>
              <w:bidi w:val="0"/>
              <w:spacing w:line="44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注：须提供上述人员近6个月内连续6个月投标人为其缴纳社保的证明材料、身份证、毕业证、相关资质证书；每1类中同一人具备多种资质证书的，只计取一次分值。</w:t>
            </w:r>
          </w:p>
        </w:tc>
        <w:tc>
          <w:tcPr>
            <w:tcW w:w="780" w:type="dxa"/>
            <w:shd w:val="clear" w:color="auto" w:fill="auto"/>
            <w:noWrap w:val="0"/>
            <w:vAlign w:val="center"/>
          </w:tcPr>
          <w:p w14:paraId="73BC1DF5">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r>
      <w:tr w14:paraId="41EB7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continue"/>
            <w:noWrap w:val="0"/>
            <w:vAlign w:val="center"/>
          </w:tcPr>
          <w:p w14:paraId="22F0E34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p>
        </w:tc>
        <w:tc>
          <w:tcPr>
            <w:tcW w:w="1208" w:type="dxa"/>
            <w:vMerge w:val="restart"/>
            <w:noWrap w:val="0"/>
            <w:vAlign w:val="center"/>
          </w:tcPr>
          <w:p w14:paraId="519D904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技术标评审</w:t>
            </w:r>
          </w:p>
        </w:tc>
        <w:tc>
          <w:tcPr>
            <w:tcW w:w="1271" w:type="dxa"/>
            <w:noWrap w:val="0"/>
            <w:vAlign w:val="center"/>
          </w:tcPr>
          <w:p w14:paraId="7510E9D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技术参数</w:t>
            </w:r>
          </w:p>
        </w:tc>
        <w:tc>
          <w:tcPr>
            <w:tcW w:w="5621" w:type="dxa"/>
            <w:noWrap w:val="0"/>
            <w:vAlign w:val="center"/>
          </w:tcPr>
          <w:p w14:paraId="2D2DF625">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投标产品技术指标负偏离于采购要求的每一项扣1分，扣完为止；本项满分</w:t>
            </w:r>
            <w:r>
              <w:rPr>
                <w:rFonts w:hint="eastAsia" w:ascii="宋体" w:hAnsi="宋体" w:cs="宋体"/>
                <w:color w:val="auto"/>
                <w:kern w:val="2"/>
                <w:sz w:val="24"/>
                <w:szCs w:val="24"/>
                <w:highlight w:val="none"/>
                <w:lang w:val="en-US" w:eastAsia="zh-CN" w:bidi="ar-SA"/>
              </w:rPr>
              <w:t>10</w:t>
            </w:r>
            <w:bookmarkStart w:id="287" w:name="_GoBack"/>
            <w:bookmarkEnd w:id="287"/>
            <w:r>
              <w:rPr>
                <w:rFonts w:hint="eastAsia" w:ascii="宋体" w:hAnsi="宋体" w:eastAsia="宋体" w:cs="宋体"/>
                <w:color w:val="auto"/>
                <w:kern w:val="2"/>
                <w:sz w:val="24"/>
                <w:szCs w:val="24"/>
                <w:highlight w:val="none"/>
                <w:lang w:val="en-US" w:eastAsia="zh-CN" w:bidi="ar-SA"/>
              </w:rPr>
              <w:t>分。</w:t>
            </w:r>
          </w:p>
        </w:tc>
        <w:tc>
          <w:tcPr>
            <w:tcW w:w="780" w:type="dxa"/>
            <w:noWrap w:val="0"/>
            <w:vAlign w:val="center"/>
          </w:tcPr>
          <w:p w14:paraId="34A6EE83">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p>
        </w:tc>
      </w:tr>
      <w:tr w14:paraId="7C782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continue"/>
            <w:noWrap w:val="0"/>
            <w:vAlign w:val="center"/>
          </w:tcPr>
          <w:p w14:paraId="7E568B5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p>
        </w:tc>
        <w:tc>
          <w:tcPr>
            <w:tcW w:w="1208" w:type="dxa"/>
            <w:vMerge w:val="continue"/>
            <w:noWrap w:val="0"/>
            <w:vAlign w:val="center"/>
          </w:tcPr>
          <w:p w14:paraId="3ABFEE2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p>
        </w:tc>
        <w:tc>
          <w:tcPr>
            <w:tcW w:w="1271" w:type="dxa"/>
            <w:shd w:val="clear" w:color="auto" w:fill="auto"/>
            <w:noWrap w:val="0"/>
            <w:vAlign w:val="center"/>
          </w:tcPr>
          <w:p w14:paraId="3D5A81CF">
            <w:pPr>
              <w:pStyle w:val="15"/>
              <w:keepNext w:val="0"/>
              <w:keepLines w:val="0"/>
              <w:pageBreakBefore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基础软硬件</w:t>
            </w:r>
            <w:r>
              <w:rPr>
                <w:rFonts w:hint="eastAsia" w:ascii="宋体" w:hAnsi="宋体" w:eastAsia="宋体" w:cs="宋体"/>
                <w:color w:val="auto"/>
                <w:sz w:val="24"/>
                <w:szCs w:val="24"/>
                <w:highlight w:val="none"/>
              </w:rPr>
              <w:t>总体</w:t>
            </w:r>
            <w:r>
              <w:rPr>
                <w:rFonts w:hint="eastAsia" w:ascii="宋体" w:hAnsi="宋体" w:eastAsia="宋体" w:cs="宋体"/>
                <w:color w:val="auto"/>
                <w:sz w:val="24"/>
                <w:szCs w:val="24"/>
                <w:highlight w:val="none"/>
                <w:lang w:val="en-US" w:eastAsia="zh-CN"/>
              </w:rPr>
              <w:t>建设</w:t>
            </w:r>
            <w:r>
              <w:rPr>
                <w:rFonts w:hint="eastAsia" w:ascii="宋体" w:hAnsi="宋体" w:eastAsia="宋体" w:cs="宋体"/>
                <w:color w:val="auto"/>
                <w:sz w:val="24"/>
                <w:szCs w:val="24"/>
                <w:highlight w:val="none"/>
              </w:rPr>
              <w:t>方案</w:t>
            </w:r>
          </w:p>
        </w:tc>
        <w:tc>
          <w:tcPr>
            <w:tcW w:w="5621" w:type="dxa"/>
            <w:shd w:val="clear" w:color="auto" w:fill="auto"/>
            <w:noWrap w:val="0"/>
            <w:vAlign w:val="center"/>
          </w:tcPr>
          <w:p w14:paraId="13492B6C">
            <w:pPr>
              <w:pStyle w:val="15"/>
              <w:keepNext w:val="0"/>
              <w:keepLines w:val="0"/>
              <w:pageBreakBefore w:val="0"/>
              <w:kinsoku/>
              <w:wordWrap/>
              <w:overflowPunct/>
              <w:topLinePunct w:val="0"/>
              <w:autoSpaceDE/>
              <w:autoSpaceDN/>
              <w:bidi w:val="0"/>
              <w:spacing w:line="440" w:lineRule="exact"/>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根据投标人提供的基础软硬件总体建设方案，对项目的整体进行分析，</w:t>
            </w:r>
          </w:p>
          <w:p w14:paraId="36D7FA60">
            <w:pPr>
              <w:pStyle w:val="15"/>
              <w:keepNext w:val="0"/>
              <w:keepLines w:val="0"/>
              <w:pageBreakBefore w:val="0"/>
              <w:kinsoku/>
              <w:wordWrap/>
              <w:overflowPunct/>
              <w:topLinePunct w:val="0"/>
              <w:autoSpaceDE/>
              <w:autoSpaceDN/>
              <w:bidi w:val="0"/>
              <w:spacing w:line="44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包含：（1）建设方案完整性；（2）建设方案适用性；（3）建设方案优越性；（4）建设方案科学性（5）建设方案安全性。以上五项内容满分10分，缺一项内容扣2分，每有1项内容有缺陷（缺陷是指：只提供评分标准标题、内容不适用项目实际情况的情形、凭空编造、内容前后不一致、前后逻辑错误、涉及的规范及标准错误、地点区域错误、内容缺失不完整）的扣1分，未提供不得分。</w:t>
            </w:r>
          </w:p>
        </w:tc>
        <w:tc>
          <w:tcPr>
            <w:tcW w:w="780" w:type="dxa"/>
            <w:shd w:val="clear" w:color="auto" w:fill="auto"/>
            <w:noWrap w:val="0"/>
            <w:vAlign w:val="center"/>
          </w:tcPr>
          <w:p w14:paraId="70FF0045">
            <w:pPr>
              <w:pStyle w:val="15"/>
              <w:keepNext w:val="0"/>
              <w:keepLines w:val="0"/>
              <w:pageBreakBefore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p>
        </w:tc>
      </w:tr>
      <w:tr w14:paraId="6D47B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continue"/>
            <w:noWrap w:val="0"/>
            <w:vAlign w:val="center"/>
          </w:tcPr>
          <w:p w14:paraId="7AEB7B1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p>
        </w:tc>
        <w:tc>
          <w:tcPr>
            <w:tcW w:w="1208" w:type="dxa"/>
            <w:vMerge w:val="continue"/>
            <w:noWrap w:val="0"/>
            <w:vAlign w:val="center"/>
          </w:tcPr>
          <w:p w14:paraId="3823BDA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p>
        </w:tc>
        <w:tc>
          <w:tcPr>
            <w:tcW w:w="1271" w:type="dxa"/>
            <w:shd w:val="clear" w:color="auto" w:fill="auto"/>
            <w:noWrap w:val="0"/>
            <w:vAlign w:val="center"/>
          </w:tcPr>
          <w:p w14:paraId="686F00BE">
            <w:pPr>
              <w:pStyle w:val="15"/>
              <w:keepNext w:val="0"/>
              <w:keepLines w:val="0"/>
              <w:pageBreakBefore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运维服务</w:t>
            </w:r>
          </w:p>
          <w:p w14:paraId="6CEFCF16">
            <w:pPr>
              <w:pStyle w:val="15"/>
              <w:keepNext w:val="0"/>
              <w:keepLines w:val="0"/>
              <w:pageBreakBefore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方案</w:t>
            </w:r>
          </w:p>
        </w:tc>
        <w:tc>
          <w:tcPr>
            <w:tcW w:w="5621" w:type="dxa"/>
            <w:shd w:val="clear" w:color="auto" w:fill="auto"/>
            <w:noWrap w:val="0"/>
            <w:vAlign w:val="center"/>
          </w:tcPr>
          <w:p w14:paraId="303D11F6">
            <w:pPr>
              <w:pStyle w:val="15"/>
              <w:keepNext w:val="0"/>
              <w:keepLines w:val="0"/>
              <w:pageBreakBefore w:val="0"/>
              <w:kinsoku/>
              <w:wordWrap/>
              <w:overflowPunct/>
              <w:topLinePunct w:val="0"/>
              <w:autoSpaceDE/>
              <w:autoSpaceDN/>
              <w:bidi w:val="0"/>
              <w:spacing w:line="440" w:lineRule="exact"/>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根据本项目采购需求拟定运维服务方案，内容包括但不限于： （1）运维服务工作流程及记录、报告方案； </w:t>
            </w:r>
          </w:p>
          <w:p w14:paraId="386B19DE">
            <w:pPr>
              <w:pStyle w:val="15"/>
              <w:keepNext w:val="0"/>
              <w:keepLines w:val="0"/>
              <w:pageBreakBefore w:val="0"/>
              <w:kinsoku/>
              <w:wordWrap/>
              <w:overflowPunct/>
              <w:topLinePunct w:val="0"/>
              <w:autoSpaceDE/>
              <w:autoSpaceDN/>
              <w:bidi w:val="0"/>
              <w:spacing w:line="44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（2）日常维护工作流程； （3）故障处理工作流程； （4）软硬件更换、更新、升级流程。 （5）软硬件安全防护工作流程。以上五项内容满分5分，缺一项内容扣1分，每1项有缺陷（缺陷是指：只提供评分标准标题、内容不适用项目实际情况的情形、凭空编造、内容前后不一致 、前后逻辑错误、涉及的规范及标准错误、地点区域错误、内容缺失）的扣1分，整体实施方案未提供不得分。</w:t>
            </w:r>
          </w:p>
        </w:tc>
        <w:tc>
          <w:tcPr>
            <w:tcW w:w="780" w:type="dxa"/>
            <w:shd w:val="clear" w:color="auto" w:fill="auto"/>
            <w:noWrap w:val="0"/>
            <w:vAlign w:val="center"/>
          </w:tcPr>
          <w:p w14:paraId="0C1C340E">
            <w:pPr>
              <w:pStyle w:val="15"/>
              <w:keepNext w:val="0"/>
              <w:keepLines w:val="0"/>
              <w:pageBreakBefore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r>
      <w:tr w14:paraId="1944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continue"/>
            <w:noWrap w:val="0"/>
            <w:vAlign w:val="center"/>
          </w:tcPr>
          <w:p w14:paraId="1ECA05F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p>
        </w:tc>
        <w:tc>
          <w:tcPr>
            <w:tcW w:w="1208" w:type="dxa"/>
            <w:vMerge w:val="continue"/>
            <w:noWrap w:val="0"/>
            <w:vAlign w:val="center"/>
          </w:tcPr>
          <w:p w14:paraId="311B3F6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p>
        </w:tc>
        <w:tc>
          <w:tcPr>
            <w:tcW w:w="1271" w:type="dxa"/>
            <w:shd w:val="clear" w:color="auto" w:fill="auto"/>
            <w:noWrap w:val="0"/>
            <w:vAlign w:val="center"/>
          </w:tcPr>
          <w:p w14:paraId="0E6619FC">
            <w:pPr>
              <w:pStyle w:val="15"/>
              <w:keepNext w:val="0"/>
              <w:keepLines w:val="0"/>
              <w:pageBreakBefore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应急服务方案</w:t>
            </w:r>
          </w:p>
        </w:tc>
        <w:tc>
          <w:tcPr>
            <w:tcW w:w="5621" w:type="dxa"/>
            <w:shd w:val="clear" w:color="auto" w:fill="auto"/>
            <w:noWrap w:val="0"/>
            <w:vAlign w:val="center"/>
          </w:tcPr>
          <w:p w14:paraId="3AE071AF">
            <w:pPr>
              <w:pStyle w:val="15"/>
              <w:keepNext w:val="0"/>
              <w:keepLines w:val="0"/>
              <w:pageBreakBefore w:val="0"/>
              <w:kinsoku/>
              <w:wordWrap/>
              <w:overflowPunct/>
              <w:topLinePunct w:val="0"/>
              <w:autoSpaceDE/>
              <w:autoSpaceDN/>
              <w:bidi w:val="0"/>
              <w:spacing w:line="440" w:lineRule="exact"/>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根据本项目采购需求拟定应急服务方案，内容包括但不限于：（1）售后巡检方案；（2）响应时间； （3）现场服务支持能力；（4）应急处理方案；（5）人为因素造成损害的售后服务及应急处理方式方案等。 </w:t>
            </w:r>
          </w:p>
          <w:p w14:paraId="70E3FF8C">
            <w:pPr>
              <w:pStyle w:val="15"/>
              <w:keepNext w:val="0"/>
              <w:keepLines w:val="0"/>
              <w:pageBreakBefore w:val="0"/>
              <w:kinsoku/>
              <w:wordWrap/>
              <w:overflowPunct/>
              <w:topLinePunct w:val="0"/>
              <w:autoSpaceDE/>
              <w:autoSpaceDN/>
              <w:bidi w:val="0"/>
              <w:spacing w:line="44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以上五项内容满分5分，缺一项内容扣1分，每一项有缺陷（缺陷是指：只提供评分标准标题、内容不适用项目实际情 况的情形、凭空编造、内容前后不一致 、前后逻辑错误、涉及的规范及标准错误、地点区域错误、内容缺失）的扣1分，整体实施方案未提供不得分。</w:t>
            </w:r>
          </w:p>
        </w:tc>
        <w:tc>
          <w:tcPr>
            <w:tcW w:w="780" w:type="dxa"/>
            <w:shd w:val="clear" w:color="auto" w:fill="auto"/>
            <w:noWrap w:val="0"/>
            <w:vAlign w:val="center"/>
          </w:tcPr>
          <w:p w14:paraId="28233011">
            <w:pPr>
              <w:pStyle w:val="15"/>
              <w:keepNext w:val="0"/>
              <w:keepLines w:val="0"/>
              <w:pageBreakBefore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r>
      <w:tr w14:paraId="4B807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continue"/>
            <w:noWrap w:val="0"/>
            <w:vAlign w:val="center"/>
          </w:tcPr>
          <w:p w14:paraId="33A27AD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p>
        </w:tc>
        <w:tc>
          <w:tcPr>
            <w:tcW w:w="1208" w:type="dxa"/>
            <w:vMerge w:val="continue"/>
            <w:noWrap w:val="0"/>
            <w:vAlign w:val="center"/>
          </w:tcPr>
          <w:p w14:paraId="4BACB9D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p>
        </w:tc>
        <w:tc>
          <w:tcPr>
            <w:tcW w:w="1271" w:type="dxa"/>
            <w:shd w:val="clear" w:color="auto" w:fill="auto"/>
            <w:noWrap w:val="0"/>
            <w:vAlign w:val="center"/>
          </w:tcPr>
          <w:p w14:paraId="5BEEA44C">
            <w:pPr>
              <w:pStyle w:val="15"/>
              <w:keepNext w:val="0"/>
              <w:keepLines w:val="0"/>
              <w:pageBreakBefore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培训服务方案</w:t>
            </w:r>
          </w:p>
        </w:tc>
        <w:tc>
          <w:tcPr>
            <w:tcW w:w="5621" w:type="dxa"/>
            <w:shd w:val="clear" w:color="auto" w:fill="auto"/>
            <w:noWrap w:val="0"/>
            <w:vAlign w:val="center"/>
          </w:tcPr>
          <w:p w14:paraId="0F1D5834">
            <w:pPr>
              <w:pStyle w:val="15"/>
              <w:keepNext w:val="0"/>
              <w:keepLines w:val="0"/>
              <w:pageBreakBefore w:val="0"/>
              <w:kinsoku/>
              <w:wordWrap/>
              <w:overflowPunct/>
              <w:topLinePunct w:val="0"/>
              <w:autoSpaceDE/>
              <w:autoSpaceDN/>
              <w:bidi w:val="0"/>
              <w:spacing w:line="440" w:lineRule="exact"/>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根据采购内容“培训要求”，提供培训服务方案，内容需明确但不限于：培训目的、培训方式、培训计划、培训时长、培训时间、培训次数、培训内容。方案包括：（1）培训目的、培训方式；（2）培训计划；（3）培训时长、培训时间、培训次数；（4）培训课程内容；（5）培训技术支持。</w:t>
            </w:r>
          </w:p>
          <w:p w14:paraId="15F1D3C1">
            <w:pPr>
              <w:pStyle w:val="15"/>
              <w:keepNext w:val="0"/>
              <w:keepLines w:val="0"/>
              <w:pageBreakBefore w:val="0"/>
              <w:kinsoku/>
              <w:wordWrap/>
              <w:overflowPunct/>
              <w:topLinePunct w:val="0"/>
              <w:autoSpaceDE/>
              <w:autoSpaceDN/>
              <w:bidi w:val="0"/>
              <w:spacing w:line="44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以上五项内容满分得5分。每缺少一项扣1分；以上五项中，每一项具有缺陷（缺陷是指：只提供评分标准标题、内容不适用项目实际情况的情形、凭空编造、内容前后不一致 、前后逻辑错误、涉及的规范及标准错误、地点区域错误、内容缺失）的扣1分，未提供培训方案不得分。</w:t>
            </w:r>
          </w:p>
        </w:tc>
        <w:tc>
          <w:tcPr>
            <w:tcW w:w="780" w:type="dxa"/>
            <w:shd w:val="clear" w:color="auto" w:fill="auto"/>
            <w:noWrap w:val="0"/>
            <w:vAlign w:val="center"/>
          </w:tcPr>
          <w:p w14:paraId="05025BBB">
            <w:pPr>
              <w:pStyle w:val="15"/>
              <w:keepNext w:val="0"/>
              <w:keepLines w:val="0"/>
              <w:pageBreakBefore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r>
      <w:tr w14:paraId="0C4F0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continue"/>
            <w:noWrap w:val="0"/>
            <w:vAlign w:val="center"/>
          </w:tcPr>
          <w:p w14:paraId="105F20E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p>
        </w:tc>
        <w:tc>
          <w:tcPr>
            <w:tcW w:w="1208" w:type="dxa"/>
            <w:vMerge w:val="continue"/>
            <w:noWrap w:val="0"/>
            <w:vAlign w:val="center"/>
          </w:tcPr>
          <w:p w14:paraId="04B5870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p>
        </w:tc>
        <w:tc>
          <w:tcPr>
            <w:tcW w:w="1271" w:type="dxa"/>
            <w:shd w:val="clear" w:color="auto" w:fill="auto"/>
            <w:noWrap w:val="0"/>
            <w:vAlign w:val="center"/>
          </w:tcPr>
          <w:p w14:paraId="49C4E340">
            <w:pPr>
              <w:pStyle w:val="15"/>
              <w:keepNext w:val="0"/>
              <w:keepLines w:val="0"/>
              <w:pageBreakBefore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验收方案</w:t>
            </w:r>
          </w:p>
        </w:tc>
        <w:tc>
          <w:tcPr>
            <w:tcW w:w="5621" w:type="dxa"/>
            <w:shd w:val="clear" w:color="auto" w:fill="auto"/>
            <w:noWrap w:val="0"/>
            <w:vAlign w:val="center"/>
          </w:tcPr>
          <w:p w14:paraId="444EB5ED">
            <w:pPr>
              <w:pStyle w:val="15"/>
              <w:keepNext w:val="0"/>
              <w:keepLines w:val="0"/>
              <w:pageBreakBefore w:val="0"/>
              <w:kinsoku/>
              <w:wordWrap/>
              <w:overflowPunct/>
              <w:topLinePunct w:val="0"/>
              <w:autoSpaceDE/>
              <w:autoSpaceDN/>
              <w:bidi w:val="0"/>
              <w:spacing w:line="44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投标人根据“项目验收测试”要求，提供验收方案，验收方案包括但不限于项目验收方式、验收范围、验收计划、测试计划、验收总结报告等内容，完全满足招标文件要求，且方案科学完善、详细合理得5分；每缺少一项扣1分；验收方案存在有缺陷（缺陷是指：只提供评分标准标题、内容不适用项目实际情况的情形、凭空编造、内容前后不一致 、前后逻辑错误、涉及的规范及标准错误、地点区域错误、内容缺失）等缺陷得扣0.5分，未提供验收方案不得分。</w:t>
            </w:r>
          </w:p>
        </w:tc>
        <w:tc>
          <w:tcPr>
            <w:tcW w:w="780" w:type="dxa"/>
            <w:shd w:val="clear" w:color="auto" w:fill="auto"/>
            <w:noWrap w:val="0"/>
            <w:vAlign w:val="center"/>
          </w:tcPr>
          <w:p w14:paraId="26CD6265">
            <w:pPr>
              <w:pStyle w:val="15"/>
              <w:keepNext w:val="0"/>
              <w:keepLines w:val="0"/>
              <w:pageBreakBefore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r>
      <w:tr w14:paraId="1A8EB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continue"/>
            <w:noWrap w:val="0"/>
            <w:vAlign w:val="center"/>
          </w:tcPr>
          <w:p w14:paraId="5CFA7A9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p>
        </w:tc>
        <w:tc>
          <w:tcPr>
            <w:tcW w:w="1208" w:type="dxa"/>
            <w:vMerge w:val="continue"/>
            <w:noWrap w:val="0"/>
            <w:vAlign w:val="center"/>
          </w:tcPr>
          <w:p w14:paraId="58EBCAB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p>
        </w:tc>
        <w:tc>
          <w:tcPr>
            <w:tcW w:w="1271" w:type="dxa"/>
            <w:shd w:val="clear" w:color="auto" w:fill="auto"/>
            <w:noWrap w:val="0"/>
            <w:vAlign w:val="center"/>
          </w:tcPr>
          <w:p w14:paraId="60774802">
            <w:pPr>
              <w:pStyle w:val="15"/>
              <w:keepNext w:val="0"/>
              <w:keepLines w:val="0"/>
              <w:pageBreakBefore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安全建设方案</w:t>
            </w:r>
          </w:p>
        </w:tc>
        <w:tc>
          <w:tcPr>
            <w:tcW w:w="5621" w:type="dxa"/>
            <w:shd w:val="clear" w:color="auto" w:fill="auto"/>
            <w:noWrap w:val="0"/>
            <w:vAlign w:val="center"/>
          </w:tcPr>
          <w:p w14:paraId="215DB4AE">
            <w:pPr>
              <w:pStyle w:val="15"/>
              <w:keepNext w:val="0"/>
              <w:keepLines w:val="0"/>
              <w:pageBreakBefore w:val="0"/>
              <w:kinsoku/>
              <w:wordWrap/>
              <w:overflowPunct/>
              <w:topLinePunct w:val="0"/>
              <w:autoSpaceDE/>
              <w:autoSpaceDN/>
              <w:bidi w:val="0"/>
              <w:spacing w:line="44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投标人针对本项目提供无纸化会议、移动办公的安全建设方案完全满足项目需求的得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分，否则不得分。</w:t>
            </w:r>
          </w:p>
        </w:tc>
        <w:tc>
          <w:tcPr>
            <w:tcW w:w="780" w:type="dxa"/>
            <w:shd w:val="clear" w:color="auto" w:fill="auto"/>
            <w:noWrap w:val="0"/>
            <w:vAlign w:val="center"/>
          </w:tcPr>
          <w:p w14:paraId="4E4BAD05">
            <w:pPr>
              <w:pStyle w:val="15"/>
              <w:keepNext w:val="0"/>
              <w:keepLines w:val="0"/>
              <w:pageBreakBefore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r>
      <w:tr w14:paraId="7F3CB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continue"/>
            <w:noWrap w:val="0"/>
            <w:vAlign w:val="center"/>
          </w:tcPr>
          <w:p w14:paraId="6FF8DFE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p>
        </w:tc>
        <w:tc>
          <w:tcPr>
            <w:tcW w:w="1208" w:type="dxa"/>
            <w:vMerge w:val="continue"/>
            <w:noWrap w:val="0"/>
            <w:vAlign w:val="center"/>
          </w:tcPr>
          <w:p w14:paraId="4C7128C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p>
        </w:tc>
        <w:tc>
          <w:tcPr>
            <w:tcW w:w="1271" w:type="dxa"/>
            <w:shd w:val="clear" w:color="auto" w:fill="auto"/>
            <w:noWrap w:val="0"/>
            <w:vAlign w:val="center"/>
          </w:tcPr>
          <w:p w14:paraId="15C0563C">
            <w:pPr>
              <w:pStyle w:val="15"/>
              <w:keepNext w:val="0"/>
              <w:keepLines w:val="0"/>
              <w:pageBreakBefore w:val="0"/>
              <w:kinsoku/>
              <w:wordWrap/>
              <w:overflowPunct/>
              <w:topLinePunct w:val="0"/>
              <w:autoSpaceDE/>
              <w:autoSpaceDN/>
              <w:bidi w:val="0"/>
              <w:spacing w:line="440" w:lineRule="exact"/>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项目演示</w:t>
            </w:r>
          </w:p>
        </w:tc>
        <w:tc>
          <w:tcPr>
            <w:tcW w:w="5621" w:type="dxa"/>
            <w:shd w:val="clear" w:color="auto" w:fill="auto"/>
            <w:noWrap w:val="0"/>
            <w:vAlign w:val="center"/>
          </w:tcPr>
          <w:p w14:paraId="5CE8892C">
            <w:pPr>
              <w:pStyle w:val="15"/>
              <w:keepNext w:val="0"/>
              <w:keepLines w:val="0"/>
              <w:pageBreakBefore w:val="0"/>
              <w:kinsoku/>
              <w:wordWrap/>
              <w:overflowPunct/>
              <w:topLinePunct w:val="0"/>
              <w:autoSpaceDE/>
              <w:autoSpaceDN/>
              <w:bidi w:val="0"/>
              <w:spacing w:line="44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方现场产品演示和答疑（时长：不超过15分钟）：根据项目招标文件要求演示产品，产品功能齐全、界面友好、内部外相关系统间集成度高。现场陈述演示中涵盖本项目中所有要求满足的内容（所有子系统等）。满分16分，每项内容存在一处缺陷的扣1分，扣完为止，未提供不得分。（缺陷是指：与本项目采购标的无关、演示内容前后不一致、前后逻辑错误、涉及的相关规范及标准错误、内容缺失、只有简单界面无实质性内容）。</w:t>
            </w:r>
          </w:p>
        </w:tc>
        <w:tc>
          <w:tcPr>
            <w:tcW w:w="780" w:type="dxa"/>
            <w:shd w:val="clear" w:color="auto" w:fill="auto"/>
            <w:noWrap w:val="0"/>
            <w:vAlign w:val="center"/>
          </w:tcPr>
          <w:p w14:paraId="140AA8CF">
            <w:pPr>
              <w:keepNext w:val="0"/>
              <w:keepLines w:val="0"/>
              <w:pageBreakBefore w:val="0"/>
              <w:kinsoku/>
              <w:wordWrap/>
              <w:overflowPunct/>
              <w:topLinePunct w:val="0"/>
              <w:autoSpaceDE/>
              <w:autoSpaceDN/>
              <w:bidi w:val="0"/>
              <w:spacing w:line="44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16</w:t>
            </w:r>
          </w:p>
        </w:tc>
      </w:tr>
      <w:tr w14:paraId="460E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restart"/>
            <w:noWrap w:val="0"/>
            <w:vAlign w:val="center"/>
          </w:tcPr>
          <w:p w14:paraId="69C6703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p>
        </w:tc>
        <w:tc>
          <w:tcPr>
            <w:tcW w:w="1208" w:type="dxa"/>
            <w:noWrap w:val="0"/>
            <w:vAlign w:val="center"/>
          </w:tcPr>
          <w:p w14:paraId="08C48D0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7672" w:type="dxa"/>
            <w:gridSpan w:val="3"/>
            <w:noWrap w:val="0"/>
            <w:vAlign w:val="center"/>
          </w:tcPr>
          <w:p w14:paraId="2E331DB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100分</w:t>
            </w:r>
          </w:p>
        </w:tc>
      </w:tr>
      <w:tr w14:paraId="77520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2" w:type="dxa"/>
            <w:vMerge w:val="continue"/>
            <w:noWrap w:val="0"/>
            <w:vAlign w:val="center"/>
          </w:tcPr>
          <w:p w14:paraId="3256385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p>
        </w:tc>
        <w:tc>
          <w:tcPr>
            <w:tcW w:w="8880" w:type="dxa"/>
            <w:gridSpan w:val="4"/>
            <w:noWrap w:val="0"/>
            <w:vAlign w:val="center"/>
          </w:tcPr>
          <w:p w14:paraId="2D5772E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注：评分分值计算保留小数点后两位，小数点后第三位“四舍五入”</w:t>
            </w:r>
          </w:p>
        </w:tc>
      </w:tr>
    </w:tbl>
    <w:p w14:paraId="59901B82">
      <w:pPr>
        <w:pStyle w:val="2"/>
        <w:keepNext w:val="0"/>
        <w:keepLines w:val="0"/>
        <w:pageBreakBefore w:val="0"/>
        <w:widowControl w:val="0"/>
        <w:kinsoku/>
        <w:wordWrap/>
        <w:overflowPunct/>
        <w:topLinePunct w:val="0"/>
        <w:autoSpaceDE/>
        <w:autoSpaceDN/>
        <w:bidi w:val="0"/>
        <w:adjustRightInd/>
        <w:snapToGrid/>
        <w:spacing w:before="0" w:line="440" w:lineRule="exact"/>
        <w:ind w:firstLine="480" w:firstLineChars="200"/>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3、政府采购政策</w:t>
      </w:r>
    </w:p>
    <w:p w14:paraId="3CA87C70">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firstLine="480" w:firstLineChars="200"/>
        <w:jc w:val="both"/>
        <w:textAlignment w:val="baseline"/>
        <w:rPr>
          <w:rStyle w:val="53"/>
          <w:rFonts w:hint="eastAsia" w:ascii="宋体" w:hAnsi="宋体" w:eastAsia="宋体" w:cs="宋体"/>
          <w:b w:val="0"/>
          <w:i w:val="0"/>
          <w:caps w:val="0"/>
          <w:color w:val="auto"/>
          <w:spacing w:val="0"/>
          <w:w w:val="100"/>
          <w:kern w:val="2"/>
          <w:position w:val="0"/>
          <w:sz w:val="24"/>
          <w:szCs w:val="22"/>
          <w:highlight w:val="none"/>
          <w:lang w:val="en-US" w:eastAsia="zh-CN" w:bidi="ar-SA"/>
        </w:rPr>
      </w:pPr>
      <w:r>
        <w:rPr>
          <w:rFonts w:hint="eastAsia" w:ascii="宋体" w:hAnsi="宋体" w:eastAsia="宋体" w:cs="宋体"/>
          <w:color w:val="auto"/>
          <w:sz w:val="24"/>
          <w:szCs w:val="24"/>
          <w:highlight w:val="none"/>
          <w:lang w:val="en-US" w:eastAsia="zh-CN"/>
        </w:rPr>
        <w:t>本项目专门面向中小企业采购，供应商须按《政府采购促进中小企业发展管理办法》（财库〔2020〕46号）第四条的规定参与此次投标，并提供中小企业声明函。</w:t>
      </w:r>
    </w:p>
    <w:p w14:paraId="2E10886B">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firstLine="480" w:firstLineChars="200"/>
        <w:jc w:val="both"/>
        <w:textAlignment w:val="baseline"/>
        <w:rPr>
          <w:rStyle w:val="53"/>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2"/>
          <w:highlight w:val="none"/>
          <w:lang w:val="en-US" w:eastAsia="zh-CN" w:bidi="ar-SA"/>
        </w:rPr>
        <w:t>4、评标原则</w:t>
      </w:r>
    </w:p>
    <w:p w14:paraId="4ADFC668">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firstLine="480" w:firstLineChars="200"/>
        <w:jc w:val="both"/>
        <w:textAlignment w:val="baseline"/>
        <w:rPr>
          <w:rStyle w:val="53"/>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2"/>
          <w:highlight w:val="none"/>
          <w:lang w:val="en-US" w:eastAsia="zh-CN" w:bidi="ar-SA"/>
        </w:rPr>
        <w:t>4.1、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14:paraId="40B84312">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firstLine="480" w:firstLineChars="200"/>
        <w:jc w:val="both"/>
        <w:textAlignment w:val="baseline"/>
        <w:rPr>
          <w:rStyle w:val="53"/>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2"/>
          <w:highlight w:val="none"/>
          <w:lang w:val="en-US" w:eastAsia="zh-CN" w:bidi="ar-SA"/>
        </w:rPr>
        <w:t>4.2、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14:paraId="4E15BC0C">
      <w:pPr>
        <w:keepNext w:val="0"/>
        <w:keepLines w:val="0"/>
        <w:pageBreakBefore w:val="0"/>
        <w:widowControl w:val="0"/>
        <w:kinsoku/>
        <w:wordWrap/>
        <w:overflowPunct/>
        <w:topLinePunct w:val="0"/>
        <w:autoSpaceDE/>
        <w:autoSpaceDN/>
        <w:bidi w:val="0"/>
        <w:adjustRightInd/>
        <w:snapToGrid/>
        <w:spacing w:beforeAutospacing="0" w:after="0" w:afterAutospacing="0" w:line="440" w:lineRule="exact"/>
        <w:ind w:firstLine="480" w:firstLineChars="200"/>
        <w:jc w:val="both"/>
        <w:textAlignment w:val="baseline"/>
        <w:rPr>
          <w:rStyle w:val="53"/>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2"/>
          <w:highlight w:val="none"/>
          <w:lang w:val="en-US" w:eastAsia="zh-CN" w:bidi="ar-SA"/>
        </w:rPr>
        <w:t>4.3、在任何评标环节中，需评标委员会就某项评审结论做出表决的，由评标委员会全体成员按照少数服从多数的原则，以记名投票方式表决。</w:t>
      </w:r>
    </w:p>
    <w:p w14:paraId="6AC0BCFF">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Style w:val="53"/>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2"/>
          <w:highlight w:val="none"/>
          <w:lang w:val="en-US" w:eastAsia="zh-CN" w:bidi="ar-SA"/>
        </w:rPr>
        <w:t>5、中标人的确定</w:t>
      </w:r>
    </w:p>
    <w:p w14:paraId="3505F9A4">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Style w:val="53"/>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2"/>
          <w:highlight w:val="none"/>
          <w:lang w:val="en-US" w:eastAsia="zh-CN" w:bidi="ar-SA"/>
        </w:rPr>
        <w:t>5.1、评标委员会按照招标文件的评标办法负责向采购人推荐三家供应商为中标候选人。采购代理机构应当在评审结束后2个工作日内将评审报告送采购人确认。采购人应当在收到评审报告后3个工作日内，从评审报告提出的成交候选供应商中，按照排序由高到低的原则确定成交供应商，也可以书面授权评标委员会直接确定中标供应商。采购人逾期未确定中标供应商且不提出异议的，视为确定评审报告提出的排序第一的供应商为中标供应商。</w:t>
      </w:r>
    </w:p>
    <w:p w14:paraId="437DE518">
      <w:pPr>
        <w:keepNext w:val="0"/>
        <w:keepLines w:val="0"/>
        <w:pageBreakBefore w:val="0"/>
        <w:widowControl w:val="0"/>
        <w:kinsoku/>
        <w:wordWrap/>
        <w:overflowPunct/>
        <w:topLinePunct w:val="0"/>
        <w:autoSpaceDE/>
        <w:autoSpaceDN/>
        <w:bidi w:val="0"/>
        <w:adjustRightInd/>
        <w:snapToGrid/>
        <w:spacing w:line="440" w:lineRule="exact"/>
        <w:ind w:firstLine="480" w:firstLineChars="200"/>
        <w:rPr>
          <w:rStyle w:val="53"/>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2"/>
          <w:highlight w:val="none"/>
          <w:lang w:val="en-US" w:eastAsia="zh-CN" w:bidi="ar-SA"/>
        </w:rPr>
        <w:t>5.2、中标供应商拒绝与采购人签订合同的，采购人可以按照评审报告推荐的中标人名单排序，确定下一候选人为中标人，也可以重新开展政府采购活动。</w:t>
      </w:r>
    </w:p>
    <w:p w14:paraId="2E3EFA57">
      <w:pPr>
        <w:spacing w:line="360" w:lineRule="auto"/>
        <w:ind w:firstLine="480" w:firstLineChars="200"/>
        <w:rPr>
          <w:rFonts w:hint="eastAsia" w:ascii="宋体" w:hAnsi="宋体" w:eastAsia="宋体" w:cs="宋体"/>
          <w:color w:val="auto"/>
          <w:sz w:val="24"/>
          <w:highlight w:val="none"/>
        </w:rPr>
      </w:pPr>
    </w:p>
    <w:p w14:paraId="35BCC006">
      <w:pPr>
        <w:spacing w:line="360" w:lineRule="auto"/>
        <w:ind w:firstLine="480" w:firstLineChars="200"/>
        <w:rPr>
          <w:rFonts w:hint="eastAsia" w:ascii="宋体" w:hAnsi="宋体" w:eastAsia="宋体" w:cs="宋体"/>
          <w:color w:val="auto"/>
          <w:sz w:val="24"/>
          <w:highlight w:val="none"/>
        </w:rPr>
      </w:pPr>
    </w:p>
    <w:p w14:paraId="497AC860">
      <w:pPr>
        <w:spacing w:line="360" w:lineRule="auto"/>
        <w:ind w:firstLine="480" w:firstLineChars="200"/>
        <w:rPr>
          <w:rFonts w:hint="eastAsia" w:ascii="宋体" w:hAnsi="宋体" w:eastAsia="宋体" w:cs="宋体"/>
          <w:color w:val="auto"/>
          <w:sz w:val="24"/>
          <w:highlight w:val="none"/>
        </w:rPr>
      </w:pPr>
    </w:p>
    <w:p w14:paraId="13F0A51D">
      <w:pPr>
        <w:spacing w:line="360" w:lineRule="auto"/>
        <w:ind w:firstLine="480" w:firstLineChars="200"/>
        <w:rPr>
          <w:rFonts w:hint="eastAsia" w:ascii="宋体" w:hAnsi="宋体" w:eastAsia="宋体" w:cs="宋体"/>
          <w:color w:val="auto"/>
          <w:sz w:val="24"/>
          <w:highlight w:val="none"/>
        </w:rPr>
      </w:pPr>
    </w:p>
    <w:p w14:paraId="5ABD9A46">
      <w:pPr>
        <w:spacing w:line="360" w:lineRule="auto"/>
        <w:ind w:firstLine="480" w:firstLineChars="200"/>
        <w:rPr>
          <w:rFonts w:hint="eastAsia" w:ascii="宋体" w:hAnsi="宋体" w:eastAsia="宋体" w:cs="宋体"/>
          <w:color w:val="auto"/>
          <w:sz w:val="24"/>
          <w:highlight w:val="none"/>
        </w:rPr>
      </w:pPr>
    </w:p>
    <w:p w14:paraId="6BB1481C">
      <w:pPr>
        <w:spacing w:line="360" w:lineRule="auto"/>
        <w:ind w:firstLine="480" w:firstLineChars="200"/>
        <w:rPr>
          <w:rFonts w:hint="eastAsia" w:ascii="宋体" w:hAnsi="宋体" w:eastAsia="宋体" w:cs="宋体"/>
          <w:color w:val="auto"/>
          <w:sz w:val="24"/>
          <w:highlight w:val="none"/>
        </w:rPr>
      </w:pPr>
    </w:p>
    <w:p w14:paraId="67F3AB1A">
      <w:pPr>
        <w:spacing w:line="360" w:lineRule="auto"/>
        <w:ind w:firstLine="480" w:firstLineChars="200"/>
        <w:rPr>
          <w:rFonts w:hint="eastAsia" w:ascii="宋体" w:hAnsi="宋体" w:eastAsia="宋体" w:cs="宋体"/>
          <w:color w:val="auto"/>
          <w:sz w:val="24"/>
          <w:highlight w:val="none"/>
        </w:rPr>
      </w:pPr>
    </w:p>
    <w:p w14:paraId="430BCB26">
      <w:pPr>
        <w:pStyle w:val="45"/>
        <w:rPr>
          <w:rFonts w:hint="eastAsia" w:ascii="宋体" w:hAnsi="宋体" w:eastAsia="宋体" w:cs="宋体"/>
          <w:color w:val="auto"/>
          <w:sz w:val="24"/>
          <w:highlight w:val="none"/>
        </w:rPr>
      </w:pPr>
    </w:p>
    <w:p w14:paraId="1E9A9649">
      <w:pPr>
        <w:rPr>
          <w:rFonts w:hint="eastAsia" w:ascii="宋体" w:hAnsi="宋体" w:eastAsia="宋体" w:cs="宋体"/>
          <w:color w:val="auto"/>
          <w:sz w:val="24"/>
          <w:highlight w:val="none"/>
        </w:rPr>
      </w:pPr>
    </w:p>
    <w:p w14:paraId="5697AD25">
      <w:pPr>
        <w:pStyle w:val="45"/>
        <w:rPr>
          <w:rFonts w:hint="eastAsia" w:ascii="宋体" w:hAnsi="宋体" w:eastAsia="宋体" w:cs="宋体"/>
          <w:color w:val="auto"/>
          <w:sz w:val="24"/>
          <w:highlight w:val="none"/>
        </w:rPr>
      </w:pPr>
    </w:p>
    <w:p w14:paraId="710ABB3A">
      <w:pPr>
        <w:rPr>
          <w:rFonts w:hint="eastAsia" w:ascii="宋体" w:hAnsi="宋体" w:eastAsia="宋体" w:cs="宋体"/>
          <w:color w:val="auto"/>
          <w:sz w:val="24"/>
          <w:highlight w:val="none"/>
        </w:rPr>
      </w:pPr>
    </w:p>
    <w:p w14:paraId="59BA12D9">
      <w:pPr>
        <w:pStyle w:val="45"/>
        <w:rPr>
          <w:rFonts w:hint="eastAsia" w:ascii="宋体" w:hAnsi="宋体" w:eastAsia="宋体" w:cs="宋体"/>
          <w:color w:val="auto"/>
          <w:sz w:val="24"/>
          <w:highlight w:val="none"/>
        </w:rPr>
      </w:pPr>
    </w:p>
    <w:p w14:paraId="126E6A3E">
      <w:pPr>
        <w:rPr>
          <w:rFonts w:hint="eastAsia" w:ascii="宋体" w:hAnsi="宋体" w:eastAsia="宋体" w:cs="宋体"/>
          <w:color w:val="auto"/>
          <w:sz w:val="24"/>
          <w:highlight w:val="none"/>
        </w:rPr>
      </w:pPr>
    </w:p>
    <w:p w14:paraId="7271FD55">
      <w:pPr>
        <w:pStyle w:val="45"/>
        <w:rPr>
          <w:rFonts w:hint="eastAsia" w:ascii="宋体" w:hAnsi="宋体" w:eastAsia="宋体" w:cs="宋体"/>
          <w:color w:val="auto"/>
          <w:sz w:val="24"/>
          <w:highlight w:val="none"/>
        </w:rPr>
      </w:pPr>
    </w:p>
    <w:p w14:paraId="4DE24D75">
      <w:pPr>
        <w:rPr>
          <w:rFonts w:hint="eastAsia" w:ascii="宋体" w:hAnsi="宋体" w:eastAsia="宋体" w:cs="宋体"/>
          <w:color w:val="auto"/>
          <w:sz w:val="24"/>
          <w:highlight w:val="none"/>
        </w:rPr>
      </w:pPr>
    </w:p>
    <w:p w14:paraId="416F9D54">
      <w:pPr>
        <w:pStyle w:val="45"/>
        <w:rPr>
          <w:rFonts w:hint="eastAsia"/>
          <w:color w:val="auto"/>
          <w:highlight w:val="none"/>
        </w:rPr>
      </w:pPr>
    </w:p>
    <w:p w14:paraId="5B930E52">
      <w:pPr>
        <w:spacing w:line="360" w:lineRule="auto"/>
        <w:rPr>
          <w:rFonts w:hint="eastAsia" w:ascii="宋体" w:hAnsi="宋体" w:eastAsia="宋体" w:cs="宋体"/>
          <w:color w:val="auto"/>
          <w:sz w:val="24"/>
          <w:highlight w:val="none"/>
        </w:rPr>
      </w:pPr>
    </w:p>
    <w:p w14:paraId="5C724617">
      <w:pPr>
        <w:spacing w:line="360" w:lineRule="auto"/>
        <w:rPr>
          <w:rFonts w:hint="eastAsia" w:ascii="宋体" w:hAnsi="宋体" w:eastAsia="宋体" w:cs="宋体"/>
          <w:color w:val="auto"/>
          <w:sz w:val="24"/>
          <w:highlight w:val="none"/>
        </w:rPr>
      </w:pPr>
    </w:p>
    <w:p w14:paraId="283D4B98">
      <w:pPr>
        <w:pStyle w:val="22"/>
        <w:tabs>
          <w:tab w:val="left" w:pos="0"/>
        </w:tabs>
        <w:spacing w:line="360" w:lineRule="auto"/>
        <w:ind w:left="0" w:leftChars="0" w:firstLine="0" w:firstLineChars="0"/>
        <w:jc w:val="center"/>
        <w:outlineLvl w:val="0"/>
        <w:rPr>
          <w:rFonts w:hint="eastAsia" w:ascii="宋体" w:hAnsi="宋体" w:eastAsia="宋体" w:cs="宋体"/>
          <w:b/>
          <w:color w:val="auto"/>
          <w:sz w:val="36"/>
          <w:highlight w:val="none"/>
        </w:rPr>
      </w:pPr>
      <w:bookmarkStart w:id="72" w:name="_Toc8152"/>
      <w:bookmarkStart w:id="73" w:name="_Toc480368418"/>
      <w:r>
        <w:rPr>
          <w:rFonts w:hint="eastAsia" w:ascii="宋体" w:hAnsi="宋体" w:eastAsia="宋体" w:cs="宋体"/>
          <w:b/>
          <w:color w:val="auto"/>
          <w:sz w:val="36"/>
          <w:highlight w:val="none"/>
        </w:rPr>
        <w:t>第五部分   政府采购合同</w:t>
      </w:r>
      <w:bookmarkEnd w:id="72"/>
      <w:bookmarkEnd w:id="73"/>
    </w:p>
    <w:p w14:paraId="49FA461D">
      <w:pPr>
        <w:rPr>
          <w:rFonts w:hint="eastAsia" w:asciiTheme="minorEastAsia" w:hAnsiTheme="minorEastAsia" w:eastAsiaTheme="minorEastAsia" w:cstheme="minorEastAsia"/>
          <w:color w:val="auto"/>
          <w:spacing w:val="0"/>
          <w:position w:val="0"/>
          <w:sz w:val="24"/>
          <w:highlight w:val="none"/>
          <w:u w:val="single"/>
        </w:rPr>
      </w:pPr>
      <w:r>
        <w:rPr>
          <w:rFonts w:hint="eastAsia" w:asciiTheme="minorEastAsia" w:hAnsiTheme="minorEastAsia" w:eastAsiaTheme="minorEastAsia" w:cstheme="minorEastAsia"/>
          <w:color w:val="auto"/>
          <w:spacing w:val="0"/>
          <w:position w:val="0"/>
          <w:sz w:val="24"/>
          <w:highlight w:val="none"/>
        </w:rPr>
        <w:t>合同编号：</w:t>
      </w:r>
      <w:r>
        <w:rPr>
          <w:rFonts w:hint="eastAsia" w:asciiTheme="minorEastAsia" w:hAnsiTheme="minorEastAsia" w:eastAsiaTheme="minorEastAsia" w:cstheme="minorEastAsia"/>
          <w:color w:val="auto"/>
          <w:spacing w:val="0"/>
          <w:position w:val="0"/>
          <w:sz w:val="24"/>
          <w:highlight w:val="none"/>
          <w:u w:val="single"/>
        </w:rPr>
        <w:t xml:space="preserve">           </w:t>
      </w:r>
    </w:p>
    <w:p w14:paraId="75DBEA84">
      <w:pPr>
        <w:spacing w:line="480" w:lineRule="auto"/>
        <w:jc w:val="center"/>
        <w:rPr>
          <w:rFonts w:hint="eastAsia" w:asciiTheme="minorEastAsia" w:hAnsiTheme="minorEastAsia" w:eastAsiaTheme="minorEastAsia" w:cstheme="minorEastAsia"/>
          <w:b/>
          <w:color w:val="auto"/>
          <w:spacing w:val="0"/>
          <w:position w:val="0"/>
          <w:sz w:val="28"/>
          <w:szCs w:val="28"/>
          <w:highlight w:val="none"/>
        </w:rPr>
      </w:pPr>
    </w:p>
    <w:p w14:paraId="5DB20146">
      <w:pPr>
        <w:spacing w:line="480" w:lineRule="auto"/>
        <w:jc w:val="center"/>
        <w:rPr>
          <w:rFonts w:hint="eastAsia" w:asciiTheme="minorEastAsia" w:hAnsiTheme="minorEastAsia" w:eastAsiaTheme="minorEastAsia" w:cstheme="minorEastAsia"/>
          <w:b/>
          <w:color w:val="auto"/>
          <w:spacing w:val="0"/>
          <w:position w:val="0"/>
          <w:sz w:val="28"/>
          <w:szCs w:val="28"/>
          <w:highlight w:val="none"/>
        </w:rPr>
      </w:pPr>
    </w:p>
    <w:p w14:paraId="692EAB8A">
      <w:pPr>
        <w:spacing w:line="480" w:lineRule="auto"/>
        <w:jc w:val="center"/>
        <w:rPr>
          <w:rFonts w:hint="eastAsia" w:asciiTheme="minorEastAsia" w:hAnsiTheme="minorEastAsia" w:eastAsiaTheme="minorEastAsia" w:cstheme="minorEastAsia"/>
          <w:b/>
          <w:color w:val="auto"/>
          <w:spacing w:val="0"/>
          <w:position w:val="0"/>
          <w:sz w:val="28"/>
          <w:szCs w:val="28"/>
          <w:highlight w:val="none"/>
        </w:rPr>
      </w:pPr>
    </w:p>
    <w:p w14:paraId="58AA8CFF">
      <w:pPr>
        <w:spacing w:line="480" w:lineRule="auto"/>
        <w:jc w:val="center"/>
        <w:rPr>
          <w:rFonts w:hint="eastAsia" w:asciiTheme="minorEastAsia" w:hAnsiTheme="minorEastAsia" w:eastAsiaTheme="minorEastAsia" w:cstheme="minorEastAsia"/>
          <w:b/>
          <w:color w:val="auto"/>
          <w:spacing w:val="0"/>
          <w:position w:val="0"/>
          <w:sz w:val="44"/>
          <w:szCs w:val="44"/>
          <w:highlight w:val="none"/>
        </w:rPr>
      </w:pPr>
      <w:r>
        <w:rPr>
          <w:rFonts w:hint="eastAsia" w:asciiTheme="minorEastAsia" w:hAnsiTheme="minorEastAsia" w:eastAsiaTheme="minorEastAsia" w:cstheme="minorEastAsia"/>
          <w:b/>
          <w:color w:val="auto"/>
          <w:spacing w:val="0"/>
          <w:position w:val="0"/>
          <w:sz w:val="44"/>
          <w:szCs w:val="44"/>
          <w:highlight w:val="none"/>
        </w:rPr>
        <w:t>政府采购合同参考范本</w:t>
      </w:r>
    </w:p>
    <w:p w14:paraId="2346FFA9">
      <w:pPr>
        <w:spacing w:line="480" w:lineRule="auto"/>
        <w:jc w:val="center"/>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（服务类）</w:t>
      </w:r>
    </w:p>
    <w:p w14:paraId="07BBB284">
      <w:pPr>
        <w:pStyle w:val="105"/>
        <w:ind w:firstLine="0"/>
        <w:rPr>
          <w:rFonts w:hint="eastAsia" w:asciiTheme="minorEastAsia" w:hAnsiTheme="minorEastAsia" w:eastAsiaTheme="minorEastAsia" w:cstheme="minorEastAsia"/>
          <w:color w:val="auto"/>
          <w:spacing w:val="0"/>
          <w:position w:val="0"/>
          <w:szCs w:val="24"/>
          <w:highlight w:val="none"/>
        </w:rPr>
      </w:pPr>
    </w:p>
    <w:p w14:paraId="00F4BF8C">
      <w:pPr>
        <w:pStyle w:val="105"/>
        <w:ind w:firstLine="0"/>
        <w:rPr>
          <w:rFonts w:hint="eastAsia" w:asciiTheme="minorEastAsia" w:hAnsiTheme="minorEastAsia" w:eastAsiaTheme="minorEastAsia" w:cstheme="minorEastAsia"/>
          <w:color w:val="auto"/>
          <w:spacing w:val="0"/>
          <w:position w:val="0"/>
          <w:szCs w:val="24"/>
          <w:highlight w:val="none"/>
        </w:rPr>
      </w:pPr>
    </w:p>
    <w:p w14:paraId="67663768">
      <w:pPr>
        <w:pStyle w:val="105"/>
        <w:ind w:firstLine="0"/>
        <w:rPr>
          <w:rFonts w:hint="eastAsia" w:asciiTheme="minorEastAsia" w:hAnsiTheme="minorEastAsia" w:eastAsiaTheme="minorEastAsia" w:cstheme="minorEastAsia"/>
          <w:color w:val="auto"/>
          <w:spacing w:val="0"/>
          <w:position w:val="0"/>
          <w:szCs w:val="24"/>
          <w:highlight w:val="none"/>
        </w:rPr>
      </w:pPr>
    </w:p>
    <w:p w14:paraId="58103BC1">
      <w:pPr>
        <w:pStyle w:val="105"/>
        <w:ind w:firstLine="0"/>
        <w:jc w:val="center"/>
        <w:rPr>
          <w:rFonts w:hint="eastAsia" w:asciiTheme="minorEastAsia" w:hAnsiTheme="minorEastAsia" w:eastAsiaTheme="minorEastAsia" w:cstheme="minorEastAsia"/>
          <w:b/>
          <w:color w:val="auto"/>
          <w:spacing w:val="0"/>
          <w:position w:val="0"/>
          <w:szCs w:val="24"/>
          <w:highlight w:val="none"/>
        </w:rPr>
      </w:pPr>
      <w:r>
        <w:rPr>
          <w:rFonts w:hint="eastAsia" w:asciiTheme="minorEastAsia" w:hAnsiTheme="minorEastAsia" w:eastAsiaTheme="minorEastAsia" w:cstheme="minorEastAsia"/>
          <w:b/>
          <w:color w:val="auto"/>
          <w:spacing w:val="0"/>
          <w:position w:val="0"/>
          <w:szCs w:val="24"/>
          <w:highlight w:val="none"/>
        </w:rPr>
        <w:t>第一部分 合同书</w:t>
      </w:r>
    </w:p>
    <w:p w14:paraId="765C34E8">
      <w:pPr>
        <w:pStyle w:val="105"/>
        <w:ind w:firstLine="0"/>
        <w:rPr>
          <w:rFonts w:hint="eastAsia" w:asciiTheme="minorEastAsia" w:hAnsiTheme="minorEastAsia" w:eastAsiaTheme="minorEastAsia" w:cstheme="minorEastAsia"/>
          <w:color w:val="auto"/>
          <w:spacing w:val="0"/>
          <w:position w:val="0"/>
          <w:szCs w:val="24"/>
          <w:highlight w:val="none"/>
        </w:rPr>
      </w:pPr>
    </w:p>
    <w:p w14:paraId="444EDAFD">
      <w:pPr>
        <w:pStyle w:val="105"/>
        <w:ind w:firstLine="0"/>
        <w:rPr>
          <w:rFonts w:hint="eastAsia" w:asciiTheme="minorEastAsia" w:hAnsiTheme="minorEastAsia" w:eastAsiaTheme="minorEastAsia" w:cstheme="minorEastAsia"/>
          <w:color w:val="auto"/>
          <w:spacing w:val="0"/>
          <w:position w:val="0"/>
          <w:szCs w:val="24"/>
          <w:highlight w:val="none"/>
        </w:rPr>
      </w:pPr>
    </w:p>
    <w:p w14:paraId="1EA6CBB4">
      <w:pPr>
        <w:spacing w:before="120" w:line="22" w:lineRule="atLeast"/>
        <w:rPr>
          <w:rFonts w:hint="eastAsia" w:asciiTheme="minorEastAsia" w:hAnsiTheme="minorEastAsia" w:eastAsiaTheme="minorEastAsia" w:cstheme="minorEastAsia"/>
          <w:color w:val="auto"/>
          <w:spacing w:val="0"/>
          <w:position w:val="0"/>
          <w:sz w:val="24"/>
          <w:highlight w:val="none"/>
        </w:rPr>
      </w:pPr>
    </w:p>
    <w:p w14:paraId="3CD5416F">
      <w:pPr>
        <w:spacing w:before="120" w:line="22" w:lineRule="atLeast"/>
        <w:ind w:left="96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项目名称：</w:t>
      </w:r>
      <w:r>
        <w:rPr>
          <w:rFonts w:hint="eastAsia" w:asciiTheme="minorEastAsia" w:hAnsiTheme="minorEastAsia" w:eastAsiaTheme="minorEastAsia" w:cstheme="minorEastAsia"/>
          <w:color w:val="auto"/>
          <w:spacing w:val="0"/>
          <w:position w:val="0"/>
          <w:sz w:val="24"/>
          <w:highlight w:val="none"/>
          <w:u w:val="single"/>
        </w:rPr>
        <w:t xml:space="preserve">                                   </w:t>
      </w:r>
    </w:p>
    <w:p w14:paraId="7CAF6B60">
      <w:pPr>
        <w:pStyle w:val="106"/>
        <w:spacing w:before="120" w:line="22" w:lineRule="atLeast"/>
        <w:rPr>
          <w:rFonts w:hint="eastAsia" w:asciiTheme="minorEastAsia" w:hAnsiTheme="minorEastAsia" w:eastAsiaTheme="minorEastAsia" w:cstheme="minorEastAsia"/>
          <w:color w:val="auto"/>
          <w:spacing w:val="0"/>
          <w:position w:val="0"/>
          <w:szCs w:val="24"/>
          <w:highlight w:val="none"/>
        </w:rPr>
      </w:pPr>
    </w:p>
    <w:p w14:paraId="32F6B7A3">
      <w:pPr>
        <w:pStyle w:val="106"/>
        <w:spacing w:before="120" w:line="22" w:lineRule="atLeast"/>
        <w:rPr>
          <w:rFonts w:hint="eastAsia" w:asciiTheme="minorEastAsia" w:hAnsiTheme="minorEastAsia" w:eastAsiaTheme="minorEastAsia" w:cstheme="minorEastAsia"/>
          <w:color w:val="auto"/>
          <w:spacing w:val="0"/>
          <w:position w:val="0"/>
          <w:szCs w:val="24"/>
          <w:highlight w:val="none"/>
        </w:rPr>
      </w:pPr>
    </w:p>
    <w:p w14:paraId="39B9470B">
      <w:pPr>
        <w:rPr>
          <w:rFonts w:hint="eastAsia" w:asciiTheme="minorEastAsia" w:hAnsiTheme="minorEastAsia" w:eastAsiaTheme="minorEastAsia" w:cstheme="minorEastAsia"/>
          <w:color w:val="auto"/>
          <w:spacing w:val="0"/>
          <w:position w:val="0"/>
          <w:highlight w:val="none"/>
        </w:rPr>
      </w:pPr>
    </w:p>
    <w:p w14:paraId="4AB864EF">
      <w:pPr>
        <w:spacing w:before="120" w:line="22" w:lineRule="atLeast"/>
        <w:ind w:left="960"/>
        <w:rPr>
          <w:rFonts w:hint="eastAsia" w:asciiTheme="minorEastAsia" w:hAnsiTheme="minorEastAsia" w:eastAsiaTheme="minorEastAsia" w:cstheme="minorEastAsia"/>
          <w:color w:val="auto"/>
          <w:spacing w:val="0"/>
          <w:position w:val="0"/>
          <w:sz w:val="24"/>
          <w:highlight w:val="none"/>
          <w:u w:val="single"/>
        </w:rPr>
      </w:pPr>
      <w:r>
        <w:rPr>
          <w:rFonts w:hint="eastAsia" w:asciiTheme="minorEastAsia" w:hAnsiTheme="minorEastAsia" w:eastAsiaTheme="minorEastAsia" w:cstheme="minorEastAsia"/>
          <w:color w:val="auto"/>
          <w:spacing w:val="0"/>
          <w:position w:val="0"/>
          <w:sz w:val="24"/>
          <w:highlight w:val="none"/>
        </w:rPr>
        <w:t>甲方：</w:t>
      </w:r>
      <w:r>
        <w:rPr>
          <w:rFonts w:hint="eastAsia" w:asciiTheme="minorEastAsia" w:hAnsiTheme="minorEastAsia" w:eastAsiaTheme="minorEastAsia" w:cstheme="minorEastAsia"/>
          <w:color w:val="auto"/>
          <w:spacing w:val="0"/>
          <w:position w:val="0"/>
          <w:sz w:val="24"/>
          <w:highlight w:val="none"/>
          <w:u w:val="single"/>
        </w:rPr>
        <w:t xml:space="preserve">                                       </w:t>
      </w:r>
    </w:p>
    <w:p w14:paraId="52BE2742">
      <w:pPr>
        <w:spacing w:before="120" w:line="22" w:lineRule="atLeast"/>
        <w:rPr>
          <w:rFonts w:hint="eastAsia" w:asciiTheme="minorEastAsia" w:hAnsiTheme="minorEastAsia" w:eastAsiaTheme="minorEastAsia" w:cstheme="minorEastAsia"/>
          <w:color w:val="auto"/>
          <w:spacing w:val="0"/>
          <w:position w:val="0"/>
          <w:sz w:val="24"/>
          <w:highlight w:val="none"/>
        </w:rPr>
      </w:pPr>
    </w:p>
    <w:p w14:paraId="69813A80">
      <w:pPr>
        <w:spacing w:before="120" w:line="22" w:lineRule="atLeast"/>
        <w:ind w:left="960"/>
        <w:rPr>
          <w:rFonts w:hint="eastAsia" w:asciiTheme="minorEastAsia" w:hAnsiTheme="minorEastAsia" w:eastAsiaTheme="minorEastAsia" w:cstheme="minorEastAsia"/>
          <w:color w:val="auto"/>
          <w:spacing w:val="0"/>
          <w:position w:val="0"/>
          <w:sz w:val="24"/>
          <w:highlight w:val="none"/>
          <w:u w:val="single"/>
        </w:rPr>
      </w:pPr>
      <w:r>
        <w:rPr>
          <w:rFonts w:hint="eastAsia" w:asciiTheme="minorEastAsia" w:hAnsiTheme="minorEastAsia" w:eastAsiaTheme="minorEastAsia" w:cstheme="minorEastAsia"/>
          <w:color w:val="auto"/>
          <w:spacing w:val="0"/>
          <w:position w:val="0"/>
          <w:sz w:val="24"/>
          <w:highlight w:val="none"/>
        </w:rPr>
        <w:t>乙方：</w:t>
      </w:r>
      <w:r>
        <w:rPr>
          <w:rFonts w:hint="eastAsia" w:asciiTheme="minorEastAsia" w:hAnsiTheme="minorEastAsia" w:eastAsiaTheme="minorEastAsia" w:cstheme="minorEastAsia"/>
          <w:color w:val="auto"/>
          <w:spacing w:val="0"/>
          <w:position w:val="0"/>
          <w:sz w:val="24"/>
          <w:highlight w:val="none"/>
          <w:u w:val="single"/>
        </w:rPr>
        <w:t xml:space="preserve">                                       </w:t>
      </w:r>
    </w:p>
    <w:p w14:paraId="2A7D51D7">
      <w:pPr>
        <w:spacing w:before="120" w:line="22" w:lineRule="atLeast"/>
        <w:rPr>
          <w:rFonts w:hint="eastAsia" w:asciiTheme="minorEastAsia" w:hAnsiTheme="minorEastAsia" w:eastAsiaTheme="minorEastAsia" w:cstheme="minorEastAsia"/>
          <w:color w:val="auto"/>
          <w:spacing w:val="0"/>
          <w:position w:val="0"/>
          <w:sz w:val="24"/>
          <w:highlight w:val="none"/>
        </w:rPr>
      </w:pPr>
    </w:p>
    <w:p w14:paraId="1FC30BDA">
      <w:pPr>
        <w:spacing w:before="120" w:line="22" w:lineRule="atLeast"/>
        <w:ind w:firstLine="960" w:firstLineChars="400"/>
        <w:rPr>
          <w:rFonts w:hint="eastAsia" w:asciiTheme="minorEastAsia" w:hAnsiTheme="minorEastAsia" w:eastAsiaTheme="minorEastAsia" w:cstheme="minorEastAsia"/>
          <w:color w:val="auto"/>
          <w:spacing w:val="0"/>
          <w:position w:val="0"/>
          <w:sz w:val="24"/>
          <w:highlight w:val="none"/>
          <w:u w:val="single"/>
        </w:rPr>
      </w:pPr>
      <w:r>
        <w:rPr>
          <w:rFonts w:hint="eastAsia" w:asciiTheme="minorEastAsia" w:hAnsiTheme="minorEastAsia" w:eastAsiaTheme="minorEastAsia" w:cstheme="minorEastAsia"/>
          <w:color w:val="auto"/>
          <w:spacing w:val="0"/>
          <w:position w:val="0"/>
          <w:sz w:val="24"/>
          <w:highlight w:val="none"/>
        </w:rPr>
        <w:t>签订地：</w:t>
      </w:r>
      <w:r>
        <w:rPr>
          <w:rFonts w:hint="eastAsia" w:asciiTheme="minorEastAsia" w:hAnsiTheme="minorEastAsia" w:eastAsiaTheme="minorEastAsia" w:cstheme="minorEastAsia"/>
          <w:color w:val="auto"/>
          <w:spacing w:val="0"/>
          <w:position w:val="0"/>
          <w:sz w:val="24"/>
          <w:highlight w:val="none"/>
          <w:u w:val="single"/>
        </w:rPr>
        <w:t xml:space="preserve">                                     </w:t>
      </w:r>
    </w:p>
    <w:p w14:paraId="6EC9B84C">
      <w:pPr>
        <w:spacing w:before="120" w:line="22" w:lineRule="atLeast"/>
        <w:rPr>
          <w:rFonts w:hint="eastAsia" w:asciiTheme="minorEastAsia" w:hAnsiTheme="minorEastAsia" w:eastAsiaTheme="minorEastAsia" w:cstheme="minorEastAsia"/>
          <w:color w:val="auto"/>
          <w:spacing w:val="0"/>
          <w:position w:val="0"/>
          <w:sz w:val="24"/>
          <w:highlight w:val="none"/>
        </w:rPr>
      </w:pPr>
    </w:p>
    <w:p w14:paraId="6A9A5D55">
      <w:pPr>
        <w:spacing w:before="120" w:line="22" w:lineRule="atLeast"/>
        <w:ind w:firstLine="960" w:firstLineChars="400"/>
        <w:rPr>
          <w:rFonts w:hint="eastAsia" w:asciiTheme="minorEastAsia" w:hAnsiTheme="minorEastAsia" w:eastAsiaTheme="minorEastAsia" w:cstheme="minorEastAsia"/>
          <w:color w:val="auto"/>
          <w:spacing w:val="0"/>
          <w:position w:val="0"/>
          <w:sz w:val="24"/>
          <w:highlight w:val="none"/>
          <w:u w:val="single"/>
        </w:rPr>
      </w:pPr>
      <w:r>
        <w:rPr>
          <w:rFonts w:hint="eastAsia" w:asciiTheme="minorEastAsia" w:hAnsiTheme="minorEastAsia" w:eastAsiaTheme="minorEastAsia" w:cstheme="minorEastAsia"/>
          <w:color w:val="auto"/>
          <w:spacing w:val="0"/>
          <w:position w:val="0"/>
          <w:sz w:val="24"/>
          <w:highlight w:val="none"/>
        </w:rPr>
        <w:t>签订日期：</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年</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月</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日</w:t>
      </w:r>
    </w:p>
    <w:p w14:paraId="59A57F85">
      <w:pPr>
        <w:autoSpaceDE w:val="0"/>
        <w:autoSpaceDN w:val="0"/>
        <w:adjustRightInd w:val="0"/>
        <w:spacing w:line="600" w:lineRule="exact"/>
        <w:ind w:firstLine="640"/>
        <w:jc w:val="center"/>
        <w:rPr>
          <w:rFonts w:hint="eastAsia" w:asciiTheme="minorEastAsia" w:hAnsiTheme="minorEastAsia" w:eastAsiaTheme="minorEastAsia" w:cstheme="minorEastAsia"/>
          <w:color w:val="auto"/>
          <w:spacing w:val="0"/>
          <w:position w:val="0"/>
          <w:sz w:val="24"/>
          <w:highlight w:val="none"/>
        </w:rPr>
        <w:sectPr>
          <w:pgSz w:w="11905" w:h="16838"/>
          <w:pgMar w:top="1474" w:right="1814" w:bottom="1474" w:left="1814" w:header="850" w:footer="850" w:gutter="0"/>
          <w:cols w:space="0" w:num="1"/>
          <w:rtlGutter w:val="0"/>
          <w:docGrid w:linePitch="462" w:charSpace="0"/>
        </w:sectPr>
      </w:pPr>
    </w:p>
    <w:p w14:paraId="057BD965">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u w:val="single"/>
          <w:lang w:val="zh-CN"/>
        </w:rPr>
        <w:t xml:space="preserve">        </w:t>
      </w:r>
      <w:r>
        <w:rPr>
          <w:rFonts w:hint="eastAsia" w:asciiTheme="minorEastAsia" w:hAnsiTheme="minorEastAsia" w:eastAsiaTheme="minorEastAsia" w:cstheme="minorEastAsia"/>
          <w:color w:val="auto"/>
          <w:spacing w:val="0"/>
          <w:position w:val="0"/>
          <w:sz w:val="24"/>
          <w:highlight w:val="none"/>
          <w:lang w:val="zh-CN"/>
        </w:rPr>
        <w:t>年</w:t>
      </w:r>
      <w:r>
        <w:rPr>
          <w:rFonts w:hint="eastAsia" w:asciiTheme="minorEastAsia" w:hAnsiTheme="minorEastAsia" w:eastAsiaTheme="minorEastAsia" w:cstheme="minorEastAsia"/>
          <w:color w:val="auto"/>
          <w:spacing w:val="0"/>
          <w:position w:val="0"/>
          <w:sz w:val="24"/>
          <w:highlight w:val="none"/>
          <w:u w:val="single"/>
          <w:lang w:val="zh-CN"/>
        </w:rPr>
        <w:t xml:space="preserve">    </w:t>
      </w:r>
      <w:r>
        <w:rPr>
          <w:rFonts w:hint="eastAsia" w:asciiTheme="minorEastAsia" w:hAnsiTheme="minorEastAsia" w:eastAsiaTheme="minorEastAsia" w:cstheme="minorEastAsia"/>
          <w:color w:val="auto"/>
          <w:spacing w:val="0"/>
          <w:position w:val="0"/>
          <w:sz w:val="24"/>
          <w:highlight w:val="none"/>
          <w:lang w:val="zh-CN"/>
        </w:rPr>
        <w:t>月</w:t>
      </w:r>
      <w:r>
        <w:rPr>
          <w:rFonts w:hint="eastAsia" w:asciiTheme="minorEastAsia" w:hAnsiTheme="minorEastAsia" w:eastAsiaTheme="minorEastAsia" w:cstheme="minorEastAsia"/>
          <w:color w:val="auto"/>
          <w:spacing w:val="0"/>
          <w:position w:val="0"/>
          <w:sz w:val="24"/>
          <w:highlight w:val="none"/>
          <w:u w:val="single"/>
          <w:lang w:val="zh-CN"/>
        </w:rPr>
        <w:t xml:space="preserve">    </w:t>
      </w:r>
      <w:r>
        <w:rPr>
          <w:rFonts w:hint="eastAsia" w:asciiTheme="minorEastAsia" w:hAnsiTheme="minorEastAsia" w:eastAsiaTheme="minorEastAsia" w:cstheme="minorEastAsia"/>
          <w:color w:val="auto"/>
          <w:spacing w:val="0"/>
          <w:position w:val="0"/>
          <w:sz w:val="24"/>
          <w:highlight w:val="none"/>
          <w:lang w:val="zh-CN"/>
        </w:rPr>
        <w:t>日</w:t>
      </w:r>
      <w:r>
        <w:rPr>
          <w:rFonts w:hint="eastAsia" w:asciiTheme="minorEastAsia" w:hAnsiTheme="minorEastAsia" w:eastAsiaTheme="minorEastAsia" w:cstheme="minorEastAsia"/>
          <w:color w:val="auto"/>
          <w:spacing w:val="0"/>
          <w:position w:val="0"/>
          <w:sz w:val="24"/>
          <w:highlight w:val="none"/>
        </w:rPr>
        <w:t>，</w:t>
      </w:r>
      <w:r>
        <w:rPr>
          <w:rFonts w:hint="eastAsia" w:asciiTheme="minorEastAsia" w:hAnsiTheme="minorEastAsia" w:eastAsiaTheme="minorEastAsia" w:cstheme="minorEastAsia"/>
          <w:color w:val="auto"/>
          <w:spacing w:val="0"/>
          <w:position w:val="0"/>
          <w:sz w:val="24"/>
          <w:highlight w:val="none"/>
          <w:u w:val="single"/>
        </w:rPr>
        <w:t xml:space="preserve">   （采购人名称）   </w:t>
      </w:r>
      <w:r>
        <w:rPr>
          <w:rFonts w:hint="eastAsia" w:asciiTheme="minorEastAsia" w:hAnsiTheme="minorEastAsia" w:eastAsiaTheme="minorEastAsia" w:cstheme="minorEastAsia"/>
          <w:color w:val="auto"/>
          <w:spacing w:val="0"/>
          <w:position w:val="0"/>
          <w:sz w:val="24"/>
          <w:highlight w:val="none"/>
        </w:rPr>
        <w:t>以</w:t>
      </w:r>
      <w:r>
        <w:rPr>
          <w:rFonts w:hint="eastAsia" w:asciiTheme="minorEastAsia" w:hAnsiTheme="minorEastAsia" w:eastAsiaTheme="minorEastAsia" w:cstheme="minorEastAsia"/>
          <w:color w:val="auto"/>
          <w:spacing w:val="0"/>
          <w:position w:val="0"/>
          <w:sz w:val="24"/>
          <w:highlight w:val="none"/>
          <w:u w:val="single"/>
        </w:rPr>
        <w:t xml:space="preserve">   （政府采购方式）  </w:t>
      </w:r>
      <w:r>
        <w:rPr>
          <w:rFonts w:hint="eastAsia" w:asciiTheme="minorEastAsia" w:hAnsiTheme="minorEastAsia" w:eastAsiaTheme="minorEastAsia" w:cstheme="minorEastAsia"/>
          <w:color w:val="auto"/>
          <w:spacing w:val="0"/>
          <w:position w:val="0"/>
          <w:sz w:val="24"/>
          <w:highlight w:val="none"/>
        </w:rPr>
        <w:t>对</w:t>
      </w:r>
      <w:r>
        <w:rPr>
          <w:rFonts w:hint="eastAsia" w:asciiTheme="minorEastAsia" w:hAnsiTheme="minorEastAsia" w:eastAsiaTheme="minorEastAsia" w:cstheme="minorEastAsia"/>
          <w:color w:val="auto"/>
          <w:spacing w:val="0"/>
          <w:position w:val="0"/>
          <w:sz w:val="24"/>
          <w:highlight w:val="none"/>
          <w:u w:val="single"/>
        </w:rPr>
        <w:t xml:space="preserve">   （同前页项目名称）   </w:t>
      </w:r>
      <w:r>
        <w:rPr>
          <w:rFonts w:hint="eastAsia" w:asciiTheme="minorEastAsia" w:hAnsiTheme="minorEastAsia" w:eastAsiaTheme="minorEastAsia" w:cstheme="minorEastAsia"/>
          <w:color w:val="auto"/>
          <w:spacing w:val="0"/>
          <w:position w:val="0"/>
          <w:sz w:val="24"/>
          <w:highlight w:val="none"/>
        </w:rPr>
        <w:t>项目进行了采购。经</w:t>
      </w:r>
      <w:r>
        <w:rPr>
          <w:rFonts w:hint="eastAsia" w:asciiTheme="minorEastAsia" w:hAnsiTheme="minorEastAsia" w:eastAsiaTheme="minorEastAsia" w:cstheme="minorEastAsia"/>
          <w:color w:val="auto"/>
          <w:spacing w:val="0"/>
          <w:position w:val="0"/>
          <w:sz w:val="24"/>
          <w:highlight w:val="none"/>
          <w:u w:val="single"/>
        </w:rPr>
        <w:t xml:space="preserve">   （相关评定主体名称）   </w:t>
      </w:r>
      <w:r>
        <w:rPr>
          <w:rFonts w:hint="eastAsia" w:asciiTheme="minorEastAsia" w:hAnsiTheme="minorEastAsia" w:eastAsiaTheme="minorEastAsia" w:cstheme="minorEastAsia"/>
          <w:color w:val="auto"/>
          <w:spacing w:val="0"/>
          <w:position w:val="0"/>
          <w:sz w:val="24"/>
          <w:highlight w:val="none"/>
        </w:rPr>
        <w:t>评定，</w:t>
      </w:r>
      <w:r>
        <w:rPr>
          <w:rFonts w:hint="eastAsia" w:asciiTheme="minorEastAsia" w:hAnsiTheme="minorEastAsia" w:eastAsiaTheme="minorEastAsia" w:cstheme="minorEastAsia"/>
          <w:color w:val="auto"/>
          <w:spacing w:val="0"/>
          <w:position w:val="0"/>
          <w:sz w:val="24"/>
          <w:highlight w:val="none"/>
          <w:u w:val="single"/>
        </w:rPr>
        <w:t xml:space="preserve">   （中标供应商名称） </w:t>
      </w:r>
      <w:r>
        <w:rPr>
          <w:rFonts w:hint="eastAsia" w:asciiTheme="minorEastAsia" w:hAnsiTheme="minorEastAsia" w:eastAsiaTheme="minorEastAsia" w:cstheme="minorEastAsia"/>
          <w:color w:val="auto"/>
          <w:spacing w:val="0"/>
          <w:position w:val="0"/>
          <w:sz w:val="24"/>
          <w:highlight w:val="none"/>
        </w:rPr>
        <w:t>为该项目中标供应商。现于中标通知书发出之日起三十日内，按照采购文件确定的事项签订本合同。</w:t>
      </w:r>
    </w:p>
    <w:p w14:paraId="16481DBF">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lang w:val="zh-CN"/>
        </w:rPr>
        <w:t>根据《中华人民共和国合同法》、《中华人民共和国政府采购法》等相关法律法规之规定，按照平等、自愿、公平和诚实信用的原则，经</w:t>
      </w:r>
      <w:r>
        <w:rPr>
          <w:rFonts w:hint="eastAsia" w:asciiTheme="minorEastAsia" w:hAnsiTheme="minorEastAsia" w:eastAsiaTheme="minorEastAsia" w:cstheme="minorEastAsia"/>
          <w:color w:val="auto"/>
          <w:spacing w:val="0"/>
          <w:position w:val="0"/>
          <w:sz w:val="24"/>
          <w:highlight w:val="none"/>
          <w:u w:val="single"/>
        </w:rPr>
        <w:t xml:space="preserve">   （采购人名称）   </w:t>
      </w:r>
      <w:r>
        <w:rPr>
          <w:rFonts w:hint="eastAsia" w:asciiTheme="minorEastAsia" w:hAnsiTheme="minorEastAsia" w:eastAsiaTheme="minorEastAsia" w:cstheme="minorEastAsia"/>
          <w:color w:val="auto"/>
          <w:spacing w:val="0"/>
          <w:position w:val="0"/>
          <w:sz w:val="24"/>
          <w:highlight w:val="none"/>
          <w:lang w:val="zh-CN"/>
        </w:rPr>
        <w:t>(以下简称：甲方)和</w:t>
      </w:r>
      <w:r>
        <w:rPr>
          <w:rFonts w:hint="eastAsia" w:asciiTheme="minorEastAsia" w:hAnsiTheme="minorEastAsia" w:eastAsiaTheme="minorEastAsia" w:cstheme="minorEastAsia"/>
          <w:color w:val="auto"/>
          <w:spacing w:val="0"/>
          <w:position w:val="0"/>
          <w:sz w:val="24"/>
          <w:highlight w:val="none"/>
          <w:u w:val="single"/>
        </w:rPr>
        <w:t xml:space="preserve">   （中标供应商名称）   </w:t>
      </w:r>
      <w:r>
        <w:rPr>
          <w:rFonts w:hint="eastAsia" w:asciiTheme="minorEastAsia" w:hAnsiTheme="minorEastAsia" w:eastAsiaTheme="minorEastAsia" w:cstheme="minorEastAsia"/>
          <w:color w:val="auto"/>
          <w:spacing w:val="0"/>
          <w:position w:val="0"/>
          <w:sz w:val="24"/>
          <w:highlight w:val="none"/>
          <w:lang w:val="zh-CN"/>
        </w:rPr>
        <w:t>(以下简称：乙方)协商一致，约定以下合同</w:t>
      </w:r>
      <w:r>
        <w:rPr>
          <w:rFonts w:hint="eastAsia" w:asciiTheme="minorEastAsia" w:hAnsiTheme="minorEastAsia" w:eastAsiaTheme="minorEastAsia" w:cstheme="minorEastAsia"/>
          <w:color w:val="auto"/>
          <w:spacing w:val="0"/>
          <w:position w:val="0"/>
          <w:sz w:val="24"/>
          <w:highlight w:val="none"/>
        </w:rPr>
        <w:t>条款，以兹共同遵守、全面履行。</w:t>
      </w:r>
    </w:p>
    <w:p w14:paraId="6D7DAAD0">
      <w:pPr>
        <w:spacing w:line="560" w:lineRule="exact"/>
        <w:ind w:firstLine="482" w:firstLineChars="200"/>
        <w:outlineLvl w:val="0"/>
        <w:rPr>
          <w:rFonts w:hint="eastAsia" w:asciiTheme="minorEastAsia" w:hAnsiTheme="minorEastAsia" w:eastAsiaTheme="minorEastAsia" w:cstheme="minorEastAsia"/>
          <w:color w:val="auto"/>
          <w:spacing w:val="0"/>
          <w:position w:val="0"/>
          <w:sz w:val="24"/>
          <w:highlight w:val="none"/>
        </w:rPr>
      </w:pPr>
      <w:bookmarkStart w:id="74" w:name="_Toc22967"/>
      <w:bookmarkStart w:id="75" w:name="_Toc19273"/>
      <w:bookmarkStart w:id="76" w:name="_Toc28855"/>
      <w:bookmarkStart w:id="77" w:name="_Toc15367"/>
      <w:bookmarkStart w:id="78" w:name="_Toc20421"/>
      <w:r>
        <w:rPr>
          <w:rFonts w:hint="eastAsia" w:asciiTheme="minorEastAsia" w:hAnsiTheme="minorEastAsia" w:eastAsiaTheme="minorEastAsia" w:cstheme="minorEastAsia"/>
          <w:b/>
          <w:color w:val="auto"/>
          <w:spacing w:val="0"/>
          <w:position w:val="0"/>
          <w:sz w:val="24"/>
          <w:highlight w:val="none"/>
        </w:rPr>
        <w:t>1.1 合同组成部分</w:t>
      </w:r>
      <w:bookmarkEnd w:id="74"/>
      <w:bookmarkEnd w:id="75"/>
      <w:bookmarkEnd w:id="76"/>
      <w:bookmarkEnd w:id="77"/>
      <w:bookmarkEnd w:id="78"/>
    </w:p>
    <w:p w14:paraId="3DA92587">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3096EB0">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1.1.1 本合同及其补充合同、变更协议；</w:t>
      </w:r>
    </w:p>
    <w:p w14:paraId="34F8F7F4">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1.1.2 中标通知书；</w:t>
      </w:r>
    </w:p>
    <w:p w14:paraId="5952940D">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1.1.3 投标文件（含澄清或者说明文件）；</w:t>
      </w:r>
    </w:p>
    <w:p w14:paraId="309EA91E">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1.1.4 </w:t>
      </w:r>
      <w:r>
        <w:rPr>
          <w:rFonts w:hint="eastAsia" w:asciiTheme="minorEastAsia" w:hAnsiTheme="minorEastAsia" w:eastAsiaTheme="minorEastAsia" w:cstheme="minorEastAsia"/>
          <w:color w:val="auto"/>
          <w:spacing w:val="0"/>
          <w:position w:val="0"/>
          <w:sz w:val="24"/>
          <w:highlight w:val="none"/>
          <w:lang w:eastAsia="zh-CN"/>
        </w:rPr>
        <w:t>竞争性磋商文件</w:t>
      </w:r>
      <w:r>
        <w:rPr>
          <w:rFonts w:hint="eastAsia" w:asciiTheme="minorEastAsia" w:hAnsiTheme="minorEastAsia" w:eastAsiaTheme="minorEastAsia" w:cstheme="minorEastAsia"/>
          <w:color w:val="auto"/>
          <w:spacing w:val="0"/>
          <w:position w:val="0"/>
          <w:sz w:val="24"/>
          <w:highlight w:val="none"/>
        </w:rPr>
        <w:t>（含澄清或者修改文件）；</w:t>
      </w:r>
    </w:p>
    <w:p w14:paraId="03BBBE2F">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1.1.5 其他相关采购文件。</w:t>
      </w:r>
    </w:p>
    <w:p w14:paraId="7D2AD257">
      <w:pPr>
        <w:spacing w:line="560" w:lineRule="exact"/>
        <w:ind w:firstLine="482" w:firstLineChars="200"/>
        <w:outlineLvl w:val="0"/>
        <w:rPr>
          <w:rFonts w:hint="eastAsia" w:asciiTheme="minorEastAsia" w:hAnsiTheme="minorEastAsia" w:eastAsiaTheme="minorEastAsia" w:cstheme="minorEastAsia"/>
          <w:b/>
          <w:color w:val="auto"/>
          <w:spacing w:val="0"/>
          <w:position w:val="0"/>
          <w:sz w:val="24"/>
          <w:highlight w:val="none"/>
        </w:rPr>
      </w:pPr>
      <w:bookmarkStart w:id="79" w:name="_Toc22185"/>
      <w:bookmarkStart w:id="80" w:name="_Toc2918"/>
      <w:bookmarkStart w:id="81" w:name="_Toc6773"/>
      <w:bookmarkStart w:id="82" w:name="_Toc18585"/>
      <w:bookmarkStart w:id="83" w:name="_Toc6311"/>
      <w:r>
        <w:rPr>
          <w:rFonts w:hint="eastAsia" w:asciiTheme="minorEastAsia" w:hAnsiTheme="minorEastAsia" w:eastAsiaTheme="minorEastAsia" w:cstheme="minorEastAsia"/>
          <w:b/>
          <w:color w:val="auto"/>
          <w:spacing w:val="0"/>
          <w:position w:val="0"/>
          <w:sz w:val="24"/>
          <w:highlight w:val="none"/>
        </w:rPr>
        <w:t>1.2 标的</w:t>
      </w:r>
      <w:bookmarkEnd w:id="79"/>
      <w:bookmarkEnd w:id="80"/>
      <w:bookmarkEnd w:id="81"/>
      <w:bookmarkEnd w:id="82"/>
      <w:bookmarkEnd w:id="83"/>
    </w:p>
    <w:p w14:paraId="77BF7EF8">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u w:val="single"/>
        </w:rPr>
      </w:pPr>
      <w:r>
        <w:rPr>
          <w:rFonts w:hint="eastAsia" w:asciiTheme="minorEastAsia" w:hAnsiTheme="minorEastAsia" w:eastAsiaTheme="minorEastAsia" w:cstheme="minorEastAsia"/>
          <w:color w:val="auto"/>
          <w:spacing w:val="0"/>
          <w:position w:val="0"/>
          <w:sz w:val="24"/>
          <w:highlight w:val="none"/>
        </w:rPr>
        <w:t>1.2.1 标的名称：</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w:t>
      </w:r>
    </w:p>
    <w:p w14:paraId="6253E649">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u w:val="single"/>
        </w:rPr>
      </w:pPr>
      <w:r>
        <w:rPr>
          <w:rFonts w:hint="eastAsia" w:asciiTheme="minorEastAsia" w:hAnsiTheme="minorEastAsia" w:eastAsiaTheme="minorEastAsia" w:cstheme="minorEastAsia"/>
          <w:color w:val="auto"/>
          <w:spacing w:val="0"/>
          <w:position w:val="0"/>
          <w:sz w:val="24"/>
          <w:highlight w:val="none"/>
        </w:rPr>
        <w:t>1.2.2 标的数量：</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w:t>
      </w:r>
    </w:p>
    <w:p w14:paraId="43ED17B8">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1.2.3 标的质量：</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w:t>
      </w:r>
    </w:p>
    <w:p w14:paraId="70B69721">
      <w:pPr>
        <w:spacing w:line="560" w:lineRule="exact"/>
        <w:ind w:firstLine="482" w:firstLineChars="200"/>
        <w:outlineLvl w:val="0"/>
        <w:rPr>
          <w:rFonts w:hint="eastAsia" w:asciiTheme="minorEastAsia" w:hAnsiTheme="minorEastAsia" w:eastAsiaTheme="minorEastAsia" w:cstheme="minorEastAsia"/>
          <w:b/>
          <w:color w:val="auto"/>
          <w:spacing w:val="0"/>
          <w:position w:val="0"/>
          <w:sz w:val="24"/>
          <w:highlight w:val="none"/>
        </w:rPr>
      </w:pPr>
      <w:bookmarkStart w:id="84" w:name="_Toc1386"/>
      <w:bookmarkStart w:id="85" w:name="_Toc21124"/>
      <w:bookmarkStart w:id="86" w:name="_Toc4929"/>
      <w:bookmarkStart w:id="87" w:name="_Toc13918"/>
      <w:bookmarkStart w:id="88" w:name="_Toc5635"/>
      <w:r>
        <w:rPr>
          <w:rFonts w:hint="eastAsia" w:asciiTheme="minorEastAsia" w:hAnsiTheme="minorEastAsia" w:eastAsiaTheme="minorEastAsia" w:cstheme="minorEastAsia"/>
          <w:b/>
          <w:color w:val="auto"/>
          <w:spacing w:val="0"/>
          <w:position w:val="0"/>
          <w:sz w:val="24"/>
          <w:highlight w:val="none"/>
        </w:rPr>
        <w:t>1.3 价款</w:t>
      </w:r>
      <w:bookmarkEnd w:id="84"/>
      <w:bookmarkEnd w:id="85"/>
      <w:bookmarkEnd w:id="86"/>
      <w:bookmarkEnd w:id="87"/>
      <w:bookmarkEnd w:id="88"/>
    </w:p>
    <w:p w14:paraId="572A3288">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本合同总价为：￥</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元（大写：</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元人民币）。</w:t>
      </w:r>
    </w:p>
    <w:p w14:paraId="3536D378">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u w:val="single"/>
        </w:rPr>
      </w:pPr>
      <w:r>
        <w:rPr>
          <w:rFonts w:hint="eastAsia" w:asciiTheme="minorEastAsia" w:hAnsiTheme="minorEastAsia" w:eastAsiaTheme="minorEastAsia" w:cstheme="minorEastAsia"/>
          <w:color w:val="auto"/>
          <w:spacing w:val="0"/>
          <w:position w:val="0"/>
          <w:sz w:val="24"/>
          <w:highlight w:val="none"/>
        </w:rPr>
        <w:t>分项价格：</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CF91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C4C7DC3">
            <w:pPr>
              <w:pStyle w:val="107"/>
              <w:spacing w:line="560" w:lineRule="exact"/>
              <w:jc w:val="center"/>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序号</w:t>
            </w:r>
          </w:p>
        </w:tc>
        <w:tc>
          <w:tcPr>
            <w:tcW w:w="3402" w:type="dxa"/>
            <w:noWrap w:val="0"/>
            <w:vAlign w:val="center"/>
          </w:tcPr>
          <w:p w14:paraId="2F34A666">
            <w:pPr>
              <w:pStyle w:val="107"/>
              <w:spacing w:line="56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分项名称</w:t>
            </w:r>
          </w:p>
        </w:tc>
        <w:tc>
          <w:tcPr>
            <w:tcW w:w="2552" w:type="dxa"/>
            <w:noWrap w:val="0"/>
            <w:vAlign w:val="center"/>
          </w:tcPr>
          <w:p w14:paraId="683FDF11">
            <w:pPr>
              <w:pStyle w:val="107"/>
              <w:spacing w:line="560" w:lineRule="exact"/>
              <w:jc w:val="center"/>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分项价格</w:t>
            </w:r>
          </w:p>
        </w:tc>
      </w:tr>
      <w:tr w14:paraId="2D568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FB2977B">
            <w:pPr>
              <w:pStyle w:val="107"/>
              <w:spacing w:line="56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c>
          <w:tcPr>
            <w:tcW w:w="3402" w:type="dxa"/>
            <w:noWrap w:val="0"/>
            <w:vAlign w:val="center"/>
          </w:tcPr>
          <w:p w14:paraId="7DC7AA40">
            <w:pPr>
              <w:pStyle w:val="107"/>
              <w:spacing w:line="56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c>
          <w:tcPr>
            <w:tcW w:w="2552" w:type="dxa"/>
            <w:noWrap w:val="0"/>
            <w:vAlign w:val="center"/>
          </w:tcPr>
          <w:p w14:paraId="5C300DA6">
            <w:pPr>
              <w:pStyle w:val="107"/>
              <w:spacing w:line="56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r>
      <w:tr w14:paraId="6595B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9BEFFEB">
            <w:pPr>
              <w:pStyle w:val="107"/>
              <w:spacing w:line="56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c>
          <w:tcPr>
            <w:tcW w:w="3402" w:type="dxa"/>
            <w:noWrap w:val="0"/>
            <w:vAlign w:val="center"/>
          </w:tcPr>
          <w:p w14:paraId="65DD9DE9">
            <w:pPr>
              <w:pStyle w:val="107"/>
              <w:spacing w:line="56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c>
          <w:tcPr>
            <w:tcW w:w="2552" w:type="dxa"/>
            <w:noWrap w:val="0"/>
            <w:vAlign w:val="center"/>
          </w:tcPr>
          <w:p w14:paraId="53543B2D">
            <w:pPr>
              <w:pStyle w:val="107"/>
              <w:spacing w:line="56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r>
      <w:tr w14:paraId="5EC4B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E65DE29">
            <w:pPr>
              <w:pStyle w:val="107"/>
              <w:spacing w:line="56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c>
          <w:tcPr>
            <w:tcW w:w="3402" w:type="dxa"/>
            <w:noWrap w:val="0"/>
            <w:vAlign w:val="center"/>
          </w:tcPr>
          <w:p w14:paraId="76DA5F22">
            <w:pPr>
              <w:pStyle w:val="107"/>
              <w:spacing w:line="56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c>
          <w:tcPr>
            <w:tcW w:w="2552" w:type="dxa"/>
            <w:noWrap w:val="0"/>
            <w:vAlign w:val="center"/>
          </w:tcPr>
          <w:p w14:paraId="6D5E319C">
            <w:pPr>
              <w:pStyle w:val="107"/>
              <w:spacing w:line="56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r>
      <w:tr w14:paraId="699E3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11630D1">
            <w:pPr>
              <w:pStyle w:val="107"/>
              <w:spacing w:line="56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c>
          <w:tcPr>
            <w:tcW w:w="3402" w:type="dxa"/>
            <w:noWrap w:val="0"/>
            <w:vAlign w:val="center"/>
          </w:tcPr>
          <w:p w14:paraId="5DF72DC7">
            <w:pPr>
              <w:pStyle w:val="107"/>
              <w:spacing w:line="56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c>
          <w:tcPr>
            <w:tcW w:w="2552" w:type="dxa"/>
            <w:noWrap w:val="0"/>
            <w:vAlign w:val="center"/>
          </w:tcPr>
          <w:p w14:paraId="51081AAC">
            <w:pPr>
              <w:pStyle w:val="107"/>
              <w:spacing w:line="56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r>
      <w:tr w14:paraId="66ADE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58647EC0">
            <w:pPr>
              <w:pStyle w:val="107"/>
              <w:spacing w:line="56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总价</w:t>
            </w:r>
          </w:p>
        </w:tc>
        <w:tc>
          <w:tcPr>
            <w:tcW w:w="2552" w:type="dxa"/>
            <w:noWrap w:val="0"/>
            <w:vAlign w:val="center"/>
          </w:tcPr>
          <w:p w14:paraId="6CE4D76D">
            <w:pPr>
              <w:pStyle w:val="107"/>
              <w:spacing w:line="560" w:lineRule="exact"/>
              <w:ind w:firstLine="200"/>
              <w:jc w:val="center"/>
              <w:rPr>
                <w:rFonts w:hint="eastAsia" w:asciiTheme="minorEastAsia" w:hAnsiTheme="minorEastAsia" w:eastAsiaTheme="minorEastAsia" w:cstheme="minorEastAsia"/>
                <w:color w:val="auto"/>
                <w:spacing w:val="0"/>
                <w:position w:val="0"/>
                <w:sz w:val="24"/>
                <w:szCs w:val="24"/>
                <w:highlight w:val="none"/>
                <w:lang w:val="en-US" w:eastAsia="zh-CN"/>
              </w:rPr>
            </w:pPr>
          </w:p>
        </w:tc>
      </w:tr>
    </w:tbl>
    <w:p w14:paraId="16F55C9A">
      <w:pPr>
        <w:spacing w:line="560" w:lineRule="exact"/>
        <w:ind w:firstLine="482" w:firstLineChars="200"/>
        <w:outlineLvl w:val="0"/>
        <w:rPr>
          <w:rFonts w:hint="eastAsia" w:asciiTheme="minorEastAsia" w:hAnsiTheme="minorEastAsia" w:eastAsiaTheme="minorEastAsia" w:cstheme="minorEastAsia"/>
          <w:b/>
          <w:color w:val="auto"/>
          <w:spacing w:val="0"/>
          <w:position w:val="0"/>
          <w:sz w:val="24"/>
          <w:highlight w:val="none"/>
        </w:rPr>
      </w:pPr>
      <w:bookmarkStart w:id="89" w:name="_Toc14993"/>
      <w:bookmarkStart w:id="90" w:name="_Toc26916"/>
      <w:bookmarkStart w:id="91" w:name="_Toc30506"/>
      <w:bookmarkStart w:id="92" w:name="_Toc3654"/>
      <w:bookmarkStart w:id="93" w:name="_Toc30158"/>
      <w:r>
        <w:rPr>
          <w:rFonts w:hint="eastAsia" w:asciiTheme="minorEastAsia" w:hAnsiTheme="minorEastAsia" w:eastAsiaTheme="minorEastAsia" w:cstheme="minorEastAsia"/>
          <w:b/>
          <w:color w:val="auto"/>
          <w:spacing w:val="0"/>
          <w:position w:val="0"/>
          <w:sz w:val="24"/>
          <w:highlight w:val="none"/>
        </w:rPr>
        <w:t>1.4 付款方式和发票开具方式</w:t>
      </w:r>
      <w:bookmarkEnd w:id="89"/>
      <w:bookmarkEnd w:id="90"/>
      <w:bookmarkEnd w:id="91"/>
      <w:bookmarkEnd w:id="92"/>
      <w:bookmarkEnd w:id="93"/>
    </w:p>
    <w:p w14:paraId="7F70490B">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1.4.1付款方式：</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w:t>
      </w:r>
    </w:p>
    <w:p w14:paraId="1567BADE">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1.4.2 发票开具方式：</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w:t>
      </w:r>
    </w:p>
    <w:p w14:paraId="0AFC1DC6">
      <w:pPr>
        <w:spacing w:line="560" w:lineRule="exact"/>
        <w:ind w:firstLine="482" w:firstLineChars="200"/>
        <w:outlineLvl w:val="0"/>
        <w:rPr>
          <w:rFonts w:hint="eastAsia" w:asciiTheme="minorEastAsia" w:hAnsiTheme="minorEastAsia" w:eastAsiaTheme="minorEastAsia" w:cstheme="minorEastAsia"/>
          <w:b/>
          <w:color w:val="auto"/>
          <w:spacing w:val="0"/>
          <w:position w:val="0"/>
          <w:sz w:val="24"/>
          <w:highlight w:val="none"/>
        </w:rPr>
      </w:pPr>
      <w:bookmarkStart w:id="94" w:name="_Toc31421"/>
      <w:bookmarkStart w:id="95" w:name="_Toc11108"/>
      <w:bookmarkStart w:id="96" w:name="_Toc3625"/>
      <w:bookmarkStart w:id="97" w:name="_Toc8772"/>
      <w:bookmarkStart w:id="98" w:name="_Toc4760"/>
      <w:r>
        <w:rPr>
          <w:rFonts w:hint="eastAsia" w:asciiTheme="minorEastAsia" w:hAnsiTheme="minorEastAsia" w:eastAsiaTheme="minorEastAsia" w:cstheme="minorEastAsia"/>
          <w:b/>
          <w:color w:val="auto"/>
          <w:spacing w:val="0"/>
          <w:position w:val="0"/>
          <w:sz w:val="24"/>
          <w:highlight w:val="none"/>
        </w:rPr>
        <w:t>1.5 履行期限、地点和方式</w:t>
      </w:r>
      <w:bookmarkEnd w:id="94"/>
      <w:bookmarkEnd w:id="95"/>
      <w:bookmarkEnd w:id="96"/>
      <w:bookmarkEnd w:id="97"/>
      <w:bookmarkEnd w:id="98"/>
    </w:p>
    <w:p w14:paraId="46362489">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u w:val="single"/>
        </w:rPr>
      </w:pPr>
      <w:r>
        <w:rPr>
          <w:rFonts w:hint="eastAsia" w:asciiTheme="minorEastAsia" w:hAnsiTheme="minorEastAsia" w:eastAsiaTheme="minorEastAsia" w:cstheme="minorEastAsia"/>
          <w:color w:val="auto"/>
          <w:spacing w:val="0"/>
          <w:position w:val="0"/>
          <w:sz w:val="24"/>
          <w:highlight w:val="none"/>
        </w:rPr>
        <w:t>1.5.1 履行期限：</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w:t>
      </w:r>
    </w:p>
    <w:p w14:paraId="3D2F419A">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1.5.2 履行地点：</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w:t>
      </w:r>
    </w:p>
    <w:p w14:paraId="01424A08">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1.5.3 履行方式：</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w:t>
      </w:r>
    </w:p>
    <w:p w14:paraId="08AB1631">
      <w:pPr>
        <w:spacing w:line="560" w:lineRule="exact"/>
        <w:ind w:firstLine="482" w:firstLineChars="200"/>
        <w:outlineLvl w:val="0"/>
        <w:rPr>
          <w:rFonts w:hint="eastAsia" w:asciiTheme="minorEastAsia" w:hAnsiTheme="minorEastAsia" w:eastAsiaTheme="minorEastAsia" w:cstheme="minorEastAsia"/>
          <w:color w:val="auto"/>
          <w:spacing w:val="0"/>
          <w:position w:val="0"/>
          <w:sz w:val="24"/>
          <w:highlight w:val="none"/>
          <w:u w:val="single"/>
        </w:rPr>
      </w:pPr>
      <w:bookmarkStart w:id="99" w:name="_Toc2375"/>
      <w:bookmarkStart w:id="100" w:name="_Toc3079"/>
      <w:bookmarkStart w:id="101" w:name="_Toc8586"/>
      <w:bookmarkStart w:id="102" w:name="_Toc24662"/>
      <w:bookmarkStart w:id="103" w:name="_Toc5698"/>
      <w:r>
        <w:rPr>
          <w:rFonts w:hint="eastAsia" w:asciiTheme="minorEastAsia" w:hAnsiTheme="minorEastAsia" w:eastAsiaTheme="minorEastAsia" w:cstheme="minorEastAsia"/>
          <w:b/>
          <w:color w:val="auto"/>
          <w:spacing w:val="0"/>
          <w:position w:val="0"/>
          <w:sz w:val="24"/>
          <w:highlight w:val="none"/>
        </w:rPr>
        <w:t>1.6 违约责任</w:t>
      </w:r>
      <w:bookmarkEnd w:id="99"/>
      <w:bookmarkEnd w:id="100"/>
      <w:bookmarkEnd w:id="101"/>
      <w:bookmarkEnd w:id="102"/>
      <w:bookmarkEnd w:id="103"/>
    </w:p>
    <w:p w14:paraId="3BD4CFEC">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%计算，最高限额为本合同总价的</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%；迟延履行的违约金计算数额达到前述最高限额之日起，甲方有权在要求乙方支付违约金的同时，书面通知乙方解除本合同；</w:t>
      </w:r>
    </w:p>
    <w:p w14:paraId="65EF0B65">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1.6.2 除不可抗力外，如果甲方没有按照本合同约定的付款方式付款，那么乙方可要求甲方支付违约金，违约金按每迟延付款一日的应付而未付款的</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%计算，最高限额为本合同总价的</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%；迟延付款的违约金计算数额达到前述最高限额之日起，乙方有权在要求甲方支付违约金的同时，书面通知甲方解除本合同；</w:t>
      </w:r>
    </w:p>
    <w:p w14:paraId="66246E7A">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137FE1FF">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5014C76">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8484ECB">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519164D5">
      <w:pPr>
        <w:spacing w:line="560" w:lineRule="exact"/>
        <w:ind w:firstLine="482" w:firstLineChars="200"/>
        <w:outlineLvl w:val="0"/>
        <w:rPr>
          <w:rFonts w:hint="eastAsia" w:asciiTheme="minorEastAsia" w:hAnsiTheme="minorEastAsia" w:eastAsiaTheme="minorEastAsia" w:cstheme="minorEastAsia"/>
          <w:b/>
          <w:color w:val="auto"/>
          <w:spacing w:val="0"/>
          <w:position w:val="0"/>
          <w:sz w:val="24"/>
          <w:highlight w:val="none"/>
        </w:rPr>
      </w:pPr>
      <w:bookmarkStart w:id="104" w:name="_Toc9497"/>
      <w:bookmarkStart w:id="105" w:name="_Toc30329"/>
      <w:bookmarkStart w:id="106" w:name="_Toc32454"/>
      <w:bookmarkStart w:id="107" w:name="_Toc26807"/>
      <w:bookmarkStart w:id="108" w:name="_Toc18683"/>
      <w:r>
        <w:rPr>
          <w:rFonts w:hint="eastAsia" w:asciiTheme="minorEastAsia" w:hAnsiTheme="minorEastAsia" w:eastAsiaTheme="minorEastAsia" w:cstheme="minorEastAsia"/>
          <w:b/>
          <w:color w:val="auto"/>
          <w:spacing w:val="0"/>
          <w:position w:val="0"/>
          <w:sz w:val="24"/>
          <w:highlight w:val="none"/>
        </w:rPr>
        <w:t>1.7 合同争议的解决</w:t>
      </w:r>
      <w:bookmarkEnd w:id="104"/>
      <w:bookmarkEnd w:id="105"/>
      <w:bookmarkEnd w:id="106"/>
      <w:bookmarkEnd w:id="107"/>
      <w:bookmarkEnd w:id="108"/>
    </w:p>
    <w:p w14:paraId="023292C1">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本合同履行过程中发生的任何争议，双方当事人均可通过和解或者调解解决；不愿和解、调解或者和解、调解不成的，可以选择下列第</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种方式解决：</w:t>
      </w:r>
    </w:p>
    <w:p w14:paraId="172C5F3E">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1.7.1 将争议提交</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仲裁委员会依申请仲裁时其现行有效的仲裁规则裁决；</w:t>
      </w:r>
    </w:p>
    <w:p w14:paraId="165DE689">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1.7.2 向</w:t>
      </w:r>
      <w:r>
        <w:rPr>
          <w:rFonts w:hint="eastAsia" w:asciiTheme="minorEastAsia" w:hAnsiTheme="minorEastAsia" w:eastAsiaTheme="minorEastAsia" w:cstheme="minorEastAsia"/>
          <w:color w:val="auto"/>
          <w:spacing w:val="0"/>
          <w:position w:val="0"/>
          <w:sz w:val="24"/>
          <w:highlight w:val="none"/>
          <w:u w:val="single"/>
        </w:rPr>
        <w:t xml:space="preserve">   （被告住所地、合同履行地、合同签订地、原告住所地、标的物所在地等与争议有实际联系的地点中选出的人民法院名称）    </w:t>
      </w:r>
      <w:r>
        <w:rPr>
          <w:rFonts w:hint="eastAsia" w:asciiTheme="minorEastAsia" w:hAnsiTheme="minorEastAsia" w:eastAsiaTheme="minorEastAsia" w:cstheme="minorEastAsia"/>
          <w:color w:val="auto"/>
          <w:spacing w:val="0"/>
          <w:position w:val="0"/>
          <w:sz w:val="24"/>
          <w:highlight w:val="none"/>
        </w:rPr>
        <w:t>人民法院起诉。</w:t>
      </w:r>
    </w:p>
    <w:p w14:paraId="0D9931A7">
      <w:pPr>
        <w:spacing w:line="560" w:lineRule="exact"/>
        <w:ind w:firstLine="482" w:firstLineChars="200"/>
        <w:outlineLvl w:val="0"/>
        <w:rPr>
          <w:rFonts w:hint="eastAsia" w:asciiTheme="minorEastAsia" w:hAnsiTheme="minorEastAsia" w:eastAsiaTheme="minorEastAsia" w:cstheme="minorEastAsia"/>
          <w:b/>
          <w:color w:val="auto"/>
          <w:spacing w:val="0"/>
          <w:position w:val="0"/>
          <w:sz w:val="24"/>
          <w:highlight w:val="none"/>
        </w:rPr>
      </w:pPr>
      <w:bookmarkStart w:id="109" w:name="_Toc15827"/>
      <w:bookmarkStart w:id="110" w:name="_Toc16417"/>
      <w:bookmarkStart w:id="111" w:name="_Toc12273"/>
      <w:bookmarkStart w:id="112" w:name="_Toc23784"/>
      <w:bookmarkStart w:id="113" w:name="_Toc26227"/>
      <w:r>
        <w:rPr>
          <w:rFonts w:hint="eastAsia" w:asciiTheme="minorEastAsia" w:hAnsiTheme="minorEastAsia" w:eastAsiaTheme="minorEastAsia" w:cstheme="minorEastAsia"/>
          <w:b/>
          <w:color w:val="auto"/>
          <w:spacing w:val="0"/>
          <w:position w:val="0"/>
          <w:sz w:val="24"/>
          <w:highlight w:val="none"/>
        </w:rPr>
        <w:t>1.8 合同生效</w:t>
      </w:r>
      <w:bookmarkEnd w:id="109"/>
      <w:bookmarkEnd w:id="110"/>
      <w:bookmarkEnd w:id="111"/>
      <w:bookmarkEnd w:id="112"/>
      <w:bookmarkEnd w:id="113"/>
    </w:p>
    <w:p w14:paraId="7A6F5E6D">
      <w:pPr>
        <w:spacing w:line="560" w:lineRule="exact"/>
        <w:ind w:firstLine="480" w:firstLineChars="200"/>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本合同自双方当事人盖章或者签字时生效。</w:t>
      </w:r>
    </w:p>
    <w:p w14:paraId="35EF09B0">
      <w:pPr>
        <w:autoSpaceDE w:val="0"/>
        <w:autoSpaceDN w:val="0"/>
        <w:adjustRightInd w:val="0"/>
        <w:spacing w:line="560" w:lineRule="exact"/>
        <w:rPr>
          <w:rFonts w:hint="eastAsia" w:asciiTheme="minorEastAsia" w:hAnsiTheme="minorEastAsia" w:eastAsiaTheme="minorEastAsia" w:cstheme="minorEastAsia"/>
          <w:color w:val="auto"/>
          <w:spacing w:val="0"/>
          <w:position w:val="0"/>
          <w:sz w:val="24"/>
          <w:highlight w:val="none"/>
          <w:lang w:val="zh-CN"/>
        </w:rPr>
      </w:pPr>
    </w:p>
    <w:p w14:paraId="1D0A56A0">
      <w:pPr>
        <w:autoSpaceDE w:val="0"/>
        <w:autoSpaceDN w:val="0"/>
        <w:adjustRightInd w:val="0"/>
        <w:spacing w:line="560" w:lineRule="exact"/>
        <w:rPr>
          <w:rFonts w:hint="eastAsia" w:asciiTheme="minorEastAsia" w:hAnsiTheme="minorEastAsia" w:eastAsiaTheme="minorEastAsia" w:cstheme="minorEastAsia"/>
          <w:color w:val="auto"/>
          <w:spacing w:val="0"/>
          <w:position w:val="0"/>
          <w:sz w:val="24"/>
          <w:highlight w:val="none"/>
          <w:lang w:val="zh-CN"/>
        </w:rPr>
      </w:pPr>
      <w:r>
        <w:rPr>
          <w:rFonts w:hint="eastAsia" w:asciiTheme="minorEastAsia" w:hAnsiTheme="minorEastAsia" w:eastAsiaTheme="minorEastAsia" w:cstheme="minorEastAsia"/>
          <w:b/>
          <w:color w:val="auto"/>
          <w:spacing w:val="0"/>
          <w:position w:val="0"/>
          <w:sz w:val="24"/>
          <w:highlight w:val="none"/>
          <w:lang w:val="zh-CN"/>
        </w:rPr>
        <w:t>甲方</w:t>
      </w:r>
      <w:r>
        <w:rPr>
          <w:rFonts w:hint="eastAsia" w:asciiTheme="minorEastAsia" w:hAnsiTheme="minorEastAsia" w:eastAsiaTheme="minorEastAsia" w:cstheme="minorEastAsia"/>
          <w:color w:val="auto"/>
          <w:spacing w:val="0"/>
          <w:position w:val="0"/>
          <w:sz w:val="24"/>
          <w:highlight w:val="none"/>
          <w:lang w:val="zh-CN"/>
        </w:rPr>
        <w:t xml:space="preserve">：                             </w:t>
      </w:r>
      <w:r>
        <w:rPr>
          <w:rFonts w:hint="eastAsia" w:asciiTheme="minorEastAsia" w:hAnsiTheme="minorEastAsia" w:eastAsiaTheme="minorEastAsia" w:cstheme="minorEastAsia"/>
          <w:b/>
          <w:color w:val="auto"/>
          <w:spacing w:val="0"/>
          <w:position w:val="0"/>
          <w:sz w:val="24"/>
          <w:highlight w:val="none"/>
          <w:lang w:val="zh-CN"/>
        </w:rPr>
        <w:t xml:space="preserve">      乙方</w:t>
      </w:r>
      <w:r>
        <w:rPr>
          <w:rFonts w:hint="eastAsia" w:asciiTheme="minorEastAsia" w:hAnsiTheme="minorEastAsia" w:eastAsiaTheme="minorEastAsia" w:cstheme="minorEastAsia"/>
          <w:color w:val="auto"/>
          <w:spacing w:val="0"/>
          <w:position w:val="0"/>
          <w:sz w:val="24"/>
          <w:highlight w:val="none"/>
          <w:lang w:val="zh-CN"/>
        </w:rPr>
        <w:t>：</w:t>
      </w:r>
    </w:p>
    <w:p w14:paraId="6F1C9BAA">
      <w:pPr>
        <w:autoSpaceDE w:val="0"/>
        <w:autoSpaceDN w:val="0"/>
        <w:adjustRightInd w:val="0"/>
        <w:spacing w:line="560" w:lineRule="exact"/>
        <w:rPr>
          <w:rFonts w:hint="eastAsia" w:asciiTheme="minorEastAsia" w:hAnsiTheme="minorEastAsia" w:eastAsiaTheme="minorEastAsia" w:cstheme="minorEastAsia"/>
          <w:color w:val="auto"/>
          <w:spacing w:val="0"/>
          <w:position w:val="0"/>
          <w:sz w:val="24"/>
          <w:highlight w:val="none"/>
          <w:lang w:val="zh-CN"/>
        </w:rPr>
      </w:pPr>
      <w:r>
        <w:rPr>
          <w:rFonts w:hint="eastAsia" w:asciiTheme="minorEastAsia" w:hAnsiTheme="minorEastAsia" w:eastAsiaTheme="minorEastAsia" w:cstheme="minorEastAsia"/>
          <w:color w:val="auto"/>
          <w:spacing w:val="0"/>
          <w:position w:val="0"/>
          <w:sz w:val="24"/>
          <w:highlight w:val="none"/>
          <w:lang w:val="zh-CN"/>
        </w:rPr>
        <w:t>统一社会信用代码：                        统一社会信用代码或身份证号码：</w:t>
      </w:r>
    </w:p>
    <w:p w14:paraId="14D488A3">
      <w:pPr>
        <w:autoSpaceDE w:val="0"/>
        <w:autoSpaceDN w:val="0"/>
        <w:adjustRightInd w:val="0"/>
        <w:spacing w:line="560" w:lineRule="exact"/>
        <w:rPr>
          <w:rFonts w:hint="eastAsia" w:asciiTheme="minorEastAsia" w:hAnsiTheme="minorEastAsia" w:eastAsiaTheme="minorEastAsia" w:cstheme="minorEastAsia"/>
          <w:color w:val="auto"/>
          <w:spacing w:val="0"/>
          <w:position w:val="0"/>
          <w:sz w:val="24"/>
          <w:highlight w:val="none"/>
          <w:lang w:val="zh-CN"/>
        </w:rPr>
      </w:pPr>
    </w:p>
    <w:p w14:paraId="2385388E">
      <w:pPr>
        <w:autoSpaceDE w:val="0"/>
        <w:autoSpaceDN w:val="0"/>
        <w:adjustRightInd w:val="0"/>
        <w:spacing w:line="560" w:lineRule="exact"/>
        <w:rPr>
          <w:rFonts w:hint="eastAsia" w:asciiTheme="minorEastAsia" w:hAnsiTheme="minorEastAsia" w:eastAsiaTheme="minorEastAsia" w:cstheme="minorEastAsia"/>
          <w:color w:val="auto"/>
          <w:spacing w:val="0"/>
          <w:position w:val="0"/>
          <w:sz w:val="24"/>
          <w:highlight w:val="none"/>
          <w:lang w:val="zh-CN"/>
        </w:rPr>
      </w:pPr>
      <w:r>
        <w:rPr>
          <w:rFonts w:hint="eastAsia" w:asciiTheme="minorEastAsia" w:hAnsiTheme="minorEastAsia" w:eastAsiaTheme="minorEastAsia" w:cstheme="minorEastAsia"/>
          <w:color w:val="auto"/>
          <w:spacing w:val="0"/>
          <w:position w:val="0"/>
          <w:sz w:val="24"/>
          <w:highlight w:val="none"/>
          <w:lang w:val="zh-CN"/>
        </w:rPr>
        <w:t>住所：                                   住所：</w:t>
      </w:r>
    </w:p>
    <w:p w14:paraId="186A2095">
      <w:pPr>
        <w:autoSpaceDE w:val="0"/>
        <w:autoSpaceDN w:val="0"/>
        <w:adjustRightInd w:val="0"/>
        <w:spacing w:line="560" w:lineRule="exact"/>
        <w:rPr>
          <w:rFonts w:hint="eastAsia" w:asciiTheme="minorEastAsia" w:hAnsiTheme="minorEastAsia" w:eastAsiaTheme="minorEastAsia" w:cstheme="minorEastAsia"/>
          <w:color w:val="auto"/>
          <w:spacing w:val="0"/>
          <w:position w:val="0"/>
          <w:sz w:val="24"/>
          <w:highlight w:val="none"/>
          <w:lang w:val="zh-CN"/>
        </w:rPr>
      </w:pPr>
      <w:r>
        <w:rPr>
          <w:rFonts w:hint="eastAsia" w:asciiTheme="minorEastAsia" w:hAnsiTheme="minorEastAsia" w:eastAsiaTheme="minorEastAsia" w:cstheme="minorEastAsia"/>
          <w:color w:val="auto"/>
          <w:spacing w:val="0"/>
          <w:position w:val="0"/>
          <w:sz w:val="24"/>
          <w:highlight w:val="none"/>
          <w:lang w:val="zh-CN"/>
        </w:rPr>
        <w:t>法定代表人或                             法定代表人</w:t>
      </w:r>
    </w:p>
    <w:p w14:paraId="50656B5B">
      <w:pPr>
        <w:autoSpaceDE w:val="0"/>
        <w:autoSpaceDN w:val="0"/>
        <w:adjustRightInd w:val="0"/>
        <w:spacing w:line="560" w:lineRule="exact"/>
        <w:rPr>
          <w:rFonts w:hint="eastAsia" w:asciiTheme="minorEastAsia" w:hAnsiTheme="minorEastAsia" w:eastAsiaTheme="minorEastAsia" w:cstheme="minorEastAsia"/>
          <w:color w:val="auto"/>
          <w:spacing w:val="0"/>
          <w:position w:val="0"/>
          <w:sz w:val="24"/>
          <w:highlight w:val="none"/>
          <w:lang w:val="zh-CN"/>
        </w:rPr>
      </w:pPr>
      <w:r>
        <w:rPr>
          <w:rFonts w:hint="eastAsia" w:asciiTheme="minorEastAsia" w:hAnsiTheme="minorEastAsia" w:eastAsiaTheme="minorEastAsia" w:cstheme="minorEastAsia"/>
          <w:color w:val="auto"/>
          <w:spacing w:val="0"/>
          <w:position w:val="0"/>
          <w:sz w:val="24"/>
          <w:highlight w:val="none"/>
          <w:lang w:val="zh-CN"/>
        </w:rPr>
        <w:t xml:space="preserve">授权代表（签字）：                        或授权代表（签字）: </w:t>
      </w:r>
    </w:p>
    <w:p w14:paraId="00C0232B">
      <w:pPr>
        <w:autoSpaceDE w:val="0"/>
        <w:autoSpaceDN w:val="0"/>
        <w:adjustRightInd w:val="0"/>
        <w:spacing w:line="560" w:lineRule="exact"/>
        <w:rPr>
          <w:rFonts w:hint="eastAsia" w:asciiTheme="minorEastAsia" w:hAnsiTheme="minorEastAsia" w:eastAsiaTheme="minorEastAsia" w:cstheme="minorEastAsia"/>
          <w:color w:val="auto"/>
          <w:spacing w:val="0"/>
          <w:position w:val="0"/>
          <w:sz w:val="24"/>
          <w:highlight w:val="none"/>
          <w:lang w:val="zh-CN"/>
        </w:rPr>
      </w:pPr>
      <w:r>
        <w:rPr>
          <w:rFonts w:hint="eastAsia" w:asciiTheme="minorEastAsia" w:hAnsiTheme="minorEastAsia" w:eastAsiaTheme="minorEastAsia" w:cstheme="minorEastAsia"/>
          <w:color w:val="auto"/>
          <w:spacing w:val="0"/>
          <w:position w:val="0"/>
          <w:sz w:val="24"/>
          <w:highlight w:val="none"/>
          <w:lang w:val="zh-CN"/>
        </w:rPr>
        <w:t>联系人：                                 联系人：</w:t>
      </w:r>
    </w:p>
    <w:p w14:paraId="6591EB0C">
      <w:pPr>
        <w:autoSpaceDE w:val="0"/>
        <w:autoSpaceDN w:val="0"/>
        <w:adjustRightInd w:val="0"/>
        <w:spacing w:line="560" w:lineRule="exact"/>
        <w:rPr>
          <w:rFonts w:hint="eastAsia" w:asciiTheme="minorEastAsia" w:hAnsiTheme="minorEastAsia" w:eastAsiaTheme="minorEastAsia" w:cstheme="minorEastAsia"/>
          <w:color w:val="auto"/>
          <w:spacing w:val="0"/>
          <w:position w:val="0"/>
          <w:sz w:val="24"/>
          <w:highlight w:val="none"/>
          <w:lang w:val="zh-CN"/>
        </w:rPr>
      </w:pPr>
      <w:r>
        <w:rPr>
          <w:rFonts w:hint="eastAsia" w:asciiTheme="minorEastAsia" w:hAnsiTheme="minorEastAsia" w:eastAsiaTheme="minorEastAsia" w:cstheme="minorEastAsia"/>
          <w:color w:val="auto"/>
          <w:spacing w:val="0"/>
          <w:position w:val="0"/>
          <w:sz w:val="24"/>
          <w:highlight w:val="none"/>
          <w:lang w:val="zh-CN"/>
        </w:rPr>
        <w:t>约定送达地址：                           约定送达地址：</w:t>
      </w:r>
    </w:p>
    <w:p w14:paraId="792A9D89">
      <w:pPr>
        <w:autoSpaceDE w:val="0"/>
        <w:autoSpaceDN w:val="0"/>
        <w:adjustRightInd w:val="0"/>
        <w:spacing w:line="560" w:lineRule="exact"/>
        <w:rPr>
          <w:rFonts w:hint="eastAsia" w:asciiTheme="minorEastAsia" w:hAnsiTheme="minorEastAsia" w:eastAsiaTheme="minorEastAsia" w:cstheme="minorEastAsia"/>
          <w:color w:val="auto"/>
          <w:spacing w:val="0"/>
          <w:position w:val="0"/>
          <w:sz w:val="24"/>
          <w:highlight w:val="none"/>
          <w:lang w:val="zh-CN"/>
        </w:rPr>
      </w:pPr>
      <w:r>
        <w:rPr>
          <w:rFonts w:hint="eastAsia" w:asciiTheme="minorEastAsia" w:hAnsiTheme="minorEastAsia" w:eastAsiaTheme="minorEastAsia" w:cstheme="minorEastAsia"/>
          <w:color w:val="auto"/>
          <w:spacing w:val="0"/>
          <w:position w:val="0"/>
          <w:sz w:val="24"/>
          <w:highlight w:val="none"/>
          <w:lang w:val="zh-CN"/>
        </w:rPr>
        <w:t>邮政编码：                               邮政编码：</w:t>
      </w:r>
    </w:p>
    <w:p w14:paraId="30B12125">
      <w:pPr>
        <w:autoSpaceDE w:val="0"/>
        <w:autoSpaceDN w:val="0"/>
        <w:adjustRightInd w:val="0"/>
        <w:spacing w:line="560" w:lineRule="exact"/>
        <w:rPr>
          <w:rFonts w:hint="eastAsia" w:asciiTheme="minorEastAsia" w:hAnsiTheme="minorEastAsia" w:eastAsiaTheme="minorEastAsia" w:cstheme="minorEastAsia"/>
          <w:color w:val="auto"/>
          <w:spacing w:val="0"/>
          <w:position w:val="0"/>
          <w:sz w:val="24"/>
          <w:highlight w:val="none"/>
          <w:lang w:val="zh-CN"/>
        </w:rPr>
      </w:pPr>
      <w:r>
        <w:rPr>
          <w:rFonts w:hint="eastAsia" w:asciiTheme="minorEastAsia" w:hAnsiTheme="minorEastAsia" w:eastAsiaTheme="minorEastAsia" w:cstheme="minorEastAsia"/>
          <w:color w:val="auto"/>
          <w:spacing w:val="0"/>
          <w:position w:val="0"/>
          <w:sz w:val="24"/>
          <w:highlight w:val="none"/>
          <w:lang w:val="zh-CN"/>
        </w:rPr>
        <w:t xml:space="preserve">电话:                                    电话: </w:t>
      </w:r>
    </w:p>
    <w:p w14:paraId="17535B4C">
      <w:pPr>
        <w:autoSpaceDE w:val="0"/>
        <w:autoSpaceDN w:val="0"/>
        <w:adjustRightInd w:val="0"/>
        <w:spacing w:line="560" w:lineRule="exact"/>
        <w:rPr>
          <w:rFonts w:hint="eastAsia" w:asciiTheme="minorEastAsia" w:hAnsiTheme="minorEastAsia" w:eastAsiaTheme="minorEastAsia" w:cstheme="minorEastAsia"/>
          <w:color w:val="auto"/>
          <w:spacing w:val="0"/>
          <w:position w:val="0"/>
          <w:sz w:val="24"/>
          <w:highlight w:val="none"/>
          <w:lang w:val="zh-CN"/>
        </w:rPr>
      </w:pPr>
      <w:r>
        <w:rPr>
          <w:rFonts w:hint="eastAsia" w:asciiTheme="minorEastAsia" w:hAnsiTheme="minorEastAsia" w:eastAsiaTheme="minorEastAsia" w:cstheme="minorEastAsia"/>
          <w:color w:val="auto"/>
          <w:spacing w:val="0"/>
          <w:position w:val="0"/>
          <w:sz w:val="24"/>
          <w:highlight w:val="none"/>
          <w:lang w:val="zh-CN"/>
        </w:rPr>
        <w:t>传真:                                    传真:</w:t>
      </w:r>
    </w:p>
    <w:p w14:paraId="72FE6A2F">
      <w:pPr>
        <w:autoSpaceDE w:val="0"/>
        <w:autoSpaceDN w:val="0"/>
        <w:adjustRightInd w:val="0"/>
        <w:spacing w:line="560" w:lineRule="exac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lang w:val="zh-CN"/>
        </w:rPr>
        <w:t>电子邮箱：                               电子邮箱：</w:t>
      </w:r>
    </w:p>
    <w:p w14:paraId="2B8B3D67">
      <w:pPr>
        <w:autoSpaceDE w:val="0"/>
        <w:autoSpaceDN w:val="0"/>
        <w:adjustRightInd w:val="0"/>
        <w:spacing w:line="560" w:lineRule="exac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开户银行：                               开户银行： </w:t>
      </w:r>
    </w:p>
    <w:p w14:paraId="0D531862">
      <w:pPr>
        <w:autoSpaceDE w:val="0"/>
        <w:autoSpaceDN w:val="0"/>
        <w:adjustRightInd w:val="0"/>
        <w:spacing w:line="560" w:lineRule="exac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 xml:space="preserve">开户名称：                               开户名称： </w:t>
      </w:r>
    </w:p>
    <w:p w14:paraId="04AFDDB7">
      <w:pPr>
        <w:autoSpaceDE w:val="0"/>
        <w:autoSpaceDN w:val="0"/>
        <w:adjustRightInd w:val="0"/>
        <w:spacing w:line="560" w:lineRule="exact"/>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开户账号：</w:t>
      </w:r>
      <w:r>
        <w:rPr>
          <w:rFonts w:hint="eastAsia" w:asciiTheme="minorEastAsia" w:hAnsiTheme="minorEastAsia" w:eastAsiaTheme="minorEastAsia" w:cstheme="minorEastAsia"/>
          <w:color w:val="auto"/>
          <w:spacing w:val="0"/>
          <w:position w:val="0"/>
          <w:sz w:val="24"/>
          <w:highlight w:val="none"/>
          <w:lang w:val="zh-CN"/>
        </w:rPr>
        <w:t xml:space="preserve">                               </w:t>
      </w:r>
      <w:r>
        <w:rPr>
          <w:rFonts w:hint="eastAsia" w:asciiTheme="minorEastAsia" w:hAnsiTheme="minorEastAsia" w:eastAsiaTheme="minorEastAsia" w:cstheme="minorEastAsia"/>
          <w:color w:val="auto"/>
          <w:spacing w:val="0"/>
          <w:position w:val="0"/>
          <w:sz w:val="24"/>
          <w:highlight w:val="none"/>
        </w:rPr>
        <w:t>开户账号：</w:t>
      </w:r>
    </w:p>
    <w:p w14:paraId="281F611C">
      <w:pPr>
        <w:pStyle w:val="37"/>
        <w:ind w:left="0" w:leftChars="0" w:firstLine="0" w:firstLineChars="0"/>
        <w:rPr>
          <w:rFonts w:hint="eastAsia" w:asciiTheme="minorEastAsia" w:hAnsiTheme="minorEastAsia" w:eastAsiaTheme="minorEastAsia" w:cstheme="minorEastAsia"/>
          <w:b/>
          <w:color w:val="auto"/>
          <w:spacing w:val="0"/>
          <w:kern w:val="0"/>
          <w:position w:val="0"/>
          <w:sz w:val="24"/>
          <w:highlight w:val="none"/>
        </w:rPr>
      </w:pPr>
      <w:bookmarkStart w:id="114" w:name="_Toc331685783"/>
    </w:p>
    <w:p w14:paraId="36B220D2">
      <w:pPr>
        <w:pStyle w:val="37"/>
        <w:ind w:left="0" w:leftChars="0" w:firstLine="0" w:firstLineChars="0"/>
        <w:rPr>
          <w:rFonts w:hint="eastAsia" w:asciiTheme="minorEastAsia" w:hAnsiTheme="minorEastAsia" w:eastAsiaTheme="minorEastAsia" w:cstheme="minorEastAsia"/>
          <w:b/>
          <w:color w:val="auto"/>
          <w:spacing w:val="0"/>
          <w:kern w:val="0"/>
          <w:position w:val="0"/>
          <w:sz w:val="24"/>
          <w:highlight w:val="none"/>
        </w:rPr>
      </w:pPr>
    </w:p>
    <w:p w14:paraId="369DE388">
      <w:pPr>
        <w:pStyle w:val="2"/>
        <w:rPr>
          <w:rFonts w:hint="eastAsia" w:asciiTheme="minorEastAsia" w:hAnsiTheme="minorEastAsia" w:eastAsiaTheme="minorEastAsia" w:cstheme="minorEastAsia"/>
          <w:color w:val="auto"/>
          <w:spacing w:val="0"/>
          <w:position w:val="0"/>
          <w:highlight w:val="none"/>
        </w:rPr>
      </w:pPr>
    </w:p>
    <w:p w14:paraId="6F5C9493">
      <w:pPr>
        <w:pStyle w:val="105"/>
        <w:spacing w:line="560" w:lineRule="exact"/>
        <w:ind w:firstLine="200"/>
        <w:jc w:val="center"/>
        <w:rPr>
          <w:rFonts w:hint="eastAsia" w:asciiTheme="minorEastAsia" w:hAnsiTheme="minorEastAsia" w:eastAsiaTheme="minorEastAsia" w:cstheme="minorEastAsia"/>
          <w:b/>
          <w:color w:val="auto"/>
          <w:spacing w:val="0"/>
          <w:position w:val="0"/>
          <w:szCs w:val="24"/>
          <w:highlight w:val="none"/>
        </w:rPr>
      </w:pPr>
      <w:r>
        <w:rPr>
          <w:rFonts w:hint="eastAsia" w:asciiTheme="minorEastAsia" w:hAnsiTheme="minorEastAsia" w:eastAsiaTheme="minorEastAsia" w:cstheme="minorEastAsia"/>
          <w:b/>
          <w:color w:val="auto"/>
          <w:spacing w:val="0"/>
          <w:position w:val="0"/>
          <w:szCs w:val="24"/>
          <w:highlight w:val="none"/>
        </w:rPr>
        <w:t>第二部分 合同一般条款</w:t>
      </w:r>
      <w:bookmarkEnd w:id="114"/>
    </w:p>
    <w:p w14:paraId="40875BF6">
      <w:pPr>
        <w:spacing w:line="560" w:lineRule="exact"/>
        <w:ind w:firstLine="482" w:firstLineChars="200"/>
        <w:outlineLvl w:val="0"/>
        <w:rPr>
          <w:rFonts w:hint="eastAsia" w:asciiTheme="minorEastAsia" w:hAnsiTheme="minorEastAsia" w:eastAsiaTheme="minorEastAsia" w:cstheme="minorEastAsia"/>
          <w:b/>
          <w:color w:val="auto"/>
          <w:spacing w:val="0"/>
          <w:position w:val="0"/>
          <w:sz w:val="24"/>
          <w:highlight w:val="none"/>
        </w:rPr>
      </w:pPr>
      <w:bookmarkStart w:id="115" w:name="_Ref467378404"/>
      <w:bookmarkStart w:id="116" w:name="_Ref467379225"/>
      <w:bookmarkStart w:id="117" w:name="_Toc279701240"/>
      <w:bookmarkStart w:id="118" w:name="_Toc19680"/>
      <w:bookmarkStart w:id="119" w:name="_Ref467379101"/>
      <w:bookmarkStart w:id="120" w:name="_Ref467379195"/>
      <w:bookmarkStart w:id="121" w:name="_Ref467379205"/>
      <w:bookmarkStart w:id="122" w:name="_Ref467378499"/>
      <w:bookmarkStart w:id="123" w:name="_Toc487900349"/>
      <w:bookmarkStart w:id="124" w:name="_Toc259093669"/>
      <w:bookmarkStart w:id="125" w:name="_Toc31297"/>
      <w:bookmarkStart w:id="126" w:name="_Ref467379214"/>
      <w:bookmarkStart w:id="127" w:name="_Toc25079"/>
      <w:bookmarkStart w:id="128" w:name="_Toc5228"/>
      <w:bookmarkStart w:id="129" w:name="_Ref467378463"/>
      <w:bookmarkStart w:id="130" w:name="_Ref467379094"/>
      <w:bookmarkStart w:id="131" w:name="_Ref467379109"/>
      <w:bookmarkStart w:id="132" w:name="_Toc14021"/>
      <w:r>
        <w:rPr>
          <w:rFonts w:hint="eastAsia" w:asciiTheme="minorEastAsia" w:hAnsiTheme="minorEastAsia" w:eastAsiaTheme="minorEastAsia" w:cstheme="minorEastAsia"/>
          <w:b/>
          <w:color w:val="auto"/>
          <w:spacing w:val="0"/>
          <w:position w:val="0"/>
          <w:sz w:val="24"/>
          <w:highlight w:val="none"/>
        </w:rPr>
        <w:t>2.1 定义</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2F491BB4">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本合同中的下列词语应按以下内容进行解释：</w:t>
      </w:r>
    </w:p>
    <w:p w14:paraId="6CC5B4B4">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2.1.1 “合同”系指采购人和中标供应商签订的载明双方当事人所达成的协议，并包括所有的附件、附录和构成合同的其他文件。</w:t>
      </w:r>
    </w:p>
    <w:p w14:paraId="215C3762">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2.1.2 “合同价”系指根据合同约定，中标供应商在完全履行合同义务后，采购人应支付给中标供应商的价格。</w:t>
      </w:r>
    </w:p>
    <w:p w14:paraId="0F96B122">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2.1.3 “服务”系指中标供应商根据合同约定应向采购人履行的除货物和工程以外的其他政府采购对象，包括采购人自身需要的服务和向社会公众提供的公共服务。</w:t>
      </w:r>
    </w:p>
    <w:p w14:paraId="1087D7F9">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bookmarkStart w:id="133" w:name="_Ref467378840"/>
      <w:r>
        <w:rPr>
          <w:rFonts w:hint="eastAsia" w:asciiTheme="minorEastAsia" w:hAnsiTheme="minorEastAsia" w:eastAsiaTheme="minorEastAsia" w:cstheme="minorEastAsia"/>
          <w:color w:val="auto"/>
          <w:spacing w:val="0"/>
          <w:position w:val="0"/>
          <w:sz w:val="24"/>
          <w:highlight w:val="none"/>
        </w:rPr>
        <w:t>2.1.4 “甲方”系指与中标供应商签署合同的采购人</w:t>
      </w:r>
      <w:bookmarkEnd w:id="133"/>
      <w:r>
        <w:rPr>
          <w:rFonts w:hint="eastAsia" w:asciiTheme="minorEastAsia" w:hAnsiTheme="minorEastAsia" w:eastAsiaTheme="minorEastAsia" w:cstheme="minorEastAsia"/>
          <w:color w:val="auto"/>
          <w:spacing w:val="0"/>
          <w:position w:val="0"/>
          <w:sz w:val="24"/>
          <w:highlight w:val="none"/>
        </w:rPr>
        <w:t>；采购人委托采购代理机构代表其与乙方签订合同的，采购人的授权委托书作为合同附件。</w:t>
      </w:r>
    </w:p>
    <w:p w14:paraId="11F2CD2F">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bookmarkStart w:id="134" w:name="_Ref467379400"/>
      <w:r>
        <w:rPr>
          <w:rFonts w:hint="eastAsia" w:asciiTheme="minorEastAsia" w:hAnsiTheme="minorEastAsia" w:eastAsiaTheme="minorEastAsia" w:cstheme="minorEastAsia"/>
          <w:color w:val="auto"/>
          <w:spacing w:val="0"/>
          <w:position w:val="0"/>
          <w:sz w:val="24"/>
          <w:highlight w:val="none"/>
        </w:rPr>
        <w:t>2.1.5 “乙方”系指根据合同约定提供服务的中标供应商</w:t>
      </w:r>
      <w:bookmarkEnd w:id="134"/>
      <w:r>
        <w:rPr>
          <w:rFonts w:hint="eastAsia" w:asciiTheme="minorEastAsia" w:hAnsiTheme="minorEastAsia" w:eastAsiaTheme="minorEastAsia" w:cstheme="minorEastAsia"/>
          <w:color w:val="auto"/>
          <w:spacing w:val="0"/>
          <w:position w:val="0"/>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62EA4B6">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bookmarkStart w:id="135" w:name="_Ref467379436"/>
      <w:r>
        <w:rPr>
          <w:rFonts w:hint="eastAsia" w:asciiTheme="minorEastAsia" w:hAnsiTheme="minorEastAsia" w:eastAsiaTheme="minorEastAsia" w:cstheme="minorEastAsia"/>
          <w:color w:val="auto"/>
          <w:spacing w:val="0"/>
          <w:position w:val="0"/>
          <w:sz w:val="24"/>
          <w:highlight w:val="none"/>
        </w:rPr>
        <w:t>2.1.6 “现场”系指合同约定提供服务的地点。</w:t>
      </w:r>
      <w:bookmarkEnd w:id="135"/>
    </w:p>
    <w:p w14:paraId="392ACB40">
      <w:pPr>
        <w:spacing w:line="560" w:lineRule="exact"/>
        <w:ind w:firstLine="482" w:firstLineChars="200"/>
        <w:outlineLvl w:val="0"/>
        <w:rPr>
          <w:rFonts w:hint="eastAsia" w:asciiTheme="minorEastAsia" w:hAnsiTheme="minorEastAsia" w:eastAsiaTheme="minorEastAsia" w:cstheme="minorEastAsia"/>
          <w:b/>
          <w:color w:val="auto"/>
          <w:spacing w:val="0"/>
          <w:position w:val="0"/>
          <w:sz w:val="24"/>
          <w:highlight w:val="none"/>
        </w:rPr>
      </w:pPr>
      <w:bookmarkStart w:id="136" w:name="_Toc31402"/>
      <w:bookmarkStart w:id="137" w:name="_Toc23289"/>
      <w:bookmarkStart w:id="138" w:name="_Toc16752"/>
      <w:bookmarkStart w:id="139" w:name="_Toc3769"/>
      <w:bookmarkStart w:id="140" w:name="_Toc19539"/>
      <w:bookmarkStart w:id="141" w:name="_Toc279701241"/>
      <w:bookmarkStart w:id="142" w:name="_Toc487900350"/>
      <w:bookmarkStart w:id="143" w:name="_Toc259093670"/>
      <w:r>
        <w:rPr>
          <w:rFonts w:hint="eastAsia" w:asciiTheme="minorEastAsia" w:hAnsiTheme="minorEastAsia" w:eastAsiaTheme="minorEastAsia" w:cstheme="minorEastAsia"/>
          <w:b/>
          <w:color w:val="auto"/>
          <w:spacing w:val="0"/>
          <w:position w:val="0"/>
          <w:sz w:val="24"/>
          <w:highlight w:val="none"/>
        </w:rPr>
        <w:t>2.2 技术规范</w:t>
      </w:r>
      <w:bookmarkEnd w:id="136"/>
      <w:bookmarkEnd w:id="137"/>
      <w:bookmarkEnd w:id="138"/>
      <w:bookmarkEnd w:id="139"/>
      <w:bookmarkEnd w:id="140"/>
      <w:bookmarkEnd w:id="141"/>
      <w:bookmarkEnd w:id="142"/>
      <w:bookmarkEnd w:id="143"/>
    </w:p>
    <w:p w14:paraId="62A47B8A">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85B8CFE">
      <w:pPr>
        <w:spacing w:line="560" w:lineRule="exact"/>
        <w:ind w:firstLine="482" w:firstLineChars="200"/>
        <w:outlineLvl w:val="0"/>
        <w:rPr>
          <w:rFonts w:hint="eastAsia" w:asciiTheme="minorEastAsia" w:hAnsiTheme="minorEastAsia" w:eastAsiaTheme="minorEastAsia" w:cstheme="minorEastAsia"/>
          <w:b/>
          <w:color w:val="auto"/>
          <w:spacing w:val="0"/>
          <w:position w:val="0"/>
          <w:sz w:val="24"/>
          <w:highlight w:val="none"/>
        </w:rPr>
      </w:pPr>
      <w:bookmarkStart w:id="144" w:name="_Toc4133"/>
      <w:bookmarkStart w:id="145" w:name="_Toc13673"/>
      <w:bookmarkStart w:id="146" w:name="_Toc279701242"/>
      <w:bookmarkStart w:id="147" w:name="_Toc12412"/>
      <w:bookmarkStart w:id="148" w:name="_Toc487900351"/>
      <w:bookmarkStart w:id="149" w:name="_Toc9161"/>
      <w:bookmarkStart w:id="150" w:name="_Toc259093671"/>
      <w:bookmarkStart w:id="151" w:name="_Toc27945"/>
      <w:r>
        <w:rPr>
          <w:rFonts w:hint="eastAsia" w:asciiTheme="minorEastAsia" w:hAnsiTheme="minorEastAsia" w:eastAsiaTheme="minorEastAsia" w:cstheme="minorEastAsia"/>
          <w:b/>
          <w:color w:val="auto"/>
          <w:spacing w:val="0"/>
          <w:position w:val="0"/>
          <w:sz w:val="24"/>
          <w:highlight w:val="none"/>
        </w:rPr>
        <w:t>2.3 知识产权</w:t>
      </w:r>
      <w:bookmarkEnd w:id="144"/>
      <w:bookmarkEnd w:id="145"/>
      <w:bookmarkEnd w:id="146"/>
      <w:bookmarkEnd w:id="147"/>
      <w:bookmarkEnd w:id="148"/>
      <w:bookmarkEnd w:id="149"/>
      <w:bookmarkEnd w:id="150"/>
      <w:bookmarkEnd w:id="151"/>
    </w:p>
    <w:p w14:paraId="2CD1F17D">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39E5DE3C">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2.3.2 合同涉及技术成果的归属和收益的分成办法的，详见</w:t>
      </w:r>
      <w:r>
        <w:rPr>
          <w:rFonts w:hint="eastAsia" w:asciiTheme="minorEastAsia" w:hAnsiTheme="minorEastAsia" w:eastAsiaTheme="minorEastAsia" w:cstheme="minorEastAsia"/>
          <w:b/>
          <w:i w:val="0"/>
          <w:iCs/>
          <w:color w:val="auto"/>
          <w:spacing w:val="0"/>
          <w:position w:val="0"/>
          <w:sz w:val="24"/>
          <w:highlight w:val="none"/>
          <w:u w:val="single"/>
        </w:rPr>
        <w:t>合同专用条款</w:t>
      </w:r>
      <w:r>
        <w:rPr>
          <w:rFonts w:hint="eastAsia" w:asciiTheme="minorEastAsia" w:hAnsiTheme="minorEastAsia" w:eastAsiaTheme="minorEastAsia" w:cstheme="minorEastAsia"/>
          <w:i w:val="0"/>
          <w:iCs/>
          <w:color w:val="auto"/>
          <w:spacing w:val="0"/>
          <w:position w:val="0"/>
          <w:sz w:val="24"/>
          <w:highlight w:val="none"/>
        </w:rPr>
        <w:t>。</w:t>
      </w:r>
    </w:p>
    <w:p w14:paraId="4FF11606">
      <w:pPr>
        <w:spacing w:line="560" w:lineRule="exact"/>
        <w:ind w:firstLine="482" w:firstLineChars="200"/>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2.4 履约检查和问题反馈</w:t>
      </w:r>
    </w:p>
    <w:p w14:paraId="5E40ACBB">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bookmarkStart w:id="152" w:name="_Ref467379657"/>
      <w:r>
        <w:rPr>
          <w:rFonts w:hint="eastAsia" w:asciiTheme="minorEastAsia" w:hAnsiTheme="minorEastAsia" w:eastAsiaTheme="minorEastAsia" w:cstheme="minorEastAsia"/>
          <w:color w:val="auto"/>
          <w:spacing w:val="0"/>
          <w:position w:val="0"/>
          <w:sz w:val="24"/>
          <w:highlight w:val="none"/>
        </w:rPr>
        <w:t>2.4.1</w:t>
      </w:r>
      <w:bookmarkEnd w:id="152"/>
      <w:bookmarkStart w:id="153" w:name="_Toc186431854"/>
      <w:bookmarkStart w:id="154" w:name="_Toc259093676"/>
      <w:bookmarkStart w:id="155" w:name="_Toc279701247"/>
      <w:bookmarkStart w:id="156" w:name="_Toc487900357"/>
      <w:bookmarkStart w:id="157" w:name="_Ref467379807"/>
      <w:bookmarkStart w:id="158" w:name="_Ref467379793"/>
      <w:r>
        <w:rPr>
          <w:rFonts w:hint="eastAsia" w:asciiTheme="minorEastAsia" w:hAnsiTheme="minorEastAsia" w:eastAsiaTheme="minorEastAsia" w:cstheme="minorEastAsia"/>
          <w:color w:val="auto"/>
          <w:spacing w:val="0"/>
          <w:position w:val="0"/>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55100EE3">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2.4.2 合同履行期间，甲方有权将履行过程中出现的问题反馈给乙方，双方当事人应以书面形式约定需要完善和改进的内容</w:t>
      </w:r>
      <w:bookmarkEnd w:id="153"/>
      <w:bookmarkStart w:id="159" w:name="_Toc186431855"/>
      <w:r>
        <w:rPr>
          <w:rFonts w:hint="eastAsia" w:asciiTheme="minorEastAsia" w:hAnsiTheme="minorEastAsia" w:eastAsiaTheme="minorEastAsia" w:cstheme="minorEastAsia"/>
          <w:color w:val="auto"/>
          <w:spacing w:val="0"/>
          <w:position w:val="0"/>
          <w:sz w:val="24"/>
          <w:highlight w:val="none"/>
        </w:rPr>
        <w:t>。</w:t>
      </w:r>
    </w:p>
    <w:bookmarkEnd w:id="159"/>
    <w:p w14:paraId="1E3C6B67">
      <w:pPr>
        <w:spacing w:line="560" w:lineRule="exact"/>
        <w:ind w:firstLine="482" w:firstLineChars="200"/>
        <w:outlineLvl w:val="0"/>
        <w:rPr>
          <w:rFonts w:hint="eastAsia" w:asciiTheme="minorEastAsia" w:hAnsiTheme="minorEastAsia" w:eastAsiaTheme="minorEastAsia" w:cstheme="minorEastAsia"/>
          <w:b/>
          <w:color w:val="auto"/>
          <w:spacing w:val="0"/>
          <w:position w:val="0"/>
          <w:sz w:val="24"/>
          <w:highlight w:val="none"/>
        </w:rPr>
      </w:pPr>
      <w:bookmarkStart w:id="160" w:name="_Toc15447"/>
      <w:bookmarkStart w:id="161" w:name="_Toc32670"/>
      <w:bookmarkStart w:id="162" w:name="_Toc31233"/>
      <w:bookmarkStart w:id="163" w:name="_Toc22011"/>
      <w:bookmarkStart w:id="164" w:name="_Toc26555"/>
      <w:r>
        <w:rPr>
          <w:rFonts w:hint="eastAsia" w:asciiTheme="minorEastAsia" w:hAnsiTheme="minorEastAsia" w:eastAsiaTheme="minorEastAsia" w:cstheme="minorEastAsia"/>
          <w:b/>
          <w:color w:val="auto"/>
          <w:spacing w:val="0"/>
          <w:position w:val="0"/>
          <w:sz w:val="24"/>
          <w:highlight w:val="none"/>
        </w:rPr>
        <w:t>2.5 结算方式和付款条件</w:t>
      </w:r>
      <w:bookmarkEnd w:id="154"/>
      <w:bookmarkEnd w:id="155"/>
      <w:bookmarkEnd w:id="156"/>
      <w:bookmarkEnd w:id="157"/>
      <w:bookmarkEnd w:id="158"/>
      <w:bookmarkEnd w:id="160"/>
      <w:bookmarkEnd w:id="161"/>
      <w:bookmarkEnd w:id="162"/>
      <w:bookmarkEnd w:id="163"/>
      <w:bookmarkEnd w:id="164"/>
    </w:p>
    <w:p w14:paraId="57F43848">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详见</w:t>
      </w:r>
      <w:r>
        <w:rPr>
          <w:rFonts w:hint="eastAsia" w:asciiTheme="minorEastAsia" w:hAnsiTheme="minorEastAsia" w:eastAsiaTheme="minorEastAsia" w:cstheme="minorEastAsia"/>
          <w:b/>
          <w:i w:val="0"/>
          <w:iCs/>
          <w:color w:val="auto"/>
          <w:spacing w:val="0"/>
          <w:position w:val="0"/>
          <w:sz w:val="24"/>
          <w:highlight w:val="none"/>
          <w:u w:val="single"/>
        </w:rPr>
        <w:t>合同专用条款</w:t>
      </w:r>
      <w:r>
        <w:rPr>
          <w:rFonts w:hint="eastAsia" w:asciiTheme="minorEastAsia" w:hAnsiTheme="minorEastAsia" w:eastAsiaTheme="minorEastAsia" w:cstheme="minorEastAsia"/>
          <w:i w:val="0"/>
          <w:iCs/>
          <w:color w:val="auto"/>
          <w:spacing w:val="0"/>
          <w:position w:val="0"/>
          <w:sz w:val="24"/>
          <w:highlight w:val="none"/>
        </w:rPr>
        <w:t>。</w:t>
      </w:r>
    </w:p>
    <w:p w14:paraId="6F207A6F">
      <w:pPr>
        <w:spacing w:line="560" w:lineRule="exact"/>
        <w:ind w:firstLine="482" w:firstLineChars="200"/>
        <w:outlineLvl w:val="0"/>
        <w:rPr>
          <w:rFonts w:hint="eastAsia" w:asciiTheme="minorEastAsia" w:hAnsiTheme="minorEastAsia" w:eastAsiaTheme="minorEastAsia" w:cstheme="minorEastAsia"/>
          <w:b/>
          <w:color w:val="auto"/>
          <w:spacing w:val="0"/>
          <w:position w:val="0"/>
          <w:sz w:val="24"/>
          <w:highlight w:val="none"/>
        </w:rPr>
      </w:pPr>
      <w:bookmarkStart w:id="165" w:name="_Toc259093677"/>
      <w:bookmarkStart w:id="166" w:name="_Ref467379923"/>
      <w:bookmarkStart w:id="167" w:name="_Ref467379863"/>
      <w:bookmarkStart w:id="168" w:name="_Ref467379852"/>
      <w:bookmarkStart w:id="169" w:name="_Toc279701248"/>
      <w:bookmarkStart w:id="170" w:name="_Toc487900358"/>
      <w:bookmarkStart w:id="171" w:name="_Toc13154"/>
      <w:bookmarkStart w:id="172" w:name="_Toc30507"/>
      <w:bookmarkStart w:id="173" w:name="_Toc16163"/>
      <w:bookmarkStart w:id="174" w:name="_Toc13467"/>
      <w:bookmarkStart w:id="175" w:name="_Toc18990"/>
      <w:r>
        <w:rPr>
          <w:rFonts w:hint="eastAsia" w:asciiTheme="minorEastAsia" w:hAnsiTheme="minorEastAsia" w:eastAsiaTheme="minorEastAsia" w:cstheme="minorEastAsia"/>
          <w:b/>
          <w:color w:val="auto"/>
          <w:spacing w:val="0"/>
          <w:position w:val="0"/>
          <w:sz w:val="24"/>
          <w:highlight w:val="none"/>
        </w:rPr>
        <w:t>2.6 技术资料</w:t>
      </w:r>
      <w:bookmarkEnd w:id="165"/>
      <w:bookmarkEnd w:id="166"/>
      <w:bookmarkEnd w:id="167"/>
      <w:bookmarkEnd w:id="168"/>
      <w:bookmarkEnd w:id="169"/>
      <w:bookmarkEnd w:id="170"/>
      <w:r>
        <w:rPr>
          <w:rFonts w:hint="eastAsia" w:asciiTheme="minorEastAsia" w:hAnsiTheme="minorEastAsia" w:eastAsiaTheme="minorEastAsia" w:cstheme="minorEastAsia"/>
          <w:b/>
          <w:color w:val="auto"/>
          <w:spacing w:val="0"/>
          <w:position w:val="0"/>
          <w:sz w:val="24"/>
          <w:highlight w:val="none"/>
        </w:rPr>
        <w:t>和保密义务</w:t>
      </w:r>
      <w:bookmarkEnd w:id="171"/>
      <w:bookmarkEnd w:id="172"/>
      <w:bookmarkEnd w:id="173"/>
      <w:bookmarkEnd w:id="174"/>
      <w:bookmarkEnd w:id="175"/>
    </w:p>
    <w:p w14:paraId="3D5D68E0">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2.6.1 乙方有权依据合同约定和项目需要，向甲方了解有关情况，调阅有关资料等，甲方应予积极配合；</w:t>
      </w:r>
    </w:p>
    <w:p w14:paraId="2AD880E6">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2.6.2 乙方有义务妥善保管和保护由甲方提供的前款信息和资料等；</w:t>
      </w:r>
    </w:p>
    <w:p w14:paraId="4BE72F0E">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7446626">
      <w:pPr>
        <w:spacing w:line="560" w:lineRule="exact"/>
        <w:ind w:firstLine="482" w:firstLineChars="200"/>
        <w:outlineLvl w:val="0"/>
        <w:rPr>
          <w:rFonts w:hint="eastAsia" w:asciiTheme="minorEastAsia" w:hAnsiTheme="minorEastAsia" w:eastAsiaTheme="minorEastAsia" w:cstheme="minorEastAsia"/>
          <w:b/>
          <w:color w:val="auto"/>
          <w:spacing w:val="0"/>
          <w:position w:val="0"/>
          <w:sz w:val="24"/>
          <w:highlight w:val="none"/>
        </w:rPr>
      </w:pPr>
      <w:bookmarkStart w:id="176" w:name="_Toc19069"/>
      <w:bookmarkStart w:id="177" w:name="_Toc487900362"/>
      <w:bookmarkStart w:id="178" w:name="_Toc279701252"/>
      <w:bookmarkStart w:id="179" w:name="_Toc259093681"/>
      <w:r>
        <w:rPr>
          <w:rFonts w:hint="eastAsia" w:asciiTheme="minorEastAsia" w:hAnsiTheme="minorEastAsia" w:eastAsiaTheme="minorEastAsia" w:cstheme="minorEastAsia"/>
          <w:b/>
          <w:color w:val="auto"/>
          <w:spacing w:val="0"/>
          <w:position w:val="0"/>
          <w:sz w:val="24"/>
          <w:highlight w:val="none"/>
        </w:rPr>
        <w:t>2.7 质量保证</w:t>
      </w:r>
      <w:bookmarkEnd w:id="176"/>
    </w:p>
    <w:p w14:paraId="3503A3B1">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2.7.1 乙方应建立和完善履行合同的内部质量保证体系，并提供相关内部规章制度给甲方，以便甲方进行监督检查；</w:t>
      </w:r>
    </w:p>
    <w:p w14:paraId="102D4063">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2.7.2 乙方应保证履行合同的人员数量和素质、软件和硬件设备的配置、场地、环境和设施等满足全面履行合同的要求，并应接受甲方的监督检查。</w:t>
      </w:r>
    </w:p>
    <w:p w14:paraId="69BE0434">
      <w:pPr>
        <w:spacing w:line="560" w:lineRule="exact"/>
        <w:ind w:firstLine="482" w:firstLineChars="200"/>
        <w:outlineLvl w:val="0"/>
        <w:rPr>
          <w:rFonts w:hint="eastAsia" w:asciiTheme="minorEastAsia" w:hAnsiTheme="minorEastAsia" w:eastAsiaTheme="minorEastAsia" w:cstheme="minorEastAsia"/>
          <w:b/>
          <w:color w:val="auto"/>
          <w:spacing w:val="0"/>
          <w:position w:val="0"/>
          <w:sz w:val="24"/>
          <w:highlight w:val="none"/>
        </w:rPr>
      </w:pPr>
      <w:bookmarkStart w:id="180" w:name="_Toc22267"/>
      <w:r>
        <w:rPr>
          <w:rFonts w:hint="eastAsia" w:asciiTheme="minorEastAsia" w:hAnsiTheme="minorEastAsia" w:eastAsiaTheme="minorEastAsia" w:cstheme="minorEastAsia"/>
          <w:b/>
          <w:color w:val="auto"/>
          <w:spacing w:val="0"/>
          <w:position w:val="0"/>
          <w:sz w:val="24"/>
          <w:highlight w:val="none"/>
        </w:rPr>
        <w:t>2.8 延迟</w:t>
      </w:r>
      <w:bookmarkEnd w:id="177"/>
      <w:bookmarkEnd w:id="178"/>
      <w:bookmarkEnd w:id="179"/>
      <w:r>
        <w:rPr>
          <w:rFonts w:hint="eastAsia" w:asciiTheme="minorEastAsia" w:hAnsiTheme="minorEastAsia" w:eastAsiaTheme="minorEastAsia" w:cstheme="minorEastAsia"/>
          <w:b/>
          <w:color w:val="auto"/>
          <w:spacing w:val="0"/>
          <w:position w:val="0"/>
          <w:sz w:val="24"/>
          <w:highlight w:val="none"/>
        </w:rPr>
        <w:t>履行</w:t>
      </w:r>
      <w:bookmarkEnd w:id="180"/>
    </w:p>
    <w:p w14:paraId="42C6CD7C">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79F00289">
      <w:pPr>
        <w:spacing w:line="560" w:lineRule="exact"/>
        <w:ind w:firstLine="482" w:firstLineChars="200"/>
        <w:outlineLvl w:val="0"/>
        <w:rPr>
          <w:rFonts w:hint="eastAsia" w:asciiTheme="minorEastAsia" w:hAnsiTheme="minorEastAsia" w:eastAsiaTheme="minorEastAsia" w:cstheme="minorEastAsia"/>
          <w:b/>
          <w:color w:val="auto"/>
          <w:spacing w:val="0"/>
          <w:position w:val="0"/>
          <w:sz w:val="24"/>
          <w:highlight w:val="none"/>
        </w:rPr>
      </w:pPr>
      <w:bookmarkStart w:id="181" w:name="_Toc10611"/>
      <w:bookmarkStart w:id="182" w:name="_Toc259093683"/>
      <w:bookmarkStart w:id="183" w:name="_Toc487900364"/>
      <w:bookmarkStart w:id="184" w:name="_Toc279701254"/>
      <w:bookmarkStart w:id="185" w:name="_Ref467378121"/>
      <w:r>
        <w:rPr>
          <w:rFonts w:hint="eastAsia" w:asciiTheme="minorEastAsia" w:hAnsiTheme="minorEastAsia" w:eastAsiaTheme="minorEastAsia" w:cstheme="minorEastAsia"/>
          <w:b/>
          <w:color w:val="auto"/>
          <w:spacing w:val="0"/>
          <w:position w:val="0"/>
          <w:sz w:val="24"/>
          <w:highlight w:val="none"/>
        </w:rPr>
        <w:t>2.9 合同变更</w:t>
      </w:r>
      <w:bookmarkEnd w:id="181"/>
    </w:p>
    <w:p w14:paraId="6F095A2F">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4FADAE07">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2.9.2 合同继续履行将损害国家利益和社会公共利益的，双方当事人应当以书面形式变更合同。有过错的一方应当承担赔偿责任，双方当事人都有过错的，各自承担相应的责任。</w:t>
      </w:r>
      <w:bookmarkStart w:id="186" w:name="_Toc279701259"/>
      <w:bookmarkStart w:id="187" w:name="_Toc487900369"/>
      <w:bookmarkStart w:id="188" w:name="_Toc259093688"/>
    </w:p>
    <w:p w14:paraId="03DC6C95">
      <w:pPr>
        <w:spacing w:line="560" w:lineRule="exact"/>
        <w:ind w:firstLine="482" w:firstLineChars="200"/>
        <w:outlineLvl w:val="0"/>
        <w:rPr>
          <w:rFonts w:hint="eastAsia" w:asciiTheme="minorEastAsia" w:hAnsiTheme="minorEastAsia" w:eastAsiaTheme="minorEastAsia" w:cstheme="minorEastAsia"/>
          <w:b/>
          <w:color w:val="auto"/>
          <w:spacing w:val="0"/>
          <w:position w:val="0"/>
          <w:sz w:val="24"/>
          <w:highlight w:val="none"/>
        </w:rPr>
      </w:pPr>
      <w:bookmarkStart w:id="189" w:name="_Toc26689"/>
      <w:bookmarkStart w:id="190" w:name="_Toc21830"/>
      <w:bookmarkStart w:id="191" w:name="_Toc42"/>
      <w:bookmarkStart w:id="192" w:name="_Toc10663"/>
      <w:bookmarkStart w:id="193" w:name="_Toc23368"/>
      <w:r>
        <w:rPr>
          <w:rFonts w:hint="eastAsia" w:asciiTheme="minorEastAsia" w:hAnsiTheme="minorEastAsia" w:eastAsiaTheme="minorEastAsia" w:cstheme="minorEastAsia"/>
          <w:b/>
          <w:color w:val="auto"/>
          <w:spacing w:val="0"/>
          <w:position w:val="0"/>
          <w:sz w:val="24"/>
          <w:highlight w:val="none"/>
        </w:rPr>
        <w:t>2.10 合同转让</w:t>
      </w:r>
      <w:bookmarkEnd w:id="186"/>
      <w:bookmarkEnd w:id="187"/>
      <w:bookmarkEnd w:id="188"/>
      <w:r>
        <w:rPr>
          <w:rFonts w:hint="eastAsia" w:asciiTheme="minorEastAsia" w:hAnsiTheme="minorEastAsia" w:eastAsiaTheme="minorEastAsia" w:cstheme="minorEastAsia"/>
          <w:b/>
          <w:color w:val="auto"/>
          <w:spacing w:val="0"/>
          <w:position w:val="0"/>
          <w:sz w:val="24"/>
          <w:highlight w:val="none"/>
        </w:rPr>
        <w:t>和分包</w:t>
      </w:r>
      <w:bookmarkEnd w:id="189"/>
      <w:bookmarkEnd w:id="190"/>
      <w:bookmarkEnd w:id="191"/>
      <w:bookmarkEnd w:id="192"/>
      <w:bookmarkEnd w:id="193"/>
    </w:p>
    <w:p w14:paraId="7A3577C4">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950FF85">
      <w:pPr>
        <w:spacing w:line="560" w:lineRule="exact"/>
        <w:ind w:firstLine="482" w:firstLineChars="200"/>
        <w:outlineLvl w:val="0"/>
        <w:rPr>
          <w:rFonts w:hint="eastAsia" w:asciiTheme="minorEastAsia" w:hAnsiTheme="minorEastAsia" w:eastAsiaTheme="minorEastAsia" w:cstheme="minorEastAsia"/>
          <w:b/>
          <w:color w:val="auto"/>
          <w:spacing w:val="0"/>
          <w:position w:val="0"/>
          <w:sz w:val="24"/>
          <w:highlight w:val="none"/>
        </w:rPr>
      </w:pPr>
      <w:bookmarkStart w:id="194" w:name="_Toc14371"/>
      <w:bookmarkStart w:id="195" w:name="_Toc32494"/>
      <w:bookmarkStart w:id="196" w:name="_Toc4720"/>
      <w:bookmarkStart w:id="197" w:name="_Toc25571"/>
      <w:bookmarkStart w:id="198" w:name="_Toc26633"/>
      <w:r>
        <w:rPr>
          <w:rFonts w:hint="eastAsia" w:asciiTheme="minorEastAsia" w:hAnsiTheme="minorEastAsia" w:eastAsiaTheme="minorEastAsia" w:cstheme="minorEastAsia"/>
          <w:b/>
          <w:color w:val="auto"/>
          <w:spacing w:val="0"/>
          <w:position w:val="0"/>
          <w:sz w:val="24"/>
          <w:highlight w:val="none"/>
        </w:rPr>
        <w:t>2.11 不可抗力</w:t>
      </w:r>
      <w:bookmarkEnd w:id="194"/>
      <w:bookmarkEnd w:id="195"/>
      <w:bookmarkEnd w:id="196"/>
      <w:bookmarkEnd w:id="197"/>
      <w:bookmarkEnd w:id="198"/>
    </w:p>
    <w:p w14:paraId="03ADD4B3">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2.11.1如果任何一方遭遇法律规定的不可抗力，致使合同履行受阻时，履行合同的期限应予延长，延长的期限应相当于不可抗力所影响的时间；</w:t>
      </w:r>
    </w:p>
    <w:p w14:paraId="5BD53DA3">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2.11.2 因不可抗力致使不能实现合同目的的，当事人可以解除合同；</w:t>
      </w:r>
    </w:p>
    <w:p w14:paraId="0A371473">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2.11.3 因不可抗力致使合同有变更必要的，双方当事人应在</w:t>
      </w:r>
      <w:r>
        <w:rPr>
          <w:rFonts w:hint="eastAsia" w:asciiTheme="minorEastAsia" w:hAnsiTheme="minorEastAsia" w:eastAsiaTheme="minorEastAsia" w:cstheme="minorEastAsia"/>
          <w:b/>
          <w:i w:val="0"/>
          <w:iCs/>
          <w:color w:val="auto"/>
          <w:spacing w:val="0"/>
          <w:position w:val="0"/>
          <w:sz w:val="24"/>
          <w:highlight w:val="none"/>
          <w:u w:val="single"/>
        </w:rPr>
        <w:t>合同专用条款</w:t>
      </w:r>
      <w:r>
        <w:rPr>
          <w:rFonts w:hint="eastAsia" w:asciiTheme="minorEastAsia" w:hAnsiTheme="minorEastAsia" w:eastAsiaTheme="minorEastAsia" w:cstheme="minorEastAsia"/>
          <w:color w:val="auto"/>
          <w:spacing w:val="0"/>
          <w:position w:val="0"/>
          <w:sz w:val="24"/>
          <w:highlight w:val="none"/>
        </w:rPr>
        <w:t>约定时间内以书面形式变更合同；</w:t>
      </w:r>
    </w:p>
    <w:p w14:paraId="5385F761">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2.11.4受不可抗力影响的一方在不可抗力发生后，应在</w:t>
      </w:r>
      <w:r>
        <w:rPr>
          <w:rFonts w:hint="eastAsia" w:asciiTheme="minorEastAsia" w:hAnsiTheme="minorEastAsia" w:eastAsiaTheme="minorEastAsia" w:cstheme="minorEastAsia"/>
          <w:b/>
          <w:i w:val="0"/>
          <w:iCs/>
          <w:color w:val="auto"/>
          <w:spacing w:val="0"/>
          <w:position w:val="0"/>
          <w:sz w:val="24"/>
          <w:highlight w:val="none"/>
          <w:u w:val="single"/>
        </w:rPr>
        <w:t>合同专用条款</w:t>
      </w:r>
      <w:r>
        <w:rPr>
          <w:rFonts w:hint="eastAsia" w:asciiTheme="minorEastAsia" w:hAnsiTheme="minorEastAsia" w:eastAsiaTheme="minorEastAsia" w:cstheme="minorEastAsia"/>
          <w:i w:val="0"/>
          <w:iCs/>
          <w:color w:val="auto"/>
          <w:spacing w:val="0"/>
          <w:position w:val="0"/>
          <w:sz w:val="24"/>
          <w:highlight w:val="none"/>
        </w:rPr>
        <w:t>约</w:t>
      </w:r>
      <w:r>
        <w:rPr>
          <w:rFonts w:hint="eastAsia" w:asciiTheme="minorEastAsia" w:hAnsiTheme="minorEastAsia" w:eastAsiaTheme="minorEastAsia" w:cstheme="minorEastAsia"/>
          <w:color w:val="auto"/>
          <w:spacing w:val="0"/>
          <w:position w:val="0"/>
          <w:sz w:val="24"/>
          <w:highlight w:val="none"/>
        </w:rPr>
        <w:t>定时间内以书面形式通知对方当事人，并在</w:t>
      </w:r>
      <w:r>
        <w:rPr>
          <w:rFonts w:hint="eastAsia" w:asciiTheme="minorEastAsia" w:hAnsiTheme="minorEastAsia" w:eastAsiaTheme="minorEastAsia" w:cstheme="minorEastAsia"/>
          <w:b/>
          <w:i w:val="0"/>
          <w:iCs/>
          <w:color w:val="auto"/>
          <w:spacing w:val="0"/>
          <w:position w:val="0"/>
          <w:sz w:val="24"/>
          <w:highlight w:val="none"/>
          <w:u w:val="single"/>
        </w:rPr>
        <w:t>合同专用条款</w:t>
      </w:r>
      <w:r>
        <w:rPr>
          <w:rFonts w:hint="eastAsia" w:asciiTheme="minorEastAsia" w:hAnsiTheme="minorEastAsia" w:eastAsiaTheme="minorEastAsia" w:cstheme="minorEastAsia"/>
          <w:color w:val="auto"/>
          <w:spacing w:val="0"/>
          <w:position w:val="0"/>
          <w:sz w:val="24"/>
          <w:highlight w:val="none"/>
        </w:rPr>
        <w:t>约定时间内，将有关部门出具的证明文件送达对方当事人。</w:t>
      </w:r>
    </w:p>
    <w:p w14:paraId="0AECDA53">
      <w:pPr>
        <w:spacing w:line="560" w:lineRule="exact"/>
        <w:ind w:firstLine="482" w:firstLineChars="200"/>
        <w:outlineLvl w:val="0"/>
        <w:rPr>
          <w:rFonts w:hint="eastAsia" w:asciiTheme="minorEastAsia" w:hAnsiTheme="minorEastAsia" w:eastAsiaTheme="minorEastAsia" w:cstheme="minorEastAsia"/>
          <w:b/>
          <w:color w:val="auto"/>
          <w:spacing w:val="0"/>
          <w:position w:val="0"/>
          <w:sz w:val="24"/>
          <w:highlight w:val="none"/>
        </w:rPr>
      </w:pPr>
      <w:bookmarkStart w:id="199" w:name="_Toc279701255"/>
      <w:bookmarkStart w:id="200" w:name="_Toc25783"/>
      <w:bookmarkStart w:id="201" w:name="_Toc259093684"/>
      <w:bookmarkStart w:id="202" w:name="_Toc487900365"/>
      <w:bookmarkStart w:id="203" w:name="_Toc14115"/>
      <w:bookmarkStart w:id="204" w:name="_Toc3638"/>
      <w:bookmarkStart w:id="205" w:name="_Toc24465"/>
      <w:bookmarkStart w:id="206" w:name="_Toc23854"/>
      <w:r>
        <w:rPr>
          <w:rFonts w:hint="eastAsia" w:asciiTheme="minorEastAsia" w:hAnsiTheme="minorEastAsia" w:eastAsiaTheme="minorEastAsia" w:cstheme="minorEastAsia"/>
          <w:b/>
          <w:color w:val="auto"/>
          <w:spacing w:val="0"/>
          <w:position w:val="0"/>
          <w:sz w:val="24"/>
          <w:highlight w:val="none"/>
        </w:rPr>
        <w:t>2.12 税费</w:t>
      </w:r>
      <w:bookmarkEnd w:id="199"/>
      <w:bookmarkEnd w:id="200"/>
      <w:bookmarkEnd w:id="201"/>
      <w:bookmarkEnd w:id="202"/>
      <w:bookmarkEnd w:id="203"/>
      <w:bookmarkEnd w:id="204"/>
      <w:bookmarkEnd w:id="205"/>
      <w:bookmarkEnd w:id="206"/>
    </w:p>
    <w:p w14:paraId="5E4FEBC8">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与合同有关的一切税费，均按照中华人民共和国法律的相关规定缴纳。</w:t>
      </w:r>
    </w:p>
    <w:p w14:paraId="14E5F9CA">
      <w:pPr>
        <w:spacing w:line="560" w:lineRule="exact"/>
        <w:ind w:firstLine="482" w:firstLineChars="200"/>
        <w:outlineLvl w:val="0"/>
        <w:rPr>
          <w:rFonts w:hint="eastAsia" w:asciiTheme="minorEastAsia" w:hAnsiTheme="minorEastAsia" w:eastAsiaTheme="minorEastAsia" w:cstheme="minorEastAsia"/>
          <w:b/>
          <w:color w:val="auto"/>
          <w:spacing w:val="0"/>
          <w:position w:val="0"/>
          <w:sz w:val="24"/>
          <w:highlight w:val="none"/>
        </w:rPr>
      </w:pPr>
      <w:bookmarkStart w:id="207" w:name="_Toc259093687"/>
      <w:bookmarkStart w:id="208" w:name="_Toc7315"/>
      <w:bookmarkStart w:id="209" w:name="_Toc487900368"/>
      <w:bookmarkStart w:id="210" w:name="_Toc25525"/>
      <w:bookmarkStart w:id="211" w:name="_Toc279701258"/>
      <w:bookmarkStart w:id="212" w:name="_Toc14814"/>
      <w:bookmarkStart w:id="213" w:name="_Toc26883"/>
      <w:bookmarkStart w:id="214" w:name="_Toc30105"/>
      <w:r>
        <w:rPr>
          <w:rFonts w:hint="eastAsia" w:asciiTheme="minorEastAsia" w:hAnsiTheme="minorEastAsia" w:eastAsiaTheme="minorEastAsia" w:cstheme="minorEastAsia"/>
          <w:b/>
          <w:color w:val="auto"/>
          <w:spacing w:val="0"/>
          <w:position w:val="0"/>
          <w:sz w:val="24"/>
          <w:highlight w:val="none"/>
        </w:rPr>
        <w:t>2.13 乙方破产</w:t>
      </w:r>
      <w:bookmarkEnd w:id="207"/>
      <w:bookmarkEnd w:id="208"/>
      <w:bookmarkEnd w:id="209"/>
      <w:bookmarkEnd w:id="210"/>
      <w:bookmarkEnd w:id="211"/>
      <w:bookmarkEnd w:id="212"/>
      <w:bookmarkEnd w:id="213"/>
      <w:bookmarkEnd w:id="214"/>
    </w:p>
    <w:p w14:paraId="3835FAE7">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269C41B">
      <w:pPr>
        <w:spacing w:line="560" w:lineRule="exact"/>
        <w:ind w:firstLine="482" w:firstLineChars="200"/>
        <w:outlineLvl w:val="0"/>
        <w:rPr>
          <w:rFonts w:hint="eastAsia" w:asciiTheme="minorEastAsia" w:hAnsiTheme="minorEastAsia" w:eastAsiaTheme="minorEastAsia" w:cstheme="minorEastAsia"/>
          <w:b/>
          <w:color w:val="auto"/>
          <w:spacing w:val="0"/>
          <w:position w:val="0"/>
          <w:sz w:val="24"/>
          <w:highlight w:val="none"/>
        </w:rPr>
      </w:pPr>
      <w:bookmarkStart w:id="215" w:name="_Toc2016"/>
      <w:bookmarkStart w:id="216" w:name="_Toc1123"/>
      <w:bookmarkStart w:id="217" w:name="_Toc23323"/>
      <w:r>
        <w:rPr>
          <w:rFonts w:hint="eastAsia" w:asciiTheme="minorEastAsia" w:hAnsiTheme="minorEastAsia" w:eastAsiaTheme="minorEastAsia" w:cstheme="minorEastAsia"/>
          <w:b/>
          <w:color w:val="auto"/>
          <w:spacing w:val="0"/>
          <w:position w:val="0"/>
          <w:sz w:val="24"/>
          <w:highlight w:val="none"/>
        </w:rPr>
        <w:t>2.14 合同中止、终止</w:t>
      </w:r>
      <w:bookmarkEnd w:id="215"/>
      <w:bookmarkEnd w:id="216"/>
      <w:bookmarkEnd w:id="217"/>
    </w:p>
    <w:p w14:paraId="098286A7">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2.14.1 双方当事人不得擅自中止或者终止合同；</w:t>
      </w:r>
    </w:p>
    <w:p w14:paraId="3A90EBAA">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2.14.2合同继续履行将损害国家利益和社会公共利益的，双方当事人应当中止或者终止合同。有过错的一方应当承担赔偿责任，双方当事人都有过错的，各自承担相应的责任。</w:t>
      </w:r>
    </w:p>
    <w:p w14:paraId="4275A20D">
      <w:pPr>
        <w:spacing w:line="560" w:lineRule="exact"/>
        <w:ind w:firstLine="482" w:firstLineChars="200"/>
        <w:outlineLvl w:val="0"/>
        <w:rPr>
          <w:rFonts w:hint="eastAsia" w:asciiTheme="minorEastAsia" w:hAnsiTheme="minorEastAsia" w:eastAsiaTheme="minorEastAsia" w:cstheme="minorEastAsia"/>
          <w:b/>
          <w:color w:val="auto"/>
          <w:spacing w:val="0"/>
          <w:position w:val="0"/>
          <w:sz w:val="24"/>
          <w:highlight w:val="none"/>
        </w:rPr>
      </w:pPr>
      <w:bookmarkStart w:id="218" w:name="_Toc1969"/>
      <w:bookmarkStart w:id="219" w:name="_Toc14525"/>
      <w:bookmarkStart w:id="220" w:name="_Toc17363"/>
      <w:r>
        <w:rPr>
          <w:rFonts w:hint="eastAsia" w:asciiTheme="minorEastAsia" w:hAnsiTheme="minorEastAsia" w:eastAsiaTheme="minorEastAsia" w:cstheme="minorEastAsia"/>
          <w:b/>
          <w:color w:val="auto"/>
          <w:spacing w:val="0"/>
          <w:position w:val="0"/>
          <w:sz w:val="24"/>
          <w:highlight w:val="none"/>
        </w:rPr>
        <w:t>2.15 检验和验收</w:t>
      </w:r>
      <w:bookmarkEnd w:id="218"/>
      <w:bookmarkEnd w:id="219"/>
      <w:bookmarkEnd w:id="220"/>
    </w:p>
    <w:p w14:paraId="40D6A241">
      <w:pPr>
        <w:tabs>
          <w:tab w:val="left" w:pos="360"/>
          <w:tab w:val="left" w:pos="540"/>
          <w:tab w:val="left" w:pos="1080"/>
        </w:tabs>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2.15.1 乙方按照</w:t>
      </w:r>
      <w:r>
        <w:rPr>
          <w:rFonts w:hint="eastAsia" w:asciiTheme="minorEastAsia" w:hAnsiTheme="minorEastAsia" w:eastAsiaTheme="minorEastAsia" w:cstheme="minorEastAsia"/>
          <w:b/>
          <w:i w:val="0"/>
          <w:iCs/>
          <w:color w:val="auto"/>
          <w:spacing w:val="0"/>
          <w:position w:val="0"/>
          <w:sz w:val="24"/>
          <w:highlight w:val="none"/>
          <w:u w:val="single"/>
        </w:rPr>
        <w:t>合同专用条款</w:t>
      </w:r>
      <w:r>
        <w:rPr>
          <w:rFonts w:hint="eastAsia" w:asciiTheme="minorEastAsia" w:hAnsiTheme="minorEastAsia" w:eastAsiaTheme="minorEastAsia" w:cstheme="minorEastAsia"/>
          <w:color w:val="auto"/>
          <w:spacing w:val="0"/>
          <w:position w:val="0"/>
          <w:sz w:val="24"/>
          <w:highlight w:val="none"/>
        </w:rPr>
        <w:t>的约定，定期提交服务报告，甲方按照</w:t>
      </w:r>
      <w:r>
        <w:rPr>
          <w:rFonts w:hint="eastAsia" w:asciiTheme="minorEastAsia" w:hAnsiTheme="minorEastAsia" w:eastAsiaTheme="minorEastAsia" w:cstheme="minorEastAsia"/>
          <w:b/>
          <w:i w:val="0"/>
          <w:iCs/>
          <w:color w:val="auto"/>
          <w:spacing w:val="0"/>
          <w:position w:val="0"/>
          <w:sz w:val="24"/>
          <w:highlight w:val="none"/>
          <w:u w:val="single"/>
        </w:rPr>
        <w:t>合同专用条款</w:t>
      </w:r>
      <w:r>
        <w:rPr>
          <w:rFonts w:hint="eastAsia" w:asciiTheme="minorEastAsia" w:hAnsiTheme="minorEastAsia" w:eastAsiaTheme="minorEastAsia" w:cstheme="minorEastAsia"/>
          <w:i w:val="0"/>
          <w:iCs/>
          <w:color w:val="auto"/>
          <w:spacing w:val="0"/>
          <w:position w:val="0"/>
          <w:sz w:val="24"/>
          <w:highlight w:val="none"/>
        </w:rPr>
        <w:t>的</w:t>
      </w:r>
      <w:r>
        <w:rPr>
          <w:rFonts w:hint="eastAsia" w:asciiTheme="minorEastAsia" w:hAnsiTheme="minorEastAsia" w:eastAsiaTheme="minorEastAsia" w:cstheme="minorEastAsia"/>
          <w:color w:val="auto"/>
          <w:spacing w:val="0"/>
          <w:position w:val="0"/>
          <w:sz w:val="24"/>
          <w:highlight w:val="none"/>
        </w:rPr>
        <w:t>约定进行定期验收；</w:t>
      </w:r>
    </w:p>
    <w:p w14:paraId="5B4C7FC9">
      <w:pPr>
        <w:tabs>
          <w:tab w:val="left" w:pos="360"/>
          <w:tab w:val="left" w:pos="540"/>
          <w:tab w:val="left" w:pos="1080"/>
        </w:tabs>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918C4AB">
      <w:pPr>
        <w:tabs>
          <w:tab w:val="left" w:pos="360"/>
          <w:tab w:val="left" w:pos="540"/>
          <w:tab w:val="left" w:pos="1080"/>
        </w:tabs>
        <w:spacing w:line="560" w:lineRule="exact"/>
        <w:ind w:firstLine="480" w:firstLineChars="200"/>
        <w:rPr>
          <w:rFonts w:hint="eastAsia" w:asciiTheme="minorEastAsia" w:hAnsiTheme="minorEastAsia" w:eastAsiaTheme="minorEastAsia" w:cstheme="minorEastAsia"/>
          <w:i w:val="0"/>
          <w:iCs/>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2.15.3 检验和验收标准、程序等具体内容以及前述验收书的效力详见</w:t>
      </w:r>
      <w:r>
        <w:rPr>
          <w:rFonts w:hint="eastAsia" w:asciiTheme="minorEastAsia" w:hAnsiTheme="minorEastAsia" w:eastAsiaTheme="minorEastAsia" w:cstheme="minorEastAsia"/>
          <w:b/>
          <w:i w:val="0"/>
          <w:iCs/>
          <w:color w:val="auto"/>
          <w:spacing w:val="0"/>
          <w:position w:val="0"/>
          <w:sz w:val="24"/>
          <w:highlight w:val="none"/>
          <w:u w:val="single"/>
        </w:rPr>
        <w:t>合同专用条款</w:t>
      </w:r>
      <w:r>
        <w:rPr>
          <w:rFonts w:hint="eastAsia" w:asciiTheme="minorEastAsia" w:hAnsiTheme="minorEastAsia" w:eastAsiaTheme="minorEastAsia" w:cstheme="minorEastAsia"/>
          <w:i w:val="0"/>
          <w:iCs/>
          <w:color w:val="auto"/>
          <w:spacing w:val="0"/>
          <w:position w:val="0"/>
          <w:sz w:val="24"/>
          <w:highlight w:val="none"/>
        </w:rPr>
        <w:t>。</w:t>
      </w:r>
    </w:p>
    <w:bookmarkEnd w:id="182"/>
    <w:bookmarkEnd w:id="183"/>
    <w:bookmarkEnd w:id="184"/>
    <w:bookmarkEnd w:id="185"/>
    <w:p w14:paraId="7DA49DA3">
      <w:pPr>
        <w:spacing w:line="560" w:lineRule="exact"/>
        <w:ind w:firstLine="482" w:firstLineChars="200"/>
        <w:outlineLvl w:val="0"/>
        <w:rPr>
          <w:rFonts w:hint="eastAsia" w:asciiTheme="minorEastAsia" w:hAnsiTheme="minorEastAsia" w:eastAsiaTheme="minorEastAsia" w:cstheme="minorEastAsia"/>
          <w:b/>
          <w:color w:val="auto"/>
          <w:spacing w:val="0"/>
          <w:position w:val="0"/>
          <w:sz w:val="24"/>
          <w:highlight w:val="none"/>
        </w:rPr>
      </w:pPr>
      <w:bookmarkStart w:id="221" w:name="_Toc279701261"/>
      <w:bookmarkStart w:id="222" w:name="_Toc259093690"/>
      <w:bookmarkStart w:id="223" w:name="_Toc487900371"/>
      <w:bookmarkStart w:id="224" w:name="_Toc25198"/>
      <w:bookmarkStart w:id="225" w:name="_Toc9808"/>
      <w:bookmarkStart w:id="226" w:name="_Toc12666"/>
      <w:bookmarkStart w:id="227" w:name="_Toc2308"/>
      <w:bookmarkStart w:id="228" w:name="_Toc31892"/>
      <w:r>
        <w:rPr>
          <w:rFonts w:hint="eastAsia" w:asciiTheme="minorEastAsia" w:hAnsiTheme="minorEastAsia" w:eastAsiaTheme="minorEastAsia" w:cstheme="minorEastAsia"/>
          <w:b/>
          <w:color w:val="auto"/>
          <w:spacing w:val="0"/>
          <w:position w:val="0"/>
          <w:sz w:val="24"/>
          <w:highlight w:val="none"/>
        </w:rPr>
        <w:t>2.16 通知</w:t>
      </w:r>
      <w:bookmarkEnd w:id="221"/>
      <w:bookmarkEnd w:id="222"/>
      <w:bookmarkEnd w:id="223"/>
      <w:r>
        <w:rPr>
          <w:rFonts w:hint="eastAsia" w:asciiTheme="minorEastAsia" w:hAnsiTheme="minorEastAsia" w:eastAsiaTheme="minorEastAsia" w:cstheme="minorEastAsia"/>
          <w:b/>
          <w:color w:val="auto"/>
          <w:spacing w:val="0"/>
          <w:position w:val="0"/>
          <w:sz w:val="24"/>
          <w:highlight w:val="none"/>
        </w:rPr>
        <w:t>和送达</w:t>
      </w:r>
      <w:bookmarkEnd w:id="224"/>
      <w:bookmarkEnd w:id="225"/>
      <w:bookmarkEnd w:id="226"/>
      <w:bookmarkEnd w:id="227"/>
      <w:bookmarkEnd w:id="228"/>
    </w:p>
    <w:p w14:paraId="143FDC2B">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bookmarkStart w:id="229" w:name="_Toc7073"/>
      <w:bookmarkStart w:id="230" w:name="_Toc29220"/>
      <w:bookmarkStart w:id="231" w:name="_Toc487900372"/>
      <w:bookmarkStart w:id="232" w:name="_Toc259093691"/>
      <w:bookmarkStart w:id="233" w:name="_Toc279701262"/>
      <w:r>
        <w:rPr>
          <w:rFonts w:hint="eastAsia" w:asciiTheme="minorEastAsia" w:hAnsiTheme="minorEastAsia" w:eastAsiaTheme="minorEastAsia" w:cstheme="minorEastAsia"/>
          <w:color w:val="auto"/>
          <w:spacing w:val="0"/>
          <w:position w:val="0"/>
          <w:sz w:val="24"/>
          <w:highlight w:val="none"/>
        </w:rPr>
        <w:t>2.16.1 任何一方因履行合同而以合同第一部分尾部所列明的</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发出的所有通知、文件、材料，均视为已向对方当事人送达；任何一方变更上述送达方式或者地址的，应于</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个工作日内书面通知对方当事人，在对方当事人收到有关变更通知之前，变更前的约定送达方式或者地址仍视为有效。</w:t>
      </w:r>
      <w:bookmarkEnd w:id="229"/>
      <w:bookmarkEnd w:id="230"/>
    </w:p>
    <w:p w14:paraId="5CF3E08B">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bookmarkStart w:id="234" w:name="_Toc27674"/>
      <w:bookmarkStart w:id="235" w:name="_Toc18401"/>
      <w:r>
        <w:rPr>
          <w:rFonts w:hint="eastAsia" w:asciiTheme="minorEastAsia" w:hAnsiTheme="minorEastAsia" w:eastAsiaTheme="minorEastAsia" w:cstheme="minorEastAsia"/>
          <w:color w:val="auto"/>
          <w:spacing w:val="0"/>
          <w:position w:val="0"/>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234"/>
      <w:bookmarkEnd w:id="235"/>
    </w:p>
    <w:bookmarkEnd w:id="231"/>
    <w:bookmarkEnd w:id="232"/>
    <w:bookmarkEnd w:id="233"/>
    <w:p w14:paraId="14BA6D3B">
      <w:pPr>
        <w:spacing w:line="560" w:lineRule="exact"/>
        <w:ind w:firstLine="482" w:firstLineChars="200"/>
        <w:outlineLvl w:val="0"/>
        <w:rPr>
          <w:rFonts w:hint="eastAsia" w:asciiTheme="minorEastAsia" w:hAnsiTheme="minorEastAsia" w:eastAsiaTheme="minorEastAsia" w:cstheme="minorEastAsia"/>
          <w:b/>
          <w:color w:val="auto"/>
          <w:spacing w:val="0"/>
          <w:position w:val="0"/>
          <w:sz w:val="24"/>
          <w:highlight w:val="none"/>
        </w:rPr>
      </w:pPr>
      <w:bookmarkStart w:id="236" w:name="_Toc259093692"/>
      <w:bookmarkStart w:id="237" w:name="_Toc28906"/>
      <w:bookmarkStart w:id="238" w:name="_Toc487900373"/>
      <w:bookmarkStart w:id="239" w:name="_Toc20808"/>
      <w:bookmarkStart w:id="240" w:name="_Toc27644"/>
      <w:bookmarkStart w:id="241" w:name="_Toc5063"/>
      <w:bookmarkStart w:id="242" w:name="_Toc279701263"/>
      <w:bookmarkStart w:id="243" w:name="_Toc12254"/>
      <w:r>
        <w:rPr>
          <w:rFonts w:hint="eastAsia" w:asciiTheme="minorEastAsia" w:hAnsiTheme="minorEastAsia" w:eastAsiaTheme="minorEastAsia" w:cstheme="minorEastAsia"/>
          <w:b/>
          <w:color w:val="auto"/>
          <w:spacing w:val="0"/>
          <w:position w:val="0"/>
          <w:sz w:val="24"/>
          <w:highlight w:val="none"/>
        </w:rPr>
        <w:t>2.17 合同使用的文字和适用的法律</w:t>
      </w:r>
      <w:bookmarkEnd w:id="236"/>
      <w:bookmarkEnd w:id="237"/>
      <w:bookmarkEnd w:id="238"/>
      <w:bookmarkEnd w:id="239"/>
      <w:bookmarkEnd w:id="240"/>
      <w:bookmarkEnd w:id="241"/>
      <w:bookmarkEnd w:id="242"/>
      <w:bookmarkEnd w:id="243"/>
    </w:p>
    <w:p w14:paraId="2B1059C2">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2.17.1 合同使用汉语书就、变更和解释；</w:t>
      </w:r>
    </w:p>
    <w:p w14:paraId="196BA8E3">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2.17.2 合同适用中华人民共和国法律。</w:t>
      </w:r>
    </w:p>
    <w:p w14:paraId="0F9A63B1">
      <w:pPr>
        <w:spacing w:line="560" w:lineRule="exact"/>
        <w:ind w:firstLine="482" w:firstLineChars="200"/>
        <w:outlineLvl w:val="0"/>
        <w:rPr>
          <w:rFonts w:hint="eastAsia" w:asciiTheme="minorEastAsia" w:hAnsiTheme="minorEastAsia" w:eastAsiaTheme="minorEastAsia" w:cstheme="minorEastAsia"/>
          <w:b/>
          <w:color w:val="auto"/>
          <w:spacing w:val="0"/>
          <w:position w:val="0"/>
          <w:sz w:val="24"/>
          <w:highlight w:val="none"/>
        </w:rPr>
      </w:pPr>
      <w:bookmarkStart w:id="244" w:name="_Toc30096"/>
      <w:bookmarkStart w:id="245" w:name="_Toc22266"/>
      <w:bookmarkStart w:id="246" w:name="_Toc259093693"/>
      <w:bookmarkStart w:id="247" w:name="_Toc1492"/>
      <w:bookmarkStart w:id="248" w:name="_Toc27127"/>
      <w:bookmarkStart w:id="249" w:name="_Toc27403"/>
      <w:bookmarkStart w:id="250" w:name="_Toc279701264"/>
      <w:bookmarkStart w:id="251" w:name="_Toc487900374"/>
      <w:r>
        <w:rPr>
          <w:rFonts w:hint="eastAsia" w:asciiTheme="minorEastAsia" w:hAnsiTheme="minorEastAsia" w:eastAsiaTheme="minorEastAsia" w:cstheme="minorEastAsia"/>
          <w:b/>
          <w:color w:val="auto"/>
          <w:spacing w:val="0"/>
          <w:position w:val="0"/>
          <w:sz w:val="24"/>
          <w:highlight w:val="none"/>
        </w:rPr>
        <w:t>2.18 履约保证金</w:t>
      </w:r>
      <w:bookmarkEnd w:id="244"/>
      <w:bookmarkEnd w:id="245"/>
      <w:bookmarkEnd w:id="246"/>
      <w:bookmarkEnd w:id="247"/>
      <w:bookmarkEnd w:id="248"/>
      <w:bookmarkEnd w:id="249"/>
      <w:bookmarkEnd w:id="250"/>
    </w:p>
    <w:p w14:paraId="085AB5FC">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2.18.1 采购文件要求乙方提交履约保证金的，乙方应按</w:t>
      </w:r>
      <w:r>
        <w:rPr>
          <w:rFonts w:hint="eastAsia" w:asciiTheme="minorEastAsia" w:hAnsiTheme="minorEastAsia" w:eastAsiaTheme="minorEastAsia" w:cstheme="minorEastAsia"/>
          <w:b/>
          <w:i w:val="0"/>
          <w:iCs/>
          <w:color w:val="auto"/>
          <w:spacing w:val="0"/>
          <w:position w:val="0"/>
          <w:sz w:val="24"/>
          <w:highlight w:val="none"/>
          <w:u w:val="single"/>
        </w:rPr>
        <w:t>合同专用条款</w:t>
      </w:r>
      <w:r>
        <w:rPr>
          <w:rFonts w:hint="eastAsia" w:asciiTheme="minorEastAsia" w:hAnsiTheme="minorEastAsia" w:eastAsiaTheme="minorEastAsia" w:cstheme="minorEastAsia"/>
          <w:i w:val="0"/>
          <w:iCs/>
          <w:color w:val="auto"/>
          <w:spacing w:val="0"/>
          <w:position w:val="0"/>
          <w:sz w:val="24"/>
          <w:highlight w:val="none"/>
        </w:rPr>
        <w:t>约</w:t>
      </w:r>
      <w:r>
        <w:rPr>
          <w:rFonts w:hint="eastAsia" w:asciiTheme="minorEastAsia" w:hAnsiTheme="minorEastAsia" w:eastAsiaTheme="minorEastAsia" w:cstheme="minorEastAsia"/>
          <w:color w:val="auto"/>
          <w:spacing w:val="0"/>
          <w:position w:val="0"/>
          <w:sz w:val="24"/>
          <w:highlight w:val="none"/>
        </w:rPr>
        <w:t>定的方式，以支票、汇票、本票或者金融机构、担保机构出具的保函等非现金形式，提交不超过合同价10%的履约保证金；</w:t>
      </w:r>
    </w:p>
    <w:p w14:paraId="22138E7F">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2.18.2 履约保证金在</w:t>
      </w:r>
      <w:r>
        <w:rPr>
          <w:rFonts w:hint="eastAsia" w:asciiTheme="minorEastAsia" w:hAnsiTheme="minorEastAsia" w:eastAsiaTheme="minorEastAsia" w:cstheme="minorEastAsia"/>
          <w:b/>
          <w:i w:val="0"/>
          <w:iCs/>
          <w:color w:val="auto"/>
          <w:spacing w:val="0"/>
          <w:position w:val="0"/>
          <w:sz w:val="24"/>
          <w:highlight w:val="none"/>
          <w:u w:val="single"/>
        </w:rPr>
        <w:t>合同专用条款</w:t>
      </w:r>
      <w:r>
        <w:rPr>
          <w:rFonts w:hint="eastAsia" w:asciiTheme="minorEastAsia" w:hAnsiTheme="minorEastAsia" w:eastAsiaTheme="minorEastAsia" w:cstheme="minorEastAsia"/>
          <w:color w:val="auto"/>
          <w:spacing w:val="0"/>
          <w:position w:val="0"/>
          <w:sz w:val="24"/>
          <w:highlight w:val="none"/>
        </w:rPr>
        <w:t>约定期间内不予退还或者应完全有效，前述约定期间届满之日起</w:t>
      </w:r>
      <w:r>
        <w:rPr>
          <w:rFonts w:hint="eastAsia" w:asciiTheme="minorEastAsia" w:hAnsiTheme="minorEastAsia" w:eastAsiaTheme="minorEastAsia" w:cstheme="minorEastAsia"/>
          <w:color w:val="auto"/>
          <w:spacing w:val="0"/>
          <w:position w:val="0"/>
          <w:sz w:val="24"/>
          <w:highlight w:val="none"/>
          <w:u w:val="single"/>
        </w:rPr>
        <w:t xml:space="preserve">    </w:t>
      </w:r>
      <w:r>
        <w:rPr>
          <w:rFonts w:hint="eastAsia" w:asciiTheme="minorEastAsia" w:hAnsiTheme="minorEastAsia" w:eastAsiaTheme="minorEastAsia" w:cstheme="minorEastAsia"/>
          <w:color w:val="auto"/>
          <w:spacing w:val="0"/>
          <w:position w:val="0"/>
          <w:sz w:val="24"/>
          <w:highlight w:val="none"/>
        </w:rPr>
        <w:t>个工作日内，甲方应将履约保证金退还乙方；</w:t>
      </w:r>
    </w:p>
    <w:p w14:paraId="6F82A69F">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51"/>
    <w:p w14:paraId="3A33B6ED">
      <w:pPr>
        <w:spacing w:line="560" w:lineRule="exact"/>
        <w:ind w:firstLine="482" w:firstLineChars="200"/>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2.19 合同份数</w:t>
      </w:r>
    </w:p>
    <w:p w14:paraId="5ACE0E28">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合同份数按</w:t>
      </w:r>
      <w:r>
        <w:rPr>
          <w:rFonts w:hint="eastAsia" w:asciiTheme="minorEastAsia" w:hAnsiTheme="minorEastAsia" w:eastAsiaTheme="minorEastAsia" w:cstheme="minorEastAsia"/>
          <w:b/>
          <w:i w:val="0"/>
          <w:iCs/>
          <w:color w:val="auto"/>
          <w:spacing w:val="0"/>
          <w:position w:val="0"/>
          <w:sz w:val="24"/>
          <w:highlight w:val="none"/>
          <w:u w:val="single"/>
        </w:rPr>
        <w:t>合同专用条款</w:t>
      </w:r>
      <w:r>
        <w:rPr>
          <w:rFonts w:hint="eastAsia" w:asciiTheme="minorEastAsia" w:hAnsiTheme="minorEastAsia" w:eastAsiaTheme="minorEastAsia" w:cstheme="minorEastAsia"/>
          <w:color w:val="auto"/>
          <w:spacing w:val="0"/>
          <w:position w:val="0"/>
          <w:sz w:val="24"/>
          <w:highlight w:val="none"/>
        </w:rPr>
        <w:t>规定，每份均具有同等法律效力。</w:t>
      </w:r>
    </w:p>
    <w:p w14:paraId="22F6B491">
      <w:pPr>
        <w:pStyle w:val="105"/>
        <w:spacing w:line="560" w:lineRule="exact"/>
        <w:ind w:firstLine="0"/>
        <w:jc w:val="center"/>
        <w:rPr>
          <w:rFonts w:hint="eastAsia" w:asciiTheme="minorEastAsia" w:hAnsiTheme="minorEastAsia" w:eastAsiaTheme="minorEastAsia" w:cstheme="minorEastAsia"/>
          <w:b/>
          <w:color w:val="auto"/>
          <w:spacing w:val="0"/>
          <w:position w:val="0"/>
          <w:szCs w:val="24"/>
          <w:highlight w:val="none"/>
        </w:rPr>
      </w:pPr>
      <w:r>
        <w:rPr>
          <w:rFonts w:hint="eastAsia" w:asciiTheme="minorEastAsia" w:hAnsiTheme="minorEastAsia" w:eastAsiaTheme="minorEastAsia" w:cstheme="minorEastAsia"/>
          <w:color w:val="auto"/>
          <w:spacing w:val="0"/>
          <w:position w:val="0"/>
          <w:szCs w:val="24"/>
          <w:highlight w:val="none"/>
        </w:rPr>
        <w:br w:type="page"/>
      </w:r>
      <w:bookmarkStart w:id="252" w:name="_Toc331685784"/>
      <w:r>
        <w:rPr>
          <w:rFonts w:hint="eastAsia" w:asciiTheme="minorEastAsia" w:hAnsiTheme="minorEastAsia" w:eastAsiaTheme="minorEastAsia" w:cstheme="minorEastAsia"/>
          <w:b/>
          <w:color w:val="auto"/>
          <w:spacing w:val="0"/>
          <w:position w:val="0"/>
          <w:szCs w:val="24"/>
          <w:highlight w:val="none"/>
        </w:rPr>
        <w:t>第三部分  合同专用条款</w:t>
      </w:r>
      <w:bookmarkEnd w:id="252"/>
    </w:p>
    <w:p w14:paraId="1A863ABF">
      <w:pPr>
        <w:spacing w:line="560" w:lineRule="exact"/>
        <w:ind w:firstLine="480" w:firstLineChars="200"/>
        <w:rPr>
          <w:rFonts w:hint="eastAsia" w:asciiTheme="minorEastAsia" w:hAnsiTheme="minorEastAsia" w:eastAsiaTheme="minorEastAsia" w:cstheme="minorEastAsia"/>
          <w:color w:val="auto"/>
          <w:spacing w:val="0"/>
          <w:position w:val="0"/>
          <w:sz w:val="24"/>
          <w:highlight w:val="none"/>
        </w:rPr>
      </w:pPr>
      <w:r>
        <w:rPr>
          <w:rFonts w:hint="eastAsia" w:asciiTheme="minorEastAsia" w:hAnsiTheme="minorEastAsia" w:eastAsiaTheme="minorEastAsia" w:cstheme="minorEastAsia"/>
          <w:color w:val="auto"/>
          <w:spacing w:val="0"/>
          <w:position w:val="0"/>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65EA8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574F08F2">
            <w:pPr>
              <w:spacing w:line="560" w:lineRule="exact"/>
              <w:jc w:val="center"/>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条款号</w:t>
            </w:r>
          </w:p>
        </w:tc>
        <w:tc>
          <w:tcPr>
            <w:tcW w:w="7633" w:type="dxa"/>
            <w:noWrap w:val="0"/>
            <w:vAlign w:val="center"/>
          </w:tcPr>
          <w:p w14:paraId="122F03C8">
            <w:pPr>
              <w:spacing w:line="560" w:lineRule="exact"/>
              <w:jc w:val="center"/>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约定内容</w:t>
            </w:r>
          </w:p>
        </w:tc>
      </w:tr>
      <w:tr w14:paraId="4C122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320B4F9C">
            <w:pPr>
              <w:spacing w:line="560" w:lineRule="exact"/>
              <w:rPr>
                <w:rFonts w:hint="eastAsia" w:asciiTheme="minorEastAsia" w:hAnsiTheme="minorEastAsia" w:eastAsiaTheme="minorEastAsia" w:cstheme="minorEastAsia"/>
                <w:color w:val="auto"/>
                <w:spacing w:val="0"/>
                <w:position w:val="0"/>
                <w:sz w:val="24"/>
                <w:highlight w:val="none"/>
              </w:rPr>
            </w:pPr>
          </w:p>
        </w:tc>
        <w:tc>
          <w:tcPr>
            <w:tcW w:w="7633" w:type="dxa"/>
            <w:noWrap w:val="0"/>
            <w:vAlign w:val="center"/>
          </w:tcPr>
          <w:p w14:paraId="056C4744">
            <w:pPr>
              <w:spacing w:line="560" w:lineRule="exact"/>
              <w:rPr>
                <w:rFonts w:hint="eastAsia" w:asciiTheme="minorEastAsia" w:hAnsiTheme="minorEastAsia" w:eastAsiaTheme="minorEastAsia" w:cstheme="minorEastAsia"/>
                <w:color w:val="auto"/>
                <w:spacing w:val="0"/>
                <w:position w:val="0"/>
                <w:sz w:val="24"/>
                <w:highlight w:val="none"/>
              </w:rPr>
            </w:pPr>
          </w:p>
        </w:tc>
      </w:tr>
      <w:tr w14:paraId="785A4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0834398C">
            <w:pPr>
              <w:spacing w:line="560" w:lineRule="exact"/>
              <w:rPr>
                <w:rFonts w:hint="eastAsia" w:asciiTheme="minorEastAsia" w:hAnsiTheme="minorEastAsia" w:eastAsiaTheme="minorEastAsia" w:cstheme="minorEastAsia"/>
                <w:color w:val="auto"/>
                <w:spacing w:val="0"/>
                <w:position w:val="0"/>
                <w:sz w:val="24"/>
                <w:highlight w:val="none"/>
              </w:rPr>
            </w:pPr>
          </w:p>
        </w:tc>
        <w:tc>
          <w:tcPr>
            <w:tcW w:w="7633" w:type="dxa"/>
            <w:noWrap w:val="0"/>
            <w:vAlign w:val="center"/>
          </w:tcPr>
          <w:p w14:paraId="65393989">
            <w:pPr>
              <w:spacing w:line="560" w:lineRule="exact"/>
              <w:rPr>
                <w:rFonts w:hint="eastAsia" w:asciiTheme="minorEastAsia" w:hAnsiTheme="minorEastAsia" w:eastAsiaTheme="minorEastAsia" w:cstheme="minorEastAsia"/>
                <w:color w:val="auto"/>
                <w:spacing w:val="0"/>
                <w:position w:val="0"/>
                <w:sz w:val="24"/>
                <w:highlight w:val="none"/>
              </w:rPr>
            </w:pPr>
          </w:p>
        </w:tc>
      </w:tr>
      <w:tr w14:paraId="40A73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166467A3">
            <w:pPr>
              <w:spacing w:line="560" w:lineRule="exact"/>
              <w:rPr>
                <w:rFonts w:hint="eastAsia" w:asciiTheme="minorEastAsia" w:hAnsiTheme="minorEastAsia" w:eastAsiaTheme="minorEastAsia" w:cstheme="minorEastAsia"/>
                <w:color w:val="auto"/>
                <w:spacing w:val="0"/>
                <w:position w:val="0"/>
                <w:sz w:val="24"/>
                <w:highlight w:val="none"/>
              </w:rPr>
            </w:pPr>
          </w:p>
        </w:tc>
        <w:tc>
          <w:tcPr>
            <w:tcW w:w="7633" w:type="dxa"/>
            <w:noWrap w:val="0"/>
            <w:vAlign w:val="center"/>
          </w:tcPr>
          <w:p w14:paraId="24C00524">
            <w:pPr>
              <w:spacing w:line="560" w:lineRule="exact"/>
              <w:rPr>
                <w:rFonts w:hint="eastAsia" w:asciiTheme="minorEastAsia" w:hAnsiTheme="minorEastAsia" w:eastAsiaTheme="minorEastAsia" w:cstheme="minorEastAsia"/>
                <w:color w:val="auto"/>
                <w:spacing w:val="0"/>
                <w:position w:val="0"/>
                <w:sz w:val="24"/>
                <w:highlight w:val="none"/>
              </w:rPr>
            </w:pPr>
          </w:p>
        </w:tc>
      </w:tr>
      <w:tr w14:paraId="56123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79180212">
            <w:pPr>
              <w:spacing w:line="560" w:lineRule="exact"/>
              <w:rPr>
                <w:rFonts w:hint="eastAsia" w:asciiTheme="minorEastAsia" w:hAnsiTheme="minorEastAsia" w:eastAsiaTheme="minorEastAsia" w:cstheme="minorEastAsia"/>
                <w:color w:val="auto"/>
                <w:spacing w:val="0"/>
                <w:position w:val="0"/>
                <w:sz w:val="24"/>
                <w:highlight w:val="none"/>
              </w:rPr>
            </w:pPr>
          </w:p>
        </w:tc>
        <w:tc>
          <w:tcPr>
            <w:tcW w:w="7633" w:type="dxa"/>
            <w:noWrap w:val="0"/>
            <w:vAlign w:val="center"/>
          </w:tcPr>
          <w:p w14:paraId="00682F7F">
            <w:pPr>
              <w:spacing w:line="560" w:lineRule="exact"/>
              <w:rPr>
                <w:rFonts w:hint="eastAsia" w:asciiTheme="minorEastAsia" w:hAnsiTheme="minorEastAsia" w:eastAsiaTheme="minorEastAsia" w:cstheme="minorEastAsia"/>
                <w:color w:val="auto"/>
                <w:spacing w:val="0"/>
                <w:position w:val="0"/>
                <w:sz w:val="24"/>
                <w:highlight w:val="none"/>
              </w:rPr>
            </w:pPr>
          </w:p>
        </w:tc>
      </w:tr>
      <w:tr w14:paraId="3BF65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72A4B89A">
            <w:pPr>
              <w:spacing w:line="560" w:lineRule="exact"/>
              <w:rPr>
                <w:rFonts w:hint="eastAsia" w:asciiTheme="minorEastAsia" w:hAnsiTheme="minorEastAsia" w:eastAsiaTheme="minorEastAsia" w:cstheme="minorEastAsia"/>
                <w:color w:val="auto"/>
                <w:spacing w:val="0"/>
                <w:position w:val="0"/>
                <w:sz w:val="24"/>
                <w:highlight w:val="none"/>
              </w:rPr>
            </w:pPr>
          </w:p>
        </w:tc>
        <w:tc>
          <w:tcPr>
            <w:tcW w:w="7633" w:type="dxa"/>
            <w:noWrap w:val="0"/>
            <w:vAlign w:val="center"/>
          </w:tcPr>
          <w:p w14:paraId="2FBADC50">
            <w:pPr>
              <w:spacing w:line="560" w:lineRule="exact"/>
              <w:rPr>
                <w:rFonts w:hint="eastAsia" w:asciiTheme="minorEastAsia" w:hAnsiTheme="minorEastAsia" w:eastAsiaTheme="minorEastAsia" w:cstheme="minorEastAsia"/>
                <w:color w:val="auto"/>
                <w:spacing w:val="0"/>
                <w:position w:val="0"/>
                <w:sz w:val="24"/>
                <w:highlight w:val="none"/>
                <w:u w:val="single"/>
              </w:rPr>
            </w:pPr>
          </w:p>
        </w:tc>
      </w:tr>
      <w:tr w14:paraId="3765C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2CE617B7">
            <w:pPr>
              <w:spacing w:line="560" w:lineRule="exact"/>
              <w:rPr>
                <w:rFonts w:hint="eastAsia" w:asciiTheme="minorEastAsia" w:hAnsiTheme="minorEastAsia" w:eastAsiaTheme="minorEastAsia" w:cstheme="minorEastAsia"/>
                <w:color w:val="auto"/>
                <w:spacing w:val="0"/>
                <w:position w:val="0"/>
                <w:sz w:val="24"/>
                <w:highlight w:val="none"/>
              </w:rPr>
            </w:pPr>
          </w:p>
        </w:tc>
        <w:tc>
          <w:tcPr>
            <w:tcW w:w="7633" w:type="dxa"/>
            <w:noWrap w:val="0"/>
            <w:vAlign w:val="center"/>
          </w:tcPr>
          <w:p w14:paraId="7C39C68F">
            <w:pPr>
              <w:spacing w:line="560" w:lineRule="exact"/>
              <w:rPr>
                <w:rFonts w:hint="eastAsia" w:asciiTheme="minorEastAsia" w:hAnsiTheme="minorEastAsia" w:eastAsiaTheme="minorEastAsia" w:cstheme="minorEastAsia"/>
                <w:color w:val="auto"/>
                <w:spacing w:val="0"/>
                <w:position w:val="0"/>
                <w:sz w:val="24"/>
                <w:highlight w:val="none"/>
              </w:rPr>
            </w:pPr>
          </w:p>
        </w:tc>
      </w:tr>
      <w:tr w14:paraId="7DC91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49D73E43">
            <w:pPr>
              <w:spacing w:line="560" w:lineRule="exact"/>
              <w:rPr>
                <w:rFonts w:hint="eastAsia" w:asciiTheme="minorEastAsia" w:hAnsiTheme="minorEastAsia" w:eastAsiaTheme="minorEastAsia" w:cstheme="minorEastAsia"/>
                <w:color w:val="auto"/>
                <w:spacing w:val="0"/>
                <w:position w:val="0"/>
                <w:sz w:val="24"/>
                <w:highlight w:val="none"/>
              </w:rPr>
            </w:pPr>
          </w:p>
        </w:tc>
        <w:tc>
          <w:tcPr>
            <w:tcW w:w="7633" w:type="dxa"/>
            <w:noWrap w:val="0"/>
            <w:vAlign w:val="center"/>
          </w:tcPr>
          <w:p w14:paraId="74680920">
            <w:pPr>
              <w:spacing w:line="560" w:lineRule="exact"/>
              <w:rPr>
                <w:rFonts w:hint="eastAsia" w:asciiTheme="minorEastAsia" w:hAnsiTheme="minorEastAsia" w:eastAsiaTheme="minorEastAsia" w:cstheme="minorEastAsia"/>
                <w:color w:val="auto"/>
                <w:spacing w:val="0"/>
                <w:position w:val="0"/>
                <w:sz w:val="24"/>
                <w:highlight w:val="none"/>
                <w:u w:val="single"/>
              </w:rPr>
            </w:pPr>
          </w:p>
        </w:tc>
      </w:tr>
      <w:tr w14:paraId="345DB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6B514F3E">
            <w:pPr>
              <w:spacing w:line="560" w:lineRule="exact"/>
              <w:rPr>
                <w:rFonts w:hint="eastAsia" w:asciiTheme="minorEastAsia" w:hAnsiTheme="minorEastAsia" w:eastAsiaTheme="minorEastAsia" w:cstheme="minorEastAsia"/>
                <w:color w:val="auto"/>
                <w:spacing w:val="0"/>
                <w:position w:val="0"/>
                <w:sz w:val="24"/>
                <w:highlight w:val="none"/>
              </w:rPr>
            </w:pPr>
          </w:p>
        </w:tc>
        <w:tc>
          <w:tcPr>
            <w:tcW w:w="7633" w:type="dxa"/>
            <w:noWrap w:val="0"/>
            <w:vAlign w:val="center"/>
          </w:tcPr>
          <w:p w14:paraId="502A4FF0">
            <w:pPr>
              <w:spacing w:line="560" w:lineRule="exact"/>
              <w:rPr>
                <w:rFonts w:hint="eastAsia" w:asciiTheme="minorEastAsia" w:hAnsiTheme="minorEastAsia" w:eastAsiaTheme="minorEastAsia" w:cstheme="minorEastAsia"/>
                <w:color w:val="auto"/>
                <w:spacing w:val="0"/>
                <w:position w:val="0"/>
                <w:sz w:val="24"/>
                <w:highlight w:val="none"/>
              </w:rPr>
            </w:pPr>
          </w:p>
        </w:tc>
      </w:tr>
      <w:tr w14:paraId="422D0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7544D812">
            <w:pPr>
              <w:spacing w:line="560" w:lineRule="exact"/>
              <w:rPr>
                <w:rFonts w:hint="eastAsia" w:asciiTheme="minorEastAsia" w:hAnsiTheme="minorEastAsia" w:eastAsiaTheme="minorEastAsia" w:cstheme="minorEastAsia"/>
                <w:color w:val="auto"/>
                <w:spacing w:val="0"/>
                <w:position w:val="0"/>
                <w:sz w:val="24"/>
                <w:highlight w:val="none"/>
              </w:rPr>
            </w:pPr>
          </w:p>
        </w:tc>
        <w:tc>
          <w:tcPr>
            <w:tcW w:w="7633" w:type="dxa"/>
            <w:noWrap w:val="0"/>
            <w:vAlign w:val="center"/>
          </w:tcPr>
          <w:p w14:paraId="51A5924F">
            <w:pPr>
              <w:spacing w:line="560" w:lineRule="exact"/>
              <w:rPr>
                <w:rFonts w:hint="eastAsia" w:asciiTheme="minorEastAsia" w:hAnsiTheme="minorEastAsia" w:eastAsiaTheme="minorEastAsia" w:cstheme="minorEastAsia"/>
                <w:color w:val="auto"/>
                <w:spacing w:val="0"/>
                <w:position w:val="0"/>
                <w:sz w:val="24"/>
                <w:highlight w:val="none"/>
              </w:rPr>
            </w:pPr>
          </w:p>
        </w:tc>
      </w:tr>
      <w:tr w14:paraId="45FB1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E00BC1D">
            <w:pPr>
              <w:spacing w:line="560" w:lineRule="exact"/>
              <w:rPr>
                <w:rFonts w:hint="eastAsia" w:asciiTheme="minorEastAsia" w:hAnsiTheme="minorEastAsia" w:eastAsiaTheme="minorEastAsia" w:cstheme="minorEastAsia"/>
                <w:color w:val="auto"/>
                <w:spacing w:val="0"/>
                <w:position w:val="0"/>
                <w:sz w:val="24"/>
                <w:highlight w:val="none"/>
              </w:rPr>
            </w:pPr>
          </w:p>
        </w:tc>
        <w:tc>
          <w:tcPr>
            <w:tcW w:w="7633" w:type="dxa"/>
            <w:noWrap w:val="0"/>
            <w:vAlign w:val="center"/>
          </w:tcPr>
          <w:p w14:paraId="10860501">
            <w:pPr>
              <w:spacing w:line="560" w:lineRule="exact"/>
              <w:rPr>
                <w:rFonts w:hint="eastAsia" w:asciiTheme="minorEastAsia" w:hAnsiTheme="minorEastAsia" w:eastAsiaTheme="minorEastAsia" w:cstheme="minorEastAsia"/>
                <w:color w:val="auto"/>
                <w:spacing w:val="0"/>
                <w:position w:val="0"/>
                <w:sz w:val="24"/>
                <w:highlight w:val="none"/>
              </w:rPr>
            </w:pPr>
          </w:p>
        </w:tc>
      </w:tr>
      <w:tr w14:paraId="4FAC3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14:paraId="2A83EE6E">
            <w:pPr>
              <w:spacing w:line="560" w:lineRule="exact"/>
              <w:rPr>
                <w:rFonts w:hint="eastAsia" w:asciiTheme="minorEastAsia" w:hAnsiTheme="minorEastAsia" w:eastAsiaTheme="minorEastAsia" w:cstheme="minorEastAsia"/>
                <w:color w:val="auto"/>
                <w:spacing w:val="0"/>
                <w:position w:val="0"/>
                <w:sz w:val="24"/>
                <w:highlight w:val="none"/>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14:paraId="7F5D1914">
            <w:pPr>
              <w:spacing w:line="560" w:lineRule="exact"/>
              <w:rPr>
                <w:rFonts w:hint="eastAsia" w:asciiTheme="minorEastAsia" w:hAnsiTheme="minorEastAsia" w:eastAsiaTheme="minorEastAsia" w:cstheme="minorEastAsia"/>
                <w:color w:val="auto"/>
                <w:spacing w:val="0"/>
                <w:position w:val="0"/>
                <w:sz w:val="24"/>
                <w:highlight w:val="none"/>
              </w:rPr>
            </w:pPr>
          </w:p>
        </w:tc>
      </w:tr>
      <w:tr w14:paraId="3CBB6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14:paraId="628FA758">
            <w:pPr>
              <w:spacing w:line="560" w:lineRule="exact"/>
              <w:rPr>
                <w:rFonts w:hint="eastAsia" w:asciiTheme="minorEastAsia" w:hAnsiTheme="minorEastAsia" w:eastAsiaTheme="minorEastAsia" w:cstheme="minorEastAsia"/>
                <w:color w:val="auto"/>
                <w:spacing w:val="0"/>
                <w:position w:val="0"/>
                <w:sz w:val="24"/>
                <w:highlight w:val="none"/>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14:paraId="2F4636BF">
            <w:pPr>
              <w:spacing w:line="560" w:lineRule="exact"/>
              <w:rPr>
                <w:rFonts w:hint="eastAsia" w:asciiTheme="minorEastAsia" w:hAnsiTheme="minorEastAsia" w:eastAsiaTheme="minorEastAsia" w:cstheme="minorEastAsia"/>
                <w:color w:val="auto"/>
                <w:spacing w:val="0"/>
                <w:position w:val="0"/>
                <w:sz w:val="24"/>
                <w:highlight w:val="none"/>
              </w:rPr>
            </w:pPr>
          </w:p>
        </w:tc>
      </w:tr>
    </w:tbl>
    <w:p w14:paraId="4CC8FD2A">
      <w:pPr>
        <w:pStyle w:val="15"/>
        <w:spacing w:line="360" w:lineRule="auto"/>
        <w:ind w:left="540" w:leftChars="257" w:hanging="540"/>
        <w:rPr>
          <w:rFonts w:hint="eastAsia" w:asciiTheme="minorEastAsia" w:hAnsiTheme="minorEastAsia" w:eastAsiaTheme="minorEastAsia" w:cstheme="minorEastAsia"/>
          <w:color w:val="auto"/>
          <w:spacing w:val="0"/>
          <w:position w:val="0"/>
          <w:sz w:val="28"/>
          <w:highlight w:val="none"/>
          <w:lang w:val="en-US" w:eastAsia="zh-CN"/>
        </w:rPr>
      </w:pPr>
    </w:p>
    <w:p w14:paraId="28AB085B">
      <w:pPr>
        <w:pageBreakBefore w:val="0"/>
        <w:kinsoku/>
        <w:overflowPunct/>
        <w:bidi w:val="0"/>
        <w:rPr>
          <w:rFonts w:hint="eastAsia" w:asciiTheme="minorEastAsia" w:hAnsiTheme="minorEastAsia" w:eastAsiaTheme="minorEastAsia" w:cstheme="minorEastAsia"/>
          <w:color w:val="auto"/>
          <w:spacing w:val="0"/>
          <w:position w:val="0"/>
          <w:sz w:val="28"/>
          <w:szCs w:val="28"/>
          <w:highlight w:val="none"/>
        </w:rPr>
      </w:pPr>
    </w:p>
    <w:p w14:paraId="7C057F34">
      <w:pPr>
        <w:rPr>
          <w:rFonts w:hint="eastAsia" w:ascii="宋体" w:hAnsi="宋体" w:eastAsia="宋体" w:cs="宋体"/>
          <w:color w:val="auto"/>
          <w:sz w:val="28"/>
          <w:szCs w:val="28"/>
          <w:highlight w:val="none"/>
        </w:rPr>
      </w:pPr>
    </w:p>
    <w:p w14:paraId="4496A87F">
      <w:pPr>
        <w:pStyle w:val="3"/>
        <w:jc w:val="center"/>
        <w:rPr>
          <w:rFonts w:hint="eastAsia" w:ascii="宋体" w:hAnsi="宋体" w:eastAsia="宋体" w:cs="宋体"/>
          <w:color w:val="auto"/>
          <w:sz w:val="36"/>
          <w:szCs w:val="36"/>
          <w:highlight w:val="none"/>
        </w:rPr>
      </w:pPr>
      <w:r>
        <w:rPr>
          <w:rFonts w:hint="eastAsia" w:ascii="宋体" w:hAnsi="宋体" w:eastAsia="宋体" w:cs="宋体"/>
          <w:color w:val="auto"/>
          <w:highlight w:val="none"/>
        </w:rPr>
        <w:br w:type="page"/>
      </w:r>
      <w:bookmarkStart w:id="253" w:name="_Toc4203"/>
      <w:bookmarkStart w:id="254" w:name="_Toc480368419"/>
      <w:r>
        <w:rPr>
          <w:rFonts w:hint="eastAsia" w:ascii="宋体" w:hAnsi="宋体" w:eastAsia="宋体" w:cs="宋体"/>
          <w:color w:val="auto"/>
          <w:sz w:val="36"/>
          <w:szCs w:val="36"/>
          <w:highlight w:val="none"/>
        </w:rPr>
        <w:t>第六部分   投标文件格式</w:t>
      </w:r>
      <w:bookmarkEnd w:id="253"/>
      <w:bookmarkEnd w:id="254"/>
      <w:bookmarkStart w:id="255" w:name="_Toc480368420"/>
    </w:p>
    <w:p w14:paraId="12C839E6">
      <w:pPr>
        <w:pStyle w:val="3"/>
        <w:rPr>
          <w:rFonts w:hint="eastAsia" w:ascii="宋体" w:hAnsi="宋体" w:eastAsia="宋体" w:cs="宋体"/>
          <w:color w:val="auto"/>
          <w:sz w:val="24"/>
          <w:highlight w:val="none"/>
        </w:rPr>
      </w:pPr>
      <w:bookmarkStart w:id="256" w:name="_Toc30702"/>
      <w:r>
        <w:rPr>
          <w:rFonts w:hint="eastAsia" w:ascii="宋体" w:hAnsi="宋体" w:eastAsia="宋体" w:cs="宋体"/>
          <w:color w:val="auto"/>
          <w:sz w:val="24"/>
          <w:highlight w:val="none"/>
        </w:rPr>
        <w:t>投标文件封面</w:t>
      </w:r>
      <w:bookmarkEnd w:id="255"/>
      <w:bookmarkEnd w:id="256"/>
    </w:p>
    <w:p w14:paraId="7F951CE3">
      <w:pPr>
        <w:spacing w:line="360" w:lineRule="auto"/>
        <w:rPr>
          <w:rFonts w:hint="eastAsia" w:ascii="宋体" w:hAnsi="宋体" w:eastAsia="宋体" w:cs="宋体"/>
          <w:b/>
          <w:color w:val="auto"/>
          <w:sz w:val="24"/>
          <w:highlight w:val="none"/>
        </w:rPr>
      </w:pPr>
    </w:p>
    <w:p w14:paraId="302B248C">
      <w:pPr>
        <w:spacing w:line="360" w:lineRule="auto"/>
        <w:jc w:val="center"/>
        <w:rPr>
          <w:rFonts w:hint="eastAsia" w:ascii="宋体" w:hAnsi="宋体" w:eastAsia="宋体" w:cs="宋体"/>
          <w:color w:val="auto"/>
          <w:sz w:val="24"/>
          <w:highlight w:val="none"/>
        </w:rPr>
      </w:pPr>
    </w:p>
    <w:p w14:paraId="043ADAA1">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（项目名称）</w:t>
      </w:r>
    </w:p>
    <w:p w14:paraId="37BAFDC7">
      <w:pPr>
        <w:spacing w:line="360" w:lineRule="auto"/>
        <w:jc w:val="center"/>
        <w:rPr>
          <w:rFonts w:hint="eastAsia" w:ascii="宋体" w:hAnsi="宋体" w:eastAsia="宋体" w:cs="宋体"/>
          <w:color w:val="auto"/>
          <w:sz w:val="28"/>
          <w:szCs w:val="28"/>
          <w:highlight w:val="none"/>
        </w:rPr>
      </w:pPr>
    </w:p>
    <w:p w14:paraId="0A722C08">
      <w:pPr>
        <w:spacing w:line="360" w:lineRule="auto"/>
        <w:ind w:firstLine="1680" w:firstLineChars="6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（项目编号）</w:t>
      </w:r>
    </w:p>
    <w:p w14:paraId="0ECEE0D2">
      <w:pPr>
        <w:spacing w:line="360" w:lineRule="auto"/>
        <w:jc w:val="center"/>
        <w:rPr>
          <w:rFonts w:hint="eastAsia" w:ascii="宋体" w:hAnsi="宋体" w:eastAsia="宋体" w:cs="宋体"/>
          <w:color w:val="auto"/>
          <w:sz w:val="24"/>
          <w:highlight w:val="none"/>
        </w:rPr>
      </w:pPr>
    </w:p>
    <w:p w14:paraId="5555E5CD">
      <w:pPr>
        <w:spacing w:line="360" w:lineRule="auto"/>
        <w:jc w:val="center"/>
        <w:rPr>
          <w:rFonts w:hint="eastAsia" w:ascii="宋体" w:hAnsi="宋体" w:eastAsia="宋体" w:cs="宋体"/>
          <w:color w:val="auto"/>
          <w:sz w:val="24"/>
          <w:highlight w:val="none"/>
        </w:rPr>
      </w:pPr>
    </w:p>
    <w:p w14:paraId="67D6057B">
      <w:pPr>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投标文件</w:t>
      </w:r>
    </w:p>
    <w:p w14:paraId="4A3F2D52">
      <w:pPr>
        <w:spacing w:line="360" w:lineRule="auto"/>
        <w:jc w:val="center"/>
        <w:rPr>
          <w:rFonts w:hint="eastAsia" w:ascii="宋体" w:hAnsi="宋体" w:eastAsia="宋体" w:cs="宋体"/>
          <w:color w:val="auto"/>
          <w:sz w:val="24"/>
          <w:highlight w:val="none"/>
        </w:rPr>
      </w:pPr>
    </w:p>
    <w:p w14:paraId="3335DA13">
      <w:pPr>
        <w:spacing w:line="360" w:lineRule="auto"/>
        <w:jc w:val="center"/>
        <w:rPr>
          <w:rFonts w:hint="eastAsia" w:ascii="宋体" w:hAnsi="宋体" w:eastAsia="宋体" w:cs="宋体"/>
          <w:color w:val="auto"/>
          <w:sz w:val="24"/>
          <w:highlight w:val="none"/>
        </w:rPr>
      </w:pPr>
    </w:p>
    <w:p w14:paraId="484763FB">
      <w:pPr>
        <w:spacing w:line="360" w:lineRule="auto"/>
        <w:jc w:val="center"/>
        <w:rPr>
          <w:rFonts w:hint="eastAsia" w:ascii="宋体" w:hAnsi="宋体" w:eastAsia="宋体" w:cs="宋体"/>
          <w:b/>
          <w:color w:val="auto"/>
          <w:sz w:val="24"/>
          <w:highlight w:val="none"/>
        </w:rPr>
      </w:pPr>
    </w:p>
    <w:p w14:paraId="200A2C05">
      <w:pPr>
        <w:spacing w:line="360" w:lineRule="auto"/>
        <w:jc w:val="center"/>
        <w:rPr>
          <w:rFonts w:hint="eastAsia" w:ascii="宋体" w:hAnsi="宋体" w:eastAsia="宋体" w:cs="宋体"/>
          <w:b/>
          <w:color w:val="auto"/>
          <w:sz w:val="24"/>
          <w:highlight w:val="none"/>
        </w:rPr>
      </w:pPr>
    </w:p>
    <w:p w14:paraId="13C3E8BA">
      <w:pPr>
        <w:spacing w:line="360" w:lineRule="auto"/>
        <w:jc w:val="center"/>
        <w:rPr>
          <w:rFonts w:hint="eastAsia" w:ascii="宋体" w:hAnsi="宋体" w:eastAsia="宋体" w:cs="宋体"/>
          <w:b/>
          <w:color w:val="auto"/>
          <w:sz w:val="24"/>
          <w:highlight w:val="none"/>
        </w:rPr>
      </w:pPr>
    </w:p>
    <w:p w14:paraId="00F11DB2">
      <w:pPr>
        <w:spacing w:line="360" w:lineRule="auto"/>
        <w:jc w:val="center"/>
        <w:rPr>
          <w:rFonts w:hint="eastAsia" w:ascii="宋体" w:hAnsi="宋体" w:eastAsia="宋体" w:cs="宋体"/>
          <w:b/>
          <w:color w:val="auto"/>
          <w:sz w:val="24"/>
          <w:highlight w:val="none"/>
        </w:rPr>
      </w:pPr>
    </w:p>
    <w:p w14:paraId="51232A3E">
      <w:pPr>
        <w:spacing w:line="360" w:lineRule="auto"/>
        <w:jc w:val="center"/>
        <w:rPr>
          <w:rFonts w:hint="eastAsia" w:ascii="宋体" w:hAnsi="宋体" w:eastAsia="宋体" w:cs="宋体"/>
          <w:b/>
          <w:color w:val="auto"/>
          <w:sz w:val="24"/>
          <w:highlight w:val="none"/>
        </w:rPr>
      </w:pPr>
    </w:p>
    <w:p w14:paraId="557F3F5A">
      <w:pPr>
        <w:spacing w:line="360" w:lineRule="auto"/>
        <w:jc w:val="center"/>
        <w:rPr>
          <w:rFonts w:hint="eastAsia" w:ascii="宋体" w:hAnsi="宋体" w:eastAsia="宋体" w:cs="宋体"/>
          <w:b/>
          <w:color w:val="auto"/>
          <w:sz w:val="24"/>
          <w:highlight w:val="none"/>
        </w:rPr>
      </w:pPr>
    </w:p>
    <w:p w14:paraId="3E663BDF">
      <w:pPr>
        <w:pStyle w:val="96"/>
        <w:pageBreakBefore w:val="0"/>
        <w:kinsoku/>
        <w:wordWrap/>
        <w:overflowPunct/>
        <w:topLinePunct w:val="0"/>
        <w:bidi w:val="0"/>
        <w:snapToGrid/>
        <w:spacing w:before="0" w:beforeAutospacing="0" w:after="0" w:afterAutospacing="0" w:line="360" w:lineRule="auto"/>
        <w:ind w:firstLine="560" w:firstLineChars="200"/>
        <w:jc w:val="both"/>
        <w:textAlignment w:val="baseline"/>
        <w:rPr>
          <w:rStyle w:val="53"/>
          <w:rFonts w:hint="eastAsia" w:ascii="宋体" w:hAnsi="宋体" w:eastAsia="宋体" w:cs="宋体"/>
          <w:b w:val="0"/>
          <w:i w:val="0"/>
          <w:caps w:val="0"/>
          <w:color w:val="auto"/>
          <w:spacing w:val="0"/>
          <w:w w:val="100"/>
          <w:kern w:val="2"/>
          <w:position w:val="0"/>
          <w:sz w:val="28"/>
          <w:szCs w:val="28"/>
          <w:highlight w:val="none"/>
          <w:u w:val="single" w:color="000000"/>
          <w:lang w:val="en-US" w:eastAsia="zh-CN" w:bidi="ar-SA"/>
        </w:rPr>
      </w:pPr>
      <w:r>
        <w:rPr>
          <w:rStyle w:val="53"/>
          <w:rFonts w:hint="eastAsia" w:ascii="宋体" w:hAnsi="宋体" w:eastAsia="宋体" w:cs="宋体"/>
          <w:b w:val="0"/>
          <w:i w:val="0"/>
          <w:caps w:val="0"/>
          <w:color w:val="auto"/>
          <w:spacing w:val="0"/>
          <w:w w:val="100"/>
          <w:kern w:val="2"/>
          <w:position w:val="0"/>
          <w:sz w:val="28"/>
          <w:szCs w:val="28"/>
          <w:highlight w:val="none"/>
          <w:lang w:val="en-US" w:eastAsia="zh-CN" w:bidi="ar-SA"/>
        </w:rPr>
        <w:t>供应商：</w:t>
      </w:r>
      <w:r>
        <w:rPr>
          <w:rStyle w:val="53"/>
          <w:rFonts w:hint="eastAsia" w:ascii="宋体" w:hAnsi="宋体" w:eastAsia="宋体" w:cs="宋体"/>
          <w:b w:val="0"/>
          <w:i w:val="0"/>
          <w:caps w:val="0"/>
          <w:color w:val="auto"/>
          <w:spacing w:val="0"/>
          <w:w w:val="100"/>
          <w:kern w:val="2"/>
          <w:position w:val="0"/>
          <w:sz w:val="28"/>
          <w:szCs w:val="28"/>
          <w:highlight w:val="none"/>
          <w:u w:val="single" w:color="000000"/>
          <w:lang w:val="en-US" w:eastAsia="zh-CN" w:bidi="ar-SA"/>
        </w:rPr>
        <w:t xml:space="preserve">                     </w:t>
      </w:r>
      <w:r>
        <w:rPr>
          <w:rStyle w:val="53"/>
          <w:rFonts w:hint="eastAsia" w:ascii="宋体" w:hAnsi="宋体" w:eastAsia="宋体" w:cs="宋体"/>
          <w:b w:val="0"/>
          <w:i w:val="0"/>
          <w:caps w:val="0"/>
          <w:color w:val="auto"/>
          <w:spacing w:val="0"/>
          <w:w w:val="100"/>
          <w:kern w:val="2"/>
          <w:position w:val="0"/>
          <w:sz w:val="28"/>
          <w:szCs w:val="28"/>
          <w:highlight w:val="none"/>
          <w:lang w:val="en-US" w:eastAsia="zh-CN" w:bidi="ar-SA"/>
        </w:rPr>
        <w:t>（盖章）</w:t>
      </w:r>
    </w:p>
    <w:p w14:paraId="0D70C193">
      <w:pPr>
        <w:pStyle w:val="97"/>
        <w:pageBreakBefore w:val="0"/>
        <w:kinsoku/>
        <w:wordWrap/>
        <w:overflowPunct/>
        <w:topLinePunct w:val="0"/>
        <w:bidi w:val="0"/>
        <w:spacing w:line="360" w:lineRule="auto"/>
        <w:ind w:firstLine="560" w:firstLineChars="200"/>
        <w:jc w:val="both"/>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法定代表人</w:t>
      </w:r>
      <w:r>
        <w:rPr>
          <w:rFonts w:hint="eastAsia" w:ascii="宋体" w:hAnsi="宋体" w:eastAsia="宋体" w:cs="宋体"/>
          <w:color w:val="auto"/>
          <w:spacing w:val="0"/>
          <w:position w:val="0"/>
          <w:sz w:val="28"/>
          <w:szCs w:val="28"/>
          <w:highlight w:val="none"/>
          <w:lang w:eastAsia="zh-CN"/>
        </w:rPr>
        <w:t>：</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（签字或盖章）</w:t>
      </w:r>
    </w:p>
    <w:p w14:paraId="65779EE9">
      <w:pPr>
        <w:pStyle w:val="97"/>
        <w:pageBreakBefore w:val="0"/>
        <w:kinsoku/>
        <w:wordWrap/>
        <w:overflowPunct/>
        <w:topLinePunct w:val="0"/>
        <w:bidi w:val="0"/>
        <w:spacing w:line="360" w:lineRule="auto"/>
        <w:ind w:firstLine="560" w:firstLineChars="200"/>
        <w:jc w:val="both"/>
        <w:rPr>
          <w:rFonts w:hint="eastAsia" w:ascii="宋体" w:hAnsi="宋体" w:eastAsia="宋体" w:cs="宋体"/>
          <w:color w:val="auto"/>
          <w:spacing w:val="0"/>
          <w:position w:val="0"/>
          <w:sz w:val="28"/>
          <w:szCs w:val="28"/>
          <w:highlight w:val="none"/>
          <w:u w:val="none" w:color="auto"/>
          <w:lang w:val="en-US" w:eastAsia="zh-CN"/>
        </w:rPr>
      </w:pPr>
      <w:r>
        <w:rPr>
          <w:rFonts w:hint="eastAsia" w:ascii="宋体" w:hAnsi="宋体" w:eastAsia="宋体" w:cs="宋体"/>
          <w:color w:val="auto"/>
          <w:spacing w:val="0"/>
          <w:position w:val="0"/>
          <w:sz w:val="28"/>
          <w:szCs w:val="28"/>
          <w:highlight w:val="none"/>
          <w:lang w:val="en-US" w:eastAsia="zh-CN"/>
        </w:rPr>
        <w:t>联系人：</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u w:val="single"/>
          <w:lang w:val="en-US" w:eastAsia="zh-CN"/>
        </w:rPr>
        <w:t xml:space="preserve">     </w:t>
      </w:r>
      <w:r>
        <w:rPr>
          <w:rFonts w:hint="eastAsia" w:ascii="宋体" w:hAnsi="宋体" w:eastAsia="宋体" w:cs="宋体"/>
          <w:color w:val="auto"/>
          <w:spacing w:val="0"/>
          <w:position w:val="0"/>
          <w:sz w:val="28"/>
          <w:szCs w:val="28"/>
          <w:highlight w:val="none"/>
          <w:u w:val="single"/>
        </w:rPr>
        <w:t xml:space="preserve">  </w:t>
      </w:r>
      <w:r>
        <w:rPr>
          <w:rStyle w:val="53"/>
          <w:rFonts w:hint="eastAsia" w:ascii="宋体" w:hAnsi="宋体" w:eastAsia="宋体" w:cs="宋体"/>
          <w:b w:val="0"/>
          <w:i w:val="0"/>
          <w:caps w:val="0"/>
          <w:color w:val="auto"/>
          <w:spacing w:val="0"/>
          <w:w w:val="100"/>
          <w:kern w:val="2"/>
          <w:position w:val="0"/>
          <w:sz w:val="28"/>
          <w:szCs w:val="28"/>
          <w:highlight w:val="none"/>
          <w:u w:val="none" w:color="auto"/>
          <w:lang w:val="en-US" w:eastAsia="zh-CN" w:bidi="ar-SA"/>
        </w:rPr>
        <w:t xml:space="preserve">                     </w:t>
      </w:r>
    </w:p>
    <w:p w14:paraId="42F76264">
      <w:pPr>
        <w:pStyle w:val="97"/>
        <w:pageBreakBefore w:val="0"/>
        <w:kinsoku/>
        <w:wordWrap/>
        <w:overflowPunct/>
        <w:topLinePunct w:val="0"/>
        <w:bidi w:val="0"/>
        <w:spacing w:line="360" w:lineRule="auto"/>
        <w:ind w:firstLine="560" w:firstLineChars="200"/>
        <w:jc w:val="both"/>
        <w:rPr>
          <w:rFonts w:hint="eastAsia" w:ascii="宋体" w:hAnsi="宋体" w:eastAsia="宋体" w:cs="宋体"/>
          <w:color w:val="auto"/>
          <w:spacing w:val="0"/>
          <w:position w:val="0"/>
          <w:sz w:val="28"/>
          <w:szCs w:val="28"/>
          <w:highlight w:val="none"/>
          <w:lang w:val="en-US" w:eastAsia="zh-CN"/>
        </w:rPr>
      </w:pPr>
      <w:r>
        <w:rPr>
          <w:rFonts w:hint="eastAsia" w:ascii="宋体" w:hAnsi="宋体" w:eastAsia="宋体" w:cs="宋体"/>
          <w:color w:val="auto"/>
          <w:spacing w:val="0"/>
          <w:position w:val="0"/>
          <w:sz w:val="28"/>
          <w:szCs w:val="28"/>
          <w:highlight w:val="none"/>
          <w:lang w:val="en-US" w:eastAsia="zh-CN"/>
        </w:rPr>
        <w:t>联系电话：</w:t>
      </w:r>
      <w:r>
        <w:rPr>
          <w:rStyle w:val="53"/>
          <w:rFonts w:hint="eastAsia" w:ascii="宋体" w:hAnsi="宋体" w:eastAsia="宋体" w:cs="宋体"/>
          <w:b w:val="0"/>
          <w:i w:val="0"/>
          <w:caps w:val="0"/>
          <w:color w:val="auto"/>
          <w:spacing w:val="0"/>
          <w:w w:val="100"/>
          <w:kern w:val="2"/>
          <w:position w:val="0"/>
          <w:sz w:val="28"/>
          <w:szCs w:val="28"/>
          <w:highlight w:val="none"/>
          <w:u w:val="single" w:color="000000"/>
          <w:lang w:val="en-US" w:eastAsia="zh-CN" w:bidi="ar-SA"/>
        </w:rPr>
        <w:t xml:space="preserve">                       </w:t>
      </w:r>
    </w:p>
    <w:p w14:paraId="134BE3D2">
      <w:pPr>
        <w:spacing w:line="360" w:lineRule="auto"/>
        <w:ind w:firstLine="560" w:firstLineChars="200"/>
        <w:jc w:val="both"/>
        <w:rPr>
          <w:rFonts w:hint="eastAsia" w:ascii="宋体" w:hAnsi="宋体" w:eastAsia="宋体" w:cs="宋体"/>
          <w:color w:val="auto"/>
          <w:sz w:val="28"/>
          <w:szCs w:val="28"/>
          <w:highlight w:val="none"/>
          <w:u w:val="single"/>
        </w:rPr>
      </w:pPr>
      <w:r>
        <w:rPr>
          <w:rStyle w:val="53"/>
          <w:rFonts w:hint="eastAsia" w:ascii="宋体" w:hAnsi="宋体" w:eastAsia="宋体" w:cs="宋体"/>
          <w:b w:val="0"/>
          <w:i w:val="0"/>
          <w:caps w:val="0"/>
          <w:color w:val="auto"/>
          <w:spacing w:val="0"/>
          <w:w w:val="100"/>
          <w:kern w:val="2"/>
          <w:position w:val="0"/>
          <w:sz w:val="28"/>
          <w:szCs w:val="28"/>
          <w:highlight w:val="none"/>
          <w:lang w:val="en-US" w:eastAsia="zh-CN" w:bidi="ar-SA"/>
        </w:rPr>
        <w:t>日期：</w:t>
      </w:r>
      <w:r>
        <w:rPr>
          <w:rFonts w:hint="eastAsia" w:ascii="宋体" w:hAnsi="宋体" w:eastAsia="宋体" w:cs="宋体"/>
          <w:color w:val="auto"/>
          <w:spacing w:val="0"/>
          <w:position w:val="0"/>
          <w:sz w:val="28"/>
          <w:szCs w:val="28"/>
          <w:highlight w:val="none"/>
          <w:u w:val="single"/>
        </w:rPr>
        <w:t xml:space="preserve">                    </w:t>
      </w:r>
      <w:r>
        <w:rPr>
          <w:rStyle w:val="53"/>
          <w:rFonts w:hint="eastAsia" w:ascii="宋体" w:hAnsi="宋体" w:eastAsia="宋体" w:cs="宋体"/>
          <w:b w:val="0"/>
          <w:i w:val="0"/>
          <w:caps w:val="0"/>
          <w:color w:val="auto"/>
          <w:spacing w:val="0"/>
          <w:w w:val="100"/>
          <w:kern w:val="2"/>
          <w:position w:val="0"/>
          <w:sz w:val="28"/>
          <w:szCs w:val="28"/>
          <w:highlight w:val="none"/>
          <w:lang w:val="en-US" w:eastAsia="zh-CN" w:bidi="ar-SA"/>
        </w:rPr>
        <w:t>（年/月/日）</w:t>
      </w:r>
    </w:p>
    <w:p w14:paraId="28DCAA71">
      <w:pPr>
        <w:pStyle w:val="22"/>
        <w:tabs>
          <w:tab w:val="left" w:pos="0"/>
        </w:tabs>
        <w:spacing w:line="360" w:lineRule="auto"/>
        <w:ind w:left="0" w:leftChars="0" w:firstLine="0" w:firstLineChars="0"/>
        <w:rPr>
          <w:rFonts w:hint="eastAsia" w:ascii="宋体" w:hAnsi="宋体" w:eastAsia="宋体" w:cs="宋体"/>
          <w:b/>
          <w:color w:val="auto"/>
          <w:sz w:val="36"/>
          <w:highlight w:val="none"/>
        </w:rPr>
      </w:pPr>
    </w:p>
    <w:p w14:paraId="7B906880">
      <w:pPr>
        <w:pStyle w:val="20"/>
        <w:tabs>
          <w:tab w:val="left" w:pos="8786"/>
        </w:tabs>
        <w:spacing w:after="0" w:line="360" w:lineRule="auto"/>
        <w:jc w:val="center"/>
        <w:outlineLvl w:val="1"/>
        <w:rPr>
          <w:rFonts w:hint="eastAsia" w:ascii="宋体" w:hAnsi="宋体" w:eastAsia="宋体" w:cs="宋体"/>
          <w:b/>
          <w:color w:val="auto"/>
          <w:sz w:val="28"/>
          <w:szCs w:val="28"/>
          <w:highlight w:val="none"/>
        </w:rPr>
      </w:pPr>
      <w:bookmarkStart w:id="257" w:name="_Toc480368421"/>
      <w:bookmarkStart w:id="258" w:name="_Toc6116"/>
      <w:r>
        <w:rPr>
          <w:rFonts w:hint="eastAsia" w:ascii="宋体" w:hAnsi="宋体" w:eastAsia="宋体" w:cs="宋体"/>
          <w:b/>
          <w:color w:val="auto"/>
          <w:sz w:val="28"/>
          <w:szCs w:val="28"/>
          <w:highlight w:val="none"/>
          <w:lang w:eastAsia="zh-CN"/>
        </w:rPr>
        <w:t>一</w:t>
      </w:r>
      <w:r>
        <w:rPr>
          <w:rFonts w:hint="eastAsia" w:ascii="宋体" w:hAnsi="宋体" w:eastAsia="宋体" w:cs="宋体"/>
          <w:b/>
          <w:color w:val="auto"/>
          <w:sz w:val="28"/>
          <w:szCs w:val="28"/>
          <w:highlight w:val="none"/>
        </w:rPr>
        <w:t>、资格审查</w:t>
      </w:r>
      <w:bookmarkEnd w:id="257"/>
      <w:bookmarkEnd w:id="258"/>
    </w:p>
    <w:p w14:paraId="7286CEA1">
      <w:pPr>
        <w:pStyle w:val="20"/>
        <w:tabs>
          <w:tab w:val="left" w:pos="8786"/>
        </w:tabs>
        <w:spacing w:after="0" w:line="360" w:lineRule="auto"/>
        <w:outlineLvl w:val="2"/>
        <w:rPr>
          <w:rFonts w:hint="eastAsia" w:ascii="宋体" w:hAnsi="宋体" w:eastAsia="宋体" w:cs="宋体"/>
          <w:b/>
          <w:color w:val="auto"/>
          <w:sz w:val="24"/>
          <w:highlight w:val="none"/>
          <w:lang w:val="en-US" w:eastAsia="zh-CN"/>
        </w:rPr>
      </w:pPr>
      <w:bookmarkStart w:id="259" w:name="_Toc28146"/>
      <w:r>
        <w:rPr>
          <w:rFonts w:hint="eastAsia" w:ascii="宋体" w:hAnsi="宋体" w:eastAsia="宋体" w:cs="宋体"/>
          <w:b/>
          <w:color w:val="auto"/>
          <w:sz w:val="24"/>
          <w:highlight w:val="none"/>
          <w:lang w:val="en-US" w:eastAsia="zh-CN"/>
        </w:rPr>
        <w:t>1.1《中华人民共和国政府采购法》第二十二条应当具备的条件；</w:t>
      </w:r>
      <w:bookmarkEnd w:id="259"/>
    </w:p>
    <w:p w14:paraId="4660A784">
      <w:pPr>
        <w:pStyle w:val="82"/>
        <w:pageBreakBefore w:val="0"/>
        <w:kinsoku/>
        <w:wordWrap/>
        <w:overflowPunct/>
        <w:topLinePunct w:val="0"/>
        <w:bidi w:val="0"/>
        <w:snapToGrid/>
        <w:spacing w:before="0" w:beforeAutospacing="0" w:after="0" w:afterAutospacing="0" w:line="360" w:lineRule="auto"/>
        <w:jc w:val="both"/>
        <w:textAlignment w:val="baseline"/>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t>①具有独立承担民事责任的能力；</w:t>
      </w:r>
    </w:p>
    <w:p w14:paraId="00F69F1B">
      <w:pPr>
        <w:pStyle w:val="82"/>
        <w:pageBreakBefore w:val="0"/>
        <w:kinsoku/>
        <w:wordWrap/>
        <w:overflowPunct/>
        <w:topLinePunct w:val="0"/>
        <w:bidi w:val="0"/>
        <w:snapToGrid/>
        <w:spacing w:before="0" w:beforeAutospacing="0" w:after="0" w:afterAutospacing="0" w:line="360" w:lineRule="auto"/>
        <w:jc w:val="both"/>
        <w:textAlignment w:val="baseline"/>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t>②具有良好的商业信誉和健全的财务会计制度；</w:t>
      </w:r>
    </w:p>
    <w:p w14:paraId="237DAF75">
      <w:pPr>
        <w:pStyle w:val="82"/>
        <w:pageBreakBefore w:val="0"/>
        <w:kinsoku/>
        <w:wordWrap/>
        <w:overflowPunct/>
        <w:topLinePunct w:val="0"/>
        <w:bidi w:val="0"/>
        <w:snapToGrid/>
        <w:spacing w:before="0" w:beforeAutospacing="0" w:after="0" w:afterAutospacing="0" w:line="360" w:lineRule="auto"/>
        <w:jc w:val="both"/>
        <w:textAlignment w:val="baseline"/>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t>③具有履行合同所必需的设备和专业技术能力；</w:t>
      </w:r>
    </w:p>
    <w:p w14:paraId="640ACF05">
      <w:pPr>
        <w:pStyle w:val="82"/>
        <w:pageBreakBefore w:val="0"/>
        <w:kinsoku/>
        <w:wordWrap/>
        <w:overflowPunct/>
        <w:topLinePunct w:val="0"/>
        <w:bidi w:val="0"/>
        <w:snapToGrid/>
        <w:spacing w:before="0" w:beforeAutospacing="0" w:after="0" w:afterAutospacing="0" w:line="360" w:lineRule="auto"/>
        <w:jc w:val="both"/>
        <w:textAlignment w:val="baseline"/>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t>④有依法缴纳税收和社会保障资金的良好记录；</w:t>
      </w:r>
    </w:p>
    <w:p w14:paraId="09E918FA">
      <w:pPr>
        <w:pStyle w:val="82"/>
        <w:pageBreakBefore w:val="0"/>
        <w:kinsoku/>
        <w:wordWrap/>
        <w:overflowPunct/>
        <w:topLinePunct w:val="0"/>
        <w:bidi w:val="0"/>
        <w:snapToGrid/>
        <w:spacing w:before="0" w:beforeAutospacing="0" w:after="0" w:afterAutospacing="0" w:line="360" w:lineRule="auto"/>
        <w:jc w:val="both"/>
        <w:textAlignment w:val="baseline"/>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t>⑤参加政府采购活动前三年内，在经营活动中没有重大违法记录；</w:t>
      </w:r>
    </w:p>
    <w:p w14:paraId="39E79B31">
      <w:pPr>
        <w:pStyle w:val="82"/>
        <w:pageBreakBefore w:val="0"/>
        <w:kinsoku/>
        <w:wordWrap/>
        <w:overflowPunct/>
        <w:topLinePunct w:val="0"/>
        <w:bidi w:val="0"/>
        <w:snapToGrid/>
        <w:spacing w:before="0" w:beforeAutospacing="0" w:after="0" w:afterAutospacing="0" w:line="360" w:lineRule="auto"/>
        <w:jc w:val="both"/>
        <w:textAlignment w:val="baseline"/>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t>⑥</w:t>
      </w: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法律、行政法规规定的其他条件;</w:t>
      </w:r>
    </w:p>
    <w:p w14:paraId="1BF54A81">
      <w:pPr>
        <w:pStyle w:val="84"/>
        <w:pageBreakBefore w:val="0"/>
        <w:widowControl/>
        <w:kinsoku/>
        <w:wordWrap/>
        <w:overflowPunct/>
        <w:topLinePunct w:val="0"/>
        <w:bidi w:val="0"/>
        <w:snapToGrid/>
        <w:spacing w:before="0" w:beforeAutospacing="0" w:after="0" w:afterAutospacing="0" w:line="240" w:lineRule="auto"/>
        <w:jc w:val="left"/>
        <w:textAlignment w:val="baseline"/>
        <w:rPr>
          <w:rStyle w:val="53"/>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bCs/>
          <w:i w:val="0"/>
          <w:caps w:val="0"/>
          <w:color w:val="auto"/>
          <w:spacing w:val="0"/>
          <w:w w:val="100"/>
          <w:kern w:val="0"/>
          <w:position w:val="0"/>
          <w:sz w:val="24"/>
          <w:szCs w:val="24"/>
          <w:highlight w:val="none"/>
          <w:lang w:val="en-US" w:eastAsia="zh-CN" w:bidi="ar-SA"/>
        </w:rPr>
        <w:t>须提供以下资料：</w:t>
      </w:r>
    </w:p>
    <w:p w14:paraId="07D27E76">
      <w:pPr>
        <w:pStyle w:val="85"/>
        <w:pageBreakBefore w:val="0"/>
        <w:widowControl/>
        <w:kinsoku/>
        <w:wordWrap/>
        <w:overflowPunct/>
        <w:topLinePunct w:val="0"/>
        <w:bidi w:val="0"/>
        <w:snapToGrid/>
        <w:spacing w:before="0" w:beforeAutospacing="0" w:after="0" w:afterAutospacing="0" w:line="440" w:lineRule="exact"/>
        <w:jc w:val="both"/>
        <w:textAlignment w:val="baseline"/>
        <w:rPr>
          <w:rStyle w:val="53"/>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bCs/>
          <w:i w:val="0"/>
          <w:caps w:val="0"/>
          <w:color w:val="auto"/>
          <w:spacing w:val="0"/>
          <w:w w:val="100"/>
          <w:kern w:val="2"/>
          <w:position w:val="0"/>
          <w:sz w:val="24"/>
          <w:szCs w:val="24"/>
          <w:highlight w:val="none"/>
          <w:lang w:val="en-US" w:eastAsia="zh-CN" w:bidi="ar-SA"/>
        </w:rPr>
        <w:t>1.1.1、具有独立承担民事责任的能力；须提供相关证明材料，其中：</w:t>
      </w:r>
    </w:p>
    <w:p w14:paraId="78410F1E">
      <w:pPr>
        <w:pStyle w:val="86"/>
        <w:pageBreakBefore w:val="0"/>
        <w:widowControl/>
        <w:kinsoku/>
        <w:wordWrap/>
        <w:overflowPunct/>
        <w:topLinePunct w:val="0"/>
        <w:bidi w:val="0"/>
        <w:snapToGrid w:val="0"/>
        <w:spacing w:before="0" w:beforeAutospacing="0" w:after="0" w:afterAutospacing="0" w:line="440" w:lineRule="exact"/>
        <w:jc w:val="left"/>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bCs/>
          <w:i w:val="0"/>
          <w:caps w:val="0"/>
          <w:color w:val="auto"/>
          <w:spacing w:val="0"/>
          <w:w w:val="100"/>
          <w:kern w:val="2"/>
          <w:position w:val="0"/>
          <w:sz w:val="24"/>
          <w:szCs w:val="24"/>
          <w:highlight w:val="none"/>
          <w:lang w:val="en-US" w:eastAsia="zh-CN" w:bidi="ar-SA"/>
        </w:rPr>
        <w:t>供应商是企业（包括合伙企业）的，</w:t>
      </w: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须提供其在工商部门注册的有效“营业执照”的复印件（如 “三证合一”须提供工商行政管理部门核发加载统一社会信用代码的营业执照；如未“三证合一”则须提供供应商的营业执照、税务登记证书及组织机构代码证）；</w:t>
      </w:r>
    </w:p>
    <w:p w14:paraId="5DF5C6FD">
      <w:pPr>
        <w:pStyle w:val="86"/>
        <w:pageBreakBefore w:val="0"/>
        <w:widowControl/>
        <w:kinsoku/>
        <w:wordWrap/>
        <w:overflowPunct/>
        <w:topLinePunct w:val="0"/>
        <w:bidi w:val="0"/>
        <w:snapToGrid w:val="0"/>
        <w:spacing w:before="0" w:beforeAutospacing="0" w:after="0" w:afterAutospacing="0" w:line="440" w:lineRule="exact"/>
        <w:jc w:val="left"/>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bCs/>
          <w:i w:val="0"/>
          <w:caps w:val="0"/>
          <w:color w:val="auto"/>
          <w:spacing w:val="0"/>
          <w:w w:val="100"/>
          <w:kern w:val="2"/>
          <w:position w:val="0"/>
          <w:sz w:val="24"/>
          <w:szCs w:val="24"/>
          <w:highlight w:val="none"/>
          <w:lang w:val="en-US" w:eastAsia="zh-CN" w:bidi="ar-SA"/>
        </w:rPr>
        <w:t>供应商是事业单位的</w:t>
      </w: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，须提供其有效的“事业单位法人证书”复印件；</w:t>
      </w:r>
    </w:p>
    <w:p w14:paraId="094EAC48">
      <w:pPr>
        <w:pStyle w:val="86"/>
        <w:pageBreakBefore w:val="0"/>
        <w:widowControl/>
        <w:kinsoku/>
        <w:wordWrap/>
        <w:overflowPunct/>
        <w:topLinePunct w:val="0"/>
        <w:bidi w:val="0"/>
        <w:snapToGrid w:val="0"/>
        <w:spacing w:before="0" w:beforeAutospacing="0" w:after="0" w:afterAutospacing="0" w:line="440" w:lineRule="exact"/>
        <w:jc w:val="left"/>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bCs/>
          <w:i w:val="0"/>
          <w:caps w:val="0"/>
          <w:color w:val="auto"/>
          <w:spacing w:val="0"/>
          <w:w w:val="100"/>
          <w:kern w:val="2"/>
          <w:position w:val="0"/>
          <w:sz w:val="24"/>
          <w:szCs w:val="24"/>
          <w:highlight w:val="none"/>
          <w:lang w:val="en-US" w:eastAsia="zh-CN" w:bidi="ar-SA"/>
        </w:rPr>
        <w:t>供应商是非企业专业服务机构的，</w:t>
      </w: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须提供其有效的执业许可证复印件；</w:t>
      </w:r>
    </w:p>
    <w:p w14:paraId="07180CB1">
      <w:pPr>
        <w:pStyle w:val="86"/>
        <w:pageBreakBefore w:val="0"/>
        <w:widowControl/>
        <w:kinsoku/>
        <w:wordWrap/>
        <w:overflowPunct/>
        <w:topLinePunct w:val="0"/>
        <w:bidi w:val="0"/>
        <w:snapToGrid w:val="0"/>
        <w:spacing w:before="0" w:beforeAutospacing="0" w:after="0" w:afterAutospacing="0" w:line="440" w:lineRule="exact"/>
        <w:jc w:val="left"/>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bCs/>
          <w:i w:val="0"/>
          <w:caps w:val="0"/>
          <w:color w:val="auto"/>
          <w:spacing w:val="0"/>
          <w:w w:val="100"/>
          <w:kern w:val="2"/>
          <w:position w:val="0"/>
          <w:sz w:val="24"/>
          <w:szCs w:val="24"/>
          <w:highlight w:val="none"/>
          <w:lang w:val="en-US" w:eastAsia="zh-CN" w:bidi="ar-SA"/>
        </w:rPr>
        <w:t>供应商是个体工商户的，</w:t>
      </w: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须提供其有效的“个体工商户营业执照” 复印件；</w:t>
      </w:r>
    </w:p>
    <w:p w14:paraId="784AA99F">
      <w:pPr>
        <w:pStyle w:val="86"/>
        <w:pageBreakBefore w:val="0"/>
        <w:widowControl/>
        <w:kinsoku/>
        <w:wordWrap/>
        <w:overflowPunct/>
        <w:topLinePunct w:val="0"/>
        <w:bidi w:val="0"/>
        <w:snapToGrid w:val="0"/>
        <w:spacing w:before="0" w:beforeAutospacing="0" w:after="0" w:afterAutospacing="0" w:line="440" w:lineRule="exact"/>
        <w:jc w:val="left"/>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以上复印件须加盖供应商公章。</w:t>
      </w:r>
    </w:p>
    <w:p w14:paraId="557DF30A">
      <w:pPr>
        <w:pStyle w:val="86"/>
        <w:pageBreakBefore w:val="0"/>
        <w:widowControl/>
        <w:kinsoku/>
        <w:wordWrap/>
        <w:overflowPunct/>
        <w:topLinePunct w:val="0"/>
        <w:bidi w:val="0"/>
        <w:snapToGrid w:val="0"/>
        <w:spacing w:before="0" w:beforeAutospacing="0" w:after="0" w:afterAutospacing="0" w:line="440" w:lineRule="exact"/>
        <w:jc w:val="left"/>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bCs/>
          <w:i w:val="0"/>
          <w:caps w:val="0"/>
          <w:color w:val="auto"/>
          <w:spacing w:val="0"/>
          <w:w w:val="100"/>
          <w:kern w:val="2"/>
          <w:position w:val="0"/>
          <w:sz w:val="24"/>
          <w:szCs w:val="24"/>
          <w:highlight w:val="none"/>
          <w:lang w:val="en-US" w:eastAsia="zh-CN" w:bidi="ar-SA"/>
        </w:rPr>
        <w:t>供应商是自然人的，</w:t>
      </w: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应提供其有效的自然人身份证明；</w:t>
      </w:r>
    </w:p>
    <w:p w14:paraId="2804AD17">
      <w:pPr>
        <w:pStyle w:val="85"/>
        <w:pageBreakBefore w:val="0"/>
        <w:widowControl/>
        <w:kinsoku/>
        <w:wordWrap/>
        <w:overflowPunct/>
        <w:topLinePunct w:val="0"/>
        <w:bidi w:val="0"/>
        <w:snapToGrid/>
        <w:spacing w:before="0" w:beforeAutospacing="0" w:after="0" w:afterAutospacing="0" w:line="440" w:lineRule="exact"/>
        <w:jc w:val="both"/>
        <w:textAlignment w:val="baseline"/>
        <w:rPr>
          <w:rStyle w:val="53"/>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bCs/>
          <w:i w:val="0"/>
          <w:caps w:val="0"/>
          <w:color w:val="auto"/>
          <w:spacing w:val="0"/>
          <w:w w:val="100"/>
          <w:kern w:val="2"/>
          <w:position w:val="0"/>
          <w:sz w:val="24"/>
          <w:szCs w:val="24"/>
          <w:highlight w:val="none"/>
          <w:lang w:val="en-US" w:eastAsia="zh-CN" w:bidi="ar-SA"/>
        </w:rPr>
        <w:t>1.1.2、具有良好的商业信誉和健全的财务会计制度；须提供相关证明材料，其中：</w:t>
      </w:r>
    </w:p>
    <w:p w14:paraId="301A5093">
      <w:pPr>
        <w:pStyle w:val="86"/>
        <w:pageBreakBefore w:val="0"/>
        <w:widowControl/>
        <w:kinsoku/>
        <w:wordWrap/>
        <w:overflowPunct/>
        <w:topLinePunct w:val="0"/>
        <w:bidi w:val="0"/>
        <w:snapToGrid w:val="0"/>
        <w:spacing w:before="0" w:beforeAutospacing="0" w:after="0" w:afterAutospacing="0" w:line="440" w:lineRule="exact"/>
        <w:jc w:val="left"/>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bCs/>
          <w:i w:val="0"/>
          <w:caps w:val="0"/>
          <w:color w:val="auto"/>
          <w:spacing w:val="0"/>
          <w:w w:val="100"/>
          <w:kern w:val="2"/>
          <w:position w:val="0"/>
          <w:sz w:val="24"/>
          <w:szCs w:val="24"/>
          <w:highlight w:val="none"/>
          <w:lang w:val="en-US" w:eastAsia="zh-CN" w:bidi="ar-SA"/>
        </w:rPr>
        <w:t>供应商是法人的，</w:t>
      </w:r>
      <w:r>
        <w:rPr>
          <w:rStyle w:val="53"/>
          <w:rFonts w:hint="eastAsia" w:ascii="宋体" w:hAnsi="宋体" w:eastAsia="宋体" w:cs="宋体"/>
          <w:b w:val="0"/>
          <w:bCs/>
          <w:i w:val="0"/>
          <w:caps w:val="0"/>
          <w:color w:val="auto"/>
          <w:spacing w:val="0"/>
          <w:w w:val="100"/>
          <w:position w:val="0"/>
          <w:sz w:val="24"/>
          <w:szCs w:val="24"/>
          <w:highlight w:val="none"/>
          <w:lang w:bidi="ar-SA"/>
        </w:rPr>
        <w:t>须提供近两年度（任意一年）经审计的财务审计报告复印件（报告中须包括资产负债表、利润表、现金流量表等），或其基本银行在开标日期前三个月内开具的资信证明</w:t>
      </w: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w:t>
      </w:r>
    </w:p>
    <w:p w14:paraId="543CBD62">
      <w:pPr>
        <w:pStyle w:val="86"/>
        <w:pageBreakBefore w:val="0"/>
        <w:widowControl/>
        <w:kinsoku/>
        <w:wordWrap/>
        <w:overflowPunct/>
        <w:topLinePunct w:val="0"/>
        <w:bidi w:val="0"/>
        <w:snapToGrid w:val="0"/>
        <w:spacing w:before="0" w:beforeAutospacing="0" w:after="0" w:afterAutospacing="0" w:line="440" w:lineRule="exact"/>
        <w:jc w:val="left"/>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bCs/>
          <w:i w:val="0"/>
          <w:caps w:val="0"/>
          <w:color w:val="auto"/>
          <w:spacing w:val="0"/>
          <w:w w:val="100"/>
          <w:kern w:val="2"/>
          <w:position w:val="0"/>
          <w:sz w:val="24"/>
          <w:szCs w:val="24"/>
          <w:highlight w:val="none"/>
          <w:lang w:val="en-US" w:eastAsia="zh-CN" w:bidi="ar-SA"/>
        </w:rPr>
        <w:t>供应商是其他组织或自然人的，</w:t>
      </w: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须提供银行出具的资信证明原件；</w:t>
      </w:r>
    </w:p>
    <w:p w14:paraId="0C404ADD">
      <w:pPr>
        <w:pStyle w:val="85"/>
        <w:pageBreakBefore w:val="0"/>
        <w:widowControl/>
        <w:kinsoku/>
        <w:wordWrap/>
        <w:overflowPunct/>
        <w:topLinePunct w:val="0"/>
        <w:bidi w:val="0"/>
        <w:snapToGrid/>
        <w:spacing w:before="0" w:beforeAutospacing="0" w:after="0" w:afterAutospacing="0" w:line="440" w:lineRule="exact"/>
        <w:jc w:val="both"/>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银行资信证明无收受人和项目的限制，银行资信证明可以是复印件，评标委员会保留审核原件的权利。资信证明的开具银行明确规定复印无效的，须提交原件；</w:t>
      </w:r>
    </w:p>
    <w:p w14:paraId="03995CD7">
      <w:pPr>
        <w:pStyle w:val="86"/>
        <w:pageBreakBefore w:val="0"/>
        <w:widowControl/>
        <w:kinsoku/>
        <w:wordWrap/>
        <w:overflowPunct/>
        <w:topLinePunct w:val="0"/>
        <w:bidi w:val="0"/>
        <w:snapToGrid w:val="0"/>
        <w:spacing w:before="0" w:beforeAutospacing="0" w:after="0" w:afterAutospacing="0" w:line="240" w:lineRule="auto"/>
        <w:jc w:val="left"/>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 </w:t>
      </w:r>
    </w:p>
    <w:p w14:paraId="2457DB4C">
      <w:pPr>
        <w:pStyle w:val="86"/>
        <w:pageBreakBefore w:val="0"/>
        <w:widowControl/>
        <w:kinsoku/>
        <w:wordWrap/>
        <w:overflowPunct/>
        <w:topLinePunct w:val="0"/>
        <w:bidi w:val="0"/>
        <w:snapToGrid w:val="0"/>
        <w:spacing w:before="0" w:beforeAutospacing="0" w:after="0" w:afterAutospacing="0" w:line="240" w:lineRule="auto"/>
        <w:jc w:val="left"/>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bCs/>
          <w:i w:val="0"/>
          <w:caps w:val="0"/>
          <w:color w:val="auto"/>
          <w:spacing w:val="0"/>
          <w:w w:val="100"/>
          <w:kern w:val="2"/>
          <w:position w:val="0"/>
          <w:sz w:val="24"/>
          <w:szCs w:val="24"/>
          <w:highlight w:val="none"/>
          <w:lang w:val="en-US" w:eastAsia="zh-CN" w:bidi="ar-SA"/>
        </w:rPr>
        <w:t>1.1.3、具有履行合同所必需的设备和专业技术能力；须附相关证明材料或书面声明</w:t>
      </w:r>
    </w:p>
    <w:p w14:paraId="6D502015">
      <w:pPr>
        <w:pStyle w:val="84"/>
        <w:pageBreakBefore w:val="0"/>
        <w:widowControl/>
        <w:kinsoku/>
        <w:wordWrap/>
        <w:overflowPunct/>
        <w:topLinePunct w:val="0"/>
        <w:bidi w:val="0"/>
        <w:snapToGrid/>
        <w:spacing w:before="0" w:beforeAutospacing="0" w:after="0" w:afterAutospacing="0" w:line="240" w:lineRule="auto"/>
        <w:jc w:val="left"/>
        <w:textAlignment w:val="baseline"/>
        <w:rPr>
          <w:rStyle w:val="53"/>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val="0"/>
          <w:bCs w:val="0"/>
          <w:i w:val="0"/>
          <w:caps w:val="0"/>
          <w:color w:val="auto"/>
          <w:spacing w:val="0"/>
          <w:w w:val="100"/>
          <w:kern w:val="0"/>
          <w:position w:val="0"/>
          <w:sz w:val="24"/>
          <w:szCs w:val="24"/>
          <w:highlight w:val="none"/>
          <w:lang w:val="en-US" w:eastAsia="zh-CN" w:bidi="ar-SA"/>
        </w:rPr>
        <w:t xml:space="preserve"> </w:t>
      </w:r>
    </w:p>
    <w:p w14:paraId="4BCAD96E">
      <w:pPr>
        <w:pStyle w:val="84"/>
        <w:pageBreakBefore w:val="0"/>
        <w:widowControl/>
        <w:kinsoku/>
        <w:wordWrap/>
        <w:overflowPunct/>
        <w:topLinePunct w:val="0"/>
        <w:bidi w:val="0"/>
        <w:snapToGrid/>
        <w:spacing w:before="0" w:beforeAutospacing="0" w:after="0" w:afterAutospacing="0" w:line="240" w:lineRule="auto"/>
        <w:jc w:val="left"/>
        <w:textAlignment w:val="baseline"/>
        <w:rPr>
          <w:rStyle w:val="53"/>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val="0"/>
          <w:bCs w:val="0"/>
          <w:i w:val="0"/>
          <w:caps w:val="0"/>
          <w:color w:val="auto"/>
          <w:spacing w:val="0"/>
          <w:w w:val="100"/>
          <w:kern w:val="0"/>
          <w:position w:val="0"/>
          <w:sz w:val="24"/>
          <w:szCs w:val="24"/>
          <w:highlight w:val="none"/>
          <w:lang w:val="en-US" w:eastAsia="zh-CN" w:bidi="ar-SA"/>
        </w:rPr>
        <w:t>书面声明格式：</w:t>
      </w:r>
    </w:p>
    <w:p w14:paraId="41695D57">
      <w:pPr>
        <w:pStyle w:val="87"/>
        <w:pageBreakBefore w:val="0"/>
        <w:kinsoku/>
        <w:wordWrap/>
        <w:overflowPunct/>
        <w:topLinePunct w:val="0"/>
        <w:bidi w:val="0"/>
        <w:snapToGrid/>
        <w:spacing w:before="0" w:beforeAutospacing="0" w:after="0" w:afterAutospacing="0" w:line="240" w:lineRule="auto"/>
        <w:jc w:val="both"/>
        <w:textAlignment w:val="baseline"/>
        <w:rPr>
          <w:rStyle w:val="53"/>
          <w:rFonts w:hint="eastAsia" w:ascii="宋体" w:hAnsi="宋体" w:eastAsia="宋体" w:cs="宋体"/>
          <w:b w:val="0"/>
          <w:i w:val="0"/>
          <w:caps w:val="0"/>
          <w:color w:val="auto"/>
          <w:spacing w:val="0"/>
          <w:w w:val="100"/>
          <w:kern w:val="2"/>
          <w:position w:val="0"/>
          <w:sz w:val="21"/>
          <w:szCs w:val="22"/>
          <w:highlight w:val="none"/>
          <w:lang w:val="en-US" w:eastAsia="zh-CN" w:bidi="ar-SA"/>
        </w:rPr>
      </w:pPr>
      <w:r>
        <w:rPr>
          <w:rStyle w:val="53"/>
          <w:rFonts w:hint="eastAsia" w:ascii="宋体" w:hAnsi="宋体" w:eastAsia="宋体" w:cs="宋体"/>
          <w:b w:val="0"/>
          <w:i w:val="0"/>
          <w:caps w:val="0"/>
          <w:color w:val="auto"/>
          <w:spacing w:val="0"/>
          <w:w w:val="100"/>
          <w:kern w:val="2"/>
          <w:position w:val="0"/>
          <w:sz w:val="21"/>
          <w:szCs w:val="22"/>
          <w:highlight w:val="none"/>
          <w:lang w:val="en-US" w:eastAsia="zh-CN" w:bidi="ar-SA"/>
        </w:rPr>
        <w:t xml:space="preserve"> </w:t>
      </w:r>
    </w:p>
    <w:p w14:paraId="277D1C48">
      <w:pPr>
        <w:pStyle w:val="84"/>
        <w:pageBreakBefore w:val="0"/>
        <w:widowControl/>
        <w:kinsoku/>
        <w:wordWrap/>
        <w:overflowPunct/>
        <w:topLinePunct w:val="0"/>
        <w:bidi w:val="0"/>
        <w:snapToGrid/>
        <w:spacing w:before="0" w:beforeAutospacing="0" w:after="0" w:afterAutospacing="0" w:line="240" w:lineRule="auto"/>
        <w:jc w:val="left"/>
        <w:textAlignment w:val="baseline"/>
        <w:rPr>
          <w:rStyle w:val="53"/>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val="0"/>
          <w:bCs w:val="0"/>
          <w:i w:val="0"/>
          <w:caps w:val="0"/>
          <w:color w:val="auto"/>
          <w:spacing w:val="0"/>
          <w:w w:val="100"/>
          <w:kern w:val="0"/>
          <w:position w:val="0"/>
          <w:sz w:val="24"/>
          <w:szCs w:val="24"/>
          <w:highlight w:val="none"/>
          <w:lang w:val="en-US" w:eastAsia="zh-CN" w:bidi="ar-SA"/>
        </w:rPr>
        <w:t>本供应商郑重声明：</w:t>
      </w:r>
    </w:p>
    <w:p w14:paraId="1EFF8A33">
      <w:pPr>
        <w:pStyle w:val="84"/>
        <w:pageBreakBefore w:val="0"/>
        <w:widowControl/>
        <w:kinsoku/>
        <w:wordWrap/>
        <w:overflowPunct/>
        <w:topLinePunct w:val="0"/>
        <w:bidi w:val="0"/>
        <w:snapToGrid/>
        <w:spacing w:before="0" w:beforeAutospacing="0" w:after="0" w:afterAutospacing="0" w:line="240" w:lineRule="auto"/>
        <w:ind w:firstLine="480" w:firstLineChars="200"/>
        <w:jc w:val="left"/>
        <w:textAlignment w:val="baseline"/>
        <w:rPr>
          <w:rStyle w:val="53"/>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val="0"/>
          <w:bCs w:val="0"/>
          <w:i w:val="0"/>
          <w:caps w:val="0"/>
          <w:color w:val="auto"/>
          <w:spacing w:val="0"/>
          <w:w w:val="100"/>
          <w:kern w:val="0"/>
          <w:position w:val="0"/>
          <w:sz w:val="24"/>
          <w:szCs w:val="24"/>
          <w:highlight w:val="none"/>
          <w:lang w:val="en-US" w:eastAsia="zh-CN" w:bidi="ar-SA"/>
        </w:rPr>
        <w:t>本公司（或单位）具备本项目履行合同所必需的设备和专业技术能力，特此声明。</w:t>
      </w:r>
    </w:p>
    <w:p w14:paraId="0B706F03">
      <w:pPr>
        <w:pStyle w:val="85"/>
        <w:pageBreakBefore w:val="0"/>
        <w:widowControl/>
        <w:kinsoku/>
        <w:wordWrap/>
        <w:overflowPunct/>
        <w:topLinePunct w:val="0"/>
        <w:bidi w:val="0"/>
        <w:snapToGrid w:val="0"/>
        <w:spacing w:before="0" w:beforeAutospacing="0" w:after="0" w:afterAutospacing="0" w:line="440" w:lineRule="exact"/>
        <w:jc w:val="both"/>
        <w:textAlignment w:val="baseline"/>
        <w:rPr>
          <w:rStyle w:val="5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供应商法定代表人（或法定代表人授权代表）签字：</w:t>
      </w:r>
    </w:p>
    <w:p w14:paraId="0BE2E8BB">
      <w:pPr>
        <w:pStyle w:val="85"/>
        <w:pageBreakBefore w:val="0"/>
        <w:widowControl/>
        <w:kinsoku/>
        <w:wordWrap/>
        <w:overflowPunct/>
        <w:topLinePunct w:val="0"/>
        <w:bidi w:val="0"/>
        <w:snapToGrid w:val="0"/>
        <w:spacing w:before="0" w:beforeAutospacing="0" w:after="0" w:afterAutospacing="0" w:line="440" w:lineRule="exact"/>
        <w:jc w:val="both"/>
        <w:textAlignment w:val="baseline"/>
        <w:rPr>
          <w:rStyle w:val="5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供应商名称（加盖公章）：</w:t>
      </w:r>
    </w:p>
    <w:p w14:paraId="1A05CD27">
      <w:pPr>
        <w:pStyle w:val="86"/>
        <w:pageBreakBefore w:val="0"/>
        <w:widowControl/>
        <w:kinsoku/>
        <w:wordWrap/>
        <w:overflowPunct/>
        <w:topLinePunct w:val="0"/>
        <w:bidi w:val="0"/>
        <w:snapToGrid w:val="0"/>
        <w:spacing w:before="0" w:beforeAutospacing="0" w:after="0" w:afterAutospacing="0" w:line="440" w:lineRule="exact"/>
        <w:jc w:val="both"/>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日期：   年   月   日</w:t>
      </w:r>
    </w:p>
    <w:p w14:paraId="41362048">
      <w:pPr>
        <w:pStyle w:val="84"/>
        <w:pageBreakBefore w:val="0"/>
        <w:widowControl/>
        <w:kinsoku/>
        <w:wordWrap/>
        <w:overflowPunct/>
        <w:topLinePunct w:val="0"/>
        <w:bidi w:val="0"/>
        <w:snapToGrid/>
        <w:spacing w:before="0" w:beforeAutospacing="0" w:after="0" w:afterAutospacing="0" w:line="240" w:lineRule="auto"/>
        <w:jc w:val="left"/>
        <w:textAlignment w:val="baseline"/>
        <w:rPr>
          <w:rStyle w:val="53"/>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val="0"/>
          <w:bCs w:val="0"/>
          <w:i w:val="0"/>
          <w:caps w:val="0"/>
          <w:color w:val="auto"/>
          <w:spacing w:val="0"/>
          <w:w w:val="100"/>
          <w:kern w:val="0"/>
          <w:position w:val="0"/>
          <w:sz w:val="24"/>
          <w:szCs w:val="24"/>
          <w:highlight w:val="none"/>
          <w:lang w:val="en-US" w:eastAsia="zh-CN" w:bidi="ar-SA"/>
        </w:rPr>
        <w:t xml:space="preserve"> </w:t>
      </w:r>
    </w:p>
    <w:p w14:paraId="00043BE4">
      <w:pPr>
        <w:pStyle w:val="86"/>
        <w:pageBreakBefore w:val="0"/>
        <w:widowControl/>
        <w:kinsoku/>
        <w:wordWrap/>
        <w:overflowPunct/>
        <w:topLinePunct w:val="0"/>
        <w:bidi w:val="0"/>
        <w:snapToGrid w:val="0"/>
        <w:spacing w:before="0" w:beforeAutospacing="0" w:after="0" w:afterAutospacing="0" w:line="440" w:lineRule="exact"/>
        <w:jc w:val="left"/>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bCs/>
          <w:i w:val="0"/>
          <w:caps w:val="0"/>
          <w:color w:val="auto"/>
          <w:spacing w:val="0"/>
          <w:w w:val="100"/>
          <w:kern w:val="2"/>
          <w:position w:val="0"/>
          <w:sz w:val="24"/>
          <w:szCs w:val="24"/>
          <w:highlight w:val="none"/>
          <w:lang w:val="en-US" w:eastAsia="zh-CN" w:bidi="ar-SA"/>
        </w:rPr>
        <w:t>1.1.4、有依法缴纳税收和社会保障资金的良好记录；须提供</w:t>
      </w:r>
      <w:r>
        <w:rPr>
          <w:rStyle w:val="53"/>
          <w:rFonts w:hint="eastAsia" w:ascii="宋体" w:hAnsi="宋体" w:eastAsia="宋体" w:cs="宋体"/>
          <w:b w:val="0"/>
          <w:bCs/>
          <w:i w:val="0"/>
          <w:caps w:val="0"/>
          <w:color w:val="auto"/>
          <w:spacing w:val="0"/>
          <w:w w:val="100"/>
          <w:position w:val="0"/>
          <w:sz w:val="24"/>
          <w:szCs w:val="24"/>
          <w:highlight w:val="none"/>
          <w:lang w:val="en-US" w:eastAsia="zh-CN" w:bidi="ar-SA"/>
        </w:rPr>
        <w:t>依法缴纳税收和社会保障资金的证明材料，须提供开标前六个月内任意一个月的依法缴税凭据和缴纳社会保险的凭据复印件</w:t>
      </w:r>
      <w:r>
        <w:rPr>
          <w:rStyle w:val="53"/>
          <w:rFonts w:hint="eastAsia" w:ascii="宋体" w:hAnsi="宋体" w:eastAsia="宋体" w:cs="宋体"/>
          <w:b w:val="0"/>
          <w:bCs/>
          <w:i w:val="0"/>
          <w:caps w:val="0"/>
          <w:color w:val="auto"/>
          <w:spacing w:val="0"/>
          <w:w w:val="100"/>
          <w:position w:val="0"/>
          <w:sz w:val="24"/>
          <w:szCs w:val="24"/>
          <w:highlight w:val="none"/>
          <w:lang w:bidi="ar-SA"/>
        </w:rPr>
        <w:t>（依法免税的应提供相应文件说明）</w:t>
      </w: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w:t>
      </w:r>
    </w:p>
    <w:p w14:paraId="55B020A3">
      <w:pPr>
        <w:pStyle w:val="84"/>
        <w:pageBreakBefore w:val="0"/>
        <w:widowControl/>
        <w:kinsoku/>
        <w:wordWrap/>
        <w:overflowPunct/>
        <w:topLinePunct w:val="0"/>
        <w:bidi w:val="0"/>
        <w:snapToGrid/>
        <w:spacing w:before="0" w:beforeAutospacing="0" w:after="0" w:afterAutospacing="0" w:line="240" w:lineRule="auto"/>
        <w:jc w:val="left"/>
        <w:textAlignment w:val="baseline"/>
        <w:rPr>
          <w:rStyle w:val="53"/>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val="0"/>
          <w:bCs w:val="0"/>
          <w:i w:val="0"/>
          <w:caps w:val="0"/>
          <w:color w:val="auto"/>
          <w:spacing w:val="0"/>
          <w:w w:val="100"/>
          <w:kern w:val="0"/>
          <w:position w:val="0"/>
          <w:sz w:val="24"/>
          <w:szCs w:val="24"/>
          <w:highlight w:val="none"/>
          <w:lang w:val="en-US" w:eastAsia="zh-CN" w:bidi="ar-SA"/>
        </w:rPr>
        <w:t xml:space="preserve"> </w:t>
      </w:r>
    </w:p>
    <w:p w14:paraId="590187D4">
      <w:pPr>
        <w:pStyle w:val="84"/>
        <w:pageBreakBefore w:val="0"/>
        <w:widowControl/>
        <w:kinsoku/>
        <w:wordWrap/>
        <w:overflowPunct/>
        <w:topLinePunct w:val="0"/>
        <w:bidi w:val="0"/>
        <w:snapToGrid/>
        <w:spacing w:before="0" w:beforeAutospacing="0" w:after="0" w:afterAutospacing="0" w:line="240" w:lineRule="auto"/>
        <w:jc w:val="left"/>
        <w:textAlignment w:val="baseline"/>
        <w:rPr>
          <w:rStyle w:val="53"/>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val="0"/>
          <w:bCs w:val="0"/>
          <w:i w:val="0"/>
          <w:caps w:val="0"/>
          <w:color w:val="auto"/>
          <w:spacing w:val="0"/>
          <w:w w:val="100"/>
          <w:kern w:val="0"/>
          <w:position w:val="0"/>
          <w:sz w:val="24"/>
          <w:szCs w:val="24"/>
          <w:highlight w:val="none"/>
          <w:lang w:val="en-US" w:eastAsia="zh-CN" w:bidi="ar-SA"/>
        </w:rPr>
        <w:t xml:space="preserve"> </w:t>
      </w:r>
    </w:p>
    <w:p w14:paraId="3E74E53F">
      <w:pPr>
        <w:pStyle w:val="84"/>
        <w:pageBreakBefore w:val="0"/>
        <w:widowControl/>
        <w:kinsoku/>
        <w:wordWrap/>
        <w:overflowPunct/>
        <w:topLinePunct w:val="0"/>
        <w:bidi w:val="0"/>
        <w:snapToGrid/>
        <w:spacing w:before="0" w:beforeAutospacing="0" w:after="0" w:afterAutospacing="0" w:line="240" w:lineRule="auto"/>
        <w:jc w:val="left"/>
        <w:textAlignment w:val="baseline"/>
        <w:rPr>
          <w:rStyle w:val="53"/>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bCs/>
          <w:i w:val="0"/>
          <w:caps w:val="0"/>
          <w:color w:val="auto"/>
          <w:spacing w:val="0"/>
          <w:w w:val="100"/>
          <w:kern w:val="2"/>
          <w:position w:val="0"/>
          <w:sz w:val="24"/>
          <w:szCs w:val="24"/>
          <w:highlight w:val="none"/>
          <w:lang w:val="en-US" w:eastAsia="zh-CN" w:bidi="ar-SA"/>
        </w:rPr>
        <w:t>1.1.</w:t>
      </w:r>
      <w:r>
        <w:rPr>
          <w:rStyle w:val="53"/>
          <w:rFonts w:hint="eastAsia" w:ascii="宋体" w:hAnsi="宋体" w:eastAsia="宋体" w:cs="宋体"/>
          <w:b/>
          <w:bCs/>
          <w:i w:val="0"/>
          <w:caps w:val="0"/>
          <w:color w:val="auto"/>
          <w:spacing w:val="0"/>
          <w:w w:val="100"/>
          <w:kern w:val="0"/>
          <w:position w:val="0"/>
          <w:sz w:val="24"/>
          <w:szCs w:val="24"/>
          <w:highlight w:val="none"/>
          <w:lang w:val="en-US" w:eastAsia="zh-CN" w:bidi="ar-SA"/>
        </w:rPr>
        <w:t>5、参加政府采购活动前三年内，在经营活动中没有重大违法记录；须提供书面声明</w:t>
      </w:r>
    </w:p>
    <w:p w14:paraId="5CF06335">
      <w:pPr>
        <w:pStyle w:val="84"/>
        <w:pageBreakBefore w:val="0"/>
        <w:widowControl/>
        <w:kinsoku/>
        <w:wordWrap/>
        <w:overflowPunct/>
        <w:topLinePunct w:val="0"/>
        <w:bidi w:val="0"/>
        <w:snapToGrid/>
        <w:spacing w:before="0" w:beforeAutospacing="0" w:after="0" w:afterAutospacing="0" w:line="240" w:lineRule="auto"/>
        <w:jc w:val="left"/>
        <w:textAlignment w:val="baseline"/>
        <w:rPr>
          <w:rStyle w:val="53"/>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bCs/>
          <w:i w:val="0"/>
          <w:caps w:val="0"/>
          <w:color w:val="auto"/>
          <w:spacing w:val="0"/>
          <w:w w:val="100"/>
          <w:kern w:val="0"/>
          <w:position w:val="0"/>
          <w:sz w:val="24"/>
          <w:szCs w:val="24"/>
          <w:highlight w:val="none"/>
          <w:lang w:val="en-US" w:eastAsia="zh-CN" w:bidi="ar-SA"/>
        </w:rPr>
        <w:t xml:space="preserve"> </w:t>
      </w:r>
    </w:p>
    <w:p w14:paraId="040BD6C7">
      <w:pPr>
        <w:pStyle w:val="85"/>
        <w:pageBreakBefore w:val="0"/>
        <w:widowControl/>
        <w:kinsoku/>
        <w:wordWrap/>
        <w:overflowPunct/>
        <w:topLinePunct w:val="0"/>
        <w:bidi w:val="0"/>
        <w:snapToGrid/>
        <w:spacing w:before="0" w:beforeAutospacing="0" w:after="0" w:afterAutospacing="0" w:line="360" w:lineRule="auto"/>
        <w:jc w:val="both"/>
        <w:textAlignment w:val="baseline"/>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我单位郑重声明： </w:t>
      </w:r>
    </w:p>
    <w:p w14:paraId="1B1C5CE8">
      <w:pPr>
        <w:pStyle w:val="85"/>
        <w:pageBreakBefore w:val="0"/>
        <w:widowControl/>
        <w:kinsoku/>
        <w:wordWrap/>
        <w:overflowPunct/>
        <w:topLinePunct w:val="0"/>
        <w:bidi w:val="0"/>
        <w:snapToGrid/>
        <w:spacing w:before="0" w:beforeAutospacing="0" w:after="0" w:afterAutospacing="0" w:line="360" w:lineRule="auto"/>
        <w:ind w:firstLine="480" w:firstLineChars="200"/>
        <w:jc w:val="both"/>
        <w:textAlignment w:val="baseline"/>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我单位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 </w:t>
      </w:r>
    </w:p>
    <w:p w14:paraId="62362EE9">
      <w:pPr>
        <w:pStyle w:val="85"/>
        <w:pageBreakBefore w:val="0"/>
        <w:widowControl/>
        <w:kinsoku/>
        <w:wordWrap/>
        <w:overflowPunct/>
        <w:topLinePunct w:val="0"/>
        <w:bidi w:val="0"/>
        <w:snapToGrid/>
        <w:spacing w:before="0" w:beforeAutospacing="0" w:after="0" w:afterAutospacing="0" w:line="360" w:lineRule="auto"/>
        <w:ind w:firstLine="480" w:firstLineChars="200"/>
        <w:jc w:val="both"/>
        <w:textAlignment w:val="baseline"/>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如我公司声明与实际不符，我公司将承担因此引起的一切后果。 </w:t>
      </w:r>
    </w:p>
    <w:p w14:paraId="76D5A33D">
      <w:pPr>
        <w:pStyle w:val="86"/>
        <w:pageBreakBefore w:val="0"/>
        <w:widowControl/>
        <w:kinsoku/>
        <w:wordWrap/>
        <w:overflowPunct/>
        <w:topLinePunct w:val="0"/>
        <w:bidi w:val="0"/>
        <w:snapToGrid w:val="0"/>
        <w:spacing w:before="0" w:beforeAutospacing="0" w:after="0" w:afterAutospacing="0" w:line="440" w:lineRule="exact"/>
        <w:ind w:firstLine="480" w:firstLineChars="200"/>
        <w:jc w:val="both"/>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 </w:t>
      </w:r>
    </w:p>
    <w:p w14:paraId="23009B34">
      <w:pPr>
        <w:pStyle w:val="85"/>
        <w:pageBreakBefore w:val="0"/>
        <w:widowControl/>
        <w:kinsoku/>
        <w:wordWrap/>
        <w:overflowPunct/>
        <w:topLinePunct w:val="0"/>
        <w:bidi w:val="0"/>
        <w:snapToGrid w:val="0"/>
        <w:spacing w:before="0" w:beforeAutospacing="0" w:after="0" w:afterAutospacing="0" w:line="440" w:lineRule="exact"/>
        <w:jc w:val="both"/>
        <w:textAlignment w:val="baseline"/>
        <w:rPr>
          <w:rStyle w:val="5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供应商法定代表人（或法定代表人授权代表）签字：</w:t>
      </w:r>
    </w:p>
    <w:p w14:paraId="17DF673A">
      <w:pPr>
        <w:pStyle w:val="85"/>
        <w:pageBreakBefore w:val="0"/>
        <w:widowControl/>
        <w:kinsoku/>
        <w:wordWrap/>
        <w:overflowPunct/>
        <w:topLinePunct w:val="0"/>
        <w:bidi w:val="0"/>
        <w:snapToGrid w:val="0"/>
        <w:spacing w:before="0" w:beforeAutospacing="0" w:after="0" w:afterAutospacing="0" w:line="440" w:lineRule="exact"/>
        <w:jc w:val="both"/>
        <w:textAlignment w:val="baseline"/>
        <w:rPr>
          <w:rStyle w:val="53"/>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供应商名称（加盖公章）：</w:t>
      </w:r>
    </w:p>
    <w:p w14:paraId="7E144C9C">
      <w:pPr>
        <w:pStyle w:val="86"/>
        <w:pageBreakBefore w:val="0"/>
        <w:widowControl/>
        <w:kinsoku/>
        <w:wordWrap/>
        <w:overflowPunct/>
        <w:topLinePunct w:val="0"/>
        <w:bidi w:val="0"/>
        <w:snapToGrid w:val="0"/>
        <w:spacing w:before="0" w:beforeAutospacing="0" w:after="0" w:afterAutospacing="0" w:line="440" w:lineRule="exact"/>
        <w:jc w:val="both"/>
        <w:textAlignment w:val="baseline"/>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0"/>
          <w:position w:val="0"/>
          <w:sz w:val="24"/>
          <w:szCs w:val="24"/>
          <w:highlight w:val="none"/>
          <w:lang w:val="en-US" w:eastAsia="zh-CN" w:bidi="ar-SA"/>
        </w:rPr>
        <w:t>日期：   年   月   日</w:t>
      </w:r>
    </w:p>
    <w:p w14:paraId="485DE9CC">
      <w:pPr>
        <w:pStyle w:val="88"/>
        <w:pageBreakBefore w:val="0"/>
        <w:widowControl/>
        <w:kinsoku/>
        <w:wordWrap/>
        <w:overflowPunct/>
        <w:topLinePunct w:val="0"/>
        <w:bidi w:val="0"/>
        <w:snapToGrid/>
        <w:spacing w:before="0" w:beforeAutospacing="0" w:after="0" w:afterAutospacing="0" w:line="440" w:lineRule="exact"/>
        <w:jc w:val="both"/>
        <w:textAlignment w:val="baseline"/>
        <w:rPr>
          <w:rStyle w:val="53"/>
          <w:rFonts w:hint="eastAsia" w:ascii="宋体" w:hAnsi="宋体" w:eastAsia="宋体" w:cs="宋体"/>
          <w:b/>
          <w:bCs/>
          <w:i w:val="0"/>
          <w:caps w:val="0"/>
          <w:color w:val="auto"/>
          <w:spacing w:val="0"/>
          <w:w w:val="100"/>
          <w:kern w:val="0"/>
          <w:position w:val="0"/>
          <w:sz w:val="24"/>
          <w:szCs w:val="24"/>
          <w:highlight w:val="none"/>
          <w:lang w:val="en-US" w:eastAsia="zh-CN" w:bidi="ar-SA"/>
        </w:rPr>
      </w:pPr>
    </w:p>
    <w:p w14:paraId="64717FD1">
      <w:pPr>
        <w:pStyle w:val="88"/>
        <w:pageBreakBefore w:val="0"/>
        <w:widowControl/>
        <w:kinsoku/>
        <w:wordWrap/>
        <w:overflowPunct/>
        <w:topLinePunct w:val="0"/>
        <w:bidi w:val="0"/>
        <w:snapToGrid/>
        <w:spacing w:before="0" w:beforeAutospacing="0" w:after="0" w:afterAutospacing="0" w:line="440" w:lineRule="exact"/>
        <w:jc w:val="both"/>
        <w:textAlignment w:val="baseline"/>
        <w:rPr>
          <w:rStyle w:val="53"/>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53"/>
          <w:rFonts w:hint="eastAsia" w:ascii="宋体" w:hAnsi="宋体" w:eastAsia="宋体" w:cs="宋体"/>
          <w:b/>
          <w:bCs/>
          <w:i w:val="0"/>
          <w:caps w:val="0"/>
          <w:color w:val="auto"/>
          <w:spacing w:val="0"/>
          <w:w w:val="100"/>
          <w:kern w:val="2"/>
          <w:position w:val="0"/>
          <w:sz w:val="24"/>
          <w:szCs w:val="24"/>
          <w:highlight w:val="none"/>
          <w:lang w:val="en-US" w:eastAsia="zh-CN" w:bidi="ar-SA"/>
        </w:rPr>
        <w:t>1.1.</w:t>
      </w:r>
      <w:r>
        <w:rPr>
          <w:rStyle w:val="53"/>
          <w:rFonts w:hint="eastAsia" w:ascii="宋体" w:hAnsi="宋体" w:eastAsia="宋体" w:cs="宋体"/>
          <w:b/>
          <w:bCs/>
          <w:i w:val="0"/>
          <w:caps w:val="0"/>
          <w:color w:val="auto"/>
          <w:spacing w:val="0"/>
          <w:w w:val="100"/>
          <w:kern w:val="0"/>
          <w:position w:val="0"/>
          <w:sz w:val="24"/>
          <w:szCs w:val="24"/>
          <w:highlight w:val="none"/>
          <w:lang w:val="en-US" w:eastAsia="zh-CN" w:bidi="ar-SA"/>
        </w:rPr>
        <w:t>6、法律、行政法规规定的其他条件;</w:t>
      </w:r>
    </w:p>
    <w:p w14:paraId="1679E7DC">
      <w:pPr>
        <w:pStyle w:val="8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53"/>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p>
    <w:p w14:paraId="05B353ED">
      <w:pPr>
        <w:pStyle w:val="8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53"/>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p>
    <w:p w14:paraId="1683705E">
      <w:pPr>
        <w:pStyle w:val="81"/>
        <w:pageBreakBefore w:val="0"/>
        <w:widowControl/>
        <w:kinsoku/>
        <w:wordWrap/>
        <w:overflowPunct/>
        <w:topLinePunct w:val="0"/>
        <w:bidi w:val="0"/>
        <w:snapToGrid/>
        <w:spacing w:before="0" w:beforeAutospacing="0" w:after="0" w:afterAutospacing="0" w:line="240" w:lineRule="auto"/>
        <w:jc w:val="both"/>
        <w:textAlignment w:val="baseline"/>
        <w:rPr>
          <w:rStyle w:val="53"/>
          <w:rFonts w:hint="eastAsia" w:ascii="宋体" w:hAnsi="宋体" w:eastAsia="宋体" w:cs="宋体"/>
          <w:b/>
          <w:i w:val="0"/>
          <w:caps w:val="0"/>
          <w:color w:val="auto"/>
          <w:spacing w:val="0"/>
          <w:w w:val="100"/>
          <w:position w:val="0"/>
          <w:sz w:val="32"/>
          <w:szCs w:val="24"/>
          <w:highlight w:val="none"/>
          <w:lang w:bidi="ar-SA"/>
        </w:rPr>
      </w:pPr>
      <w:r>
        <w:rPr>
          <w:rStyle w:val="53"/>
          <w:rFonts w:hint="eastAsia" w:ascii="宋体" w:hAnsi="宋体" w:eastAsia="宋体" w:cs="宋体"/>
          <w:b w:val="0"/>
          <w:bCs w:val="0"/>
          <w:i w:val="0"/>
          <w:caps w:val="0"/>
          <w:color w:val="auto"/>
          <w:spacing w:val="0"/>
          <w:w w:val="100"/>
          <w:kern w:val="0"/>
          <w:position w:val="0"/>
          <w:sz w:val="24"/>
          <w:szCs w:val="24"/>
          <w:highlight w:val="none"/>
          <w:lang w:val="en-US" w:eastAsia="zh-CN" w:bidi="ar-SA"/>
        </w:rPr>
        <w:t>上述供应商须提供的资格证明文件均应为有效文件并加盖本单位公章，否则评标时不予认可。上述文件为供应商必须达到的资格要求，如有任意一条未明确响应将按无效投标处理。</w:t>
      </w:r>
    </w:p>
    <w:p w14:paraId="10CE699F">
      <w:pPr>
        <w:pStyle w:val="58"/>
        <w:rPr>
          <w:rFonts w:hint="eastAsia" w:ascii="宋体" w:hAnsi="宋体" w:eastAsia="宋体" w:cs="宋体"/>
          <w:color w:val="auto"/>
          <w:highlight w:val="none"/>
        </w:rPr>
      </w:pPr>
    </w:p>
    <w:p w14:paraId="60226F65">
      <w:pPr>
        <w:pStyle w:val="20"/>
        <w:tabs>
          <w:tab w:val="left" w:pos="8786"/>
        </w:tabs>
        <w:spacing w:after="0" w:line="360" w:lineRule="auto"/>
        <w:outlineLvl w:val="2"/>
        <w:rPr>
          <w:rFonts w:hint="eastAsia" w:ascii="宋体" w:hAnsi="宋体" w:eastAsia="宋体" w:cs="宋体"/>
          <w:b/>
          <w:color w:val="auto"/>
          <w:sz w:val="24"/>
          <w:highlight w:val="none"/>
        </w:rPr>
      </w:pPr>
      <w:bookmarkStart w:id="260" w:name="_Toc480368426"/>
      <w:bookmarkStart w:id="261" w:name="_Toc23974"/>
      <w:r>
        <w:rPr>
          <w:rFonts w:hint="eastAsia" w:ascii="宋体" w:hAnsi="宋体" w:eastAsia="宋体" w:cs="宋体"/>
          <w:b/>
          <w:color w:val="auto"/>
          <w:sz w:val="24"/>
          <w:highlight w:val="none"/>
          <w:lang w:val="en-US" w:eastAsia="zh-CN"/>
        </w:rPr>
        <w:t>1.2</w:t>
      </w:r>
      <w:r>
        <w:rPr>
          <w:rFonts w:hint="eastAsia" w:ascii="宋体" w:hAnsi="宋体" w:eastAsia="宋体" w:cs="宋体"/>
          <w:b/>
          <w:color w:val="auto"/>
          <w:sz w:val="24"/>
          <w:highlight w:val="none"/>
        </w:rPr>
        <w:t>投标保证金</w:t>
      </w:r>
      <w:bookmarkEnd w:id="260"/>
      <w:bookmarkEnd w:id="261"/>
    </w:p>
    <w:p w14:paraId="1C1EDC1F">
      <w:pPr>
        <w:pStyle w:val="20"/>
        <w:tabs>
          <w:tab w:val="left" w:pos="8786"/>
        </w:tabs>
        <w:spacing w:after="0"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r>
        <w:rPr>
          <w:rFonts w:hint="eastAsia" w:ascii="宋体" w:hAnsi="宋体" w:eastAsia="宋体" w:cs="宋体"/>
          <w:color w:val="auto"/>
          <w:sz w:val="24"/>
          <w:highlight w:val="none"/>
        </w:rPr>
        <w:t>说明：此处</w:t>
      </w:r>
      <w:r>
        <w:rPr>
          <w:rFonts w:hint="eastAsia" w:ascii="宋体" w:hAnsi="宋体" w:eastAsia="宋体" w:cs="宋体"/>
          <w:color w:val="auto"/>
          <w:sz w:val="24"/>
          <w:highlight w:val="none"/>
          <w:lang w:eastAsia="zh-CN"/>
        </w:rPr>
        <w:t>附</w:t>
      </w:r>
      <w:r>
        <w:rPr>
          <w:rFonts w:hint="eastAsia" w:ascii="宋体" w:hAnsi="宋体" w:eastAsia="宋体" w:cs="宋体"/>
          <w:color w:val="auto"/>
          <w:sz w:val="24"/>
          <w:highlight w:val="none"/>
        </w:rPr>
        <w:t>投标保证金缴纳证明文件；</w:t>
      </w:r>
    </w:p>
    <w:p w14:paraId="71C57ADA">
      <w:pPr>
        <w:shd w:val="clear" w:color="auto" w:fill="FFFFFF"/>
        <w:spacing w:line="440" w:lineRule="exact"/>
        <w:jc w:val="left"/>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1.3</w:t>
      </w:r>
      <w:r>
        <w:rPr>
          <w:rFonts w:hint="eastAsia" w:ascii="宋体" w:hAnsi="宋体" w:eastAsia="宋体" w:cs="宋体"/>
          <w:b/>
          <w:bCs/>
          <w:color w:val="auto"/>
          <w:spacing w:val="0"/>
          <w:position w:val="0"/>
          <w:sz w:val="24"/>
          <w:szCs w:val="24"/>
          <w:highlight w:val="none"/>
        </w:rPr>
        <w:t>中小企业声明函</w:t>
      </w:r>
    </w:p>
    <w:p w14:paraId="37B91683">
      <w:pPr>
        <w:shd w:val="clear" w:color="auto" w:fill="FFFFFF"/>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中小企业声明函（工程、服务）</w:t>
      </w:r>
    </w:p>
    <w:p w14:paraId="11461985">
      <w:pPr>
        <w:widowControl/>
        <w:spacing w:line="440" w:lineRule="exact"/>
        <w:jc w:val="left"/>
        <w:rPr>
          <w:rFonts w:hint="eastAsia" w:ascii="宋体" w:hAnsi="宋体" w:eastAsia="宋体" w:cs="宋体"/>
          <w:color w:val="auto"/>
          <w:spacing w:val="0"/>
          <w:position w:val="0"/>
          <w:sz w:val="21"/>
          <w:szCs w:val="21"/>
          <w:highlight w:val="none"/>
        </w:rPr>
      </w:pPr>
    </w:p>
    <w:p w14:paraId="072FFB56">
      <w:pPr>
        <w:widowControl/>
        <w:spacing w:line="44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pacing w:val="0"/>
          <w:position w:val="0"/>
          <w:sz w:val="24"/>
          <w:szCs w:val="24"/>
          <w:highlight w:val="none"/>
          <w:u w:val="single"/>
        </w:rPr>
        <w:t xml:space="preserve">  （单位名称）  </w:t>
      </w:r>
      <w:r>
        <w:rPr>
          <w:rFonts w:hint="eastAsia" w:ascii="宋体" w:hAnsi="宋体" w:eastAsia="宋体" w:cs="宋体"/>
          <w:color w:val="auto"/>
          <w:spacing w:val="0"/>
          <w:position w:val="0"/>
          <w:sz w:val="24"/>
          <w:szCs w:val="24"/>
          <w:highlight w:val="none"/>
        </w:rPr>
        <w:t>的</w:t>
      </w:r>
      <w:r>
        <w:rPr>
          <w:rFonts w:hint="eastAsia" w:ascii="宋体" w:hAnsi="宋体" w:eastAsia="宋体" w:cs="宋体"/>
          <w:color w:val="auto"/>
          <w:spacing w:val="0"/>
          <w:position w:val="0"/>
          <w:sz w:val="24"/>
          <w:szCs w:val="24"/>
          <w:highlight w:val="none"/>
          <w:u w:val="single"/>
        </w:rPr>
        <w:t xml:space="preserve">      （项目名称） </w:t>
      </w:r>
      <w:r>
        <w:rPr>
          <w:rFonts w:hint="eastAsia" w:ascii="宋体" w:hAnsi="宋体" w:eastAsia="宋体" w:cs="宋体"/>
          <w:color w:val="auto"/>
          <w:spacing w:val="0"/>
          <w:position w:val="0"/>
          <w:sz w:val="24"/>
          <w:szCs w:val="24"/>
          <w:highlight w:val="none"/>
        </w:rPr>
        <w:t>采购活动，工程的施工单位全部符合政策要求的中小企业（或者：服务全部由符合要求的中小企业承接）。相关企业（含联合体中的中小企业、签订分包意向协议的中小企业）的具体情况如下：</w:t>
      </w:r>
    </w:p>
    <w:p w14:paraId="2453A7BF">
      <w:pPr>
        <w:widowControl/>
        <w:spacing w:line="44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u w:val="single"/>
        </w:rPr>
        <w:t xml:space="preserve">1、   （标的名称）  </w:t>
      </w:r>
      <w:r>
        <w:rPr>
          <w:rFonts w:hint="eastAsia" w:ascii="宋体" w:hAnsi="宋体" w:eastAsia="宋体" w:cs="宋体"/>
          <w:color w:val="auto"/>
          <w:spacing w:val="0"/>
          <w:position w:val="0"/>
          <w:sz w:val="24"/>
          <w:szCs w:val="24"/>
          <w:highlight w:val="none"/>
        </w:rPr>
        <w:t>，属于（</w:t>
      </w:r>
      <w:r>
        <w:rPr>
          <w:rFonts w:hint="eastAsia" w:ascii="宋体" w:hAnsi="宋体" w:eastAsia="宋体" w:cs="宋体"/>
          <w:color w:val="auto"/>
          <w:spacing w:val="0"/>
          <w:position w:val="0"/>
          <w:sz w:val="24"/>
          <w:szCs w:val="24"/>
          <w:highlight w:val="none"/>
          <w:u w:val="single"/>
        </w:rPr>
        <w:t>采购文件中明确的所属行业</w:t>
      </w:r>
      <w:r>
        <w:rPr>
          <w:rFonts w:hint="eastAsia" w:ascii="宋体" w:hAnsi="宋体" w:eastAsia="宋体" w:cs="宋体"/>
          <w:color w:val="auto"/>
          <w:spacing w:val="0"/>
          <w:position w:val="0"/>
          <w:sz w:val="24"/>
          <w:szCs w:val="24"/>
          <w:highlight w:val="none"/>
        </w:rPr>
        <w:t>）；承建（承接）企业为</w:t>
      </w:r>
      <w:r>
        <w:rPr>
          <w:rFonts w:hint="eastAsia" w:ascii="宋体" w:hAnsi="宋体" w:eastAsia="宋体" w:cs="宋体"/>
          <w:color w:val="auto"/>
          <w:spacing w:val="0"/>
          <w:position w:val="0"/>
          <w:sz w:val="24"/>
          <w:szCs w:val="24"/>
          <w:highlight w:val="none"/>
          <w:u w:val="single"/>
        </w:rPr>
        <w:t>（企业名称）</w:t>
      </w:r>
      <w:r>
        <w:rPr>
          <w:rFonts w:hint="eastAsia" w:ascii="宋体" w:hAnsi="宋体" w:eastAsia="宋体" w:cs="宋体"/>
          <w:color w:val="auto"/>
          <w:spacing w:val="0"/>
          <w:position w:val="0"/>
          <w:sz w:val="24"/>
          <w:szCs w:val="24"/>
          <w:highlight w:val="none"/>
        </w:rPr>
        <w:t>，从业人员</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人，营业收入为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万元，资产总额为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万元，属于</w:t>
      </w:r>
      <w:r>
        <w:rPr>
          <w:rFonts w:hint="eastAsia" w:ascii="宋体" w:hAnsi="宋体" w:eastAsia="宋体" w:cs="宋体"/>
          <w:color w:val="auto"/>
          <w:spacing w:val="0"/>
          <w:position w:val="0"/>
          <w:sz w:val="24"/>
          <w:szCs w:val="24"/>
          <w:highlight w:val="none"/>
          <w:u w:val="single"/>
        </w:rPr>
        <w:t xml:space="preserve"> （中型企业、小型企业、微型企业）；</w:t>
      </w:r>
    </w:p>
    <w:p w14:paraId="73469A52">
      <w:pPr>
        <w:widowControl/>
        <w:spacing w:line="44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u w:val="single"/>
        </w:rPr>
        <w:t xml:space="preserve">2、   （标的名称）  </w:t>
      </w:r>
      <w:r>
        <w:rPr>
          <w:rFonts w:hint="eastAsia" w:ascii="宋体" w:hAnsi="宋体" w:eastAsia="宋体" w:cs="宋体"/>
          <w:color w:val="auto"/>
          <w:spacing w:val="0"/>
          <w:position w:val="0"/>
          <w:sz w:val="24"/>
          <w:szCs w:val="24"/>
          <w:highlight w:val="none"/>
        </w:rPr>
        <w:t>，属于（</w:t>
      </w:r>
      <w:r>
        <w:rPr>
          <w:rFonts w:hint="eastAsia" w:ascii="宋体" w:hAnsi="宋体" w:eastAsia="宋体" w:cs="宋体"/>
          <w:color w:val="auto"/>
          <w:spacing w:val="0"/>
          <w:position w:val="0"/>
          <w:sz w:val="24"/>
          <w:szCs w:val="24"/>
          <w:highlight w:val="none"/>
          <w:u w:val="single"/>
        </w:rPr>
        <w:t>采购文件中明确的所属行业</w:t>
      </w:r>
      <w:r>
        <w:rPr>
          <w:rFonts w:hint="eastAsia" w:ascii="宋体" w:hAnsi="宋体" w:eastAsia="宋体" w:cs="宋体"/>
          <w:color w:val="auto"/>
          <w:spacing w:val="0"/>
          <w:position w:val="0"/>
          <w:sz w:val="24"/>
          <w:szCs w:val="24"/>
          <w:highlight w:val="none"/>
        </w:rPr>
        <w:t>）；承建（承接）企业为</w:t>
      </w:r>
      <w:r>
        <w:rPr>
          <w:rFonts w:hint="eastAsia" w:ascii="宋体" w:hAnsi="宋体" w:eastAsia="宋体" w:cs="宋体"/>
          <w:color w:val="auto"/>
          <w:spacing w:val="0"/>
          <w:position w:val="0"/>
          <w:sz w:val="24"/>
          <w:szCs w:val="24"/>
          <w:highlight w:val="none"/>
          <w:u w:val="single"/>
        </w:rPr>
        <w:t>（企业名称）</w:t>
      </w:r>
      <w:r>
        <w:rPr>
          <w:rFonts w:hint="eastAsia" w:ascii="宋体" w:hAnsi="宋体" w:eastAsia="宋体" w:cs="宋体"/>
          <w:color w:val="auto"/>
          <w:spacing w:val="0"/>
          <w:position w:val="0"/>
          <w:sz w:val="24"/>
          <w:szCs w:val="24"/>
          <w:highlight w:val="none"/>
        </w:rPr>
        <w:t>，从业人员</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人，营业收入为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万元，资产总额为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万元，属于</w:t>
      </w:r>
      <w:r>
        <w:rPr>
          <w:rFonts w:hint="eastAsia" w:ascii="宋体" w:hAnsi="宋体" w:eastAsia="宋体" w:cs="宋体"/>
          <w:color w:val="auto"/>
          <w:spacing w:val="0"/>
          <w:position w:val="0"/>
          <w:sz w:val="24"/>
          <w:szCs w:val="24"/>
          <w:highlight w:val="none"/>
          <w:u w:val="single"/>
        </w:rPr>
        <w:t xml:space="preserve"> （中型企业、小型企业、微型企业）；</w:t>
      </w:r>
    </w:p>
    <w:p w14:paraId="30E115A8">
      <w:pPr>
        <w:pStyle w:val="90"/>
        <w:tabs>
          <w:tab w:val="left" w:pos="-120"/>
        </w:tabs>
        <w:spacing w:line="440" w:lineRule="exact"/>
        <w:ind w:firstLine="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p>
    <w:p w14:paraId="33058634">
      <w:pPr>
        <w:widowControl/>
        <w:spacing w:line="44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以上企业，不属于大企业的分支机构，不存在控股股东为大企业的情形，也不存在与大企业的负责人为同一人的情形。</w:t>
      </w:r>
    </w:p>
    <w:p w14:paraId="044F6565">
      <w:pPr>
        <w:widowControl/>
        <w:spacing w:line="440" w:lineRule="exact"/>
        <w:ind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本企业对上述声明的真实性负责。如有虚假，将依法承担相应责任。</w:t>
      </w:r>
    </w:p>
    <w:p w14:paraId="7B975D00">
      <w:pPr>
        <w:widowControl/>
        <w:spacing w:line="440" w:lineRule="exact"/>
        <w:jc w:val="left"/>
        <w:rPr>
          <w:rFonts w:hint="eastAsia" w:ascii="宋体" w:hAnsi="宋体" w:eastAsia="宋体" w:cs="宋体"/>
          <w:color w:val="auto"/>
          <w:spacing w:val="0"/>
          <w:position w:val="0"/>
          <w:sz w:val="24"/>
          <w:szCs w:val="24"/>
          <w:highlight w:val="none"/>
        </w:rPr>
      </w:pPr>
    </w:p>
    <w:p w14:paraId="333BD75C">
      <w:pPr>
        <w:widowControl/>
        <w:spacing w:line="440" w:lineRule="exact"/>
        <w:jc w:val="left"/>
        <w:rPr>
          <w:rFonts w:hint="eastAsia" w:ascii="宋体" w:hAnsi="宋体" w:eastAsia="宋体" w:cs="宋体"/>
          <w:color w:val="auto"/>
          <w:spacing w:val="0"/>
          <w:position w:val="0"/>
          <w:sz w:val="24"/>
          <w:szCs w:val="24"/>
          <w:highlight w:val="none"/>
        </w:rPr>
      </w:pPr>
    </w:p>
    <w:p w14:paraId="7EDA6B42">
      <w:pPr>
        <w:pStyle w:val="94"/>
        <w:spacing w:line="440" w:lineRule="exac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供应商名称：</w:t>
      </w:r>
      <w:r>
        <w:rPr>
          <w:rFonts w:hint="eastAsia" w:ascii="宋体" w:hAnsi="宋体" w:eastAsia="宋体" w:cs="宋体"/>
          <w:color w:val="auto"/>
          <w:spacing w:val="0"/>
          <w:position w:val="0"/>
          <w:sz w:val="24"/>
          <w:szCs w:val="24"/>
          <w:highlight w:val="none"/>
          <w:u w:val="single"/>
        </w:rPr>
        <w:t xml:space="preserve">       （盖章）       </w:t>
      </w:r>
    </w:p>
    <w:p w14:paraId="2867B936">
      <w:pPr>
        <w:widowControl/>
        <w:spacing w:line="440" w:lineRule="exact"/>
        <w:jc w:val="center"/>
        <w:rPr>
          <w:rFonts w:hint="eastAsia" w:ascii="宋体" w:hAnsi="宋体" w:eastAsia="宋体" w:cs="宋体"/>
          <w:color w:val="auto"/>
          <w:spacing w:val="0"/>
          <w:position w:val="0"/>
          <w:sz w:val="24"/>
          <w:szCs w:val="24"/>
          <w:highlight w:val="none"/>
        </w:rPr>
      </w:pPr>
    </w:p>
    <w:p w14:paraId="162C607A">
      <w:pPr>
        <w:widowControl/>
        <w:spacing w:line="440" w:lineRule="exact"/>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日   期：  年   月   日</w:t>
      </w:r>
    </w:p>
    <w:p w14:paraId="7527A2AE">
      <w:pPr>
        <w:pStyle w:val="90"/>
        <w:tabs>
          <w:tab w:val="left" w:pos="-120"/>
        </w:tabs>
        <w:spacing w:line="440" w:lineRule="exact"/>
        <w:ind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说明：</w:t>
      </w:r>
    </w:p>
    <w:p w14:paraId="674EB221">
      <w:pPr>
        <w:pStyle w:val="90"/>
        <w:tabs>
          <w:tab w:val="left" w:pos="-120"/>
        </w:tabs>
        <w:spacing w:line="440" w:lineRule="exact"/>
        <w:ind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1、从业人员、营业收入、资产总额填报上一年度数据，无上一年度数据的新成立企业可不填报。</w:t>
      </w:r>
    </w:p>
    <w:p w14:paraId="1A50EE89">
      <w:pPr>
        <w:widowControl/>
        <w:spacing w:line="440" w:lineRule="exact"/>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position w:val="0"/>
          <w:sz w:val="24"/>
          <w:szCs w:val="24"/>
          <w:highlight w:val="none"/>
        </w:rPr>
        <w:t>2、</w:t>
      </w:r>
      <w:r>
        <w:rPr>
          <w:rFonts w:hint="eastAsia" w:ascii="宋体" w:hAnsi="宋体" w:eastAsia="宋体" w:cs="宋体"/>
          <w:color w:val="auto"/>
          <w:spacing w:val="0"/>
          <w:kern w:val="0"/>
          <w:position w:val="0"/>
          <w:sz w:val="24"/>
          <w:szCs w:val="24"/>
          <w:highlight w:val="none"/>
        </w:rPr>
        <w:t>若为监狱企业或残疾人企业，须提供监狱企业或残疾人企业声明函（格式自拟）</w:t>
      </w:r>
    </w:p>
    <w:p w14:paraId="02F22D0F">
      <w:pPr>
        <w:pStyle w:val="20"/>
        <w:tabs>
          <w:tab w:val="left" w:pos="8786"/>
        </w:tabs>
        <w:spacing w:after="0" w:line="360" w:lineRule="auto"/>
        <w:rPr>
          <w:rFonts w:hint="eastAsia" w:ascii="宋体" w:hAnsi="宋体" w:eastAsia="宋体" w:cs="宋体"/>
          <w:b/>
          <w:color w:val="auto"/>
          <w:sz w:val="24"/>
          <w:highlight w:val="none"/>
        </w:rPr>
      </w:pPr>
      <w:r>
        <w:rPr>
          <w:rFonts w:hint="eastAsia" w:ascii="宋体" w:hAnsi="宋体" w:eastAsia="宋体" w:cs="宋体"/>
          <w:color w:val="auto"/>
          <w:spacing w:val="0"/>
          <w:kern w:val="0"/>
          <w:position w:val="0"/>
          <w:sz w:val="24"/>
          <w:szCs w:val="24"/>
          <w:highlight w:val="none"/>
        </w:rPr>
        <w:t>3、中标的供应商的《中小微企业声明函》将作为中标结果公告一并公示。</w:t>
      </w:r>
    </w:p>
    <w:p w14:paraId="066B6B66">
      <w:pPr>
        <w:pStyle w:val="20"/>
        <w:tabs>
          <w:tab w:val="left" w:pos="8786"/>
        </w:tabs>
        <w:spacing w:after="0" w:line="360" w:lineRule="auto"/>
        <w:jc w:val="center"/>
        <w:outlineLvl w:val="1"/>
        <w:rPr>
          <w:rFonts w:hint="eastAsia" w:ascii="宋体" w:hAnsi="宋体" w:eastAsia="宋体" w:cs="宋体"/>
          <w:b/>
          <w:color w:val="auto"/>
          <w:sz w:val="24"/>
          <w:szCs w:val="24"/>
          <w:highlight w:val="none"/>
        </w:rPr>
      </w:pPr>
      <w:bookmarkStart w:id="262" w:name="_Toc15844"/>
      <w:bookmarkStart w:id="263" w:name="_Toc480368432"/>
      <w:r>
        <w:rPr>
          <w:rFonts w:hint="eastAsia" w:ascii="宋体" w:hAnsi="宋体" w:eastAsia="宋体" w:cs="宋体"/>
          <w:b/>
          <w:color w:val="auto"/>
          <w:sz w:val="24"/>
          <w:szCs w:val="24"/>
          <w:highlight w:val="none"/>
          <w:lang w:eastAsia="zh-CN"/>
        </w:rPr>
        <w:t>二</w:t>
      </w:r>
      <w:r>
        <w:rPr>
          <w:rFonts w:hint="eastAsia" w:ascii="宋体" w:hAnsi="宋体" w:eastAsia="宋体" w:cs="宋体"/>
          <w:b/>
          <w:color w:val="auto"/>
          <w:sz w:val="24"/>
          <w:szCs w:val="24"/>
          <w:highlight w:val="none"/>
        </w:rPr>
        <w:t>、商务文件</w:t>
      </w:r>
      <w:bookmarkEnd w:id="262"/>
      <w:bookmarkEnd w:id="263"/>
    </w:p>
    <w:p w14:paraId="5EE19137">
      <w:pPr>
        <w:pStyle w:val="20"/>
        <w:keepNext w:val="0"/>
        <w:keepLines w:val="0"/>
        <w:pageBreakBefore w:val="0"/>
        <w:tabs>
          <w:tab w:val="left" w:pos="8786"/>
        </w:tabs>
        <w:kinsoku/>
        <w:wordWrap/>
        <w:overflowPunct/>
        <w:topLinePunct w:val="0"/>
        <w:autoSpaceDE/>
        <w:autoSpaceDN/>
        <w:bidi w:val="0"/>
        <w:adjustRightInd/>
        <w:snapToGrid/>
        <w:spacing w:after="0" w:line="440" w:lineRule="exact"/>
        <w:ind w:left="0" w:leftChars="0"/>
        <w:textAlignment w:val="auto"/>
        <w:outlineLvl w:val="2"/>
        <w:rPr>
          <w:rFonts w:hint="eastAsia" w:ascii="宋体" w:hAnsi="宋体" w:eastAsia="宋体" w:cs="宋体"/>
          <w:b/>
          <w:color w:val="auto"/>
          <w:sz w:val="24"/>
          <w:szCs w:val="24"/>
          <w:highlight w:val="none"/>
        </w:rPr>
      </w:pPr>
      <w:bookmarkStart w:id="264" w:name="_Toc16458"/>
      <w:bookmarkStart w:id="265" w:name="_Toc480368433"/>
      <w:r>
        <w:rPr>
          <w:rFonts w:hint="eastAsia" w:ascii="宋体" w:hAnsi="宋体" w:eastAsia="宋体" w:cs="宋体"/>
          <w:b/>
          <w:color w:val="auto"/>
          <w:sz w:val="24"/>
          <w:szCs w:val="24"/>
          <w:highlight w:val="none"/>
          <w:lang w:val="en-US" w:eastAsia="zh-CN"/>
        </w:rPr>
        <w:t>2.1</w:t>
      </w:r>
      <w:r>
        <w:rPr>
          <w:rFonts w:hint="eastAsia" w:ascii="宋体" w:hAnsi="宋体" w:eastAsia="宋体" w:cs="宋体"/>
          <w:b/>
          <w:color w:val="auto"/>
          <w:sz w:val="24"/>
          <w:szCs w:val="24"/>
          <w:highlight w:val="none"/>
        </w:rPr>
        <w:t>投标函</w:t>
      </w:r>
      <w:bookmarkEnd w:id="264"/>
      <w:bookmarkEnd w:id="265"/>
    </w:p>
    <w:p w14:paraId="73A08788">
      <w:pPr>
        <w:pStyle w:val="26"/>
        <w:keepNext w:val="0"/>
        <w:keepLines w:val="0"/>
        <w:pageBreakBefore w:val="0"/>
        <w:widowControl/>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D72E869">
      <w:pPr>
        <w:pStyle w:val="26"/>
        <w:keepNext w:val="0"/>
        <w:keepLines w:val="0"/>
        <w:pageBreakBefore w:val="0"/>
        <w:widowControl/>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名称)授权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授权代理人姓名)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(职务、职称)为我方代表，参加贵方组织的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(项目名称、项目编号)招标的有关活动，并对此项目进行投标。为此：</w:t>
      </w:r>
    </w:p>
    <w:p w14:paraId="6DAAF53F">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1、我方同意在本项目招标文件中规定的投标有效期内遵守本投标文件中的承诺且在此期限期满之前均具有约束力。</w:t>
      </w:r>
    </w:p>
    <w:p w14:paraId="25E51FB3">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2、我方承诺已经具备《中华人民共和国政府采购法》中规定的参加政府采购活动的供应商应当具备的条件：</w:t>
      </w:r>
    </w:p>
    <w:p w14:paraId="6D49D994">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467CCE31">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286E1DD1">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4B22CC34">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4FD4704F">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5）参加此项采购活动前三年内，在经营活动中没有重大违法记录；</w:t>
      </w:r>
    </w:p>
    <w:p w14:paraId="1AFC8D6D">
      <w:pPr>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107CEEE4">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须知规定的全部投标文件，包括在平台上传加密电子投标文件。</w:t>
      </w:r>
    </w:p>
    <w:p w14:paraId="340AE9AD">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4、按招标文件要求提供和交付的货物及相关服务的投标报价详见开标一览表。</w:t>
      </w:r>
    </w:p>
    <w:p w14:paraId="50C0E4BA">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5、保证忠实地执行双方所签订的合同，并承担合同规定的责任和义务。</w:t>
      </w:r>
    </w:p>
    <w:p w14:paraId="014B4D74">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6、我方承诺完全满足和响应招标文件中的各项技术和服务要求，若有偏差，已在投标文件偏离表中予以明确特别说明。</w:t>
      </w:r>
    </w:p>
    <w:p w14:paraId="70F0F9DE">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7、我方承诺：完全理解投标报价若超过项目预算时，投标将被拒绝。</w:t>
      </w:r>
    </w:p>
    <w:p w14:paraId="0DAF5441">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8、我方承诺：与在本项目中设计编制技术规格的机构及其附属机构无任何直接隶属关系和利益关联。</w:t>
      </w:r>
    </w:p>
    <w:p w14:paraId="69949551">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9、如果在开标后规定的投标有效期内撤回投标，我方的投标保证金可被贵方没收。</w:t>
      </w:r>
    </w:p>
    <w:p w14:paraId="3A3B856F">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10、我方完全理解贵方不一定接受最低价的投标或收到的任何投标。</w:t>
      </w:r>
    </w:p>
    <w:p w14:paraId="21F3AB80">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我方承诺：投标文件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4EE59A46">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12、我方已详细审核全部投标文件，包括投标文件修改书（如有的话）、参考资料及有关附件，确认无误。</w:t>
      </w:r>
    </w:p>
    <w:p w14:paraId="400291F4">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13、我方承诺：采购人若需追加采购本项目招标文件所列货物及相关服务的，在不改变合同其他实质性条款的前提下，按相同或更优惠的折扣率保证供货。</w:t>
      </w:r>
    </w:p>
    <w:p w14:paraId="6DFB8DBE">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14、我方承诺：如所报货物属国家强制认证产品的，均已通过认证且在有效期内，否则，由此产生的一切法律责任由我方承担。</w:t>
      </w:r>
    </w:p>
    <w:p w14:paraId="57AB9079">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15、我方承诺：接受招标文件中的全部条款且无任何异议，保证遵守招标文件的规定。</w:t>
      </w:r>
    </w:p>
    <w:p w14:paraId="2EA4E432">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DC712B9">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1）提供虚假材料谋取中标、成交的；</w:t>
      </w:r>
    </w:p>
    <w:p w14:paraId="6EF30666">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2）采取不正当手段诋毁、排挤其他供应商的；</w:t>
      </w:r>
    </w:p>
    <w:p w14:paraId="49ABB845">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3）与采购人、其他供应商或者采购代理机构工作人员恶意串通的；</w:t>
      </w:r>
    </w:p>
    <w:p w14:paraId="3D96061C">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4）向采购人、采购代理机构工作人员行贿或者提供其他不正当利益的；</w:t>
      </w:r>
    </w:p>
    <w:p w14:paraId="14C78733">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5）在采购过程中与采购人进行协商谈判的；</w:t>
      </w:r>
    </w:p>
    <w:p w14:paraId="0F4AFE5A">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6）拒绝有关部门监督检查或提供虚假情况的。</w:t>
      </w:r>
    </w:p>
    <w:p w14:paraId="5EDF42AB">
      <w:pPr>
        <w:keepNext w:val="0"/>
        <w:keepLines w:val="0"/>
        <w:pageBreakBefore w:val="0"/>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17、</w:t>
      </w:r>
    </w:p>
    <w:p w14:paraId="5511334D">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与本投标有关的一切往来通讯请寄：</w:t>
      </w:r>
    </w:p>
    <w:p w14:paraId="65F28B87">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地址：____________________________________________________</w:t>
      </w:r>
    </w:p>
    <w:p w14:paraId="46D19615">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邮编：____________　</w:t>
      </w:r>
    </w:p>
    <w:p w14:paraId="23CB0A70">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法定代表人或授权代理人联系电话：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43B160A">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供应商</w:t>
      </w:r>
      <w:r>
        <w:rPr>
          <w:rFonts w:hint="eastAsia" w:ascii="宋体" w:hAnsi="宋体" w:eastAsia="宋体" w:cs="宋体"/>
          <w:b/>
          <w:color w:val="auto"/>
          <w:sz w:val="24"/>
          <w:szCs w:val="24"/>
          <w:highlight w:val="none"/>
        </w:rPr>
        <w:t>公章：</w:t>
      </w:r>
    </w:p>
    <w:p w14:paraId="4780239D">
      <w:pPr>
        <w:keepNext w:val="0"/>
        <w:keepLines w:val="0"/>
        <w:pageBreakBefore w:val="0"/>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cs="宋体"/>
          <w:b/>
          <w:color w:val="auto"/>
          <w:sz w:val="24"/>
          <w:szCs w:val="24"/>
          <w:highlight w:val="none"/>
          <w:lang w:eastAsia="zh-CN"/>
        </w:rPr>
        <w:t>供应商</w:t>
      </w:r>
      <w:r>
        <w:rPr>
          <w:rFonts w:hint="eastAsia" w:ascii="宋体" w:hAnsi="宋体" w:eastAsia="宋体" w:cs="宋体"/>
          <w:b/>
          <w:color w:val="auto"/>
          <w:sz w:val="24"/>
          <w:szCs w:val="24"/>
          <w:highlight w:val="none"/>
        </w:rPr>
        <w:t>法定代表人电子签章：</w:t>
      </w:r>
    </w:p>
    <w:p w14:paraId="7B55768A">
      <w:pPr>
        <w:pStyle w:val="26"/>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5EF24026">
      <w:pPr>
        <w:pStyle w:val="26"/>
        <w:widowControl/>
        <w:spacing w:line="240" w:lineRule="auto"/>
        <w:ind w:left="0" w:leftChars="0"/>
        <w:rPr>
          <w:rFonts w:hint="eastAsia" w:ascii="宋体" w:hAnsi="宋体" w:eastAsia="宋体" w:cs="宋体"/>
          <w:color w:val="auto"/>
          <w:sz w:val="24"/>
          <w:highlight w:val="none"/>
        </w:rPr>
      </w:pPr>
    </w:p>
    <w:p w14:paraId="4447C64C">
      <w:pPr>
        <w:bidi w:val="0"/>
        <w:rPr>
          <w:rFonts w:hint="eastAsia"/>
          <w:lang w:val="en-US" w:eastAsia="zh-CN"/>
        </w:rPr>
      </w:pPr>
      <w:bookmarkStart w:id="266" w:name="_Toc480368423"/>
      <w:bookmarkStart w:id="267" w:name="_Toc31784"/>
      <w:bookmarkStart w:id="268" w:name="_Toc480368434"/>
    </w:p>
    <w:p w14:paraId="4A87960D">
      <w:pPr>
        <w:pStyle w:val="20"/>
        <w:tabs>
          <w:tab w:val="left" w:pos="8786"/>
        </w:tabs>
        <w:spacing w:after="0" w:line="360" w:lineRule="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2.2</w:t>
      </w:r>
      <w:r>
        <w:rPr>
          <w:rFonts w:hint="eastAsia" w:ascii="宋体" w:hAnsi="宋体" w:eastAsia="宋体" w:cs="宋体"/>
          <w:b/>
          <w:color w:val="auto"/>
          <w:sz w:val="24"/>
          <w:highlight w:val="none"/>
        </w:rPr>
        <w:t>法定代表人身份证明及授权委托书</w:t>
      </w:r>
      <w:bookmarkEnd w:id="266"/>
      <w:bookmarkEnd w:id="267"/>
    </w:p>
    <w:p w14:paraId="563D3830">
      <w:pPr>
        <w:pStyle w:val="58"/>
        <w:adjustRightInd w:val="0"/>
        <w:snapToGrid w:val="0"/>
        <w:spacing w:line="500" w:lineRule="exact"/>
        <w:jc w:val="center"/>
        <w:rPr>
          <w:rFonts w:hint="eastAsia" w:ascii="宋体" w:hAnsi="宋体" w:eastAsia="宋体" w:cs="宋体"/>
          <w:color w:val="auto"/>
          <w:sz w:val="24"/>
          <w:szCs w:val="24"/>
          <w:highlight w:val="none"/>
        </w:rPr>
      </w:pPr>
      <w:bookmarkStart w:id="269" w:name="_Toc480368424"/>
      <w:bookmarkEnd w:id="269"/>
      <w:bookmarkStart w:id="270" w:name="_Toc480371721"/>
      <w:bookmarkEnd w:id="270"/>
      <w:bookmarkStart w:id="271" w:name="_Toc487101447"/>
      <w:bookmarkEnd w:id="271"/>
      <w:bookmarkStart w:id="272" w:name="_Toc487101376"/>
      <w:bookmarkEnd w:id="272"/>
      <w:bookmarkStart w:id="273" w:name="_Toc480368653"/>
      <w:bookmarkEnd w:id="273"/>
      <w:bookmarkStart w:id="274" w:name="_Toc480368595"/>
      <w:bookmarkEnd w:id="274"/>
      <w:bookmarkStart w:id="275" w:name="_Toc487101305"/>
      <w:bookmarkEnd w:id="275"/>
      <w:bookmarkStart w:id="276" w:name="_Toc468535482"/>
      <w:bookmarkEnd w:id="276"/>
      <w:r>
        <w:rPr>
          <w:rFonts w:hint="eastAsia" w:ascii="宋体" w:hAnsi="宋体" w:eastAsia="宋体" w:cs="宋体"/>
          <w:color w:val="auto"/>
          <w:sz w:val="24"/>
          <w:szCs w:val="24"/>
          <w:highlight w:val="none"/>
        </w:rPr>
        <w:t>法定代表人资格证明文件</w:t>
      </w:r>
    </w:p>
    <w:p w14:paraId="508614E2">
      <w:pPr>
        <w:pStyle w:val="58"/>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（代理机构名称）</w:t>
      </w:r>
      <w:r>
        <w:rPr>
          <w:rFonts w:hint="eastAsia" w:ascii="宋体" w:hAnsi="宋体" w:eastAsia="宋体" w:cs="宋体"/>
          <w:color w:val="auto"/>
          <w:sz w:val="24"/>
          <w:szCs w:val="24"/>
          <w:highlight w:val="none"/>
        </w:rPr>
        <w:t>：</w:t>
      </w:r>
    </w:p>
    <w:p w14:paraId="63690E69">
      <w:pPr>
        <w:pStyle w:val="58"/>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公司法定代表人，代表我公司办理一切社会公务事宜，具有法律效力。 </w:t>
      </w:r>
    </w:p>
    <w:p w14:paraId="2EE1310B">
      <w:pPr>
        <w:pStyle w:val="58"/>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附法定代表人基本情况： </w:t>
      </w:r>
    </w:p>
    <w:p w14:paraId="5B55FFA8">
      <w:pPr>
        <w:pStyle w:val="58"/>
        <w:adjustRightInd w:val="0"/>
        <w:snapToGrid w:val="0"/>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26FF4DB8">
      <w:pPr>
        <w:pStyle w:val="58"/>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4BA5520C">
      <w:pPr>
        <w:pStyle w:val="58"/>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通讯地址：</w:t>
      </w:r>
      <w:r>
        <w:rPr>
          <w:rFonts w:hint="eastAsia" w:ascii="宋体" w:hAnsi="宋体" w:eastAsia="宋体" w:cs="宋体"/>
          <w:color w:val="auto"/>
          <w:sz w:val="24"/>
          <w:szCs w:val="24"/>
          <w:highlight w:val="none"/>
          <w:u w:val="single"/>
        </w:rPr>
        <w:t xml:space="preserve">                       </w:t>
      </w:r>
    </w:p>
    <w:p w14:paraId="63535D5C">
      <w:pPr>
        <w:pStyle w:val="58"/>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p>
    <w:p w14:paraId="188FD8D4">
      <w:pPr>
        <w:pStyle w:val="58"/>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bl>
      <w:tblPr>
        <w:tblStyle w:val="38"/>
        <w:tblW w:w="68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04"/>
      </w:tblGrid>
      <w:tr w14:paraId="398C4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8" w:hRule="atLeast"/>
          <w:jc w:val="center"/>
        </w:trPr>
        <w:tc>
          <w:tcPr>
            <w:tcW w:w="6804" w:type="dxa"/>
            <w:tcBorders>
              <w:top w:val="single" w:color="000000" w:sz="4" w:space="0"/>
              <w:left w:val="single" w:color="000000" w:sz="4" w:space="0"/>
              <w:bottom w:val="single" w:color="000000" w:sz="4" w:space="0"/>
              <w:right w:val="single" w:color="000000" w:sz="4" w:space="0"/>
            </w:tcBorders>
            <w:noWrap w:val="0"/>
            <w:vAlign w:val="top"/>
          </w:tcPr>
          <w:p w14:paraId="6FCD7907">
            <w:pPr>
              <w:pStyle w:val="99"/>
              <w:pageBreakBefore w:val="0"/>
              <w:kinsoku/>
              <w:wordWrap/>
              <w:overflowPunct/>
              <w:topLinePunct w:val="0"/>
              <w:bidi w:val="0"/>
              <w:snapToGrid w:val="0"/>
              <w:spacing w:before="0" w:beforeAutospacing="0" w:after="0" w:afterAutospacing="0" w:line="500" w:lineRule="exact"/>
              <w:jc w:val="center"/>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60834157">
            <w:pPr>
              <w:pStyle w:val="99"/>
              <w:pageBreakBefore w:val="0"/>
              <w:kinsoku/>
              <w:wordWrap/>
              <w:overflowPunct/>
              <w:topLinePunct w:val="0"/>
              <w:bidi w:val="0"/>
              <w:snapToGrid w:val="0"/>
              <w:spacing w:before="0" w:beforeAutospacing="0" w:after="0" w:afterAutospacing="0" w:line="500" w:lineRule="exact"/>
              <w:jc w:val="center"/>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35C9109A">
            <w:pPr>
              <w:pStyle w:val="99"/>
              <w:pageBreakBefore w:val="0"/>
              <w:kinsoku/>
              <w:wordWrap/>
              <w:overflowPunct/>
              <w:topLinePunct w:val="0"/>
              <w:bidi w:val="0"/>
              <w:snapToGrid w:val="0"/>
              <w:spacing w:before="0" w:beforeAutospacing="0" w:after="0" w:afterAutospacing="0" w:line="500" w:lineRule="exact"/>
              <w:jc w:val="center"/>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法定代表人《居民身份证》正反面</w:t>
            </w:r>
          </w:p>
        </w:tc>
      </w:tr>
    </w:tbl>
    <w:p w14:paraId="4B01EB72">
      <w:pPr>
        <w:pStyle w:val="58"/>
        <w:adjustRightInd w:val="0"/>
        <w:snapToGrid w:val="0"/>
        <w:spacing w:line="500" w:lineRule="exact"/>
        <w:rPr>
          <w:rFonts w:hint="eastAsia" w:ascii="宋体" w:hAnsi="宋体" w:eastAsia="宋体" w:cs="宋体"/>
          <w:color w:val="auto"/>
          <w:sz w:val="24"/>
          <w:szCs w:val="24"/>
          <w:highlight w:val="none"/>
        </w:rPr>
      </w:pPr>
    </w:p>
    <w:p w14:paraId="3D8F71AC">
      <w:pPr>
        <w:pStyle w:val="58"/>
        <w:tabs>
          <w:tab w:val="left" w:pos="750"/>
        </w:tabs>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名称（签章）：</w:t>
      </w:r>
      <w:r>
        <w:rPr>
          <w:rFonts w:hint="eastAsia" w:ascii="宋体" w:hAnsi="宋体" w:eastAsia="宋体" w:cs="宋体"/>
          <w:color w:val="auto"/>
          <w:sz w:val="24"/>
          <w:szCs w:val="24"/>
          <w:highlight w:val="none"/>
          <w:u w:val="single"/>
        </w:rPr>
        <w:t xml:space="preserve">           </w:t>
      </w:r>
    </w:p>
    <w:p w14:paraId="0444E7C9">
      <w:pPr>
        <w:pStyle w:val="58"/>
        <w:tabs>
          <w:tab w:val="left" w:pos="750"/>
        </w:tabs>
        <w:adjustRightInd w:val="0"/>
        <w:snapToGrid w:val="0"/>
        <w:spacing w:line="500" w:lineRule="exact"/>
        <w:rPr>
          <w:rFonts w:hint="eastAsia" w:ascii="宋体" w:hAnsi="宋体" w:eastAsia="宋体" w:cs="宋体"/>
          <w:color w:val="auto"/>
          <w:sz w:val="24"/>
          <w:szCs w:val="24"/>
          <w:highlight w:val="none"/>
        </w:rPr>
      </w:pPr>
    </w:p>
    <w:p w14:paraId="69B8899B">
      <w:pPr>
        <w:pStyle w:val="58"/>
        <w:tabs>
          <w:tab w:val="left" w:pos="750"/>
        </w:tabs>
        <w:adjustRightInd w:val="0"/>
        <w:snapToGrid w:val="0"/>
        <w:spacing w:line="5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法定代表人（签章） ：</w:t>
      </w:r>
      <w:r>
        <w:rPr>
          <w:rFonts w:hint="eastAsia" w:ascii="宋体" w:hAnsi="宋体" w:eastAsia="宋体" w:cs="宋体"/>
          <w:color w:val="auto"/>
          <w:sz w:val="24"/>
          <w:szCs w:val="24"/>
          <w:highlight w:val="none"/>
          <w:u w:val="single"/>
        </w:rPr>
        <w:t xml:space="preserve">           </w:t>
      </w:r>
    </w:p>
    <w:p w14:paraId="70BD2815">
      <w:pPr>
        <w:pStyle w:val="58"/>
        <w:tabs>
          <w:tab w:val="left" w:pos="750"/>
        </w:tabs>
        <w:adjustRightInd w:val="0"/>
        <w:snapToGrid w:val="0"/>
        <w:spacing w:line="500" w:lineRule="exact"/>
        <w:rPr>
          <w:rFonts w:hint="eastAsia" w:ascii="宋体" w:hAnsi="宋体" w:eastAsia="宋体" w:cs="宋体"/>
          <w:color w:val="auto"/>
          <w:sz w:val="24"/>
          <w:szCs w:val="24"/>
          <w:highlight w:val="none"/>
        </w:rPr>
      </w:pPr>
    </w:p>
    <w:p w14:paraId="2A2FF982">
      <w:pPr>
        <w:pStyle w:val="58"/>
        <w:tabs>
          <w:tab w:val="left" w:pos="750"/>
        </w:tabs>
        <w:adjustRightInd w:val="0"/>
        <w:snapToGrid w:val="0"/>
        <w:spacing w:line="5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40C3F48">
      <w:pPr>
        <w:pStyle w:val="57"/>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w:t>
      </w:r>
      <w:bookmarkStart w:id="277" w:name="_Toc468535483"/>
    </w:p>
    <w:p w14:paraId="1D0C7AB0">
      <w:pPr>
        <w:pStyle w:val="57"/>
        <w:outlineLvl w:val="9"/>
        <w:rPr>
          <w:rFonts w:hint="eastAsia" w:ascii="宋体" w:hAnsi="宋体" w:eastAsia="宋体" w:cs="宋体"/>
          <w:color w:val="auto"/>
          <w:highlight w:val="none"/>
          <w:lang w:eastAsia="zh-CN"/>
        </w:rPr>
      </w:pPr>
    </w:p>
    <w:p w14:paraId="779B6F27">
      <w:pPr>
        <w:pStyle w:val="57"/>
        <w:outlineLvl w:val="9"/>
        <w:rPr>
          <w:rFonts w:hint="eastAsia" w:ascii="宋体" w:hAnsi="宋体" w:eastAsia="宋体" w:cs="宋体"/>
          <w:color w:val="auto"/>
          <w:highlight w:val="none"/>
          <w:lang w:eastAsia="zh-CN"/>
        </w:rPr>
      </w:pPr>
    </w:p>
    <w:p w14:paraId="3DAF3E21">
      <w:pPr>
        <w:pStyle w:val="58"/>
        <w:rPr>
          <w:rFonts w:hint="eastAsia" w:ascii="宋体" w:hAnsi="宋体" w:eastAsia="宋体" w:cs="宋体"/>
          <w:color w:val="auto"/>
          <w:highlight w:val="none"/>
          <w:lang w:eastAsia="zh-CN"/>
        </w:rPr>
      </w:pPr>
    </w:p>
    <w:p w14:paraId="0063AE43">
      <w:pPr>
        <w:pStyle w:val="58"/>
        <w:rPr>
          <w:rFonts w:hint="eastAsia" w:ascii="宋体" w:hAnsi="宋体" w:eastAsia="宋体" w:cs="宋体"/>
          <w:color w:val="auto"/>
          <w:highlight w:val="none"/>
          <w:lang w:eastAsia="zh-CN"/>
        </w:rPr>
      </w:pPr>
    </w:p>
    <w:bookmarkEnd w:id="277"/>
    <w:p w14:paraId="16AD6C2C">
      <w:pPr>
        <w:pStyle w:val="58"/>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法定代表人授权书</w:t>
      </w:r>
    </w:p>
    <w:p w14:paraId="717F9A20">
      <w:pPr>
        <w:pStyle w:val="58"/>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（代理机构名称）</w:t>
      </w:r>
      <w:r>
        <w:rPr>
          <w:rFonts w:hint="eastAsia" w:ascii="宋体" w:hAnsi="宋体" w:eastAsia="宋体" w:cs="宋体"/>
          <w:color w:val="auto"/>
          <w:sz w:val="24"/>
          <w:szCs w:val="24"/>
          <w:highlight w:val="none"/>
        </w:rPr>
        <w:t>：</w:t>
      </w:r>
    </w:p>
    <w:p w14:paraId="3FE7DEBD">
      <w:pPr>
        <w:pStyle w:val="58"/>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同志为我公司参加贵单位组织的编号为</w:t>
      </w:r>
      <w:r>
        <w:rPr>
          <w:rFonts w:hint="eastAsia" w:ascii="宋体" w:hAnsi="宋体" w:eastAsia="宋体" w:cs="宋体"/>
          <w:color w:val="auto"/>
          <w:sz w:val="24"/>
          <w:szCs w:val="24"/>
          <w:highlight w:val="none"/>
          <w:u w:val="single"/>
        </w:rPr>
        <w:t>（项目编号）</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 目 名 称）</w:t>
      </w:r>
      <w:r>
        <w:rPr>
          <w:rFonts w:hint="eastAsia" w:ascii="宋体" w:hAnsi="宋体" w:eastAsia="宋体" w:cs="宋体"/>
          <w:color w:val="auto"/>
          <w:sz w:val="24"/>
          <w:szCs w:val="24"/>
          <w:highlight w:val="none"/>
        </w:rPr>
        <w:t>采购活动的投标代表人，全权代表我公司处理在该项目采购活动中的一切事宜。代理期限从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日起至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日止。 </w:t>
      </w:r>
    </w:p>
    <w:p w14:paraId="59A18398">
      <w:pPr>
        <w:pStyle w:val="58"/>
        <w:spacing w:line="500" w:lineRule="exact"/>
        <w:rPr>
          <w:rFonts w:hint="eastAsia" w:ascii="宋体" w:hAnsi="宋体" w:eastAsia="宋体" w:cs="宋体"/>
          <w:color w:val="auto"/>
          <w:sz w:val="24"/>
          <w:szCs w:val="24"/>
          <w:highlight w:val="none"/>
        </w:rPr>
      </w:pPr>
    </w:p>
    <w:p w14:paraId="6D33C9A9">
      <w:pPr>
        <w:pStyle w:val="58"/>
        <w:spacing w:line="50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（签章）：</w:t>
      </w:r>
      <w:r>
        <w:rPr>
          <w:rFonts w:hint="eastAsia" w:ascii="宋体" w:hAnsi="宋体" w:eastAsia="宋体" w:cs="宋体"/>
          <w:color w:val="auto"/>
          <w:sz w:val="24"/>
          <w:szCs w:val="24"/>
          <w:highlight w:val="none"/>
          <w:u w:val="single"/>
        </w:rPr>
        <w:t xml:space="preserve">               </w:t>
      </w:r>
    </w:p>
    <w:p w14:paraId="40BE0F09">
      <w:pPr>
        <w:pStyle w:val="58"/>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法定代表人（签章）：</w:t>
      </w:r>
      <w:r>
        <w:rPr>
          <w:rFonts w:hint="eastAsia" w:ascii="宋体" w:hAnsi="宋体" w:eastAsia="宋体" w:cs="宋体"/>
          <w:color w:val="auto"/>
          <w:sz w:val="24"/>
          <w:szCs w:val="24"/>
          <w:highlight w:val="none"/>
          <w:u w:val="single"/>
        </w:rPr>
        <w:t xml:space="preserve">       </w:t>
      </w:r>
    </w:p>
    <w:p w14:paraId="66FE5EE4">
      <w:pPr>
        <w:pStyle w:val="58"/>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签发日期：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D7EDE43">
      <w:pPr>
        <w:pStyle w:val="58"/>
        <w:spacing w:line="500" w:lineRule="exact"/>
        <w:rPr>
          <w:rFonts w:hint="eastAsia" w:ascii="宋体" w:hAnsi="宋体" w:eastAsia="宋体" w:cs="宋体"/>
          <w:color w:val="auto"/>
          <w:sz w:val="24"/>
          <w:szCs w:val="24"/>
          <w:highlight w:val="none"/>
        </w:rPr>
      </w:pPr>
    </w:p>
    <w:p w14:paraId="73A8E765">
      <w:pPr>
        <w:pStyle w:val="58"/>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14:paraId="19F07E52">
      <w:pPr>
        <w:pStyle w:val="58"/>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代理人工作单位：</w:t>
      </w:r>
      <w:r>
        <w:rPr>
          <w:rFonts w:hint="eastAsia" w:ascii="宋体" w:hAnsi="宋体" w:eastAsia="宋体" w:cs="宋体"/>
          <w:color w:val="auto"/>
          <w:sz w:val="24"/>
          <w:szCs w:val="24"/>
          <w:highlight w:val="none"/>
          <w:u w:val="single"/>
        </w:rPr>
        <w:t xml:space="preserve">                          </w:t>
      </w:r>
    </w:p>
    <w:p w14:paraId="36A85C17">
      <w:pPr>
        <w:pStyle w:val="58"/>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性别：</w:t>
      </w:r>
      <w:r>
        <w:rPr>
          <w:rFonts w:hint="eastAsia" w:ascii="宋体" w:hAnsi="宋体" w:eastAsia="宋体" w:cs="宋体"/>
          <w:color w:val="auto"/>
          <w:sz w:val="24"/>
          <w:szCs w:val="24"/>
          <w:highlight w:val="none"/>
          <w:u w:val="single"/>
        </w:rPr>
        <w:t xml:space="preserve">      </w:t>
      </w:r>
    </w:p>
    <w:p w14:paraId="3449FCB6">
      <w:pPr>
        <w:pStyle w:val="58"/>
        <w:adjustRightInd w:val="0"/>
        <w:snapToGrid w:val="0"/>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217CC80F">
      <w:pPr>
        <w:pStyle w:val="58"/>
        <w:adjustRightInd w:val="0"/>
        <w:snapToGrid w:val="0"/>
        <w:spacing w:line="500" w:lineRule="exact"/>
        <w:ind w:left="-88" w:leftChars="-42" w:firstLine="600" w:firstLineChars="250"/>
        <w:rPr>
          <w:rFonts w:hint="eastAsia" w:ascii="宋体" w:hAnsi="宋体" w:eastAsia="宋体" w:cs="宋体"/>
          <w:color w:val="auto"/>
          <w:sz w:val="24"/>
          <w:szCs w:val="24"/>
          <w:highlight w:val="none"/>
          <w:u w:val="single"/>
        </w:rPr>
      </w:pPr>
    </w:p>
    <w:tbl>
      <w:tblPr>
        <w:tblStyle w:val="38"/>
        <w:tblW w:w="7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00"/>
      </w:tblGrid>
      <w:tr w14:paraId="03666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3" w:hRule="atLeast"/>
          <w:jc w:val="center"/>
        </w:trPr>
        <w:tc>
          <w:tcPr>
            <w:tcW w:w="7500" w:type="dxa"/>
            <w:tcBorders>
              <w:top w:val="single" w:color="000000" w:sz="4" w:space="0"/>
              <w:left w:val="single" w:color="000000" w:sz="4" w:space="0"/>
              <w:bottom w:val="single" w:color="000000" w:sz="4" w:space="0"/>
              <w:right w:val="single" w:color="000000" w:sz="4" w:space="0"/>
            </w:tcBorders>
            <w:noWrap w:val="0"/>
            <w:vAlign w:val="top"/>
          </w:tcPr>
          <w:p w14:paraId="5165D44F">
            <w:pPr>
              <w:pStyle w:val="99"/>
              <w:pageBreakBefore w:val="0"/>
              <w:kinsoku/>
              <w:wordWrap/>
              <w:overflowPunct/>
              <w:topLinePunct w:val="0"/>
              <w:bidi w:val="0"/>
              <w:snapToGrid w:val="0"/>
              <w:spacing w:before="0" w:beforeAutospacing="0" w:after="0" w:afterAutospacing="0" w:line="500" w:lineRule="exact"/>
              <w:jc w:val="center"/>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5431A962">
            <w:pPr>
              <w:pStyle w:val="99"/>
              <w:pageBreakBefore w:val="0"/>
              <w:kinsoku/>
              <w:wordWrap/>
              <w:overflowPunct/>
              <w:topLinePunct w:val="0"/>
              <w:bidi w:val="0"/>
              <w:snapToGrid w:val="0"/>
              <w:spacing w:before="0" w:beforeAutospacing="0" w:after="0" w:afterAutospacing="0" w:line="500" w:lineRule="exact"/>
              <w:jc w:val="center"/>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p>
          <w:p w14:paraId="0269644F">
            <w:pPr>
              <w:pStyle w:val="99"/>
              <w:pageBreakBefore w:val="0"/>
              <w:kinsoku/>
              <w:wordWrap/>
              <w:overflowPunct/>
              <w:topLinePunct w:val="0"/>
              <w:bidi w:val="0"/>
              <w:snapToGrid w:val="0"/>
              <w:spacing w:before="0" w:beforeAutospacing="0" w:after="0" w:afterAutospacing="0" w:line="500" w:lineRule="exact"/>
              <w:jc w:val="center"/>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法定代表人《居民身份证》正反面</w:t>
            </w:r>
          </w:p>
        </w:tc>
      </w:tr>
    </w:tbl>
    <w:p w14:paraId="41E1830D">
      <w:pPr>
        <w:pStyle w:val="99"/>
        <w:pageBreakBefore w:val="0"/>
        <w:kinsoku/>
        <w:wordWrap/>
        <w:overflowPunct/>
        <w:topLinePunct w:val="0"/>
        <w:bidi w:val="0"/>
        <w:snapToGrid w:val="0"/>
        <w:spacing w:before="0" w:beforeAutospacing="0" w:after="0" w:afterAutospacing="0" w:line="500" w:lineRule="exact"/>
        <w:ind w:left="-88" w:leftChars="-42" w:firstLine="600" w:firstLineChars="250"/>
        <w:jc w:val="both"/>
        <w:textAlignment w:val="baseline"/>
        <w:rPr>
          <w:rStyle w:val="53"/>
          <w:rFonts w:hint="eastAsia" w:ascii="宋体" w:hAnsi="宋体" w:eastAsia="宋体" w:cs="宋体"/>
          <w:b w:val="0"/>
          <w:i w:val="0"/>
          <w:caps w:val="0"/>
          <w:color w:val="auto"/>
          <w:spacing w:val="0"/>
          <w:w w:val="100"/>
          <w:kern w:val="2"/>
          <w:position w:val="0"/>
          <w:sz w:val="24"/>
          <w:szCs w:val="24"/>
          <w:highlight w:val="none"/>
          <w:u w:val="single"/>
          <w:lang w:val="en-US" w:eastAsia="zh-CN" w:bidi="ar-SA"/>
        </w:rPr>
      </w:pPr>
    </w:p>
    <w:tbl>
      <w:tblPr>
        <w:tblStyle w:val="38"/>
        <w:tblW w:w="7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00"/>
      </w:tblGrid>
      <w:tr w14:paraId="0F63C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2" w:hRule="atLeast"/>
          <w:jc w:val="center"/>
        </w:trPr>
        <w:tc>
          <w:tcPr>
            <w:tcW w:w="7500" w:type="dxa"/>
            <w:tcBorders>
              <w:top w:val="single" w:color="000000" w:sz="4" w:space="0"/>
              <w:left w:val="single" w:color="000000" w:sz="4" w:space="0"/>
              <w:bottom w:val="single" w:color="000000" w:sz="4" w:space="0"/>
              <w:right w:val="single" w:color="000000" w:sz="4" w:space="0"/>
            </w:tcBorders>
            <w:noWrap w:val="0"/>
            <w:vAlign w:val="center"/>
          </w:tcPr>
          <w:p w14:paraId="77B40C49">
            <w:pPr>
              <w:pStyle w:val="99"/>
              <w:pageBreakBefore w:val="0"/>
              <w:kinsoku/>
              <w:wordWrap/>
              <w:overflowPunct/>
              <w:topLinePunct w:val="0"/>
              <w:bidi w:val="0"/>
              <w:snapToGrid/>
              <w:spacing w:before="0" w:beforeAutospacing="0" w:after="0" w:afterAutospacing="0" w:line="500" w:lineRule="exact"/>
              <w:jc w:val="center"/>
              <w:textAlignment w:val="baseline"/>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53"/>
                <w:rFonts w:hint="eastAsia" w:ascii="宋体" w:hAnsi="宋体" w:eastAsia="宋体" w:cs="宋体"/>
                <w:b w:val="0"/>
                <w:i w:val="0"/>
                <w:caps w:val="0"/>
                <w:color w:val="auto"/>
                <w:spacing w:val="0"/>
                <w:w w:val="100"/>
                <w:kern w:val="2"/>
                <w:position w:val="0"/>
                <w:sz w:val="24"/>
                <w:szCs w:val="24"/>
                <w:highlight w:val="none"/>
                <w:lang w:val="en-US" w:eastAsia="zh-CN" w:bidi="ar-SA"/>
              </w:rPr>
              <w:t>被授权人《居民身份证》正反面</w:t>
            </w:r>
          </w:p>
        </w:tc>
      </w:tr>
    </w:tbl>
    <w:p w14:paraId="5986D3AE">
      <w:pPr>
        <w:pStyle w:val="20"/>
        <w:spacing w:after="0" w:line="360" w:lineRule="auto"/>
        <w:ind w:left="479" w:hanging="479" w:hangingChars="199"/>
        <w:outlineLvl w:val="2"/>
        <w:rPr>
          <w:rFonts w:hint="eastAsia" w:ascii="宋体" w:hAnsi="宋体" w:eastAsia="宋体" w:cs="宋体"/>
          <w:b/>
          <w:color w:val="auto"/>
          <w:sz w:val="24"/>
          <w:highlight w:val="none"/>
          <w:lang w:val="en-US" w:eastAsia="zh-CN"/>
        </w:rPr>
      </w:pPr>
      <w:bookmarkStart w:id="278" w:name="_Toc14866"/>
      <w:r>
        <w:rPr>
          <w:rFonts w:hint="eastAsia" w:ascii="宋体" w:hAnsi="宋体" w:eastAsia="宋体" w:cs="宋体"/>
          <w:b/>
          <w:color w:val="auto"/>
          <w:sz w:val="24"/>
          <w:highlight w:val="none"/>
          <w:lang w:val="en-US" w:eastAsia="zh-CN"/>
        </w:rPr>
        <w:t>2.3开标一览表</w:t>
      </w:r>
      <w:bookmarkEnd w:id="268"/>
      <w:bookmarkEnd w:id="278"/>
    </w:p>
    <w:p w14:paraId="14D6F4A5">
      <w:pPr>
        <w:pStyle w:val="20"/>
        <w:spacing w:after="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开标一览表</w:t>
      </w:r>
    </w:p>
    <w:p w14:paraId="1AEA796D">
      <w:pPr>
        <w:pStyle w:val="22"/>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xml:space="preserve">                                 </w:t>
      </w:r>
    </w:p>
    <w:p w14:paraId="5EBBEDFE">
      <w:pPr>
        <w:pStyle w:val="22"/>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tbl>
      <w:tblPr>
        <w:tblStyle w:val="38"/>
        <w:tblW w:w="8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520"/>
      </w:tblGrid>
      <w:tr w14:paraId="45F6E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2119" w:type="dxa"/>
            <w:noWrap w:val="0"/>
            <w:vAlign w:val="center"/>
          </w:tcPr>
          <w:p w14:paraId="5A75EA34">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标题</w:t>
            </w:r>
          </w:p>
        </w:tc>
        <w:tc>
          <w:tcPr>
            <w:tcW w:w="6520" w:type="dxa"/>
            <w:noWrap w:val="0"/>
            <w:vAlign w:val="center"/>
          </w:tcPr>
          <w:p w14:paraId="1EB68F26">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内容</w:t>
            </w:r>
          </w:p>
        </w:tc>
      </w:tr>
      <w:tr w14:paraId="556BE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2119" w:type="dxa"/>
            <w:noWrap w:val="0"/>
            <w:vAlign w:val="center"/>
          </w:tcPr>
          <w:p w14:paraId="5490D726">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投标总价</w:t>
            </w:r>
          </w:p>
        </w:tc>
        <w:tc>
          <w:tcPr>
            <w:tcW w:w="6520" w:type="dxa"/>
            <w:noWrap w:val="0"/>
            <w:vAlign w:val="top"/>
          </w:tcPr>
          <w:p w14:paraId="1584E331">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w:t>
            </w:r>
          </w:p>
          <w:p w14:paraId="3C0E81FA">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w:t>
            </w:r>
          </w:p>
        </w:tc>
      </w:tr>
      <w:tr w14:paraId="01872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2119" w:type="dxa"/>
            <w:noWrap w:val="0"/>
            <w:vAlign w:val="center"/>
          </w:tcPr>
          <w:p w14:paraId="343A6AC7">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服务期限</w:t>
            </w:r>
          </w:p>
        </w:tc>
        <w:tc>
          <w:tcPr>
            <w:tcW w:w="6520" w:type="dxa"/>
            <w:noWrap w:val="0"/>
            <w:vAlign w:val="top"/>
          </w:tcPr>
          <w:p w14:paraId="1600460A">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tc>
      </w:tr>
      <w:tr w14:paraId="1E6D2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2119" w:type="dxa"/>
            <w:noWrap w:val="0"/>
            <w:vAlign w:val="center"/>
          </w:tcPr>
          <w:p w14:paraId="33E655DE">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质保期</w:t>
            </w:r>
          </w:p>
        </w:tc>
        <w:tc>
          <w:tcPr>
            <w:tcW w:w="6520" w:type="dxa"/>
            <w:noWrap w:val="0"/>
            <w:vAlign w:val="top"/>
          </w:tcPr>
          <w:p w14:paraId="6EF28295">
            <w:pPr>
              <w:spacing w:line="240" w:lineRule="auto"/>
              <w:rPr>
                <w:rFonts w:hint="eastAsia" w:ascii="宋体" w:hAnsi="宋体" w:eastAsia="宋体" w:cs="宋体"/>
                <w:color w:val="auto"/>
                <w:sz w:val="24"/>
                <w:highlight w:val="none"/>
              </w:rPr>
            </w:pPr>
          </w:p>
        </w:tc>
      </w:tr>
      <w:tr w14:paraId="1236E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2119" w:type="dxa"/>
            <w:noWrap w:val="0"/>
            <w:vAlign w:val="center"/>
          </w:tcPr>
          <w:p w14:paraId="6D31761F">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6520" w:type="dxa"/>
            <w:noWrap w:val="0"/>
            <w:vAlign w:val="top"/>
          </w:tcPr>
          <w:p w14:paraId="3077F514">
            <w:pPr>
              <w:spacing w:line="240" w:lineRule="auto"/>
              <w:rPr>
                <w:rFonts w:hint="eastAsia" w:ascii="宋体" w:hAnsi="宋体" w:eastAsia="宋体" w:cs="宋体"/>
                <w:color w:val="auto"/>
                <w:sz w:val="24"/>
                <w:highlight w:val="none"/>
              </w:rPr>
            </w:pPr>
          </w:p>
        </w:tc>
      </w:tr>
    </w:tbl>
    <w:p w14:paraId="05847B3F">
      <w:pPr>
        <w:spacing w:line="360" w:lineRule="auto"/>
        <w:rPr>
          <w:rFonts w:hint="eastAsia" w:ascii="宋体" w:hAnsi="宋体" w:eastAsia="宋体" w:cs="宋体"/>
          <w:color w:val="auto"/>
          <w:sz w:val="24"/>
          <w:highlight w:val="none"/>
        </w:rPr>
      </w:pPr>
    </w:p>
    <w:p w14:paraId="12CF467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说明：1、</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严格按照规定的格式填写。投标总价为优惠后报价，并作为评审及定标的依据。</w:t>
      </w:r>
    </w:p>
    <w:p w14:paraId="5EB748A9">
      <w:pPr>
        <w:numPr>
          <w:ilvl w:val="0"/>
          <w:numId w:val="5"/>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任何有选择或有条件的投标总价或表中某一包填写多个报价，均将导致投标被拒绝。</w:t>
      </w:r>
    </w:p>
    <w:p w14:paraId="178FE7D3">
      <w:pPr>
        <w:pStyle w:val="58"/>
        <w:adjustRightInd w:val="0"/>
        <w:snapToGrid w:val="0"/>
        <w:spacing w:line="500" w:lineRule="exact"/>
        <w:rPr>
          <w:rFonts w:hint="eastAsia" w:ascii="宋体" w:hAnsi="宋体" w:eastAsia="宋体" w:cs="宋体"/>
          <w:color w:val="auto"/>
          <w:sz w:val="24"/>
          <w:szCs w:val="24"/>
          <w:highlight w:val="none"/>
        </w:rPr>
      </w:pPr>
    </w:p>
    <w:p w14:paraId="08F7F0DC">
      <w:pPr>
        <w:pStyle w:val="58"/>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法定代表人（签章）：</w:t>
      </w:r>
      <w:r>
        <w:rPr>
          <w:rFonts w:hint="eastAsia" w:ascii="宋体" w:hAnsi="宋体" w:eastAsia="宋体" w:cs="宋体"/>
          <w:color w:val="auto"/>
          <w:sz w:val="24"/>
          <w:szCs w:val="24"/>
          <w:highlight w:val="none"/>
          <w:u w:val="single"/>
        </w:rPr>
        <w:t xml:space="preserve">                  </w:t>
      </w:r>
    </w:p>
    <w:p w14:paraId="0529683E">
      <w:pPr>
        <w:pStyle w:val="58"/>
        <w:adjustRightInd w:val="0"/>
        <w:snapToGrid w:val="0"/>
        <w:spacing w:line="500" w:lineRule="exact"/>
        <w:rPr>
          <w:rFonts w:hint="eastAsia" w:ascii="宋体" w:hAnsi="宋体" w:eastAsia="宋体" w:cs="宋体"/>
          <w:color w:val="auto"/>
          <w:sz w:val="24"/>
          <w:szCs w:val="24"/>
          <w:highlight w:val="none"/>
        </w:rPr>
      </w:pPr>
    </w:p>
    <w:p w14:paraId="666CA6C8">
      <w:pPr>
        <w:pStyle w:val="58"/>
        <w:adjustRightInd w:val="0"/>
        <w:snapToGrid w:val="0"/>
        <w:spacing w:line="500" w:lineRule="exact"/>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名称（签章）：</w:t>
      </w:r>
      <w:r>
        <w:rPr>
          <w:rFonts w:hint="eastAsia" w:ascii="宋体" w:hAnsi="宋体" w:eastAsia="宋体" w:cs="宋体"/>
          <w:color w:val="auto"/>
          <w:sz w:val="24"/>
          <w:szCs w:val="24"/>
          <w:highlight w:val="none"/>
          <w:u w:val="single"/>
        </w:rPr>
        <w:t xml:space="preserve">                       </w:t>
      </w:r>
    </w:p>
    <w:p w14:paraId="263CFE37">
      <w:pPr>
        <w:spacing w:line="360" w:lineRule="auto"/>
        <w:ind w:right="480"/>
        <w:rPr>
          <w:rFonts w:hint="eastAsia" w:ascii="宋体" w:hAnsi="宋体" w:eastAsia="宋体" w:cs="宋体"/>
          <w:color w:val="auto"/>
          <w:sz w:val="24"/>
          <w:szCs w:val="24"/>
          <w:highlight w:val="none"/>
        </w:rPr>
      </w:pPr>
    </w:p>
    <w:p w14:paraId="0EE6E98D">
      <w:pPr>
        <w:spacing w:line="360" w:lineRule="auto"/>
        <w:ind w:righ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14:paraId="3FE4A52E">
      <w:pPr>
        <w:spacing w:line="360" w:lineRule="auto"/>
        <w:rPr>
          <w:rFonts w:hint="eastAsia" w:ascii="宋体" w:hAnsi="宋体" w:eastAsia="宋体" w:cs="宋体"/>
          <w:b/>
          <w:bCs/>
          <w:color w:val="auto"/>
          <w:sz w:val="24"/>
          <w:highlight w:val="none"/>
        </w:rPr>
      </w:pPr>
    </w:p>
    <w:p w14:paraId="1967D1A3">
      <w:pPr>
        <w:spacing w:line="360" w:lineRule="auto"/>
        <w:rPr>
          <w:rFonts w:hint="eastAsia" w:ascii="宋体" w:hAnsi="宋体" w:eastAsia="宋体" w:cs="宋体"/>
          <w:color w:val="auto"/>
          <w:sz w:val="24"/>
          <w:highlight w:val="none"/>
        </w:rPr>
      </w:pPr>
    </w:p>
    <w:p w14:paraId="16FC8061">
      <w:pPr>
        <w:spacing w:line="360" w:lineRule="auto"/>
        <w:rPr>
          <w:rFonts w:hint="eastAsia" w:ascii="宋体" w:hAnsi="宋体" w:eastAsia="宋体" w:cs="宋体"/>
          <w:color w:val="auto"/>
          <w:sz w:val="24"/>
          <w:highlight w:val="none"/>
        </w:rPr>
      </w:pPr>
    </w:p>
    <w:p w14:paraId="5A7BE1C9">
      <w:pPr>
        <w:spacing w:line="360" w:lineRule="auto"/>
        <w:rPr>
          <w:rFonts w:hint="eastAsia" w:ascii="宋体" w:hAnsi="宋体" w:eastAsia="宋体" w:cs="宋体"/>
          <w:color w:val="auto"/>
          <w:sz w:val="24"/>
          <w:highlight w:val="none"/>
        </w:rPr>
      </w:pPr>
    </w:p>
    <w:p w14:paraId="7381620E">
      <w:pPr>
        <w:spacing w:line="360" w:lineRule="auto"/>
        <w:rPr>
          <w:rFonts w:hint="eastAsia" w:ascii="宋体" w:hAnsi="宋体" w:eastAsia="宋体" w:cs="宋体"/>
          <w:color w:val="auto"/>
          <w:sz w:val="24"/>
          <w:highlight w:val="none"/>
        </w:rPr>
      </w:pPr>
    </w:p>
    <w:p w14:paraId="20A42B23">
      <w:pPr>
        <w:pStyle w:val="21"/>
        <w:rPr>
          <w:rFonts w:hint="eastAsia" w:ascii="宋体" w:hAnsi="宋体" w:eastAsia="宋体" w:cs="宋体"/>
          <w:color w:val="auto"/>
          <w:highlight w:val="none"/>
        </w:rPr>
      </w:pPr>
    </w:p>
    <w:p w14:paraId="3D79B382">
      <w:pPr>
        <w:pStyle w:val="20"/>
        <w:spacing w:after="0" w:line="360" w:lineRule="auto"/>
        <w:ind w:left="479" w:hanging="479" w:hangingChars="199"/>
        <w:outlineLvl w:val="2"/>
        <w:rPr>
          <w:rFonts w:hint="eastAsia" w:ascii="宋体" w:hAnsi="宋体" w:eastAsia="宋体" w:cs="宋体"/>
          <w:b/>
          <w:color w:val="auto"/>
          <w:sz w:val="24"/>
          <w:highlight w:val="none"/>
        </w:rPr>
      </w:pPr>
      <w:bookmarkStart w:id="279" w:name="_Toc15289"/>
      <w:bookmarkStart w:id="280" w:name="_Toc480368435"/>
      <w:r>
        <w:rPr>
          <w:rFonts w:hint="eastAsia" w:ascii="宋体" w:hAnsi="宋体" w:eastAsia="宋体" w:cs="宋体"/>
          <w:b/>
          <w:color w:val="auto"/>
          <w:sz w:val="24"/>
          <w:highlight w:val="none"/>
          <w:lang w:val="en-US" w:eastAsia="zh-CN"/>
        </w:rPr>
        <w:t>2.4</w:t>
      </w:r>
      <w:r>
        <w:rPr>
          <w:rFonts w:hint="eastAsia" w:ascii="宋体" w:hAnsi="宋体" w:eastAsia="宋体" w:cs="宋体"/>
          <w:b/>
          <w:color w:val="auto"/>
          <w:sz w:val="24"/>
          <w:highlight w:val="none"/>
        </w:rPr>
        <w:t>报价明细表</w:t>
      </w:r>
      <w:bookmarkEnd w:id="279"/>
      <w:bookmarkEnd w:id="280"/>
    </w:p>
    <w:p w14:paraId="1F28606D">
      <w:pPr>
        <w:pStyle w:val="22"/>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价格单位：元</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516"/>
        <w:gridCol w:w="1515"/>
        <w:gridCol w:w="925"/>
        <w:gridCol w:w="1186"/>
        <w:gridCol w:w="944"/>
        <w:gridCol w:w="1804"/>
        <w:gridCol w:w="819"/>
      </w:tblGrid>
      <w:tr w14:paraId="24F20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888" w:type="dxa"/>
            <w:noWrap w:val="0"/>
            <w:vAlign w:val="center"/>
          </w:tcPr>
          <w:p w14:paraId="75302D2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516" w:type="dxa"/>
            <w:noWrap w:val="0"/>
            <w:vAlign w:val="center"/>
          </w:tcPr>
          <w:p w14:paraId="0017EF0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报价项目</w:t>
            </w:r>
          </w:p>
        </w:tc>
        <w:tc>
          <w:tcPr>
            <w:tcW w:w="1515" w:type="dxa"/>
            <w:noWrap w:val="0"/>
            <w:vAlign w:val="center"/>
          </w:tcPr>
          <w:p w14:paraId="0DB4D22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内容</w:t>
            </w:r>
          </w:p>
        </w:tc>
        <w:tc>
          <w:tcPr>
            <w:tcW w:w="925" w:type="dxa"/>
            <w:noWrap w:val="0"/>
            <w:vAlign w:val="center"/>
          </w:tcPr>
          <w:p w14:paraId="4B475CF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186" w:type="dxa"/>
            <w:noWrap w:val="0"/>
            <w:vAlign w:val="center"/>
          </w:tcPr>
          <w:p w14:paraId="6D352A27">
            <w:pPr>
              <w:spacing w:line="360" w:lineRule="auto"/>
              <w:ind w:firstLine="120" w:firstLineChar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单价</w:t>
            </w:r>
          </w:p>
        </w:tc>
        <w:tc>
          <w:tcPr>
            <w:tcW w:w="944" w:type="dxa"/>
            <w:noWrap w:val="0"/>
            <w:vAlign w:val="center"/>
          </w:tcPr>
          <w:p w14:paraId="71A1CD5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总价</w:t>
            </w:r>
          </w:p>
        </w:tc>
        <w:tc>
          <w:tcPr>
            <w:tcW w:w="1804" w:type="dxa"/>
            <w:noWrap w:val="0"/>
            <w:vAlign w:val="center"/>
          </w:tcPr>
          <w:p w14:paraId="3F828B1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取费标准</w:t>
            </w:r>
          </w:p>
          <w:p w14:paraId="0298858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tc>
        <w:tc>
          <w:tcPr>
            <w:tcW w:w="819" w:type="dxa"/>
            <w:noWrap w:val="0"/>
            <w:vAlign w:val="center"/>
          </w:tcPr>
          <w:p w14:paraId="1BF9201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3196F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88" w:type="dxa"/>
            <w:noWrap w:val="0"/>
            <w:vAlign w:val="top"/>
          </w:tcPr>
          <w:p w14:paraId="70501FEB">
            <w:pPr>
              <w:spacing w:line="360" w:lineRule="auto"/>
              <w:rPr>
                <w:rFonts w:hint="eastAsia" w:ascii="宋体" w:hAnsi="宋体" w:eastAsia="宋体" w:cs="宋体"/>
                <w:b/>
                <w:color w:val="auto"/>
                <w:sz w:val="24"/>
                <w:highlight w:val="none"/>
              </w:rPr>
            </w:pPr>
          </w:p>
        </w:tc>
        <w:tc>
          <w:tcPr>
            <w:tcW w:w="1516" w:type="dxa"/>
            <w:noWrap w:val="0"/>
            <w:vAlign w:val="top"/>
          </w:tcPr>
          <w:p w14:paraId="7C4B1666">
            <w:pPr>
              <w:spacing w:line="360" w:lineRule="auto"/>
              <w:rPr>
                <w:rFonts w:hint="eastAsia" w:ascii="宋体" w:hAnsi="宋体" w:eastAsia="宋体" w:cs="宋体"/>
                <w:b/>
                <w:color w:val="auto"/>
                <w:sz w:val="24"/>
                <w:highlight w:val="none"/>
              </w:rPr>
            </w:pPr>
          </w:p>
        </w:tc>
        <w:tc>
          <w:tcPr>
            <w:tcW w:w="1515" w:type="dxa"/>
            <w:noWrap w:val="0"/>
            <w:vAlign w:val="top"/>
          </w:tcPr>
          <w:p w14:paraId="42F49E4A">
            <w:pPr>
              <w:spacing w:line="360" w:lineRule="auto"/>
              <w:rPr>
                <w:rFonts w:hint="eastAsia" w:ascii="宋体" w:hAnsi="宋体" w:eastAsia="宋体" w:cs="宋体"/>
                <w:b/>
                <w:color w:val="auto"/>
                <w:sz w:val="24"/>
                <w:highlight w:val="none"/>
              </w:rPr>
            </w:pPr>
          </w:p>
        </w:tc>
        <w:tc>
          <w:tcPr>
            <w:tcW w:w="925" w:type="dxa"/>
            <w:noWrap w:val="0"/>
            <w:vAlign w:val="top"/>
          </w:tcPr>
          <w:p w14:paraId="5E8A8DCA">
            <w:pPr>
              <w:spacing w:line="360" w:lineRule="auto"/>
              <w:rPr>
                <w:rFonts w:hint="eastAsia" w:ascii="宋体" w:hAnsi="宋体" w:eastAsia="宋体" w:cs="宋体"/>
                <w:b/>
                <w:color w:val="auto"/>
                <w:sz w:val="24"/>
                <w:highlight w:val="none"/>
              </w:rPr>
            </w:pPr>
          </w:p>
        </w:tc>
        <w:tc>
          <w:tcPr>
            <w:tcW w:w="1186" w:type="dxa"/>
            <w:noWrap w:val="0"/>
            <w:vAlign w:val="top"/>
          </w:tcPr>
          <w:p w14:paraId="2B719CB9">
            <w:pPr>
              <w:spacing w:line="360" w:lineRule="auto"/>
              <w:rPr>
                <w:rFonts w:hint="eastAsia" w:ascii="宋体" w:hAnsi="宋体" w:eastAsia="宋体" w:cs="宋体"/>
                <w:b/>
                <w:color w:val="auto"/>
                <w:sz w:val="24"/>
                <w:highlight w:val="none"/>
              </w:rPr>
            </w:pPr>
          </w:p>
        </w:tc>
        <w:tc>
          <w:tcPr>
            <w:tcW w:w="944" w:type="dxa"/>
            <w:noWrap w:val="0"/>
            <w:vAlign w:val="top"/>
          </w:tcPr>
          <w:p w14:paraId="27EE7AAC">
            <w:pPr>
              <w:spacing w:line="360" w:lineRule="auto"/>
              <w:rPr>
                <w:rFonts w:hint="eastAsia" w:ascii="宋体" w:hAnsi="宋体" w:eastAsia="宋体" w:cs="宋体"/>
                <w:b/>
                <w:color w:val="auto"/>
                <w:sz w:val="24"/>
                <w:highlight w:val="none"/>
              </w:rPr>
            </w:pPr>
          </w:p>
        </w:tc>
        <w:tc>
          <w:tcPr>
            <w:tcW w:w="1804" w:type="dxa"/>
            <w:noWrap w:val="0"/>
            <w:vAlign w:val="top"/>
          </w:tcPr>
          <w:p w14:paraId="1AAE9DB6">
            <w:pPr>
              <w:spacing w:line="360" w:lineRule="auto"/>
              <w:rPr>
                <w:rFonts w:hint="eastAsia" w:ascii="宋体" w:hAnsi="宋体" w:eastAsia="宋体" w:cs="宋体"/>
                <w:b/>
                <w:color w:val="auto"/>
                <w:sz w:val="24"/>
                <w:highlight w:val="none"/>
              </w:rPr>
            </w:pPr>
          </w:p>
        </w:tc>
        <w:tc>
          <w:tcPr>
            <w:tcW w:w="819" w:type="dxa"/>
            <w:noWrap w:val="0"/>
            <w:vAlign w:val="top"/>
          </w:tcPr>
          <w:p w14:paraId="5D4F7893">
            <w:pPr>
              <w:spacing w:line="360" w:lineRule="auto"/>
              <w:rPr>
                <w:rFonts w:hint="eastAsia" w:ascii="宋体" w:hAnsi="宋体" w:eastAsia="宋体" w:cs="宋体"/>
                <w:b/>
                <w:color w:val="auto"/>
                <w:sz w:val="24"/>
                <w:highlight w:val="none"/>
              </w:rPr>
            </w:pPr>
          </w:p>
        </w:tc>
      </w:tr>
      <w:tr w14:paraId="5490D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88" w:type="dxa"/>
            <w:noWrap w:val="0"/>
            <w:vAlign w:val="top"/>
          </w:tcPr>
          <w:p w14:paraId="0AC774C6">
            <w:pPr>
              <w:spacing w:line="360" w:lineRule="auto"/>
              <w:rPr>
                <w:rFonts w:hint="eastAsia" w:ascii="宋体" w:hAnsi="宋体" w:eastAsia="宋体" w:cs="宋体"/>
                <w:b/>
                <w:color w:val="auto"/>
                <w:sz w:val="24"/>
                <w:highlight w:val="none"/>
              </w:rPr>
            </w:pPr>
          </w:p>
        </w:tc>
        <w:tc>
          <w:tcPr>
            <w:tcW w:w="1516" w:type="dxa"/>
            <w:noWrap w:val="0"/>
            <w:vAlign w:val="top"/>
          </w:tcPr>
          <w:p w14:paraId="78FADD32">
            <w:pPr>
              <w:spacing w:line="360" w:lineRule="auto"/>
              <w:rPr>
                <w:rFonts w:hint="eastAsia" w:ascii="宋体" w:hAnsi="宋体" w:eastAsia="宋体" w:cs="宋体"/>
                <w:b/>
                <w:color w:val="auto"/>
                <w:sz w:val="24"/>
                <w:highlight w:val="none"/>
              </w:rPr>
            </w:pPr>
          </w:p>
        </w:tc>
        <w:tc>
          <w:tcPr>
            <w:tcW w:w="1515" w:type="dxa"/>
            <w:noWrap w:val="0"/>
            <w:vAlign w:val="top"/>
          </w:tcPr>
          <w:p w14:paraId="6EF2C712">
            <w:pPr>
              <w:spacing w:line="360" w:lineRule="auto"/>
              <w:rPr>
                <w:rFonts w:hint="eastAsia" w:ascii="宋体" w:hAnsi="宋体" w:eastAsia="宋体" w:cs="宋体"/>
                <w:b/>
                <w:color w:val="auto"/>
                <w:sz w:val="24"/>
                <w:highlight w:val="none"/>
              </w:rPr>
            </w:pPr>
          </w:p>
        </w:tc>
        <w:tc>
          <w:tcPr>
            <w:tcW w:w="925" w:type="dxa"/>
            <w:noWrap w:val="0"/>
            <w:vAlign w:val="top"/>
          </w:tcPr>
          <w:p w14:paraId="78B7B7EE">
            <w:pPr>
              <w:spacing w:line="360" w:lineRule="auto"/>
              <w:rPr>
                <w:rFonts w:hint="eastAsia" w:ascii="宋体" w:hAnsi="宋体" w:eastAsia="宋体" w:cs="宋体"/>
                <w:b/>
                <w:color w:val="auto"/>
                <w:sz w:val="24"/>
                <w:highlight w:val="none"/>
              </w:rPr>
            </w:pPr>
          </w:p>
        </w:tc>
        <w:tc>
          <w:tcPr>
            <w:tcW w:w="1186" w:type="dxa"/>
            <w:noWrap w:val="0"/>
            <w:vAlign w:val="top"/>
          </w:tcPr>
          <w:p w14:paraId="18856C21">
            <w:pPr>
              <w:spacing w:line="360" w:lineRule="auto"/>
              <w:rPr>
                <w:rFonts w:hint="eastAsia" w:ascii="宋体" w:hAnsi="宋体" w:eastAsia="宋体" w:cs="宋体"/>
                <w:b/>
                <w:color w:val="auto"/>
                <w:sz w:val="24"/>
                <w:highlight w:val="none"/>
              </w:rPr>
            </w:pPr>
          </w:p>
        </w:tc>
        <w:tc>
          <w:tcPr>
            <w:tcW w:w="944" w:type="dxa"/>
            <w:noWrap w:val="0"/>
            <w:vAlign w:val="top"/>
          </w:tcPr>
          <w:p w14:paraId="0A38F0E4">
            <w:pPr>
              <w:spacing w:line="360" w:lineRule="auto"/>
              <w:rPr>
                <w:rFonts w:hint="eastAsia" w:ascii="宋体" w:hAnsi="宋体" w:eastAsia="宋体" w:cs="宋体"/>
                <w:b/>
                <w:color w:val="auto"/>
                <w:sz w:val="24"/>
                <w:highlight w:val="none"/>
              </w:rPr>
            </w:pPr>
          </w:p>
        </w:tc>
        <w:tc>
          <w:tcPr>
            <w:tcW w:w="1804" w:type="dxa"/>
            <w:noWrap w:val="0"/>
            <w:vAlign w:val="top"/>
          </w:tcPr>
          <w:p w14:paraId="04913B59">
            <w:pPr>
              <w:spacing w:line="360" w:lineRule="auto"/>
              <w:rPr>
                <w:rFonts w:hint="eastAsia" w:ascii="宋体" w:hAnsi="宋体" w:eastAsia="宋体" w:cs="宋体"/>
                <w:b/>
                <w:color w:val="auto"/>
                <w:sz w:val="24"/>
                <w:highlight w:val="none"/>
              </w:rPr>
            </w:pPr>
          </w:p>
        </w:tc>
        <w:tc>
          <w:tcPr>
            <w:tcW w:w="819" w:type="dxa"/>
            <w:noWrap w:val="0"/>
            <w:vAlign w:val="top"/>
          </w:tcPr>
          <w:p w14:paraId="0E5242BF">
            <w:pPr>
              <w:spacing w:line="360" w:lineRule="auto"/>
              <w:rPr>
                <w:rFonts w:hint="eastAsia" w:ascii="宋体" w:hAnsi="宋体" w:eastAsia="宋体" w:cs="宋体"/>
                <w:b/>
                <w:color w:val="auto"/>
                <w:sz w:val="24"/>
                <w:highlight w:val="none"/>
              </w:rPr>
            </w:pPr>
          </w:p>
        </w:tc>
      </w:tr>
      <w:tr w14:paraId="086CD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88" w:type="dxa"/>
            <w:noWrap w:val="0"/>
            <w:vAlign w:val="top"/>
          </w:tcPr>
          <w:p w14:paraId="1476C148">
            <w:pPr>
              <w:spacing w:line="360" w:lineRule="auto"/>
              <w:rPr>
                <w:rFonts w:hint="eastAsia" w:ascii="宋体" w:hAnsi="宋体" w:eastAsia="宋体" w:cs="宋体"/>
                <w:b/>
                <w:color w:val="auto"/>
                <w:sz w:val="24"/>
                <w:highlight w:val="none"/>
              </w:rPr>
            </w:pPr>
          </w:p>
        </w:tc>
        <w:tc>
          <w:tcPr>
            <w:tcW w:w="1516" w:type="dxa"/>
            <w:noWrap w:val="0"/>
            <w:vAlign w:val="top"/>
          </w:tcPr>
          <w:p w14:paraId="7608DE22">
            <w:pPr>
              <w:spacing w:line="360" w:lineRule="auto"/>
              <w:rPr>
                <w:rFonts w:hint="eastAsia" w:ascii="宋体" w:hAnsi="宋体" w:eastAsia="宋体" w:cs="宋体"/>
                <w:b/>
                <w:color w:val="auto"/>
                <w:sz w:val="24"/>
                <w:highlight w:val="none"/>
              </w:rPr>
            </w:pPr>
          </w:p>
        </w:tc>
        <w:tc>
          <w:tcPr>
            <w:tcW w:w="1515" w:type="dxa"/>
            <w:noWrap w:val="0"/>
            <w:vAlign w:val="top"/>
          </w:tcPr>
          <w:p w14:paraId="7441A86C">
            <w:pPr>
              <w:spacing w:line="360" w:lineRule="auto"/>
              <w:rPr>
                <w:rFonts w:hint="eastAsia" w:ascii="宋体" w:hAnsi="宋体" w:eastAsia="宋体" w:cs="宋体"/>
                <w:b/>
                <w:color w:val="auto"/>
                <w:sz w:val="24"/>
                <w:highlight w:val="none"/>
              </w:rPr>
            </w:pPr>
          </w:p>
        </w:tc>
        <w:tc>
          <w:tcPr>
            <w:tcW w:w="925" w:type="dxa"/>
            <w:noWrap w:val="0"/>
            <w:vAlign w:val="top"/>
          </w:tcPr>
          <w:p w14:paraId="3E88CE40">
            <w:pPr>
              <w:spacing w:line="360" w:lineRule="auto"/>
              <w:rPr>
                <w:rFonts w:hint="eastAsia" w:ascii="宋体" w:hAnsi="宋体" w:eastAsia="宋体" w:cs="宋体"/>
                <w:b/>
                <w:color w:val="auto"/>
                <w:sz w:val="24"/>
                <w:highlight w:val="none"/>
              </w:rPr>
            </w:pPr>
          </w:p>
        </w:tc>
        <w:tc>
          <w:tcPr>
            <w:tcW w:w="1186" w:type="dxa"/>
            <w:noWrap w:val="0"/>
            <w:vAlign w:val="top"/>
          </w:tcPr>
          <w:p w14:paraId="5B927EB9">
            <w:pPr>
              <w:spacing w:line="360" w:lineRule="auto"/>
              <w:rPr>
                <w:rFonts w:hint="eastAsia" w:ascii="宋体" w:hAnsi="宋体" w:eastAsia="宋体" w:cs="宋体"/>
                <w:b/>
                <w:color w:val="auto"/>
                <w:sz w:val="24"/>
                <w:highlight w:val="none"/>
              </w:rPr>
            </w:pPr>
          </w:p>
        </w:tc>
        <w:tc>
          <w:tcPr>
            <w:tcW w:w="944" w:type="dxa"/>
            <w:noWrap w:val="0"/>
            <w:vAlign w:val="top"/>
          </w:tcPr>
          <w:p w14:paraId="3CF3DAB3">
            <w:pPr>
              <w:spacing w:line="360" w:lineRule="auto"/>
              <w:rPr>
                <w:rFonts w:hint="eastAsia" w:ascii="宋体" w:hAnsi="宋体" w:eastAsia="宋体" w:cs="宋体"/>
                <w:b/>
                <w:color w:val="auto"/>
                <w:sz w:val="24"/>
                <w:highlight w:val="none"/>
              </w:rPr>
            </w:pPr>
          </w:p>
        </w:tc>
        <w:tc>
          <w:tcPr>
            <w:tcW w:w="1804" w:type="dxa"/>
            <w:noWrap w:val="0"/>
            <w:vAlign w:val="top"/>
          </w:tcPr>
          <w:p w14:paraId="286CBDB7">
            <w:pPr>
              <w:spacing w:line="360" w:lineRule="auto"/>
              <w:rPr>
                <w:rFonts w:hint="eastAsia" w:ascii="宋体" w:hAnsi="宋体" w:eastAsia="宋体" w:cs="宋体"/>
                <w:b/>
                <w:color w:val="auto"/>
                <w:sz w:val="24"/>
                <w:highlight w:val="none"/>
              </w:rPr>
            </w:pPr>
          </w:p>
        </w:tc>
        <w:tc>
          <w:tcPr>
            <w:tcW w:w="819" w:type="dxa"/>
            <w:noWrap w:val="0"/>
            <w:vAlign w:val="top"/>
          </w:tcPr>
          <w:p w14:paraId="370932C4">
            <w:pPr>
              <w:spacing w:line="360" w:lineRule="auto"/>
              <w:rPr>
                <w:rFonts w:hint="eastAsia" w:ascii="宋体" w:hAnsi="宋体" w:eastAsia="宋体" w:cs="宋体"/>
                <w:b/>
                <w:color w:val="auto"/>
                <w:sz w:val="24"/>
                <w:highlight w:val="none"/>
              </w:rPr>
            </w:pPr>
          </w:p>
        </w:tc>
      </w:tr>
      <w:tr w14:paraId="5AAB2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88" w:type="dxa"/>
            <w:noWrap w:val="0"/>
            <w:vAlign w:val="top"/>
          </w:tcPr>
          <w:p w14:paraId="33ACAE1A">
            <w:pPr>
              <w:spacing w:line="360" w:lineRule="auto"/>
              <w:rPr>
                <w:rFonts w:hint="eastAsia" w:ascii="宋体" w:hAnsi="宋体" w:eastAsia="宋体" w:cs="宋体"/>
                <w:b/>
                <w:color w:val="auto"/>
                <w:sz w:val="24"/>
                <w:highlight w:val="none"/>
              </w:rPr>
            </w:pPr>
          </w:p>
        </w:tc>
        <w:tc>
          <w:tcPr>
            <w:tcW w:w="1516" w:type="dxa"/>
            <w:noWrap w:val="0"/>
            <w:vAlign w:val="top"/>
          </w:tcPr>
          <w:p w14:paraId="42E0BFF4">
            <w:pPr>
              <w:spacing w:line="360" w:lineRule="auto"/>
              <w:rPr>
                <w:rFonts w:hint="eastAsia" w:ascii="宋体" w:hAnsi="宋体" w:eastAsia="宋体" w:cs="宋体"/>
                <w:b/>
                <w:color w:val="auto"/>
                <w:sz w:val="24"/>
                <w:highlight w:val="none"/>
              </w:rPr>
            </w:pPr>
          </w:p>
        </w:tc>
        <w:tc>
          <w:tcPr>
            <w:tcW w:w="1515" w:type="dxa"/>
            <w:noWrap w:val="0"/>
            <w:vAlign w:val="top"/>
          </w:tcPr>
          <w:p w14:paraId="5F176CBD">
            <w:pPr>
              <w:spacing w:line="360" w:lineRule="auto"/>
              <w:rPr>
                <w:rFonts w:hint="eastAsia" w:ascii="宋体" w:hAnsi="宋体" w:eastAsia="宋体" w:cs="宋体"/>
                <w:b/>
                <w:color w:val="auto"/>
                <w:sz w:val="24"/>
                <w:highlight w:val="none"/>
              </w:rPr>
            </w:pPr>
          </w:p>
        </w:tc>
        <w:tc>
          <w:tcPr>
            <w:tcW w:w="925" w:type="dxa"/>
            <w:noWrap w:val="0"/>
            <w:vAlign w:val="top"/>
          </w:tcPr>
          <w:p w14:paraId="1D822235">
            <w:pPr>
              <w:spacing w:line="360" w:lineRule="auto"/>
              <w:rPr>
                <w:rFonts w:hint="eastAsia" w:ascii="宋体" w:hAnsi="宋体" w:eastAsia="宋体" w:cs="宋体"/>
                <w:b/>
                <w:color w:val="auto"/>
                <w:sz w:val="24"/>
                <w:highlight w:val="none"/>
              </w:rPr>
            </w:pPr>
          </w:p>
        </w:tc>
        <w:tc>
          <w:tcPr>
            <w:tcW w:w="1186" w:type="dxa"/>
            <w:noWrap w:val="0"/>
            <w:vAlign w:val="top"/>
          </w:tcPr>
          <w:p w14:paraId="1E2C812D">
            <w:pPr>
              <w:spacing w:line="360" w:lineRule="auto"/>
              <w:rPr>
                <w:rFonts w:hint="eastAsia" w:ascii="宋体" w:hAnsi="宋体" w:eastAsia="宋体" w:cs="宋体"/>
                <w:b/>
                <w:color w:val="auto"/>
                <w:sz w:val="24"/>
                <w:highlight w:val="none"/>
              </w:rPr>
            </w:pPr>
          </w:p>
        </w:tc>
        <w:tc>
          <w:tcPr>
            <w:tcW w:w="944" w:type="dxa"/>
            <w:noWrap w:val="0"/>
            <w:vAlign w:val="top"/>
          </w:tcPr>
          <w:p w14:paraId="26651773">
            <w:pPr>
              <w:spacing w:line="360" w:lineRule="auto"/>
              <w:rPr>
                <w:rFonts w:hint="eastAsia" w:ascii="宋体" w:hAnsi="宋体" w:eastAsia="宋体" w:cs="宋体"/>
                <w:b/>
                <w:color w:val="auto"/>
                <w:sz w:val="24"/>
                <w:highlight w:val="none"/>
              </w:rPr>
            </w:pPr>
          </w:p>
        </w:tc>
        <w:tc>
          <w:tcPr>
            <w:tcW w:w="1804" w:type="dxa"/>
            <w:noWrap w:val="0"/>
            <w:vAlign w:val="top"/>
          </w:tcPr>
          <w:p w14:paraId="61B94D5C">
            <w:pPr>
              <w:spacing w:line="360" w:lineRule="auto"/>
              <w:rPr>
                <w:rFonts w:hint="eastAsia" w:ascii="宋体" w:hAnsi="宋体" w:eastAsia="宋体" w:cs="宋体"/>
                <w:b/>
                <w:color w:val="auto"/>
                <w:sz w:val="24"/>
                <w:highlight w:val="none"/>
              </w:rPr>
            </w:pPr>
          </w:p>
        </w:tc>
        <w:tc>
          <w:tcPr>
            <w:tcW w:w="819" w:type="dxa"/>
            <w:noWrap w:val="0"/>
            <w:vAlign w:val="top"/>
          </w:tcPr>
          <w:p w14:paraId="2D2B5C76">
            <w:pPr>
              <w:spacing w:line="360" w:lineRule="auto"/>
              <w:rPr>
                <w:rFonts w:hint="eastAsia" w:ascii="宋体" w:hAnsi="宋体" w:eastAsia="宋体" w:cs="宋体"/>
                <w:b/>
                <w:color w:val="auto"/>
                <w:sz w:val="24"/>
                <w:highlight w:val="none"/>
              </w:rPr>
            </w:pPr>
          </w:p>
        </w:tc>
      </w:tr>
      <w:tr w14:paraId="22F08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88" w:type="dxa"/>
            <w:noWrap w:val="0"/>
            <w:vAlign w:val="top"/>
          </w:tcPr>
          <w:p w14:paraId="3E29D543">
            <w:pPr>
              <w:spacing w:line="360" w:lineRule="auto"/>
              <w:rPr>
                <w:rFonts w:hint="eastAsia" w:ascii="宋体" w:hAnsi="宋体" w:eastAsia="宋体" w:cs="宋体"/>
                <w:b/>
                <w:color w:val="auto"/>
                <w:sz w:val="24"/>
                <w:highlight w:val="none"/>
              </w:rPr>
            </w:pPr>
          </w:p>
        </w:tc>
        <w:tc>
          <w:tcPr>
            <w:tcW w:w="1516" w:type="dxa"/>
            <w:noWrap w:val="0"/>
            <w:vAlign w:val="top"/>
          </w:tcPr>
          <w:p w14:paraId="02DF5C27">
            <w:pPr>
              <w:spacing w:line="360" w:lineRule="auto"/>
              <w:rPr>
                <w:rFonts w:hint="eastAsia" w:ascii="宋体" w:hAnsi="宋体" w:eastAsia="宋体" w:cs="宋体"/>
                <w:b/>
                <w:color w:val="auto"/>
                <w:sz w:val="24"/>
                <w:highlight w:val="none"/>
              </w:rPr>
            </w:pPr>
          </w:p>
        </w:tc>
        <w:tc>
          <w:tcPr>
            <w:tcW w:w="1515" w:type="dxa"/>
            <w:noWrap w:val="0"/>
            <w:vAlign w:val="top"/>
          </w:tcPr>
          <w:p w14:paraId="13D67555">
            <w:pPr>
              <w:spacing w:line="360" w:lineRule="auto"/>
              <w:rPr>
                <w:rFonts w:hint="eastAsia" w:ascii="宋体" w:hAnsi="宋体" w:eastAsia="宋体" w:cs="宋体"/>
                <w:b/>
                <w:color w:val="auto"/>
                <w:sz w:val="24"/>
                <w:highlight w:val="none"/>
              </w:rPr>
            </w:pPr>
          </w:p>
        </w:tc>
        <w:tc>
          <w:tcPr>
            <w:tcW w:w="925" w:type="dxa"/>
            <w:noWrap w:val="0"/>
            <w:vAlign w:val="top"/>
          </w:tcPr>
          <w:p w14:paraId="13D4E24E">
            <w:pPr>
              <w:spacing w:line="360" w:lineRule="auto"/>
              <w:rPr>
                <w:rFonts w:hint="eastAsia" w:ascii="宋体" w:hAnsi="宋体" w:eastAsia="宋体" w:cs="宋体"/>
                <w:b/>
                <w:color w:val="auto"/>
                <w:sz w:val="24"/>
                <w:highlight w:val="none"/>
              </w:rPr>
            </w:pPr>
          </w:p>
        </w:tc>
        <w:tc>
          <w:tcPr>
            <w:tcW w:w="1186" w:type="dxa"/>
            <w:noWrap w:val="0"/>
            <w:vAlign w:val="top"/>
          </w:tcPr>
          <w:p w14:paraId="73D505F7">
            <w:pPr>
              <w:spacing w:line="360" w:lineRule="auto"/>
              <w:rPr>
                <w:rFonts w:hint="eastAsia" w:ascii="宋体" w:hAnsi="宋体" w:eastAsia="宋体" w:cs="宋体"/>
                <w:b/>
                <w:color w:val="auto"/>
                <w:sz w:val="24"/>
                <w:highlight w:val="none"/>
              </w:rPr>
            </w:pPr>
          </w:p>
        </w:tc>
        <w:tc>
          <w:tcPr>
            <w:tcW w:w="944" w:type="dxa"/>
            <w:noWrap w:val="0"/>
            <w:vAlign w:val="top"/>
          </w:tcPr>
          <w:p w14:paraId="48F50743">
            <w:pPr>
              <w:spacing w:line="360" w:lineRule="auto"/>
              <w:rPr>
                <w:rFonts w:hint="eastAsia" w:ascii="宋体" w:hAnsi="宋体" w:eastAsia="宋体" w:cs="宋体"/>
                <w:b/>
                <w:color w:val="auto"/>
                <w:sz w:val="24"/>
                <w:highlight w:val="none"/>
              </w:rPr>
            </w:pPr>
          </w:p>
        </w:tc>
        <w:tc>
          <w:tcPr>
            <w:tcW w:w="1804" w:type="dxa"/>
            <w:noWrap w:val="0"/>
            <w:vAlign w:val="top"/>
          </w:tcPr>
          <w:p w14:paraId="68F9B6D0">
            <w:pPr>
              <w:spacing w:line="360" w:lineRule="auto"/>
              <w:rPr>
                <w:rFonts w:hint="eastAsia" w:ascii="宋体" w:hAnsi="宋体" w:eastAsia="宋体" w:cs="宋体"/>
                <w:b/>
                <w:color w:val="auto"/>
                <w:sz w:val="24"/>
                <w:highlight w:val="none"/>
              </w:rPr>
            </w:pPr>
          </w:p>
        </w:tc>
        <w:tc>
          <w:tcPr>
            <w:tcW w:w="819" w:type="dxa"/>
            <w:noWrap w:val="0"/>
            <w:vAlign w:val="top"/>
          </w:tcPr>
          <w:p w14:paraId="1BE82DEE">
            <w:pPr>
              <w:spacing w:line="360" w:lineRule="auto"/>
              <w:rPr>
                <w:rFonts w:hint="eastAsia" w:ascii="宋体" w:hAnsi="宋体" w:eastAsia="宋体" w:cs="宋体"/>
                <w:b/>
                <w:color w:val="auto"/>
                <w:sz w:val="24"/>
                <w:highlight w:val="none"/>
              </w:rPr>
            </w:pPr>
          </w:p>
        </w:tc>
      </w:tr>
      <w:tr w14:paraId="092CD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88" w:type="dxa"/>
            <w:noWrap w:val="0"/>
            <w:vAlign w:val="top"/>
          </w:tcPr>
          <w:p w14:paraId="69860AE7">
            <w:pPr>
              <w:spacing w:line="360" w:lineRule="auto"/>
              <w:rPr>
                <w:rFonts w:hint="eastAsia" w:ascii="宋体" w:hAnsi="宋体" w:eastAsia="宋体" w:cs="宋体"/>
                <w:b/>
                <w:color w:val="auto"/>
                <w:sz w:val="24"/>
                <w:highlight w:val="none"/>
              </w:rPr>
            </w:pPr>
          </w:p>
        </w:tc>
        <w:tc>
          <w:tcPr>
            <w:tcW w:w="1516" w:type="dxa"/>
            <w:noWrap w:val="0"/>
            <w:vAlign w:val="top"/>
          </w:tcPr>
          <w:p w14:paraId="0A8D6800">
            <w:pPr>
              <w:spacing w:line="360" w:lineRule="auto"/>
              <w:rPr>
                <w:rFonts w:hint="eastAsia" w:ascii="宋体" w:hAnsi="宋体" w:eastAsia="宋体" w:cs="宋体"/>
                <w:b/>
                <w:color w:val="auto"/>
                <w:sz w:val="24"/>
                <w:highlight w:val="none"/>
              </w:rPr>
            </w:pPr>
          </w:p>
        </w:tc>
        <w:tc>
          <w:tcPr>
            <w:tcW w:w="1515" w:type="dxa"/>
            <w:noWrap w:val="0"/>
            <w:vAlign w:val="top"/>
          </w:tcPr>
          <w:p w14:paraId="69BD10AF">
            <w:pPr>
              <w:spacing w:line="360" w:lineRule="auto"/>
              <w:rPr>
                <w:rFonts w:hint="eastAsia" w:ascii="宋体" w:hAnsi="宋体" w:eastAsia="宋体" w:cs="宋体"/>
                <w:b/>
                <w:color w:val="auto"/>
                <w:sz w:val="24"/>
                <w:highlight w:val="none"/>
              </w:rPr>
            </w:pPr>
          </w:p>
        </w:tc>
        <w:tc>
          <w:tcPr>
            <w:tcW w:w="925" w:type="dxa"/>
            <w:noWrap w:val="0"/>
            <w:vAlign w:val="top"/>
          </w:tcPr>
          <w:p w14:paraId="76994EC4">
            <w:pPr>
              <w:spacing w:line="360" w:lineRule="auto"/>
              <w:rPr>
                <w:rFonts w:hint="eastAsia" w:ascii="宋体" w:hAnsi="宋体" w:eastAsia="宋体" w:cs="宋体"/>
                <w:b/>
                <w:color w:val="auto"/>
                <w:sz w:val="24"/>
                <w:highlight w:val="none"/>
              </w:rPr>
            </w:pPr>
          </w:p>
        </w:tc>
        <w:tc>
          <w:tcPr>
            <w:tcW w:w="1186" w:type="dxa"/>
            <w:noWrap w:val="0"/>
            <w:vAlign w:val="top"/>
          </w:tcPr>
          <w:p w14:paraId="39633814">
            <w:pPr>
              <w:spacing w:line="360" w:lineRule="auto"/>
              <w:rPr>
                <w:rFonts w:hint="eastAsia" w:ascii="宋体" w:hAnsi="宋体" w:eastAsia="宋体" w:cs="宋体"/>
                <w:b/>
                <w:color w:val="auto"/>
                <w:sz w:val="24"/>
                <w:highlight w:val="none"/>
              </w:rPr>
            </w:pPr>
          </w:p>
        </w:tc>
        <w:tc>
          <w:tcPr>
            <w:tcW w:w="944" w:type="dxa"/>
            <w:noWrap w:val="0"/>
            <w:vAlign w:val="top"/>
          </w:tcPr>
          <w:p w14:paraId="5E4684E0">
            <w:pPr>
              <w:spacing w:line="360" w:lineRule="auto"/>
              <w:rPr>
                <w:rFonts w:hint="eastAsia" w:ascii="宋体" w:hAnsi="宋体" w:eastAsia="宋体" w:cs="宋体"/>
                <w:b/>
                <w:color w:val="auto"/>
                <w:sz w:val="24"/>
                <w:highlight w:val="none"/>
              </w:rPr>
            </w:pPr>
          </w:p>
        </w:tc>
        <w:tc>
          <w:tcPr>
            <w:tcW w:w="1804" w:type="dxa"/>
            <w:noWrap w:val="0"/>
            <w:vAlign w:val="top"/>
          </w:tcPr>
          <w:p w14:paraId="2DAF3C57">
            <w:pPr>
              <w:spacing w:line="360" w:lineRule="auto"/>
              <w:rPr>
                <w:rFonts w:hint="eastAsia" w:ascii="宋体" w:hAnsi="宋体" w:eastAsia="宋体" w:cs="宋体"/>
                <w:b/>
                <w:color w:val="auto"/>
                <w:sz w:val="24"/>
                <w:highlight w:val="none"/>
              </w:rPr>
            </w:pPr>
          </w:p>
        </w:tc>
        <w:tc>
          <w:tcPr>
            <w:tcW w:w="819" w:type="dxa"/>
            <w:noWrap w:val="0"/>
            <w:vAlign w:val="top"/>
          </w:tcPr>
          <w:p w14:paraId="7B91954D">
            <w:pPr>
              <w:spacing w:line="360" w:lineRule="auto"/>
              <w:rPr>
                <w:rFonts w:hint="eastAsia" w:ascii="宋体" w:hAnsi="宋体" w:eastAsia="宋体" w:cs="宋体"/>
                <w:b/>
                <w:color w:val="auto"/>
                <w:sz w:val="24"/>
                <w:highlight w:val="none"/>
              </w:rPr>
            </w:pPr>
          </w:p>
        </w:tc>
      </w:tr>
      <w:tr w14:paraId="7CC9C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88" w:type="dxa"/>
            <w:noWrap w:val="0"/>
            <w:vAlign w:val="top"/>
          </w:tcPr>
          <w:p w14:paraId="2522E6C4">
            <w:pPr>
              <w:spacing w:line="360" w:lineRule="auto"/>
              <w:rPr>
                <w:rFonts w:hint="eastAsia" w:ascii="宋体" w:hAnsi="宋体" w:eastAsia="宋体" w:cs="宋体"/>
                <w:b/>
                <w:color w:val="auto"/>
                <w:sz w:val="24"/>
                <w:highlight w:val="none"/>
              </w:rPr>
            </w:pPr>
          </w:p>
        </w:tc>
        <w:tc>
          <w:tcPr>
            <w:tcW w:w="1516" w:type="dxa"/>
            <w:noWrap w:val="0"/>
            <w:vAlign w:val="top"/>
          </w:tcPr>
          <w:p w14:paraId="36C5CDBB">
            <w:pPr>
              <w:spacing w:line="360" w:lineRule="auto"/>
              <w:rPr>
                <w:rFonts w:hint="eastAsia" w:ascii="宋体" w:hAnsi="宋体" w:eastAsia="宋体" w:cs="宋体"/>
                <w:b/>
                <w:color w:val="auto"/>
                <w:sz w:val="24"/>
                <w:highlight w:val="none"/>
              </w:rPr>
            </w:pPr>
          </w:p>
        </w:tc>
        <w:tc>
          <w:tcPr>
            <w:tcW w:w="1515" w:type="dxa"/>
            <w:noWrap w:val="0"/>
            <w:vAlign w:val="top"/>
          </w:tcPr>
          <w:p w14:paraId="2497FF18">
            <w:pPr>
              <w:spacing w:line="360" w:lineRule="auto"/>
              <w:rPr>
                <w:rFonts w:hint="eastAsia" w:ascii="宋体" w:hAnsi="宋体" w:eastAsia="宋体" w:cs="宋体"/>
                <w:b/>
                <w:color w:val="auto"/>
                <w:sz w:val="24"/>
                <w:highlight w:val="none"/>
              </w:rPr>
            </w:pPr>
          </w:p>
        </w:tc>
        <w:tc>
          <w:tcPr>
            <w:tcW w:w="925" w:type="dxa"/>
            <w:noWrap w:val="0"/>
            <w:vAlign w:val="top"/>
          </w:tcPr>
          <w:p w14:paraId="298EC335">
            <w:pPr>
              <w:spacing w:line="360" w:lineRule="auto"/>
              <w:rPr>
                <w:rFonts w:hint="eastAsia" w:ascii="宋体" w:hAnsi="宋体" w:eastAsia="宋体" w:cs="宋体"/>
                <w:b/>
                <w:color w:val="auto"/>
                <w:sz w:val="24"/>
                <w:highlight w:val="none"/>
              </w:rPr>
            </w:pPr>
          </w:p>
        </w:tc>
        <w:tc>
          <w:tcPr>
            <w:tcW w:w="1186" w:type="dxa"/>
            <w:noWrap w:val="0"/>
            <w:vAlign w:val="top"/>
          </w:tcPr>
          <w:p w14:paraId="6A23F6B6">
            <w:pPr>
              <w:spacing w:line="360" w:lineRule="auto"/>
              <w:rPr>
                <w:rFonts w:hint="eastAsia" w:ascii="宋体" w:hAnsi="宋体" w:eastAsia="宋体" w:cs="宋体"/>
                <w:b/>
                <w:color w:val="auto"/>
                <w:sz w:val="24"/>
                <w:highlight w:val="none"/>
              </w:rPr>
            </w:pPr>
          </w:p>
        </w:tc>
        <w:tc>
          <w:tcPr>
            <w:tcW w:w="944" w:type="dxa"/>
            <w:noWrap w:val="0"/>
            <w:vAlign w:val="top"/>
          </w:tcPr>
          <w:p w14:paraId="75265329">
            <w:pPr>
              <w:spacing w:line="360" w:lineRule="auto"/>
              <w:rPr>
                <w:rFonts w:hint="eastAsia" w:ascii="宋体" w:hAnsi="宋体" w:eastAsia="宋体" w:cs="宋体"/>
                <w:b/>
                <w:color w:val="auto"/>
                <w:sz w:val="24"/>
                <w:highlight w:val="none"/>
              </w:rPr>
            </w:pPr>
          </w:p>
        </w:tc>
        <w:tc>
          <w:tcPr>
            <w:tcW w:w="1804" w:type="dxa"/>
            <w:noWrap w:val="0"/>
            <w:vAlign w:val="top"/>
          </w:tcPr>
          <w:p w14:paraId="7D54FAB7">
            <w:pPr>
              <w:spacing w:line="360" w:lineRule="auto"/>
              <w:rPr>
                <w:rFonts w:hint="eastAsia" w:ascii="宋体" w:hAnsi="宋体" w:eastAsia="宋体" w:cs="宋体"/>
                <w:b/>
                <w:color w:val="auto"/>
                <w:sz w:val="24"/>
                <w:highlight w:val="none"/>
              </w:rPr>
            </w:pPr>
          </w:p>
        </w:tc>
        <w:tc>
          <w:tcPr>
            <w:tcW w:w="819" w:type="dxa"/>
            <w:noWrap w:val="0"/>
            <w:vAlign w:val="top"/>
          </w:tcPr>
          <w:p w14:paraId="57BDCD92">
            <w:pPr>
              <w:spacing w:line="360" w:lineRule="auto"/>
              <w:rPr>
                <w:rFonts w:hint="eastAsia" w:ascii="宋体" w:hAnsi="宋体" w:eastAsia="宋体" w:cs="宋体"/>
                <w:b/>
                <w:color w:val="auto"/>
                <w:sz w:val="24"/>
                <w:highlight w:val="none"/>
              </w:rPr>
            </w:pPr>
          </w:p>
        </w:tc>
      </w:tr>
      <w:tr w14:paraId="30267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88" w:type="dxa"/>
            <w:noWrap w:val="0"/>
            <w:vAlign w:val="top"/>
          </w:tcPr>
          <w:p w14:paraId="209DD744">
            <w:pPr>
              <w:spacing w:line="360" w:lineRule="auto"/>
              <w:rPr>
                <w:rFonts w:hint="eastAsia" w:ascii="宋体" w:hAnsi="宋体" w:eastAsia="宋体" w:cs="宋体"/>
                <w:b/>
                <w:color w:val="auto"/>
                <w:sz w:val="24"/>
                <w:highlight w:val="none"/>
              </w:rPr>
            </w:pPr>
          </w:p>
        </w:tc>
        <w:tc>
          <w:tcPr>
            <w:tcW w:w="1516" w:type="dxa"/>
            <w:noWrap w:val="0"/>
            <w:vAlign w:val="top"/>
          </w:tcPr>
          <w:p w14:paraId="59BCF4D0">
            <w:pPr>
              <w:spacing w:line="360" w:lineRule="auto"/>
              <w:rPr>
                <w:rFonts w:hint="eastAsia" w:ascii="宋体" w:hAnsi="宋体" w:eastAsia="宋体" w:cs="宋体"/>
                <w:b/>
                <w:color w:val="auto"/>
                <w:sz w:val="24"/>
                <w:highlight w:val="none"/>
              </w:rPr>
            </w:pPr>
          </w:p>
        </w:tc>
        <w:tc>
          <w:tcPr>
            <w:tcW w:w="1515" w:type="dxa"/>
            <w:noWrap w:val="0"/>
            <w:vAlign w:val="top"/>
          </w:tcPr>
          <w:p w14:paraId="398BD1BC">
            <w:pPr>
              <w:spacing w:line="360" w:lineRule="auto"/>
              <w:rPr>
                <w:rFonts w:hint="eastAsia" w:ascii="宋体" w:hAnsi="宋体" w:eastAsia="宋体" w:cs="宋体"/>
                <w:b/>
                <w:color w:val="auto"/>
                <w:sz w:val="24"/>
                <w:highlight w:val="none"/>
              </w:rPr>
            </w:pPr>
          </w:p>
        </w:tc>
        <w:tc>
          <w:tcPr>
            <w:tcW w:w="925" w:type="dxa"/>
            <w:noWrap w:val="0"/>
            <w:vAlign w:val="top"/>
          </w:tcPr>
          <w:p w14:paraId="242D9D40">
            <w:pPr>
              <w:spacing w:line="360" w:lineRule="auto"/>
              <w:rPr>
                <w:rFonts w:hint="eastAsia" w:ascii="宋体" w:hAnsi="宋体" w:eastAsia="宋体" w:cs="宋体"/>
                <w:b/>
                <w:color w:val="auto"/>
                <w:sz w:val="24"/>
                <w:highlight w:val="none"/>
              </w:rPr>
            </w:pPr>
          </w:p>
        </w:tc>
        <w:tc>
          <w:tcPr>
            <w:tcW w:w="1186" w:type="dxa"/>
            <w:noWrap w:val="0"/>
            <w:vAlign w:val="top"/>
          </w:tcPr>
          <w:p w14:paraId="7BFBEE24">
            <w:pPr>
              <w:spacing w:line="360" w:lineRule="auto"/>
              <w:rPr>
                <w:rFonts w:hint="eastAsia" w:ascii="宋体" w:hAnsi="宋体" w:eastAsia="宋体" w:cs="宋体"/>
                <w:b/>
                <w:color w:val="auto"/>
                <w:sz w:val="24"/>
                <w:highlight w:val="none"/>
              </w:rPr>
            </w:pPr>
          </w:p>
        </w:tc>
        <w:tc>
          <w:tcPr>
            <w:tcW w:w="944" w:type="dxa"/>
            <w:noWrap w:val="0"/>
            <w:vAlign w:val="top"/>
          </w:tcPr>
          <w:p w14:paraId="5321EC1D">
            <w:pPr>
              <w:spacing w:line="360" w:lineRule="auto"/>
              <w:rPr>
                <w:rFonts w:hint="eastAsia" w:ascii="宋体" w:hAnsi="宋体" w:eastAsia="宋体" w:cs="宋体"/>
                <w:b/>
                <w:color w:val="auto"/>
                <w:sz w:val="24"/>
                <w:highlight w:val="none"/>
              </w:rPr>
            </w:pPr>
          </w:p>
        </w:tc>
        <w:tc>
          <w:tcPr>
            <w:tcW w:w="1804" w:type="dxa"/>
            <w:noWrap w:val="0"/>
            <w:vAlign w:val="top"/>
          </w:tcPr>
          <w:p w14:paraId="2ABA5C9F">
            <w:pPr>
              <w:spacing w:line="360" w:lineRule="auto"/>
              <w:rPr>
                <w:rFonts w:hint="eastAsia" w:ascii="宋体" w:hAnsi="宋体" w:eastAsia="宋体" w:cs="宋体"/>
                <w:b/>
                <w:color w:val="auto"/>
                <w:sz w:val="24"/>
                <w:highlight w:val="none"/>
              </w:rPr>
            </w:pPr>
          </w:p>
        </w:tc>
        <w:tc>
          <w:tcPr>
            <w:tcW w:w="819" w:type="dxa"/>
            <w:noWrap w:val="0"/>
            <w:vAlign w:val="top"/>
          </w:tcPr>
          <w:p w14:paraId="2BC21333">
            <w:pPr>
              <w:spacing w:line="360" w:lineRule="auto"/>
              <w:rPr>
                <w:rFonts w:hint="eastAsia" w:ascii="宋体" w:hAnsi="宋体" w:eastAsia="宋体" w:cs="宋体"/>
                <w:b/>
                <w:color w:val="auto"/>
                <w:sz w:val="24"/>
                <w:highlight w:val="none"/>
              </w:rPr>
            </w:pPr>
          </w:p>
        </w:tc>
      </w:tr>
      <w:tr w14:paraId="0BD29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404" w:type="dxa"/>
            <w:gridSpan w:val="2"/>
            <w:noWrap w:val="0"/>
            <w:vAlign w:val="center"/>
          </w:tcPr>
          <w:p w14:paraId="5059AF8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总计</w:t>
            </w:r>
          </w:p>
        </w:tc>
        <w:tc>
          <w:tcPr>
            <w:tcW w:w="7193" w:type="dxa"/>
            <w:gridSpan w:val="6"/>
            <w:noWrap w:val="0"/>
            <w:vAlign w:val="top"/>
          </w:tcPr>
          <w:p w14:paraId="260FF92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元。                  </w:t>
            </w:r>
          </w:p>
          <w:p w14:paraId="1841E0E0">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w:t>
            </w:r>
          </w:p>
        </w:tc>
      </w:tr>
      <w:tr w14:paraId="16391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404" w:type="dxa"/>
            <w:gridSpan w:val="2"/>
            <w:noWrap w:val="0"/>
            <w:vAlign w:val="center"/>
          </w:tcPr>
          <w:p w14:paraId="020202D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7193" w:type="dxa"/>
            <w:gridSpan w:val="6"/>
            <w:noWrap w:val="0"/>
            <w:vAlign w:val="top"/>
          </w:tcPr>
          <w:p w14:paraId="65BE533D">
            <w:pPr>
              <w:spacing w:line="360" w:lineRule="auto"/>
              <w:rPr>
                <w:rFonts w:hint="eastAsia" w:ascii="宋体" w:hAnsi="宋体" w:eastAsia="宋体" w:cs="宋体"/>
                <w:b/>
                <w:color w:val="auto"/>
                <w:sz w:val="24"/>
                <w:highlight w:val="none"/>
              </w:rPr>
            </w:pPr>
          </w:p>
        </w:tc>
      </w:tr>
    </w:tbl>
    <w:p w14:paraId="1D81742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说明：1、</w:t>
      </w:r>
      <w:r>
        <w:rPr>
          <w:rFonts w:hint="eastAsia" w:ascii="宋体" w:hAnsi="宋体" w:cs="宋体"/>
          <w:bCs/>
          <w:color w:val="auto"/>
          <w:sz w:val="24"/>
          <w:highlight w:val="none"/>
          <w:lang w:eastAsia="zh-CN"/>
        </w:rPr>
        <w:t>供应商</w:t>
      </w:r>
      <w:r>
        <w:rPr>
          <w:rFonts w:hint="eastAsia" w:ascii="宋体" w:hAnsi="宋体" w:eastAsia="宋体" w:cs="宋体"/>
          <w:bCs/>
          <w:color w:val="auto"/>
          <w:sz w:val="24"/>
          <w:highlight w:val="none"/>
        </w:rPr>
        <w:t>必须填写</w:t>
      </w:r>
      <w:r>
        <w:rPr>
          <w:rFonts w:hint="eastAsia" w:ascii="宋体" w:hAnsi="宋体" w:eastAsia="宋体" w:cs="宋体"/>
          <w:color w:val="auto"/>
          <w:sz w:val="24"/>
          <w:highlight w:val="none"/>
        </w:rPr>
        <w:t>报价明细表</w:t>
      </w:r>
      <w:r>
        <w:rPr>
          <w:rFonts w:hint="eastAsia" w:ascii="宋体" w:hAnsi="宋体" w:eastAsia="宋体" w:cs="宋体"/>
          <w:bCs/>
          <w:color w:val="auto"/>
          <w:sz w:val="24"/>
          <w:highlight w:val="none"/>
        </w:rPr>
        <w:t>，否则将导致投标被拒绝。</w:t>
      </w:r>
    </w:p>
    <w:p w14:paraId="1DF5D993">
      <w:pPr>
        <w:spacing w:line="360" w:lineRule="auto"/>
        <w:ind w:left="720"/>
        <w:rPr>
          <w:rFonts w:hint="eastAsia" w:ascii="宋体" w:hAnsi="宋体" w:eastAsia="宋体" w:cs="宋体"/>
          <w:color w:val="auto"/>
          <w:sz w:val="24"/>
          <w:highlight w:val="none"/>
        </w:rPr>
      </w:pPr>
      <w:r>
        <w:rPr>
          <w:rFonts w:hint="eastAsia" w:ascii="宋体" w:hAnsi="宋体" w:eastAsia="宋体" w:cs="宋体"/>
          <w:color w:val="auto"/>
          <w:sz w:val="24"/>
          <w:highlight w:val="none"/>
        </w:rPr>
        <w:t>2、报价分析表中的“投标总价”应等于“开标一览表”中的“投标总价”。</w:t>
      </w:r>
    </w:p>
    <w:p w14:paraId="6FA46663">
      <w:pPr>
        <w:spacing w:line="360" w:lineRule="auto"/>
        <w:ind w:left="720"/>
        <w:rPr>
          <w:rFonts w:hint="eastAsia" w:ascii="宋体" w:hAnsi="宋体" w:eastAsia="宋体" w:cs="宋体"/>
          <w:color w:val="auto"/>
          <w:sz w:val="24"/>
          <w:highlight w:val="none"/>
        </w:rPr>
      </w:pPr>
      <w:r>
        <w:rPr>
          <w:rFonts w:hint="eastAsia" w:ascii="宋体" w:hAnsi="宋体" w:eastAsia="宋体" w:cs="宋体"/>
          <w:color w:val="auto"/>
          <w:sz w:val="24"/>
          <w:highlight w:val="none"/>
        </w:rPr>
        <w:t>3、报价项目填报不下的，可自行照扩展。</w:t>
      </w:r>
    </w:p>
    <w:p w14:paraId="558472E5">
      <w:pPr>
        <w:pStyle w:val="58"/>
        <w:adjustRightInd w:val="0"/>
        <w:snapToGrid w:val="0"/>
        <w:spacing w:line="500" w:lineRule="exact"/>
        <w:rPr>
          <w:rFonts w:hint="eastAsia" w:ascii="宋体" w:hAnsi="宋体" w:eastAsia="宋体" w:cs="宋体"/>
          <w:color w:val="auto"/>
          <w:sz w:val="24"/>
          <w:szCs w:val="24"/>
          <w:highlight w:val="none"/>
        </w:rPr>
      </w:pPr>
    </w:p>
    <w:p w14:paraId="0AD8676E">
      <w:pPr>
        <w:pStyle w:val="58"/>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法定代表人（签章）：</w:t>
      </w:r>
      <w:r>
        <w:rPr>
          <w:rFonts w:hint="eastAsia" w:ascii="宋体" w:hAnsi="宋体" w:eastAsia="宋体" w:cs="宋体"/>
          <w:color w:val="auto"/>
          <w:sz w:val="24"/>
          <w:szCs w:val="24"/>
          <w:highlight w:val="none"/>
          <w:u w:val="single"/>
        </w:rPr>
        <w:t xml:space="preserve">                  </w:t>
      </w:r>
    </w:p>
    <w:p w14:paraId="27C06DBA">
      <w:pPr>
        <w:pStyle w:val="58"/>
        <w:adjustRightInd w:val="0"/>
        <w:snapToGrid w:val="0"/>
        <w:spacing w:line="500" w:lineRule="exact"/>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名称（签章）：</w:t>
      </w:r>
      <w:r>
        <w:rPr>
          <w:rFonts w:hint="eastAsia" w:ascii="宋体" w:hAnsi="宋体" w:eastAsia="宋体" w:cs="宋体"/>
          <w:color w:val="auto"/>
          <w:sz w:val="24"/>
          <w:szCs w:val="24"/>
          <w:highlight w:val="none"/>
          <w:u w:val="single"/>
        </w:rPr>
        <w:t xml:space="preserve">                       </w:t>
      </w:r>
    </w:p>
    <w:p w14:paraId="424FD11F">
      <w:pPr>
        <w:spacing w:line="360" w:lineRule="auto"/>
        <w:ind w:right="480"/>
        <w:rPr>
          <w:rFonts w:hint="eastAsia" w:ascii="宋体" w:hAnsi="宋体" w:eastAsia="宋体" w:cs="宋体"/>
          <w:color w:val="auto"/>
          <w:sz w:val="24"/>
          <w:szCs w:val="24"/>
          <w:highlight w:val="none"/>
        </w:rPr>
      </w:pPr>
    </w:p>
    <w:p w14:paraId="4C4EE92F">
      <w:pPr>
        <w:spacing w:line="360" w:lineRule="auto"/>
        <w:ind w:righ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14:paraId="2A5B8BE1">
      <w:pPr>
        <w:pStyle w:val="21"/>
        <w:rPr>
          <w:rFonts w:hint="eastAsia" w:ascii="宋体" w:hAnsi="宋体" w:eastAsia="宋体" w:cs="宋体"/>
          <w:color w:val="auto"/>
          <w:sz w:val="24"/>
          <w:szCs w:val="24"/>
          <w:highlight w:val="none"/>
        </w:rPr>
      </w:pPr>
    </w:p>
    <w:p w14:paraId="0BB1736B">
      <w:pPr>
        <w:rPr>
          <w:rFonts w:hint="eastAsia" w:ascii="宋体" w:hAnsi="宋体" w:eastAsia="宋体" w:cs="宋体"/>
          <w:color w:val="auto"/>
          <w:sz w:val="24"/>
          <w:szCs w:val="24"/>
          <w:highlight w:val="none"/>
        </w:rPr>
      </w:pPr>
    </w:p>
    <w:p w14:paraId="4FEA1693">
      <w:pPr>
        <w:pStyle w:val="21"/>
        <w:rPr>
          <w:rFonts w:hint="eastAsia" w:ascii="宋体" w:hAnsi="宋体" w:eastAsia="宋体" w:cs="宋体"/>
          <w:color w:val="auto"/>
          <w:sz w:val="24"/>
          <w:szCs w:val="24"/>
          <w:highlight w:val="none"/>
        </w:rPr>
      </w:pPr>
    </w:p>
    <w:p w14:paraId="273E38E3">
      <w:pPr>
        <w:rPr>
          <w:rFonts w:hint="eastAsia" w:ascii="宋体" w:hAnsi="宋体" w:eastAsia="宋体" w:cs="宋体"/>
          <w:color w:val="auto"/>
          <w:sz w:val="24"/>
          <w:szCs w:val="24"/>
          <w:highlight w:val="none"/>
        </w:rPr>
      </w:pPr>
    </w:p>
    <w:p w14:paraId="7A5621A2">
      <w:pPr>
        <w:pStyle w:val="21"/>
        <w:rPr>
          <w:rFonts w:hint="eastAsia" w:ascii="宋体" w:hAnsi="宋体" w:eastAsia="宋体" w:cs="宋体"/>
          <w:color w:val="auto"/>
          <w:sz w:val="24"/>
          <w:szCs w:val="24"/>
          <w:highlight w:val="none"/>
        </w:rPr>
      </w:pPr>
    </w:p>
    <w:p w14:paraId="1CD1CC17">
      <w:pPr>
        <w:rPr>
          <w:rFonts w:hint="eastAsia" w:ascii="宋体" w:hAnsi="宋体" w:eastAsia="宋体" w:cs="宋体"/>
          <w:color w:val="auto"/>
          <w:sz w:val="24"/>
          <w:szCs w:val="24"/>
          <w:highlight w:val="none"/>
        </w:rPr>
      </w:pPr>
    </w:p>
    <w:p w14:paraId="10E04157">
      <w:pPr>
        <w:spacing w:line="440" w:lineRule="exact"/>
        <w:jc w:val="left"/>
        <w:rPr>
          <w:rFonts w:hint="eastAsia" w:ascii="宋体" w:hAnsi="宋体" w:eastAsia="宋体" w:cs="宋体"/>
          <w:b/>
          <w:bCs/>
          <w:color w:val="auto"/>
          <w:sz w:val="24"/>
          <w:szCs w:val="24"/>
          <w:highlight w:val="none"/>
        </w:rPr>
      </w:pPr>
      <w:bookmarkStart w:id="281" w:name="_Toc480368437"/>
      <w:r>
        <w:rPr>
          <w:rFonts w:hint="eastAsia" w:ascii="宋体" w:hAnsi="宋体" w:eastAsia="宋体" w:cs="宋体"/>
          <w:b/>
          <w:bCs/>
          <w:color w:val="auto"/>
          <w:position w:val="-2"/>
          <w:sz w:val="24"/>
          <w:szCs w:val="24"/>
          <w:highlight w:val="none"/>
          <w:lang w:val="en-US" w:eastAsia="zh-CN"/>
        </w:rPr>
        <w:t>2.5</w:t>
      </w:r>
      <w:r>
        <w:rPr>
          <w:rFonts w:hint="eastAsia" w:ascii="宋体" w:hAnsi="宋体" w:eastAsia="宋体" w:cs="宋体"/>
          <w:b/>
          <w:bCs/>
          <w:color w:val="auto"/>
          <w:position w:val="-2"/>
          <w:sz w:val="24"/>
          <w:szCs w:val="24"/>
          <w:highlight w:val="none"/>
        </w:rPr>
        <w:t>项</w:t>
      </w:r>
      <w:r>
        <w:rPr>
          <w:rFonts w:hint="eastAsia" w:ascii="宋体" w:hAnsi="宋体" w:eastAsia="宋体" w:cs="宋体"/>
          <w:b/>
          <w:bCs/>
          <w:color w:val="auto"/>
          <w:spacing w:val="2"/>
          <w:position w:val="-2"/>
          <w:sz w:val="24"/>
          <w:szCs w:val="24"/>
          <w:highlight w:val="none"/>
        </w:rPr>
        <w:t>目管</w:t>
      </w:r>
      <w:r>
        <w:rPr>
          <w:rFonts w:hint="eastAsia" w:ascii="宋体" w:hAnsi="宋体" w:eastAsia="宋体" w:cs="宋体"/>
          <w:b/>
          <w:bCs/>
          <w:color w:val="auto"/>
          <w:position w:val="-2"/>
          <w:sz w:val="24"/>
          <w:szCs w:val="24"/>
          <w:highlight w:val="none"/>
        </w:rPr>
        <w:t>理机</w:t>
      </w:r>
      <w:r>
        <w:rPr>
          <w:rFonts w:hint="eastAsia" w:ascii="宋体" w:hAnsi="宋体" w:eastAsia="宋体" w:cs="宋体"/>
          <w:b/>
          <w:bCs/>
          <w:color w:val="auto"/>
          <w:spacing w:val="2"/>
          <w:position w:val="-2"/>
          <w:sz w:val="24"/>
          <w:szCs w:val="24"/>
          <w:highlight w:val="none"/>
        </w:rPr>
        <w:t>构配</w:t>
      </w:r>
      <w:r>
        <w:rPr>
          <w:rFonts w:hint="eastAsia" w:ascii="宋体" w:hAnsi="宋体" w:eastAsia="宋体" w:cs="宋体"/>
          <w:b/>
          <w:bCs/>
          <w:color w:val="auto"/>
          <w:position w:val="-2"/>
          <w:sz w:val="24"/>
          <w:szCs w:val="24"/>
          <w:highlight w:val="none"/>
        </w:rPr>
        <w:t>备</w:t>
      </w:r>
      <w:r>
        <w:rPr>
          <w:rFonts w:hint="eastAsia" w:ascii="宋体" w:hAnsi="宋体" w:eastAsia="宋体" w:cs="宋体"/>
          <w:b/>
          <w:bCs/>
          <w:color w:val="auto"/>
          <w:spacing w:val="2"/>
          <w:position w:val="-2"/>
          <w:sz w:val="24"/>
          <w:szCs w:val="24"/>
          <w:highlight w:val="none"/>
        </w:rPr>
        <w:t>情</w:t>
      </w:r>
      <w:r>
        <w:rPr>
          <w:rFonts w:hint="eastAsia" w:ascii="宋体" w:hAnsi="宋体" w:eastAsia="宋体" w:cs="宋体"/>
          <w:b/>
          <w:bCs/>
          <w:color w:val="auto"/>
          <w:position w:val="-2"/>
          <w:sz w:val="24"/>
          <w:szCs w:val="24"/>
          <w:highlight w:val="none"/>
        </w:rPr>
        <w:t>况</w:t>
      </w:r>
    </w:p>
    <w:p w14:paraId="6A186B7C">
      <w:pPr>
        <w:spacing w:line="364" w:lineRule="exact"/>
        <w:ind w:left="219" w:right="-20"/>
        <w:jc w:val="center"/>
        <w:rPr>
          <w:rFonts w:hint="eastAsia" w:ascii="宋体" w:hAnsi="宋体" w:eastAsia="宋体" w:cs="宋体"/>
          <w:color w:val="auto"/>
          <w:sz w:val="24"/>
          <w:szCs w:val="24"/>
          <w:highlight w:val="none"/>
        </w:rPr>
      </w:pPr>
      <w:r>
        <w:rPr>
          <w:rFonts w:hint="eastAsia" w:ascii="宋体" w:hAnsi="宋体" w:eastAsia="宋体" w:cs="宋体"/>
          <w:color w:val="auto"/>
          <w:spacing w:val="2"/>
          <w:position w:val="-2"/>
          <w:sz w:val="24"/>
          <w:szCs w:val="24"/>
          <w:highlight w:val="none"/>
        </w:rPr>
        <w:t>（</w:t>
      </w:r>
      <w:r>
        <w:rPr>
          <w:rFonts w:hint="eastAsia" w:ascii="宋体" w:hAnsi="宋体" w:eastAsia="宋体" w:cs="宋体"/>
          <w:color w:val="auto"/>
          <w:position w:val="-2"/>
          <w:sz w:val="24"/>
          <w:szCs w:val="24"/>
          <w:highlight w:val="none"/>
          <w:lang w:val="en-US" w:eastAsia="zh-CN"/>
        </w:rPr>
        <w:t>1</w:t>
      </w:r>
      <w:r>
        <w:rPr>
          <w:rFonts w:hint="eastAsia" w:ascii="宋体" w:hAnsi="宋体" w:eastAsia="宋体" w:cs="宋体"/>
          <w:color w:val="auto"/>
          <w:position w:val="-2"/>
          <w:sz w:val="24"/>
          <w:szCs w:val="24"/>
          <w:highlight w:val="none"/>
        </w:rPr>
        <w:t>）项</w:t>
      </w:r>
      <w:r>
        <w:rPr>
          <w:rFonts w:hint="eastAsia" w:ascii="宋体" w:hAnsi="宋体" w:eastAsia="宋体" w:cs="宋体"/>
          <w:color w:val="auto"/>
          <w:spacing w:val="2"/>
          <w:position w:val="-2"/>
          <w:sz w:val="24"/>
          <w:szCs w:val="24"/>
          <w:highlight w:val="none"/>
        </w:rPr>
        <w:t>目</w:t>
      </w:r>
      <w:r>
        <w:rPr>
          <w:rFonts w:hint="eastAsia" w:ascii="宋体" w:hAnsi="宋体" w:eastAsia="宋体" w:cs="宋体"/>
          <w:color w:val="auto"/>
          <w:position w:val="-2"/>
          <w:sz w:val="24"/>
          <w:szCs w:val="24"/>
          <w:highlight w:val="none"/>
          <w:lang w:val="en-US" w:eastAsia="zh-CN"/>
        </w:rPr>
        <w:t>负责人</w:t>
      </w:r>
      <w:r>
        <w:rPr>
          <w:rFonts w:hint="eastAsia" w:ascii="宋体" w:hAnsi="宋体" w:eastAsia="宋体" w:cs="宋体"/>
          <w:color w:val="auto"/>
          <w:spacing w:val="2"/>
          <w:position w:val="-2"/>
          <w:sz w:val="24"/>
          <w:szCs w:val="24"/>
          <w:highlight w:val="none"/>
        </w:rPr>
        <w:t>简</w:t>
      </w:r>
      <w:r>
        <w:rPr>
          <w:rFonts w:hint="eastAsia" w:ascii="宋体" w:hAnsi="宋体" w:eastAsia="宋体" w:cs="宋体"/>
          <w:color w:val="auto"/>
          <w:position w:val="-2"/>
          <w:sz w:val="24"/>
          <w:szCs w:val="24"/>
          <w:highlight w:val="none"/>
        </w:rPr>
        <w:t>历表</w:t>
      </w:r>
    </w:p>
    <w:p w14:paraId="6FE26FA3">
      <w:pPr>
        <w:spacing w:before="7" w:line="40" w:lineRule="exact"/>
        <w:rPr>
          <w:rFonts w:hint="eastAsia" w:ascii="宋体" w:hAnsi="宋体" w:eastAsia="宋体" w:cs="宋体"/>
          <w:color w:val="auto"/>
          <w:sz w:val="4"/>
          <w:szCs w:val="4"/>
          <w:highlight w:val="none"/>
        </w:rPr>
      </w:pPr>
    </w:p>
    <w:tbl>
      <w:tblPr>
        <w:tblStyle w:val="38"/>
        <w:tblW w:w="0" w:type="auto"/>
        <w:tblInd w:w="95" w:type="dxa"/>
        <w:tblLayout w:type="fixed"/>
        <w:tblCellMar>
          <w:top w:w="0" w:type="dxa"/>
          <w:left w:w="0" w:type="dxa"/>
          <w:bottom w:w="0" w:type="dxa"/>
          <w:right w:w="0" w:type="dxa"/>
        </w:tblCellMar>
      </w:tblPr>
      <w:tblGrid>
        <w:gridCol w:w="1548"/>
        <w:gridCol w:w="773"/>
        <w:gridCol w:w="776"/>
        <w:gridCol w:w="1548"/>
        <w:gridCol w:w="1546"/>
        <w:gridCol w:w="775"/>
        <w:gridCol w:w="774"/>
        <w:gridCol w:w="1548"/>
      </w:tblGrid>
      <w:tr w14:paraId="48B049DC">
        <w:tblPrEx>
          <w:tblCellMar>
            <w:top w:w="0" w:type="dxa"/>
            <w:left w:w="0" w:type="dxa"/>
            <w:bottom w:w="0" w:type="dxa"/>
            <w:right w:w="0" w:type="dxa"/>
          </w:tblCellMar>
        </w:tblPrEx>
        <w:trPr>
          <w:trHeight w:val="593" w:hRule="exact"/>
        </w:trPr>
        <w:tc>
          <w:tcPr>
            <w:tcW w:w="1548" w:type="dxa"/>
            <w:tcBorders>
              <w:top w:val="single" w:color="000000" w:sz="4" w:space="0"/>
              <w:left w:val="single" w:color="000000" w:sz="4" w:space="0"/>
              <w:bottom w:val="single" w:color="000000" w:sz="4" w:space="0"/>
              <w:right w:val="single" w:color="000000" w:sz="4" w:space="0"/>
            </w:tcBorders>
            <w:noWrap w:val="0"/>
            <w:vAlign w:val="top"/>
          </w:tcPr>
          <w:p w14:paraId="0048A9EA">
            <w:pPr>
              <w:spacing w:before="55"/>
              <w:ind w:left="489" w:right="47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12BECAF0">
            <w:pPr>
              <w:rPr>
                <w:rFonts w:hint="eastAsia" w:ascii="宋体" w:hAnsi="宋体" w:eastAsia="宋体" w:cs="宋体"/>
                <w:color w:val="auto"/>
                <w:highlight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230992CA">
            <w:pPr>
              <w:spacing w:before="55"/>
              <w:ind w:left="487" w:right="47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1546" w:type="dxa"/>
            <w:tcBorders>
              <w:top w:val="single" w:color="000000" w:sz="4" w:space="0"/>
              <w:left w:val="single" w:color="000000" w:sz="4" w:space="0"/>
              <w:bottom w:val="single" w:color="000000" w:sz="4" w:space="0"/>
              <w:right w:val="single" w:color="000000" w:sz="4" w:space="0"/>
            </w:tcBorders>
            <w:noWrap w:val="0"/>
            <w:vAlign w:val="top"/>
          </w:tcPr>
          <w:p w14:paraId="165D0A2F">
            <w:pPr>
              <w:rPr>
                <w:rFonts w:hint="eastAsia" w:ascii="宋体" w:hAnsi="宋体" w:eastAsia="宋体" w:cs="宋体"/>
                <w:color w:val="auto"/>
                <w:highlight w:val="none"/>
              </w:rPr>
            </w:pP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1A184723">
            <w:pPr>
              <w:spacing w:before="55"/>
              <w:ind w:left="489" w:right="47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4B8430F0">
            <w:pPr>
              <w:rPr>
                <w:rFonts w:hint="eastAsia" w:ascii="宋体" w:hAnsi="宋体" w:eastAsia="宋体" w:cs="宋体"/>
                <w:color w:val="auto"/>
                <w:highlight w:val="none"/>
              </w:rPr>
            </w:pPr>
          </w:p>
        </w:tc>
      </w:tr>
      <w:tr w14:paraId="6D802158">
        <w:tblPrEx>
          <w:tblCellMar>
            <w:top w:w="0" w:type="dxa"/>
            <w:left w:w="0" w:type="dxa"/>
            <w:bottom w:w="0" w:type="dxa"/>
            <w:right w:w="0" w:type="dxa"/>
          </w:tblCellMar>
        </w:tblPrEx>
        <w:trPr>
          <w:trHeight w:val="595" w:hRule="exact"/>
        </w:trPr>
        <w:tc>
          <w:tcPr>
            <w:tcW w:w="1548" w:type="dxa"/>
            <w:tcBorders>
              <w:top w:val="single" w:color="000000" w:sz="4" w:space="0"/>
              <w:left w:val="single" w:color="000000" w:sz="4" w:space="0"/>
              <w:bottom w:val="single" w:color="000000" w:sz="4" w:space="0"/>
              <w:right w:val="single" w:color="000000" w:sz="4" w:space="0"/>
            </w:tcBorders>
            <w:noWrap w:val="0"/>
            <w:vAlign w:val="top"/>
          </w:tcPr>
          <w:p w14:paraId="3680732E">
            <w:pPr>
              <w:spacing w:before="58"/>
              <w:ind w:left="489" w:right="47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60D3B14F">
            <w:pPr>
              <w:rPr>
                <w:rFonts w:hint="eastAsia" w:ascii="宋体" w:hAnsi="宋体" w:eastAsia="宋体" w:cs="宋体"/>
                <w:color w:val="auto"/>
                <w:highlight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70C0E501">
            <w:pPr>
              <w:spacing w:before="58"/>
              <w:ind w:left="487" w:right="47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546" w:type="dxa"/>
            <w:tcBorders>
              <w:top w:val="single" w:color="000000" w:sz="4" w:space="0"/>
              <w:left w:val="single" w:color="000000" w:sz="4" w:space="0"/>
              <w:bottom w:val="single" w:color="000000" w:sz="4" w:space="0"/>
              <w:right w:val="single" w:color="000000" w:sz="4" w:space="0"/>
            </w:tcBorders>
            <w:noWrap w:val="0"/>
            <w:vAlign w:val="top"/>
          </w:tcPr>
          <w:p w14:paraId="29C34E54">
            <w:pPr>
              <w:rPr>
                <w:rFonts w:hint="eastAsia" w:ascii="宋体" w:hAnsi="宋体" w:eastAsia="宋体" w:cs="宋体"/>
                <w:color w:val="auto"/>
                <w:highlight w:val="none"/>
              </w:rPr>
            </w:pP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61164598">
            <w:pPr>
              <w:spacing w:before="58"/>
              <w:ind w:left="489" w:right="47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22619D2A">
            <w:pPr>
              <w:rPr>
                <w:rFonts w:hint="eastAsia" w:ascii="宋体" w:hAnsi="宋体" w:eastAsia="宋体" w:cs="宋体"/>
                <w:color w:val="auto"/>
                <w:highlight w:val="none"/>
              </w:rPr>
            </w:pPr>
          </w:p>
        </w:tc>
      </w:tr>
      <w:tr w14:paraId="729104BF">
        <w:tblPrEx>
          <w:tblCellMar>
            <w:top w:w="0" w:type="dxa"/>
            <w:left w:w="0" w:type="dxa"/>
            <w:bottom w:w="0" w:type="dxa"/>
            <w:right w:w="0" w:type="dxa"/>
          </w:tblCellMar>
        </w:tblPrEx>
        <w:trPr>
          <w:trHeight w:val="593" w:hRule="exact"/>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28309AC6">
            <w:pPr>
              <w:spacing w:before="55"/>
              <w:ind w:left="433" w:right="-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参加工作时间</w:t>
            </w: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27DE13B2">
            <w:pPr>
              <w:rPr>
                <w:rFonts w:hint="eastAsia" w:ascii="宋体" w:hAnsi="宋体" w:eastAsia="宋体" w:cs="宋体"/>
                <w:color w:val="auto"/>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3B0BEF2E">
            <w:pPr>
              <w:spacing w:before="55"/>
              <w:ind w:right="-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担任项目</w:t>
            </w:r>
            <w:r>
              <w:rPr>
                <w:rFonts w:hint="eastAsia" w:ascii="宋体" w:hAnsi="宋体" w:eastAsia="宋体" w:cs="宋体"/>
                <w:color w:val="auto"/>
                <w:sz w:val="24"/>
                <w:szCs w:val="24"/>
                <w:highlight w:val="none"/>
                <w:lang w:val="en-US" w:eastAsia="zh-CN"/>
              </w:rPr>
              <w:t>负责人</w:t>
            </w:r>
            <w:r>
              <w:rPr>
                <w:rFonts w:hint="eastAsia" w:ascii="宋体" w:hAnsi="宋体" w:eastAsia="宋体" w:cs="宋体"/>
                <w:color w:val="auto"/>
                <w:sz w:val="24"/>
                <w:szCs w:val="24"/>
                <w:highlight w:val="none"/>
              </w:rPr>
              <w:t>年限</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3FC68F90">
            <w:pPr>
              <w:rPr>
                <w:rFonts w:hint="eastAsia" w:ascii="宋体" w:hAnsi="宋体" w:eastAsia="宋体" w:cs="宋体"/>
                <w:color w:val="auto"/>
                <w:highlight w:val="none"/>
              </w:rPr>
            </w:pPr>
          </w:p>
        </w:tc>
      </w:tr>
      <w:tr w14:paraId="5B1C6321">
        <w:tblPrEx>
          <w:tblCellMar>
            <w:top w:w="0" w:type="dxa"/>
            <w:left w:w="0" w:type="dxa"/>
            <w:bottom w:w="0" w:type="dxa"/>
            <w:right w:w="0" w:type="dxa"/>
          </w:tblCellMar>
        </w:tblPrEx>
        <w:trPr>
          <w:trHeight w:val="595" w:hRule="exact"/>
        </w:trPr>
        <w:tc>
          <w:tcPr>
            <w:tcW w:w="9287" w:type="dxa"/>
            <w:gridSpan w:val="8"/>
            <w:tcBorders>
              <w:top w:val="single" w:color="000000" w:sz="4" w:space="0"/>
              <w:left w:val="single" w:color="000000" w:sz="4" w:space="0"/>
              <w:bottom w:val="single" w:color="000000" w:sz="4" w:space="0"/>
              <w:right w:val="single" w:color="000000" w:sz="4" w:space="0"/>
            </w:tcBorders>
            <w:noWrap w:val="0"/>
            <w:vAlign w:val="top"/>
          </w:tcPr>
          <w:p w14:paraId="70E908BC">
            <w:pPr>
              <w:spacing w:before="58"/>
              <w:ind w:left="3878" w:right="386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承担项目情况</w:t>
            </w:r>
          </w:p>
        </w:tc>
      </w:tr>
      <w:tr w14:paraId="26CA5DFF">
        <w:tblPrEx>
          <w:tblCellMar>
            <w:top w:w="0" w:type="dxa"/>
            <w:left w:w="0" w:type="dxa"/>
            <w:bottom w:w="0" w:type="dxa"/>
            <w:right w:w="0" w:type="dxa"/>
          </w:tblCellMar>
        </w:tblPrEx>
        <w:trPr>
          <w:trHeight w:val="593" w:hRule="exact"/>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7F217924">
            <w:pPr>
              <w:spacing w:before="55"/>
              <w:ind w:left="673" w:right="-2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采购单位</w:t>
            </w: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7294D80A">
            <w:pPr>
              <w:spacing w:before="55"/>
              <w:ind w:left="676" w:right="-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459756C2">
            <w:pPr>
              <w:spacing w:before="55"/>
              <w:ind w:left="671" w:right="-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内容</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6E2B3494">
            <w:pPr>
              <w:spacing w:before="55"/>
              <w:ind w:left="674" w:right="-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金额</w:t>
            </w:r>
          </w:p>
        </w:tc>
      </w:tr>
      <w:tr w14:paraId="0ACAD4E7">
        <w:tblPrEx>
          <w:tblCellMar>
            <w:top w:w="0" w:type="dxa"/>
            <w:left w:w="0" w:type="dxa"/>
            <w:bottom w:w="0" w:type="dxa"/>
            <w:right w:w="0" w:type="dxa"/>
          </w:tblCellMar>
        </w:tblPrEx>
        <w:trPr>
          <w:trHeight w:val="596" w:hRule="exact"/>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4A2AC745">
            <w:pPr>
              <w:rPr>
                <w:rFonts w:hint="eastAsia" w:ascii="宋体" w:hAnsi="宋体" w:eastAsia="宋体" w:cs="宋体"/>
                <w:color w:val="auto"/>
                <w:highlight w:val="none"/>
              </w:rPr>
            </w:pP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39B0E476">
            <w:pPr>
              <w:rPr>
                <w:rFonts w:hint="eastAsia" w:ascii="宋体" w:hAnsi="宋体" w:eastAsia="宋体" w:cs="宋体"/>
                <w:color w:val="auto"/>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2E87A4B6">
            <w:pPr>
              <w:rPr>
                <w:rFonts w:hint="eastAsia" w:ascii="宋体" w:hAnsi="宋体" w:eastAsia="宋体" w:cs="宋体"/>
                <w:color w:val="auto"/>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6F3457D6">
            <w:pPr>
              <w:rPr>
                <w:rFonts w:hint="eastAsia" w:ascii="宋体" w:hAnsi="宋体" w:eastAsia="宋体" w:cs="宋体"/>
                <w:color w:val="auto"/>
                <w:highlight w:val="none"/>
              </w:rPr>
            </w:pPr>
          </w:p>
        </w:tc>
      </w:tr>
      <w:tr w14:paraId="2130F5D5">
        <w:tblPrEx>
          <w:tblCellMar>
            <w:top w:w="0" w:type="dxa"/>
            <w:left w:w="0" w:type="dxa"/>
            <w:bottom w:w="0" w:type="dxa"/>
            <w:right w:w="0" w:type="dxa"/>
          </w:tblCellMar>
        </w:tblPrEx>
        <w:trPr>
          <w:trHeight w:val="593" w:hRule="exact"/>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7F6AF8C2">
            <w:pPr>
              <w:rPr>
                <w:rFonts w:hint="eastAsia" w:ascii="宋体" w:hAnsi="宋体" w:eastAsia="宋体" w:cs="宋体"/>
                <w:color w:val="auto"/>
                <w:highlight w:val="none"/>
              </w:rPr>
            </w:pP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2BFA7E4E">
            <w:pPr>
              <w:rPr>
                <w:rFonts w:hint="eastAsia" w:ascii="宋体" w:hAnsi="宋体" w:eastAsia="宋体" w:cs="宋体"/>
                <w:color w:val="auto"/>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2429F083">
            <w:pPr>
              <w:rPr>
                <w:rFonts w:hint="eastAsia" w:ascii="宋体" w:hAnsi="宋体" w:eastAsia="宋体" w:cs="宋体"/>
                <w:color w:val="auto"/>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5761E4E5">
            <w:pPr>
              <w:rPr>
                <w:rFonts w:hint="eastAsia" w:ascii="宋体" w:hAnsi="宋体" w:eastAsia="宋体" w:cs="宋体"/>
                <w:color w:val="auto"/>
                <w:highlight w:val="none"/>
              </w:rPr>
            </w:pPr>
          </w:p>
        </w:tc>
      </w:tr>
    </w:tbl>
    <w:p w14:paraId="2BF98ABB">
      <w:pPr>
        <w:spacing w:line="364" w:lineRule="exact"/>
        <w:ind w:right="-20"/>
        <w:jc w:val="left"/>
        <w:rPr>
          <w:rFonts w:hint="eastAsia" w:ascii="宋体" w:hAnsi="宋体" w:eastAsia="宋体" w:cs="宋体"/>
          <w:color w:val="auto"/>
          <w:spacing w:val="2"/>
          <w:position w:val="-2"/>
          <w:sz w:val="24"/>
          <w:szCs w:val="24"/>
          <w:highlight w:val="none"/>
          <w:lang w:eastAsia="zh-CN"/>
        </w:rPr>
      </w:pPr>
      <w:r>
        <w:rPr>
          <w:rFonts w:hint="eastAsia" w:ascii="宋体" w:hAnsi="宋体" w:eastAsia="宋体" w:cs="宋体"/>
          <w:color w:val="auto"/>
          <w:spacing w:val="2"/>
          <w:position w:val="-2"/>
          <w:sz w:val="24"/>
          <w:szCs w:val="24"/>
          <w:highlight w:val="none"/>
          <w:lang w:eastAsia="zh-CN"/>
        </w:rPr>
        <w:t>注：后附相关证件（书）</w:t>
      </w:r>
    </w:p>
    <w:p w14:paraId="50FA4D09">
      <w:pPr>
        <w:spacing w:line="364" w:lineRule="exact"/>
        <w:ind w:right="-20"/>
        <w:jc w:val="center"/>
        <w:rPr>
          <w:rFonts w:hint="eastAsia" w:ascii="宋体" w:hAnsi="宋体" w:eastAsia="宋体" w:cs="宋体"/>
          <w:color w:val="auto"/>
          <w:sz w:val="24"/>
          <w:szCs w:val="24"/>
          <w:highlight w:val="none"/>
        </w:rPr>
      </w:pPr>
      <w:r>
        <w:rPr>
          <w:rFonts w:hint="eastAsia" w:ascii="宋体" w:hAnsi="宋体" w:eastAsia="宋体" w:cs="宋体"/>
          <w:color w:val="auto"/>
          <w:spacing w:val="2"/>
          <w:position w:val="-2"/>
          <w:sz w:val="24"/>
          <w:szCs w:val="24"/>
          <w:highlight w:val="none"/>
        </w:rPr>
        <w:t>（</w:t>
      </w:r>
      <w:r>
        <w:rPr>
          <w:rFonts w:hint="eastAsia" w:ascii="宋体" w:hAnsi="宋体" w:eastAsia="宋体" w:cs="宋体"/>
          <w:color w:val="auto"/>
          <w:position w:val="-2"/>
          <w:sz w:val="24"/>
          <w:szCs w:val="24"/>
          <w:highlight w:val="none"/>
          <w:lang w:val="en-US" w:eastAsia="zh-CN"/>
        </w:rPr>
        <w:t>2</w:t>
      </w:r>
      <w:r>
        <w:rPr>
          <w:rFonts w:hint="eastAsia" w:ascii="宋体" w:hAnsi="宋体" w:eastAsia="宋体" w:cs="宋体"/>
          <w:color w:val="auto"/>
          <w:position w:val="-2"/>
          <w:sz w:val="24"/>
          <w:szCs w:val="24"/>
          <w:highlight w:val="none"/>
        </w:rPr>
        <w:t>）</w:t>
      </w:r>
      <w:r>
        <w:rPr>
          <w:rFonts w:hint="eastAsia" w:ascii="宋体" w:hAnsi="宋体" w:eastAsia="宋体" w:cs="宋体"/>
          <w:color w:val="auto"/>
          <w:spacing w:val="-13"/>
          <w:position w:val="-2"/>
          <w:sz w:val="24"/>
          <w:szCs w:val="24"/>
          <w:highlight w:val="none"/>
        </w:rPr>
        <w:t xml:space="preserve"> </w:t>
      </w:r>
      <w:r>
        <w:rPr>
          <w:rFonts w:hint="eastAsia" w:ascii="宋体" w:hAnsi="宋体" w:eastAsia="宋体" w:cs="宋体"/>
          <w:color w:val="auto"/>
          <w:position w:val="-2"/>
          <w:sz w:val="24"/>
          <w:szCs w:val="24"/>
          <w:highlight w:val="none"/>
        </w:rPr>
        <w:t>拟</w:t>
      </w:r>
      <w:r>
        <w:rPr>
          <w:rFonts w:hint="eastAsia" w:ascii="宋体" w:hAnsi="宋体" w:eastAsia="宋体" w:cs="宋体"/>
          <w:color w:val="auto"/>
          <w:spacing w:val="2"/>
          <w:position w:val="-2"/>
          <w:sz w:val="24"/>
          <w:szCs w:val="24"/>
          <w:highlight w:val="none"/>
        </w:rPr>
        <w:t>投</w:t>
      </w:r>
      <w:r>
        <w:rPr>
          <w:rFonts w:hint="eastAsia" w:ascii="宋体" w:hAnsi="宋体" w:eastAsia="宋体" w:cs="宋体"/>
          <w:color w:val="auto"/>
          <w:position w:val="-2"/>
          <w:sz w:val="24"/>
          <w:szCs w:val="24"/>
          <w:highlight w:val="none"/>
        </w:rPr>
        <w:t>入项</w:t>
      </w:r>
      <w:r>
        <w:rPr>
          <w:rFonts w:hint="eastAsia" w:ascii="宋体" w:hAnsi="宋体" w:eastAsia="宋体" w:cs="宋体"/>
          <w:color w:val="auto"/>
          <w:spacing w:val="2"/>
          <w:position w:val="-2"/>
          <w:sz w:val="24"/>
          <w:szCs w:val="24"/>
          <w:highlight w:val="none"/>
        </w:rPr>
        <w:t>目</w:t>
      </w:r>
      <w:r>
        <w:rPr>
          <w:rFonts w:hint="eastAsia" w:ascii="宋体" w:hAnsi="宋体" w:eastAsia="宋体" w:cs="宋体"/>
          <w:color w:val="auto"/>
          <w:position w:val="-2"/>
          <w:sz w:val="24"/>
          <w:szCs w:val="24"/>
          <w:highlight w:val="none"/>
        </w:rPr>
        <w:t>组成</w:t>
      </w:r>
      <w:r>
        <w:rPr>
          <w:rFonts w:hint="eastAsia" w:ascii="宋体" w:hAnsi="宋体" w:eastAsia="宋体" w:cs="宋体"/>
          <w:color w:val="auto"/>
          <w:spacing w:val="2"/>
          <w:position w:val="-2"/>
          <w:sz w:val="24"/>
          <w:szCs w:val="24"/>
          <w:highlight w:val="none"/>
        </w:rPr>
        <w:t>人</w:t>
      </w:r>
      <w:r>
        <w:rPr>
          <w:rFonts w:hint="eastAsia" w:ascii="宋体" w:hAnsi="宋体" w:eastAsia="宋体" w:cs="宋体"/>
          <w:color w:val="auto"/>
          <w:position w:val="-2"/>
          <w:sz w:val="24"/>
          <w:szCs w:val="24"/>
          <w:highlight w:val="none"/>
        </w:rPr>
        <w:t>员</w:t>
      </w:r>
      <w:r>
        <w:rPr>
          <w:rFonts w:hint="eastAsia" w:ascii="宋体" w:hAnsi="宋体" w:eastAsia="宋体" w:cs="宋体"/>
          <w:color w:val="auto"/>
          <w:spacing w:val="2"/>
          <w:position w:val="-2"/>
          <w:sz w:val="24"/>
          <w:szCs w:val="24"/>
          <w:highlight w:val="none"/>
        </w:rPr>
        <w:t>简</w:t>
      </w:r>
      <w:r>
        <w:rPr>
          <w:rFonts w:hint="eastAsia" w:ascii="宋体" w:hAnsi="宋体" w:eastAsia="宋体" w:cs="宋体"/>
          <w:color w:val="auto"/>
          <w:position w:val="-2"/>
          <w:sz w:val="24"/>
          <w:szCs w:val="24"/>
          <w:highlight w:val="none"/>
        </w:rPr>
        <w:t>历表</w:t>
      </w:r>
    </w:p>
    <w:p w14:paraId="020F70D4">
      <w:pPr>
        <w:spacing w:before="7" w:line="40" w:lineRule="exact"/>
        <w:rPr>
          <w:rFonts w:hint="eastAsia" w:ascii="宋体" w:hAnsi="宋体" w:eastAsia="宋体" w:cs="宋体"/>
          <w:color w:val="auto"/>
          <w:sz w:val="4"/>
          <w:szCs w:val="4"/>
          <w:highlight w:val="none"/>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1175"/>
        <w:gridCol w:w="1147"/>
        <w:gridCol w:w="1176"/>
        <w:gridCol w:w="1176"/>
        <w:gridCol w:w="1150"/>
        <w:gridCol w:w="1176"/>
        <w:gridCol w:w="1144"/>
      </w:tblGrid>
      <w:tr w14:paraId="57B2D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center"/>
          </w:tcPr>
          <w:p w14:paraId="4E05BC5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75" w:type="dxa"/>
            <w:noWrap w:val="0"/>
            <w:vAlign w:val="center"/>
          </w:tcPr>
          <w:p w14:paraId="3CD807A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tc>
        <w:tc>
          <w:tcPr>
            <w:tcW w:w="1147" w:type="dxa"/>
            <w:noWrap w:val="0"/>
            <w:vAlign w:val="center"/>
          </w:tcPr>
          <w:p w14:paraId="70451FD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1176" w:type="dxa"/>
            <w:noWrap w:val="0"/>
            <w:vAlign w:val="center"/>
          </w:tcPr>
          <w:p w14:paraId="7A9AFE4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176" w:type="dxa"/>
            <w:noWrap w:val="0"/>
            <w:vAlign w:val="center"/>
          </w:tcPr>
          <w:p w14:paraId="25AF729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150" w:type="dxa"/>
            <w:noWrap w:val="0"/>
            <w:vAlign w:val="center"/>
          </w:tcPr>
          <w:p w14:paraId="42B2CDA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1176" w:type="dxa"/>
            <w:noWrap w:val="0"/>
            <w:vAlign w:val="center"/>
          </w:tcPr>
          <w:p w14:paraId="1E8534F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从事工作年限</w:t>
            </w:r>
          </w:p>
        </w:tc>
        <w:tc>
          <w:tcPr>
            <w:tcW w:w="1144" w:type="dxa"/>
            <w:noWrap w:val="0"/>
            <w:vAlign w:val="top"/>
          </w:tcPr>
          <w:p w14:paraId="6EA7540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169E8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260B7C64">
            <w:pPr>
              <w:rPr>
                <w:rFonts w:hint="eastAsia" w:ascii="宋体" w:hAnsi="宋体" w:eastAsia="宋体" w:cs="宋体"/>
                <w:color w:val="auto"/>
                <w:sz w:val="24"/>
                <w:szCs w:val="24"/>
                <w:highlight w:val="none"/>
              </w:rPr>
            </w:pPr>
          </w:p>
        </w:tc>
        <w:tc>
          <w:tcPr>
            <w:tcW w:w="1175" w:type="dxa"/>
            <w:noWrap w:val="0"/>
            <w:vAlign w:val="top"/>
          </w:tcPr>
          <w:p w14:paraId="7CA388D5">
            <w:pPr>
              <w:rPr>
                <w:rFonts w:hint="eastAsia" w:ascii="宋体" w:hAnsi="宋体" w:eastAsia="宋体" w:cs="宋体"/>
                <w:color w:val="auto"/>
                <w:sz w:val="24"/>
                <w:szCs w:val="24"/>
                <w:highlight w:val="none"/>
              </w:rPr>
            </w:pPr>
          </w:p>
        </w:tc>
        <w:tc>
          <w:tcPr>
            <w:tcW w:w="1147" w:type="dxa"/>
            <w:noWrap w:val="0"/>
            <w:vAlign w:val="top"/>
          </w:tcPr>
          <w:p w14:paraId="63A17DE1">
            <w:pPr>
              <w:rPr>
                <w:rFonts w:hint="eastAsia" w:ascii="宋体" w:hAnsi="宋体" w:eastAsia="宋体" w:cs="宋体"/>
                <w:color w:val="auto"/>
                <w:sz w:val="24"/>
                <w:szCs w:val="24"/>
                <w:highlight w:val="none"/>
              </w:rPr>
            </w:pPr>
          </w:p>
        </w:tc>
        <w:tc>
          <w:tcPr>
            <w:tcW w:w="1176" w:type="dxa"/>
            <w:noWrap w:val="0"/>
            <w:vAlign w:val="top"/>
          </w:tcPr>
          <w:p w14:paraId="1CA6ECE3">
            <w:pPr>
              <w:rPr>
                <w:rFonts w:hint="eastAsia" w:ascii="宋体" w:hAnsi="宋体" w:eastAsia="宋体" w:cs="宋体"/>
                <w:color w:val="auto"/>
                <w:sz w:val="24"/>
                <w:szCs w:val="24"/>
                <w:highlight w:val="none"/>
              </w:rPr>
            </w:pPr>
          </w:p>
        </w:tc>
        <w:tc>
          <w:tcPr>
            <w:tcW w:w="1176" w:type="dxa"/>
            <w:noWrap w:val="0"/>
            <w:vAlign w:val="top"/>
          </w:tcPr>
          <w:p w14:paraId="522D30FC">
            <w:pPr>
              <w:rPr>
                <w:rFonts w:hint="eastAsia" w:ascii="宋体" w:hAnsi="宋体" w:eastAsia="宋体" w:cs="宋体"/>
                <w:color w:val="auto"/>
                <w:sz w:val="24"/>
                <w:szCs w:val="24"/>
                <w:highlight w:val="none"/>
              </w:rPr>
            </w:pPr>
          </w:p>
        </w:tc>
        <w:tc>
          <w:tcPr>
            <w:tcW w:w="1150" w:type="dxa"/>
            <w:noWrap w:val="0"/>
            <w:vAlign w:val="top"/>
          </w:tcPr>
          <w:p w14:paraId="468B59AD">
            <w:pPr>
              <w:rPr>
                <w:rFonts w:hint="eastAsia" w:ascii="宋体" w:hAnsi="宋体" w:eastAsia="宋体" w:cs="宋体"/>
                <w:color w:val="auto"/>
                <w:sz w:val="24"/>
                <w:szCs w:val="24"/>
                <w:highlight w:val="none"/>
              </w:rPr>
            </w:pPr>
          </w:p>
        </w:tc>
        <w:tc>
          <w:tcPr>
            <w:tcW w:w="1176" w:type="dxa"/>
            <w:noWrap w:val="0"/>
            <w:vAlign w:val="top"/>
          </w:tcPr>
          <w:p w14:paraId="4BE17BA3">
            <w:pPr>
              <w:rPr>
                <w:rFonts w:hint="eastAsia" w:ascii="宋体" w:hAnsi="宋体" w:eastAsia="宋体" w:cs="宋体"/>
                <w:color w:val="auto"/>
                <w:sz w:val="24"/>
                <w:szCs w:val="24"/>
                <w:highlight w:val="none"/>
              </w:rPr>
            </w:pPr>
          </w:p>
        </w:tc>
        <w:tc>
          <w:tcPr>
            <w:tcW w:w="1144" w:type="dxa"/>
            <w:noWrap w:val="0"/>
            <w:vAlign w:val="top"/>
          </w:tcPr>
          <w:p w14:paraId="7A2FC3A4">
            <w:pPr>
              <w:rPr>
                <w:rFonts w:hint="eastAsia" w:ascii="宋体" w:hAnsi="宋体" w:eastAsia="宋体" w:cs="宋体"/>
                <w:color w:val="auto"/>
                <w:sz w:val="24"/>
                <w:szCs w:val="24"/>
                <w:highlight w:val="none"/>
              </w:rPr>
            </w:pPr>
          </w:p>
        </w:tc>
      </w:tr>
      <w:tr w14:paraId="57EEB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6957BB85">
            <w:pPr>
              <w:rPr>
                <w:rFonts w:hint="eastAsia" w:ascii="宋体" w:hAnsi="宋体" w:eastAsia="宋体" w:cs="宋体"/>
                <w:color w:val="auto"/>
                <w:sz w:val="24"/>
                <w:szCs w:val="24"/>
                <w:highlight w:val="none"/>
              </w:rPr>
            </w:pPr>
          </w:p>
        </w:tc>
        <w:tc>
          <w:tcPr>
            <w:tcW w:w="1175" w:type="dxa"/>
            <w:noWrap w:val="0"/>
            <w:vAlign w:val="top"/>
          </w:tcPr>
          <w:p w14:paraId="54DD54E0">
            <w:pPr>
              <w:rPr>
                <w:rFonts w:hint="eastAsia" w:ascii="宋体" w:hAnsi="宋体" w:eastAsia="宋体" w:cs="宋体"/>
                <w:color w:val="auto"/>
                <w:sz w:val="24"/>
                <w:szCs w:val="24"/>
                <w:highlight w:val="none"/>
              </w:rPr>
            </w:pPr>
          </w:p>
        </w:tc>
        <w:tc>
          <w:tcPr>
            <w:tcW w:w="1147" w:type="dxa"/>
            <w:noWrap w:val="0"/>
            <w:vAlign w:val="top"/>
          </w:tcPr>
          <w:p w14:paraId="2D0CEBA8">
            <w:pPr>
              <w:rPr>
                <w:rFonts w:hint="eastAsia" w:ascii="宋体" w:hAnsi="宋体" w:eastAsia="宋体" w:cs="宋体"/>
                <w:color w:val="auto"/>
                <w:sz w:val="24"/>
                <w:szCs w:val="24"/>
                <w:highlight w:val="none"/>
              </w:rPr>
            </w:pPr>
          </w:p>
        </w:tc>
        <w:tc>
          <w:tcPr>
            <w:tcW w:w="1176" w:type="dxa"/>
            <w:noWrap w:val="0"/>
            <w:vAlign w:val="top"/>
          </w:tcPr>
          <w:p w14:paraId="2271FB65">
            <w:pPr>
              <w:rPr>
                <w:rFonts w:hint="eastAsia" w:ascii="宋体" w:hAnsi="宋体" w:eastAsia="宋体" w:cs="宋体"/>
                <w:color w:val="auto"/>
                <w:sz w:val="24"/>
                <w:szCs w:val="24"/>
                <w:highlight w:val="none"/>
              </w:rPr>
            </w:pPr>
          </w:p>
        </w:tc>
        <w:tc>
          <w:tcPr>
            <w:tcW w:w="1176" w:type="dxa"/>
            <w:noWrap w:val="0"/>
            <w:vAlign w:val="top"/>
          </w:tcPr>
          <w:p w14:paraId="5736D0A4">
            <w:pPr>
              <w:rPr>
                <w:rFonts w:hint="eastAsia" w:ascii="宋体" w:hAnsi="宋体" w:eastAsia="宋体" w:cs="宋体"/>
                <w:color w:val="auto"/>
                <w:sz w:val="24"/>
                <w:szCs w:val="24"/>
                <w:highlight w:val="none"/>
              </w:rPr>
            </w:pPr>
          </w:p>
        </w:tc>
        <w:tc>
          <w:tcPr>
            <w:tcW w:w="1150" w:type="dxa"/>
            <w:noWrap w:val="0"/>
            <w:vAlign w:val="top"/>
          </w:tcPr>
          <w:p w14:paraId="7E57A2F6">
            <w:pPr>
              <w:rPr>
                <w:rFonts w:hint="eastAsia" w:ascii="宋体" w:hAnsi="宋体" w:eastAsia="宋体" w:cs="宋体"/>
                <w:color w:val="auto"/>
                <w:sz w:val="24"/>
                <w:szCs w:val="24"/>
                <w:highlight w:val="none"/>
              </w:rPr>
            </w:pPr>
          </w:p>
        </w:tc>
        <w:tc>
          <w:tcPr>
            <w:tcW w:w="1176" w:type="dxa"/>
            <w:noWrap w:val="0"/>
            <w:vAlign w:val="top"/>
          </w:tcPr>
          <w:p w14:paraId="031506F3">
            <w:pPr>
              <w:rPr>
                <w:rFonts w:hint="eastAsia" w:ascii="宋体" w:hAnsi="宋体" w:eastAsia="宋体" w:cs="宋体"/>
                <w:color w:val="auto"/>
                <w:sz w:val="24"/>
                <w:szCs w:val="24"/>
                <w:highlight w:val="none"/>
              </w:rPr>
            </w:pPr>
          </w:p>
        </w:tc>
        <w:tc>
          <w:tcPr>
            <w:tcW w:w="1144" w:type="dxa"/>
            <w:noWrap w:val="0"/>
            <w:vAlign w:val="top"/>
          </w:tcPr>
          <w:p w14:paraId="1B0B0B00">
            <w:pPr>
              <w:rPr>
                <w:rFonts w:hint="eastAsia" w:ascii="宋体" w:hAnsi="宋体" w:eastAsia="宋体" w:cs="宋体"/>
                <w:color w:val="auto"/>
                <w:sz w:val="24"/>
                <w:szCs w:val="24"/>
                <w:highlight w:val="none"/>
              </w:rPr>
            </w:pPr>
          </w:p>
        </w:tc>
      </w:tr>
      <w:tr w14:paraId="64444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795A5F83">
            <w:pPr>
              <w:rPr>
                <w:rFonts w:hint="eastAsia" w:ascii="宋体" w:hAnsi="宋体" w:eastAsia="宋体" w:cs="宋体"/>
                <w:color w:val="auto"/>
                <w:sz w:val="24"/>
                <w:szCs w:val="24"/>
                <w:highlight w:val="none"/>
              </w:rPr>
            </w:pPr>
          </w:p>
        </w:tc>
        <w:tc>
          <w:tcPr>
            <w:tcW w:w="1175" w:type="dxa"/>
            <w:noWrap w:val="0"/>
            <w:vAlign w:val="top"/>
          </w:tcPr>
          <w:p w14:paraId="3B59BD54">
            <w:pPr>
              <w:rPr>
                <w:rFonts w:hint="eastAsia" w:ascii="宋体" w:hAnsi="宋体" w:eastAsia="宋体" w:cs="宋体"/>
                <w:color w:val="auto"/>
                <w:sz w:val="24"/>
                <w:szCs w:val="24"/>
                <w:highlight w:val="none"/>
              </w:rPr>
            </w:pPr>
          </w:p>
        </w:tc>
        <w:tc>
          <w:tcPr>
            <w:tcW w:w="1147" w:type="dxa"/>
            <w:noWrap w:val="0"/>
            <w:vAlign w:val="top"/>
          </w:tcPr>
          <w:p w14:paraId="7101DE1B">
            <w:pPr>
              <w:rPr>
                <w:rFonts w:hint="eastAsia" w:ascii="宋体" w:hAnsi="宋体" w:eastAsia="宋体" w:cs="宋体"/>
                <w:color w:val="auto"/>
                <w:sz w:val="24"/>
                <w:szCs w:val="24"/>
                <w:highlight w:val="none"/>
              </w:rPr>
            </w:pPr>
          </w:p>
        </w:tc>
        <w:tc>
          <w:tcPr>
            <w:tcW w:w="1176" w:type="dxa"/>
            <w:noWrap w:val="0"/>
            <w:vAlign w:val="top"/>
          </w:tcPr>
          <w:p w14:paraId="6E34CA2F">
            <w:pPr>
              <w:rPr>
                <w:rFonts w:hint="eastAsia" w:ascii="宋体" w:hAnsi="宋体" w:eastAsia="宋体" w:cs="宋体"/>
                <w:color w:val="auto"/>
                <w:sz w:val="24"/>
                <w:szCs w:val="24"/>
                <w:highlight w:val="none"/>
              </w:rPr>
            </w:pPr>
          </w:p>
        </w:tc>
        <w:tc>
          <w:tcPr>
            <w:tcW w:w="1176" w:type="dxa"/>
            <w:noWrap w:val="0"/>
            <w:vAlign w:val="top"/>
          </w:tcPr>
          <w:p w14:paraId="492A1F34">
            <w:pPr>
              <w:rPr>
                <w:rFonts w:hint="eastAsia" w:ascii="宋体" w:hAnsi="宋体" w:eastAsia="宋体" w:cs="宋体"/>
                <w:color w:val="auto"/>
                <w:sz w:val="24"/>
                <w:szCs w:val="24"/>
                <w:highlight w:val="none"/>
              </w:rPr>
            </w:pPr>
          </w:p>
        </w:tc>
        <w:tc>
          <w:tcPr>
            <w:tcW w:w="1150" w:type="dxa"/>
            <w:noWrap w:val="0"/>
            <w:vAlign w:val="top"/>
          </w:tcPr>
          <w:p w14:paraId="2E31F73C">
            <w:pPr>
              <w:rPr>
                <w:rFonts w:hint="eastAsia" w:ascii="宋体" w:hAnsi="宋体" w:eastAsia="宋体" w:cs="宋体"/>
                <w:color w:val="auto"/>
                <w:sz w:val="24"/>
                <w:szCs w:val="24"/>
                <w:highlight w:val="none"/>
              </w:rPr>
            </w:pPr>
          </w:p>
        </w:tc>
        <w:tc>
          <w:tcPr>
            <w:tcW w:w="1176" w:type="dxa"/>
            <w:noWrap w:val="0"/>
            <w:vAlign w:val="top"/>
          </w:tcPr>
          <w:p w14:paraId="3E1418E8">
            <w:pPr>
              <w:rPr>
                <w:rFonts w:hint="eastAsia" w:ascii="宋体" w:hAnsi="宋体" w:eastAsia="宋体" w:cs="宋体"/>
                <w:color w:val="auto"/>
                <w:sz w:val="24"/>
                <w:szCs w:val="24"/>
                <w:highlight w:val="none"/>
              </w:rPr>
            </w:pPr>
          </w:p>
        </w:tc>
        <w:tc>
          <w:tcPr>
            <w:tcW w:w="1144" w:type="dxa"/>
            <w:noWrap w:val="0"/>
            <w:vAlign w:val="top"/>
          </w:tcPr>
          <w:p w14:paraId="343CF97B">
            <w:pPr>
              <w:rPr>
                <w:rFonts w:hint="eastAsia" w:ascii="宋体" w:hAnsi="宋体" w:eastAsia="宋体" w:cs="宋体"/>
                <w:color w:val="auto"/>
                <w:sz w:val="24"/>
                <w:szCs w:val="24"/>
                <w:highlight w:val="none"/>
              </w:rPr>
            </w:pPr>
          </w:p>
        </w:tc>
      </w:tr>
      <w:tr w14:paraId="10E02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18476FB9">
            <w:pPr>
              <w:rPr>
                <w:rFonts w:hint="eastAsia" w:ascii="宋体" w:hAnsi="宋体" w:eastAsia="宋体" w:cs="宋体"/>
                <w:color w:val="auto"/>
                <w:sz w:val="24"/>
                <w:szCs w:val="24"/>
                <w:highlight w:val="none"/>
              </w:rPr>
            </w:pPr>
          </w:p>
        </w:tc>
        <w:tc>
          <w:tcPr>
            <w:tcW w:w="1175" w:type="dxa"/>
            <w:noWrap w:val="0"/>
            <w:vAlign w:val="top"/>
          </w:tcPr>
          <w:p w14:paraId="7A619035">
            <w:pPr>
              <w:rPr>
                <w:rFonts w:hint="eastAsia" w:ascii="宋体" w:hAnsi="宋体" w:eastAsia="宋体" w:cs="宋体"/>
                <w:color w:val="auto"/>
                <w:sz w:val="24"/>
                <w:szCs w:val="24"/>
                <w:highlight w:val="none"/>
              </w:rPr>
            </w:pPr>
          </w:p>
        </w:tc>
        <w:tc>
          <w:tcPr>
            <w:tcW w:w="1147" w:type="dxa"/>
            <w:noWrap w:val="0"/>
            <w:vAlign w:val="top"/>
          </w:tcPr>
          <w:p w14:paraId="28113F7A">
            <w:pPr>
              <w:rPr>
                <w:rFonts w:hint="eastAsia" w:ascii="宋体" w:hAnsi="宋体" w:eastAsia="宋体" w:cs="宋体"/>
                <w:color w:val="auto"/>
                <w:sz w:val="24"/>
                <w:szCs w:val="24"/>
                <w:highlight w:val="none"/>
              </w:rPr>
            </w:pPr>
          </w:p>
        </w:tc>
        <w:tc>
          <w:tcPr>
            <w:tcW w:w="1176" w:type="dxa"/>
            <w:noWrap w:val="0"/>
            <w:vAlign w:val="top"/>
          </w:tcPr>
          <w:p w14:paraId="4DA6599C">
            <w:pPr>
              <w:rPr>
                <w:rFonts w:hint="eastAsia" w:ascii="宋体" w:hAnsi="宋体" w:eastAsia="宋体" w:cs="宋体"/>
                <w:color w:val="auto"/>
                <w:sz w:val="24"/>
                <w:szCs w:val="24"/>
                <w:highlight w:val="none"/>
              </w:rPr>
            </w:pPr>
          </w:p>
        </w:tc>
        <w:tc>
          <w:tcPr>
            <w:tcW w:w="1176" w:type="dxa"/>
            <w:noWrap w:val="0"/>
            <w:vAlign w:val="top"/>
          </w:tcPr>
          <w:p w14:paraId="6E45E32F">
            <w:pPr>
              <w:rPr>
                <w:rFonts w:hint="eastAsia" w:ascii="宋体" w:hAnsi="宋体" w:eastAsia="宋体" w:cs="宋体"/>
                <w:color w:val="auto"/>
                <w:sz w:val="24"/>
                <w:szCs w:val="24"/>
                <w:highlight w:val="none"/>
              </w:rPr>
            </w:pPr>
          </w:p>
        </w:tc>
        <w:tc>
          <w:tcPr>
            <w:tcW w:w="1150" w:type="dxa"/>
            <w:noWrap w:val="0"/>
            <w:vAlign w:val="top"/>
          </w:tcPr>
          <w:p w14:paraId="6B4AC6BF">
            <w:pPr>
              <w:rPr>
                <w:rFonts w:hint="eastAsia" w:ascii="宋体" w:hAnsi="宋体" w:eastAsia="宋体" w:cs="宋体"/>
                <w:color w:val="auto"/>
                <w:sz w:val="24"/>
                <w:szCs w:val="24"/>
                <w:highlight w:val="none"/>
              </w:rPr>
            </w:pPr>
          </w:p>
        </w:tc>
        <w:tc>
          <w:tcPr>
            <w:tcW w:w="1176" w:type="dxa"/>
            <w:noWrap w:val="0"/>
            <w:vAlign w:val="top"/>
          </w:tcPr>
          <w:p w14:paraId="05064AC3">
            <w:pPr>
              <w:rPr>
                <w:rFonts w:hint="eastAsia" w:ascii="宋体" w:hAnsi="宋体" w:eastAsia="宋体" w:cs="宋体"/>
                <w:color w:val="auto"/>
                <w:sz w:val="24"/>
                <w:szCs w:val="24"/>
                <w:highlight w:val="none"/>
              </w:rPr>
            </w:pPr>
          </w:p>
        </w:tc>
        <w:tc>
          <w:tcPr>
            <w:tcW w:w="1144" w:type="dxa"/>
            <w:noWrap w:val="0"/>
            <w:vAlign w:val="top"/>
          </w:tcPr>
          <w:p w14:paraId="6965CA06">
            <w:pPr>
              <w:rPr>
                <w:rFonts w:hint="eastAsia" w:ascii="宋体" w:hAnsi="宋体" w:eastAsia="宋体" w:cs="宋体"/>
                <w:color w:val="auto"/>
                <w:sz w:val="24"/>
                <w:szCs w:val="24"/>
                <w:highlight w:val="none"/>
              </w:rPr>
            </w:pPr>
          </w:p>
        </w:tc>
      </w:tr>
      <w:tr w14:paraId="3D6A2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47CAC661">
            <w:pPr>
              <w:rPr>
                <w:rFonts w:hint="eastAsia" w:ascii="宋体" w:hAnsi="宋体" w:eastAsia="宋体" w:cs="宋体"/>
                <w:color w:val="auto"/>
                <w:sz w:val="24"/>
                <w:szCs w:val="24"/>
                <w:highlight w:val="none"/>
              </w:rPr>
            </w:pPr>
          </w:p>
        </w:tc>
        <w:tc>
          <w:tcPr>
            <w:tcW w:w="1175" w:type="dxa"/>
            <w:noWrap w:val="0"/>
            <w:vAlign w:val="top"/>
          </w:tcPr>
          <w:p w14:paraId="030DC727">
            <w:pPr>
              <w:rPr>
                <w:rFonts w:hint="eastAsia" w:ascii="宋体" w:hAnsi="宋体" w:eastAsia="宋体" w:cs="宋体"/>
                <w:color w:val="auto"/>
                <w:sz w:val="24"/>
                <w:szCs w:val="24"/>
                <w:highlight w:val="none"/>
              </w:rPr>
            </w:pPr>
          </w:p>
        </w:tc>
        <w:tc>
          <w:tcPr>
            <w:tcW w:w="1147" w:type="dxa"/>
            <w:noWrap w:val="0"/>
            <w:vAlign w:val="top"/>
          </w:tcPr>
          <w:p w14:paraId="326BECEC">
            <w:pPr>
              <w:rPr>
                <w:rFonts w:hint="eastAsia" w:ascii="宋体" w:hAnsi="宋体" w:eastAsia="宋体" w:cs="宋体"/>
                <w:color w:val="auto"/>
                <w:sz w:val="24"/>
                <w:szCs w:val="24"/>
                <w:highlight w:val="none"/>
              </w:rPr>
            </w:pPr>
          </w:p>
        </w:tc>
        <w:tc>
          <w:tcPr>
            <w:tcW w:w="1176" w:type="dxa"/>
            <w:noWrap w:val="0"/>
            <w:vAlign w:val="top"/>
          </w:tcPr>
          <w:p w14:paraId="2163D0A2">
            <w:pPr>
              <w:rPr>
                <w:rFonts w:hint="eastAsia" w:ascii="宋体" w:hAnsi="宋体" w:eastAsia="宋体" w:cs="宋体"/>
                <w:color w:val="auto"/>
                <w:sz w:val="24"/>
                <w:szCs w:val="24"/>
                <w:highlight w:val="none"/>
              </w:rPr>
            </w:pPr>
          </w:p>
        </w:tc>
        <w:tc>
          <w:tcPr>
            <w:tcW w:w="1176" w:type="dxa"/>
            <w:noWrap w:val="0"/>
            <w:vAlign w:val="top"/>
          </w:tcPr>
          <w:p w14:paraId="66F0FC86">
            <w:pPr>
              <w:rPr>
                <w:rFonts w:hint="eastAsia" w:ascii="宋体" w:hAnsi="宋体" w:eastAsia="宋体" w:cs="宋体"/>
                <w:color w:val="auto"/>
                <w:sz w:val="24"/>
                <w:szCs w:val="24"/>
                <w:highlight w:val="none"/>
              </w:rPr>
            </w:pPr>
          </w:p>
        </w:tc>
        <w:tc>
          <w:tcPr>
            <w:tcW w:w="1150" w:type="dxa"/>
            <w:noWrap w:val="0"/>
            <w:vAlign w:val="top"/>
          </w:tcPr>
          <w:p w14:paraId="21E0901A">
            <w:pPr>
              <w:rPr>
                <w:rFonts w:hint="eastAsia" w:ascii="宋体" w:hAnsi="宋体" w:eastAsia="宋体" w:cs="宋体"/>
                <w:color w:val="auto"/>
                <w:sz w:val="24"/>
                <w:szCs w:val="24"/>
                <w:highlight w:val="none"/>
              </w:rPr>
            </w:pPr>
          </w:p>
        </w:tc>
        <w:tc>
          <w:tcPr>
            <w:tcW w:w="1176" w:type="dxa"/>
            <w:noWrap w:val="0"/>
            <w:vAlign w:val="top"/>
          </w:tcPr>
          <w:p w14:paraId="2E99D43D">
            <w:pPr>
              <w:rPr>
                <w:rFonts w:hint="eastAsia" w:ascii="宋体" w:hAnsi="宋体" w:eastAsia="宋体" w:cs="宋体"/>
                <w:color w:val="auto"/>
                <w:sz w:val="24"/>
                <w:szCs w:val="24"/>
                <w:highlight w:val="none"/>
              </w:rPr>
            </w:pPr>
          </w:p>
        </w:tc>
        <w:tc>
          <w:tcPr>
            <w:tcW w:w="1144" w:type="dxa"/>
            <w:noWrap w:val="0"/>
            <w:vAlign w:val="top"/>
          </w:tcPr>
          <w:p w14:paraId="017B34E6">
            <w:pPr>
              <w:rPr>
                <w:rFonts w:hint="eastAsia" w:ascii="宋体" w:hAnsi="宋体" w:eastAsia="宋体" w:cs="宋体"/>
                <w:color w:val="auto"/>
                <w:sz w:val="24"/>
                <w:szCs w:val="24"/>
                <w:highlight w:val="none"/>
              </w:rPr>
            </w:pPr>
          </w:p>
        </w:tc>
      </w:tr>
      <w:tr w14:paraId="7CD87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219A0D67">
            <w:pPr>
              <w:rPr>
                <w:rFonts w:hint="eastAsia" w:ascii="宋体" w:hAnsi="宋体" w:eastAsia="宋体" w:cs="宋体"/>
                <w:color w:val="auto"/>
                <w:sz w:val="24"/>
                <w:szCs w:val="24"/>
                <w:highlight w:val="none"/>
              </w:rPr>
            </w:pPr>
          </w:p>
        </w:tc>
        <w:tc>
          <w:tcPr>
            <w:tcW w:w="1175" w:type="dxa"/>
            <w:noWrap w:val="0"/>
            <w:vAlign w:val="top"/>
          </w:tcPr>
          <w:p w14:paraId="13762D0B">
            <w:pPr>
              <w:rPr>
                <w:rFonts w:hint="eastAsia" w:ascii="宋体" w:hAnsi="宋体" w:eastAsia="宋体" w:cs="宋体"/>
                <w:color w:val="auto"/>
                <w:sz w:val="24"/>
                <w:szCs w:val="24"/>
                <w:highlight w:val="none"/>
              </w:rPr>
            </w:pPr>
          </w:p>
        </w:tc>
        <w:tc>
          <w:tcPr>
            <w:tcW w:w="1147" w:type="dxa"/>
            <w:noWrap w:val="0"/>
            <w:vAlign w:val="top"/>
          </w:tcPr>
          <w:p w14:paraId="7293C3BA">
            <w:pPr>
              <w:rPr>
                <w:rFonts w:hint="eastAsia" w:ascii="宋体" w:hAnsi="宋体" w:eastAsia="宋体" w:cs="宋体"/>
                <w:color w:val="auto"/>
                <w:sz w:val="24"/>
                <w:szCs w:val="24"/>
                <w:highlight w:val="none"/>
              </w:rPr>
            </w:pPr>
          </w:p>
        </w:tc>
        <w:tc>
          <w:tcPr>
            <w:tcW w:w="1176" w:type="dxa"/>
            <w:noWrap w:val="0"/>
            <w:vAlign w:val="top"/>
          </w:tcPr>
          <w:p w14:paraId="3DFDC7A5">
            <w:pPr>
              <w:rPr>
                <w:rFonts w:hint="eastAsia" w:ascii="宋体" w:hAnsi="宋体" w:eastAsia="宋体" w:cs="宋体"/>
                <w:color w:val="auto"/>
                <w:sz w:val="24"/>
                <w:szCs w:val="24"/>
                <w:highlight w:val="none"/>
              </w:rPr>
            </w:pPr>
          </w:p>
        </w:tc>
        <w:tc>
          <w:tcPr>
            <w:tcW w:w="1176" w:type="dxa"/>
            <w:noWrap w:val="0"/>
            <w:vAlign w:val="top"/>
          </w:tcPr>
          <w:p w14:paraId="0A747639">
            <w:pPr>
              <w:rPr>
                <w:rFonts w:hint="eastAsia" w:ascii="宋体" w:hAnsi="宋体" w:eastAsia="宋体" w:cs="宋体"/>
                <w:color w:val="auto"/>
                <w:sz w:val="24"/>
                <w:szCs w:val="24"/>
                <w:highlight w:val="none"/>
              </w:rPr>
            </w:pPr>
          </w:p>
        </w:tc>
        <w:tc>
          <w:tcPr>
            <w:tcW w:w="1150" w:type="dxa"/>
            <w:noWrap w:val="0"/>
            <w:vAlign w:val="top"/>
          </w:tcPr>
          <w:p w14:paraId="7AC9D91F">
            <w:pPr>
              <w:rPr>
                <w:rFonts w:hint="eastAsia" w:ascii="宋体" w:hAnsi="宋体" w:eastAsia="宋体" w:cs="宋体"/>
                <w:color w:val="auto"/>
                <w:sz w:val="24"/>
                <w:szCs w:val="24"/>
                <w:highlight w:val="none"/>
              </w:rPr>
            </w:pPr>
          </w:p>
        </w:tc>
        <w:tc>
          <w:tcPr>
            <w:tcW w:w="1176" w:type="dxa"/>
            <w:noWrap w:val="0"/>
            <w:vAlign w:val="top"/>
          </w:tcPr>
          <w:p w14:paraId="78FE0447">
            <w:pPr>
              <w:rPr>
                <w:rFonts w:hint="eastAsia" w:ascii="宋体" w:hAnsi="宋体" w:eastAsia="宋体" w:cs="宋体"/>
                <w:color w:val="auto"/>
                <w:sz w:val="24"/>
                <w:szCs w:val="24"/>
                <w:highlight w:val="none"/>
              </w:rPr>
            </w:pPr>
          </w:p>
        </w:tc>
        <w:tc>
          <w:tcPr>
            <w:tcW w:w="1144" w:type="dxa"/>
            <w:noWrap w:val="0"/>
            <w:vAlign w:val="top"/>
          </w:tcPr>
          <w:p w14:paraId="6E74B068">
            <w:pPr>
              <w:rPr>
                <w:rFonts w:hint="eastAsia" w:ascii="宋体" w:hAnsi="宋体" w:eastAsia="宋体" w:cs="宋体"/>
                <w:color w:val="auto"/>
                <w:sz w:val="24"/>
                <w:szCs w:val="24"/>
                <w:highlight w:val="none"/>
              </w:rPr>
            </w:pPr>
          </w:p>
        </w:tc>
      </w:tr>
      <w:tr w14:paraId="5B630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3" w:type="dxa"/>
            <w:noWrap w:val="0"/>
            <w:vAlign w:val="top"/>
          </w:tcPr>
          <w:p w14:paraId="5903278D">
            <w:pPr>
              <w:rPr>
                <w:rFonts w:hint="eastAsia" w:ascii="宋体" w:hAnsi="宋体" w:eastAsia="宋体" w:cs="宋体"/>
                <w:color w:val="auto"/>
                <w:sz w:val="24"/>
                <w:szCs w:val="24"/>
                <w:highlight w:val="none"/>
              </w:rPr>
            </w:pPr>
          </w:p>
        </w:tc>
        <w:tc>
          <w:tcPr>
            <w:tcW w:w="1175" w:type="dxa"/>
            <w:noWrap w:val="0"/>
            <w:vAlign w:val="top"/>
          </w:tcPr>
          <w:p w14:paraId="0119522F">
            <w:pPr>
              <w:rPr>
                <w:rFonts w:hint="eastAsia" w:ascii="宋体" w:hAnsi="宋体" w:eastAsia="宋体" w:cs="宋体"/>
                <w:color w:val="auto"/>
                <w:sz w:val="24"/>
                <w:szCs w:val="24"/>
                <w:highlight w:val="none"/>
              </w:rPr>
            </w:pPr>
          </w:p>
        </w:tc>
        <w:tc>
          <w:tcPr>
            <w:tcW w:w="1147" w:type="dxa"/>
            <w:noWrap w:val="0"/>
            <w:vAlign w:val="top"/>
          </w:tcPr>
          <w:p w14:paraId="628827D3">
            <w:pPr>
              <w:rPr>
                <w:rFonts w:hint="eastAsia" w:ascii="宋体" w:hAnsi="宋体" w:eastAsia="宋体" w:cs="宋体"/>
                <w:color w:val="auto"/>
                <w:sz w:val="24"/>
                <w:szCs w:val="24"/>
                <w:highlight w:val="none"/>
              </w:rPr>
            </w:pPr>
          </w:p>
        </w:tc>
        <w:tc>
          <w:tcPr>
            <w:tcW w:w="1176" w:type="dxa"/>
            <w:noWrap w:val="0"/>
            <w:vAlign w:val="top"/>
          </w:tcPr>
          <w:p w14:paraId="78B567F2">
            <w:pPr>
              <w:rPr>
                <w:rFonts w:hint="eastAsia" w:ascii="宋体" w:hAnsi="宋体" w:eastAsia="宋体" w:cs="宋体"/>
                <w:color w:val="auto"/>
                <w:sz w:val="24"/>
                <w:szCs w:val="24"/>
                <w:highlight w:val="none"/>
              </w:rPr>
            </w:pPr>
          </w:p>
        </w:tc>
        <w:tc>
          <w:tcPr>
            <w:tcW w:w="1176" w:type="dxa"/>
            <w:noWrap w:val="0"/>
            <w:vAlign w:val="top"/>
          </w:tcPr>
          <w:p w14:paraId="1E8F4BC2">
            <w:pPr>
              <w:rPr>
                <w:rFonts w:hint="eastAsia" w:ascii="宋体" w:hAnsi="宋体" w:eastAsia="宋体" w:cs="宋体"/>
                <w:color w:val="auto"/>
                <w:sz w:val="24"/>
                <w:szCs w:val="24"/>
                <w:highlight w:val="none"/>
              </w:rPr>
            </w:pPr>
          </w:p>
        </w:tc>
        <w:tc>
          <w:tcPr>
            <w:tcW w:w="1150" w:type="dxa"/>
            <w:noWrap w:val="0"/>
            <w:vAlign w:val="top"/>
          </w:tcPr>
          <w:p w14:paraId="05B102E0">
            <w:pPr>
              <w:rPr>
                <w:rFonts w:hint="eastAsia" w:ascii="宋体" w:hAnsi="宋体" w:eastAsia="宋体" w:cs="宋体"/>
                <w:color w:val="auto"/>
                <w:sz w:val="24"/>
                <w:szCs w:val="24"/>
                <w:highlight w:val="none"/>
              </w:rPr>
            </w:pPr>
          </w:p>
        </w:tc>
        <w:tc>
          <w:tcPr>
            <w:tcW w:w="1176" w:type="dxa"/>
            <w:noWrap w:val="0"/>
            <w:vAlign w:val="top"/>
          </w:tcPr>
          <w:p w14:paraId="6ADC41E6">
            <w:pPr>
              <w:rPr>
                <w:rFonts w:hint="eastAsia" w:ascii="宋体" w:hAnsi="宋体" w:eastAsia="宋体" w:cs="宋体"/>
                <w:color w:val="auto"/>
                <w:sz w:val="24"/>
                <w:szCs w:val="24"/>
                <w:highlight w:val="none"/>
              </w:rPr>
            </w:pPr>
          </w:p>
        </w:tc>
        <w:tc>
          <w:tcPr>
            <w:tcW w:w="1144" w:type="dxa"/>
            <w:noWrap w:val="0"/>
            <w:vAlign w:val="top"/>
          </w:tcPr>
          <w:p w14:paraId="54B7BE40">
            <w:pPr>
              <w:rPr>
                <w:rFonts w:hint="eastAsia" w:ascii="宋体" w:hAnsi="宋体" w:eastAsia="宋体" w:cs="宋体"/>
                <w:color w:val="auto"/>
                <w:sz w:val="24"/>
                <w:szCs w:val="24"/>
                <w:highlight w:val="none"/>
              </w:rPr>
            </w:pPr>
          </w:p>
        </w:tc>
      </w:tr>
    </w:tbl>
    <w:p w14:paraId="58BC136D">
      <w:pPr>
        <w:spacing w:line="364" w:lineRule="exact"/>
        <w:ind w:right="-20"/>
        <w:jc w:val="left"/>
        <w:rPr>
          <w:rFonts w:hint="eastAsia" w:ascii="宋体" w:hAnsi="宋体" w:eastAsia="宋体" w:cs="宋体"/>
          <w:color w:val="auto"/>
          <w:spacing w:val="2"/>
          <w:position w:val="-2"/>
          <w:sz w:val="24"/>
          <w:szCs w:val="24"/>
          <w:highlight w:val="none"/>
          <w:lang w:eastAsia="zh-CN"/>
        </w:rPr>
      </w:pPr>
      <w:r>
        <w:rPr>
          <w:rFonts w:hint="eastAsia" w:ascii="宋体" w:hAnsi="宋体" w:eastAsia="宋体" w:cs="宋体"/>
          <w:color w:val="auto"/>
          <w:spacing w:val="2"/>
          <w:position w:val="-2"/>
          <w:sz w:val="24"/>
          <w:szCs w:val="24"/>
          <w:highlight w:val="none"/>
          <w:lang w:eastAsia="zh-CN"/>
        </w:rPr>
        <w:t>注：后附相关证件（书）</w:t>
      </w:r>
    </w:p>
    <w:p w14:paraId="7400350E">
      <w:pPr>
        <w:spacing w:line="360" w:lineRule="auto"/>
        <w:ind w:left="219" w:right="-20"/>
        <w:rPr>
          <w:rFonts w:hint="eastAsia" w:ascii="宋体" w:hAnsi="宋体" w:eastAsia="宋体" w:cs="宋体"/>
          <w:color w:val="auto"/>
          <w:position w:val="-2"/>
          <w:sz w:val="24"/>
          <w:szCs w:val="24"/>
          <w:highlight w:val="none"/>
        </w:rPr>
      </w:pPr>
    </w:p>
    <w:p w14:paraId="3C7E3E4D">
      <w:pPr>
        <w:spacing w:line="360" w:lineRule="auto"/>
        <w:ind w:left="219" w:right="-20"/>
        <w:rPr>
          <w:rFonts w:hint="eastAsia" w:ascii="宋体" w:hAnsi="宋体" w:eastAsia="宋体" w:cs="宋体"/>
          <w:color w:val="auto"/>
          <w:sz w:val="24"/>
          <w:szCs w:val="24"/>
          <w:highlight w:val="none"/>
        </w:rPr>
      </w:pPr>
    </w:p>
    <w:p w14:paraId="4414EEE2">
      <w:pPr>
        <w:spacing w:line="360" w:lineRule="auto"/>
        <w:rPr>
          <w:rFonts w:hint="eastAsia" w:ascii="宋体" w:hAnsi="宋体" w:eastAsia="宋体" w:cs="宋体"/>
          <w:color w:val="auto"/>
          <w:highlight w:val="none"/>
        </w:rPr>
        <w:sectPr>
          <w:footerReference r:id="rId6" w:type="default"/>
          <w:pgSz w:w="11905" w:h="16838"/>
          <w:pgMar w:top="1474" w:right="1814" w:bottom="1474" w:left="1814" w:header="850" w:footer="850" w:gutter="0"/>
          <w:pgNumType w:start="1"/>
          <w:cols w:space="0" w:num="1"/>
          <w:rtlGutter w:val="0"/>
          <w:docGrid w:linePitch="0" w:charSpace="0"/>
        </w:sectPr>
      </w:pPr>
    </w:p>
    <w:p w14:paraId="5884A44F">
      <w:pPr>
        <w:pStyle w:val="6"/>
        <w:keepNext/>
        <w:keepLines/>
        <w:pageBreakBefore w:val="0"/>
        <w:widowControl w:val="0"/>
        <w:numPr>
          <w:ilvl w:val="0"/>
          <w:numId w:val="0"/>
        </w:numPr>
        <w:kinsoku/>
        <w:wordWrap/>
        <w:overflowPunct/>
        <w:topLinePunct w:val="0"/>
        <w:autoSpaceDE/>
        <w:autoSpaceDN/>
        <w:bidi w:val="0"/>
        <w:adjustRightInd w:val="0"/>
        <w:snapToGrid/>
        <w:spacing w:before="0" w:after="0" w:line="240" w:lineRule="auto"/>
        <w:ind w:leftChars="0"/>
        <w:textAlignment w:val="baseline"/>
        <w:rPr>
          <w:rFonts w:hint="eastAsia" w:ascii="宋体" w:hAnsi="宋体" w:eastAsia="宋体" w:cs="宋体"/>
          <w:color w:val="auto"/>
          <w:sz w:val="24"/>
          <w:szCs w:val="24"/>
          <w:highlight w:val="none"/>
        </w:rPr>
      </w:pPr>
      <w:bookmarkStart w:id="282" w:name="_Toc5311"/>
      <w:r>
        <w:rPr>
          <w:rFonts w:hint="eastAsia" w:ascii="宋体" w:hAnsi="宋体" w:eastAsia="宋体" w:cs="宋体"/>
          <w:b/>
          <w:color w:val="auto"/>
          <w:sz w:val="24"/>
          <w:szCs w:val="24"/>
          <w:highlight w:val="none"/>
          <w:lang w:val="en-US" w:eastAsia="zh-CN"/>
        </w:rPr>
        <w:t>2.6</w:t>
      </w:r>
      <w:r>
        <w:rPr>
          <w:rFonts w:hint="eastAsia" w:ascii="宋体" w:hAnsi="宋体" w:eastAsia="宋体" w:cs="宋体"/>
          <w:color w:val="auto"/>
          <w:sz w:val="24"/>
          <w:szCs w:val="24"/>
          <w:highlight w:val="none"/>
        </w:rPr>
        <w:t>供应商类似项目业绩表</w:t>
      </w:r>
      <w:bookmarkEnd w:id="282"/>
    </w:p>
    <w:p w14:paraId="5B71B940">
      <w:pPr>
        <w:adjustRightInd w:val="0"/>
        <w:snapToGrid w:val="0"/>
        <w:spacing w:line="360" w:lineRule="auto"/>
        <w:rPr>
          <w:rFonts w:hint="eastAsia" w:ascii="宋体" w:hAnsi="宋体" w:eastAsia="宋体" w:cs="宋体"/>
          <w:color w:val="auto"/>
          <w:sz w:val="24"/>
          <w:szCs w:val="24"/>
          <w:highlight w:val="none"/>
        </w:rPr>
      </w:pPr>
    </w:p>
    <w:p w14:paraId="1861B344">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采购项目编号：</w:t>
      </w:r>
    </w:p>
    <w:p w14:paraId="3911537E">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采购项目名称：</w:t>
      </w:r>
    </w:p>
    <w:tbl>
      <w:tblPr>
        <w:tblStyle w:val="38"/>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14:paraId="64B00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noWrap w:val="0"/>
            <w:vAlign w:val="center"/>
          </w:tcPr>
          <w:p w14:paraId="6EAED8D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200" w:type="dxa"/>
            <w:noWrap w:val="0"/>
            <w:vAlign w:val="top"/>
          </w:tcPr>
          <w:p w14:paraId="786D32C1">
            <w:pPr>
              <w:spacing w:line="360" w:lineRule="auto"/>
              <w:jc w:val="center"/>
              <w:rPr>
                <w:rFonts w:hint="eastAsia" w:ascii="宋体" w:hAnsi="宋体" w:eastAsia="宋体" w:cs="宋体"/>
                <w:color w:val="auto"/>
                <w:sz w:val="24"/>
                <w:szCs w:val="24"/>
                <w:highlight w:val="none"/>
              </w:rPr>
            </w:pPr>
          </w:p>
        </w:tc>
      </w:tr>
      <w:tr w14:paraId="4C813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jc w:val="center"/>
        </w:trPr>
        <w:tc>
          <w:tcPr>
            <w:tcW w:w="1908" w:type="dxa"/>
            <w:noWrap w:val="0"/>
            <w:vAlign w:val="center"/>
          </w:tcPr>
          <w:p w14:paraId="78BF394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项目单位名称</w:t>
            </w:r>
          </w:p>
        </w:tc>
        <w:tc>
          <w:tcPr>
            <w:tcW w:w="7200" w:type="dxa"/>
            <w:noWrap w:val="0"/>
            <w:vAlign w:val="top"/>
          </w:tcPr>
          <w:p w14:paraId="1A0FC747">
            <w:pPr>
              <w:spacing w:line="360" w:lineRule="auto"/>
              <w:jc w:val="center"/>
              <w:rPr>
                <w:rFonts w:hint="eastAsia" w:ascii="宋体" w:hAnsi="宋体" w:eastAsia="宋体" w:cs="宋体"/>
                <w:color w:val="auto"/>
                <w:sz w:val="24"/>
                <w:szCs w:val="24"/>
                <w:highlight w:val="none"/>
              </w:rPr>
            </w:pPr>
          </w:p>
        </w:tc>
      </w:tr>
      <w:tr w14:paraId="79276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noWrap w:val="0"/>
            <w:vAlign w:val="center"/>
          </w:tcPr>
          <w:p w14:paraId="03A5268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项目单位联系人姓名及联系方式</w:t>
            </w:r>
          </w:p>
        </w:tc>
        <w:tc>
          <w:tcPr>
            <w:tcW w:w="7200" w:type="dxa"/>
            <w:noWrap w:val="0"/>
            <w:vAlign w:val="top"/>
          </w:tcPr>
          <w:p w14:paraId="338F1CCF">
            <w:pPr>
              <w:spacing w:line="360" w:lineRule="auto"/>
              <w:jc w:val="center"/>
              <w:rPr>
                <w:rFonts w:hint="eastAsia" w:ascii="宋体" w:hAnsi="宋体" w:eastAsia="宋体" w:cs="宋体"/>
                <w:color w:val="auto"/>
                <w:sz w:val="24"/>
                <w:szCs w:val="24"/>
                <w:highlight w:val="none"/>
              </w:rPr>
            </w:pPr>
          </w:p>
        </w:tc>
      </w:tr>
      <w:tr w14:paraId="7CEE3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noWrap w:val="0"/>
            <w:vAlign w:val="center"/>
          </w:tcPr>
          <w:p w14:paraId="21AC28F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合同金额</w:t>
            </w:r>
          </w:p>
        </w:tc>
        <w:tc>
          <w:tcPr>
            <w:tcW w:w="7200" w:type="dxa"/>
            <w:noWrap w:val="0"/>
            <w:vAlign w:val="top"/>
          </w:tcPr>
          <w:p w14:paraId="170C4E0F">
            <w:pPr>
              <w:spacing w:line="360" w:lineRule="auto"/>
              <w:jc w:val="center"/>
              <w:rPr>
                <w:rFonts w:hint="eastAsia" w:ascii="宋体" w:hAnsi="宋体" w:eastAsia="宋体" w:cs="宋体"/>
                <w:color w:val="auto"/>
                <w:sz w:val="24"/>
                <w:szCs w:val="24"/>
                <w:highlight w:val="none"/>
              </w:rPr>
            </w:pPr>
          </w:p>
        </w:tc>
      </w:tr>
      <w:tr w14:paraId="705FA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noWrap w:val="0"/>
            <w:vAlign w:val="center"/>
          </w:tcPr>
          <w:p w14:paraId="226A7E4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p w14:paraId="567BD39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7200" w:type="dxa"/>
            <w:noWrap w:val="0"/>
            <w:vAlign w:val="top"/>
          </w:tcPr>
          <w:p w14:paraId="2572D7AE">
            <w:pPr>
              <w:spacing w:line="360" w:lineRule="auto"/>
              <w:jc w:val="center"/>
              <w:rPr>
                <w:rFonts w:hint="eastAsia" w:ascii="宋体" w:hAnsi="宋体" w:eastAsia="宋体" w:cs="宋体"/>
                <w:color w:val="auto"/>
                <w:sz w:val="24"/>
                <w:szCs w:val="24"/>
                <w:highlight w:val="none"/>
              </w:rPr>
            </w:pPr>
          </w:p>
        </w:tc>
      </w:tr>
      <w:tr w14:paraId="2AA3E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noWrap w:val="0"/>
            <w:vAlign w:val="center"/>
          </w:tcPr>
          <w:p w14:paraId="366ECFC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项目实施时间</w:t>
            </w:r>
          </w:p>
        </w:tc>
        <w:tc>
          <w:tcPr>
            <w:tcW w:w="7200" w:type="dxa"/>
            <w:noWrap w:val="0"/>
            <w:vAlign w:val="top"/>
          </w:tcPr>
          <w:p w14:paraId="165BFA5E">
            <w:pPr>
              <w:spacing w:line="360" w:lineRule="auto"/>
              <w:jc w:val="center"/>
              <w:rPr>
                <w:rFonts w:hint="eastAsia" w:ascii="宋体" w:hAnsi="宋体" w:eastAsia="宋体" w:cs="宋体"/>
                <w:color w:val="auto"/>
                <w:sz w:val="24"/>
                <w:szCs w:val="24"/>
                <w:highlight w:val="none"/>
              </w:rPr>
            </w:pPr>
          </w:p>
        </w:tc>
      </w:tr>
      <w:tr w14:paraId="770CB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noWrap w:val="0"/>
            <w:vAlign w:val="center"/>
          </w:tcPr>
          <w:p w14:paraId="6C3612A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项目内容说明</w:t>
            </w:r>
          </w:p>
        </w:tc>
        <w:tc>
          <w:tcPr>
            <w:tcW w:w="7200" w:type="dxa"/>
            <w:noWrap w:val="0"/>
            <w:vAlign w:val="top"/>
          </w:tcPr>
          <w:p w14:paraId="477E21EE">
            <w:pPr>
              <w:spacing w:line="360" w:lineRule="auto"/>
              <w:jc w:val="center"/>
              <w:rPr>
                <w:rFonts w:hint="eastAsia" w:ascii="宋体" w:hAnsi="宋体" w:eastAsia="宋体" w:cs="宋体"/>
                <w:color w:val="auto"/>
                <w:sz w:val="24"/>
                <w:szCs w:val="24"/>
                <w:highlight w:val="none"/>
              </w:rPr>
            </w:pPr>
          </w:p>
        </w:tc>
      </w:tr>
    </w:tbl>
    <w:p w14:paraId="4C1B5BB7">
      <w:pPr>
        <w:autoSpaceDE w:val="0"/>
        <w:autoSpaceDN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说明：1．每个合同须单独附表，并附上相关证明材料，否则专家在评审时将不予采信；</w:t>
      </w:r>
    </w:p>
    <w:p w14:paraId="2B891A23">
      <w:pPr>
        <w:pStyle w:val="22"/>
        <w:bidi w:val="0"/>
        <w:ind w:left="0" w:leftChars="0" w:firstLine="0" w:firstLineChars="0"/>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highlight w:val="none"/>
        </w:rPr>
        <w:t>2．项目内容请详细说明所承担的具体工作内容</w:t>
      </w:r>
    </w:p>
    <w:p w14:paraId="2D71BE43">
      <w:pPr>
        <w:pStyle w:val="26"/>
        <w:rPr>
          <w:rFonts w:hint="eastAsia" w:ascii="宋体" w:hAnsi="宋体" w:eastAsia="宋体" w:cs="宋体"/>
          <w:b/>
          <w:color w:val="auto"/>
          <w:sz w:val="24"/>
          <w:szCs w:val="24"/>
          <w:highlight w:val="none"/>
          <w:lang w:val="en-US" w:eastAsia="zh-CN"/>
        </w:rPr>
      </w:pPr>
    </w:p>
    <w:p w14:paraId="3413491B">
      <w:pPr>
        <w:rPr>
          <w:rFonts w:hint="eastAsia" w:ascii="宋体" w:hAnsi="宋体" w:eastAsia="宋体" w:cs="宋体"/>
          <w:b/>
          <w:color w:val="auto"/>
          <w:sz w:val="24"/>
          <w:szCs w:val="24"/>
          <w:highlight w:val="none"/>
          <w:lang w:val="en-US" w:eastAsia="zh-CN"/>
        </w:rPr>
      </w:pPr>
    </w:p>
    <w:p w14:paraId="6970C0B1">
      <w:pPr>
        <w:pStyle w:val="21"/>
        <w:rPr>
          <w:rFonts w:hint="eastAsia" w:ascii="宋体" w:hAnsi="宋体" w:eastAsia="宋体" w:cs="宋体"/>
          <w:b/>
          <w:color w:val="auto"/>
          <w:sz w:val="24"/>
          <w:szCs w:val="24"/>
          <w:highlight w:val="none"/>
          <w:lang w:val="en-US" w:eastAsia="zh-CN"/>
        </w:rPr>
      </w:pPr>
    </w:p>
    <w:p w14:paraId="6F2122FE">
      <w:pPr>
        <w:rPr>
          <w:rFonts w:hint="eastAsia" w:ascii="宋体" w:hAnsi="宋体" w:eastAsia="宋体" w:cs="宋体"/>
          <w:b/>
          <w:color w:val="auto"/>
          <w:sz w:val="24"/>
          <w:szCs w:val="24"/>
          <w:highlight w:val="none"/>
          <w:lang w:val="en-US" w:eastAsia="zh-CN"/>
        </w:rPr>
      </w:pPr>
    </w:p>
    <w:p w14:paraId="4F59DF51">
      <w:pPr>
        <w:pStyle w:val="21"/>
        <w:rPr>
          <w:rFonts w:hint="eastAsia" w:ascii="宋体" w:hAnsi="宋体" w:eastAsia="宋体" w:cs="宋体"/>
          <w:b/>
          <w:color w:val="auto"/>
          <w:sz w:val="24"/>
          <w:szCs w:val="24"/>
          <w:highlight w:val="none"/>
          <w:lang w:val="en-US" w:eastAsia="zh-CN"/>
        </w:rPr>
      </w:pPr>
    </w:p>
    <w:p w14:paraId="4806C1BA">
      <w:pPr>
        <w:rPr>
          <w:rFonts w:hint="eastAsia" w:ascii="宋体" w:hAnsi="宋体" w:eastAsia="宋体" w:cs="宋体"/>
          <w:b/>
          <w:color w:val="auto"/>
          <w:sz w:val="24"/>
          <w:szCs w:val="24"/>
          <w:highlight w:val="none"/>
          <w:lang w:val="en-US" w:eastAsia="zh-CN"/>
        </w:rPr>
      </w:pPr>
    </w:p>
    <w:p w14:paraId="5E4B94B0">
      <w:pPr>
        <w:pStyle w:val="21"/>
        <w:rPr>
          <w:rFonts w:hint="eastAsia" w:ascii="宋体" w:hAnsi="宋体" w:eastAsia="宋体" w:cs="宋体"/>
          <w:b/>
          <w:color w:val="auto"/>
          <w:sz w:val="24"/>
          <w:szCs w:val="24"/>
          <w:highlight w:val="none"/>
          <w:lang w:val="en-US" w:eastAsia="zh-CN"/>
        </w:rPr>
      </w:pPr>
    </w:p>
    <w:p w14:paraId="52C1D6BF">
      <w:pPr>
        <w:rPr>
          <w:rFonts w:hint="eastAsia" w:ascii="宋体" w:hAnsi="宋体" w:eastAsia="宋体" w:cs="宋体"/>
          <w:b/>
          <w:color w:val="auto"/>
          <w:sz w:val="24"/>
          <w:szCs w:val="24"/>
          <w:highlight w:val="none"/>
          <w:lang w:val="en-US" w:eastAsia="zh-CN"/>
        </w:rPr>
      </w:pPr>
    </w:p>
    <w:p w14:paraId="36653196">
      <w:pPr>
        <w:pStyle w:val="21"/>
        <w:rPr>
          <w:rFonts w:hint="eastAsia" w:ascii="宋体" w:hAnsi="宋体" w:eastAsia="宋体" w:cs="宋体"/>
          <w:color w:val="auto"/>
          <w:highlight w:val="none"/>
          <w:lang w:val="en-US" w:eastAsia="zh-CN"/>
        </w:rPr>
      </w:pPr>
    </w:p>
    <w:p w14:paraId="249544D7">
      <w:pPr>
        <w:pStyle w:val="20"/>
        <w:spacing w:after="0" w:line="360" w:lineRule="auto"/>
        <w:outlineLvl w:val="2"/>
        <w:rPr>
          <w:rFonts w:hint="eastAsia" w:ascii="宋体" w:hAnsi="宋体" w:eastAsia="宋体" w:cs="宋体"/>
          <w:b/>
          <w:color w:val="auto"/>
          <w:sz w:val="24"/>
          <w:highlight w:val="none"/>
        </w:rPr>
      </w:pPr>
      <w:bookmarkStart w:id="283" w:name="_Toc32551"/>
      <w:r>
        <w:rPr>
          <w:rFonts w:hint="eastAsia" w:ascii="宋体" w:hAnsi="宋体" w:eastAsia="宋体" w:cs="宋体"/>
          <w:b/>
          <w:color w:val="auto"/>
          <w:sz w:val="24"/>
          <w:highlight w:val="none"/>
          <w:lang w:val="en-US" w:eastAsia="zh-CN"/>
        </w:rPr>
        <w:t>2.7</w:t>
      </w:r>
      <w:r>
        <w:rPr>
          <w:rFonts w:hint="eastAsia" w:ascii="宋体" w:hAnsi="宋体" w:eastAsia="宋体" w:cs="宋体"/>
          <w:b/>
          <w:color w:val="auto"/>
          <w:sz w:val="24"/>
          <w:highlight w:val="none"/>
        </w:rPr>
        <w:t>商务条款偏离说明表；</w:t>
      </w:r>
      <w:bookmarkEnd w:id="281"/>
      <w:bookmarkEnd w:id="283"/>
    </w:p>
    <w:p w14:paraId="1F088069">
      <w:pPr>
        <w:pStyle w:val="58"/>
        <w:adjustRightInd w:val="0"/>
        <w:snapToGrid w:val="0"/>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商务响应、偏离说明表</w:t>
      </w:r>
    </w:p>
    <w:p w14:paraId="40981E98">
      <w:pPr>
        <w:pStyle w:val="58"/>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E510C08">
      <w:pPr>
        <w:pStyle w:val="58"/>
        <w:adjustRightInd w:val="0"/>
        <w:snapToGrid w:val="0"/>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single"/>
        </w:rPr>
        <w:t xml:space="preserve">                              </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712"/>
        <w:gridCol w:w="2589"/>
        <w:gridCol w:w="2702"/>
      </w:tblGrid>
      <w:tr w14:paraId="268B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6B702150">
            <w:pPr>
              <w:pStyle w:val="58"/>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13DE8C29">
            <w:pPr>
              <w:pStyle w:val="58"/>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招标文件要求部分</w:t>
            </w:r>
          </w:p>
        </w:tc>
        <w:tc>
          <w:tcPr>
            <w:tcW w:w="2589" w:type="dxa"/>
            <w:tcBorders>
              <w:top w:val="single" w:color="auto" w:sz="4" w:space="0"/>
              <w:left w:val="single" w:color="auto" w:sz="4" w:space="0"/>
              <w:bottom w:val="single" w:color="auto" w:sz="4" w:space="0"/>
              <w:right w:val="single" w:color="auto" w:sz="4" w:space="0"/>
            </w:tcBorders>
            <w:noWrap w:val="0"/>
            <w:vAlign w:val="center"/>
          </w:tcPr>
          <w:p w14:paraId="0BF595EB">
            <w:pPr>
              <w:pStyle w:val="58"/>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投标服务</w:t>
            </w:r>
          </w:p>
          <w:p w14:paraId="3F524BF9">
            <w:pPr>
              <w:pStyle w:val="58"/>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响应部分</w:t>
            </w:r>
          </w:p>
        </w:tc>
        <w:tc>
          <w:tcPr>
            <w:tcW w:w="2702" w:type="dxa"/>
            <w:tcBorders>
              <w:top w:val="single" w:color="auto" w:sz="4" w:space="0"/>
              <w:left w:val="single" w:color="auto" w:sz="4" w:space="0"/>
              <w:bottom w:val="single" w:color="auto" w:sz="4" w:space="0"/>
              <w:right w:val="single" w:color="auto" w:sz="4" w:space="0"/>
            </w:tcBorders>
            <w:noWrap w:val="0"/>
            <w:vAlign w:val="center"/>
          </w:tcPr>
          <w:p w14:paraId="6C1A96CD">
            <w:pPr>
              <w:pStyle w:val="58"/>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14:paraId="6B12C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538D2144">
            <w:pPr>
              <w:pStyle w:val="58"/>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24F0F68E">
            <w:pPr>
              <w:pStyle w:val="58"/>
              <w:spacing w:line="500" w:lineRule="exact"/>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443AEF32">
            <w:pPr>
              <w:pStyle w:val="58"/>
              <w:spacing w:line="500" w:lineRule="exact"/>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7E66F7DE">
            <w:pPr>
              <w:pStyle w:val="58"/>
              <w:spacing w:line="500" w:lineRule="exact"/>
              <w:rPr>
                <w:rFonts w:hint="eastAsia" w:ascii="宋体" w:hAnsi="宋体" w:eastAsia="宋体" w:cs="宋体"/>
                <w:color w:val="auto"/>
                <w:sz w:val="24"/>
                <w:szCs w:val="24"/>
                <w:highlight w:val="none"/>
              </w:rPr>
            </w:pPr>
          </w:p>
        </w:tc>
      </w:tr>
      <w:tr w14:paraId="3A8C3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37900744">
            <w:pPr>
              <w:pStyle w:val="58"/>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773CF1BC">
            <w:pPr>
              <w:pStyle w:val="58"/>
              <w:spacing w:line="500" w:lineRule="exact"/>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35322D2E">
            <w:pPr>
              <w:pStyle w:val="58"/>
              <w:spacing w:line="500" w:lineRule="exact"/>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6246FB01">
            <w:pPr>
              <w:pStyle w:val="58"/>
              <w:spacing w:line="500" w:lineRule="exact"/>
              <w:rPr>
                <w:rFonts w:hint="eastAsia" w:ascii="宋体" w:hAnsi="宋体" w:eastAsia="宋体" w:cs="宋体"/>
                <w:color w:val="auto"/>
                <w:sz w:val="24"/>
                <w:szCs w:val="24"/>
                <w:highlight w:val="none"/>
              </w:rPr>
            </w:pPr>
          </w:p>
        </w:tc>
      </w:tr>
      <w:tr w14:paraId="55897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72B46D7B">
            <w:pPr>
              <w:pStyle w:val="58"/>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48BD7F1D">
            <w:pPr>
              <w:pStyle w:val="58"/>
              <w:spacing w:line="500" w:lineRule="exact"/>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0970AC1A">
            <w:pPr>
              <w:pStyle w:val="58"/>
              <w:spacing w:line="500" w:lineRule="exact"/>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484A76D9">
            <w:pPr>
              <w:pStyle w:val="58"/>
              <w:spacing w:line="500" w:lineRule="exact"/>
              <w:rPr>
                <w:rFonts w:hint="eastAsia" w:ascii="宋体" w:hAnsi="宋体" w:eastAsia="宋体" w:cs="宋体"/>
                <w:color w:val="auto"/>
                <w:sz w:val="24"/>
                <w:szCs w:val="24"/>
                <w:highlight w:val="none"/>
              </w:rPr>
            </w:pPr>
          </w:p>
        </w:tc>
      </w:tr>
      <w:tr w14:paraId="25938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027967FF">
            <w:pPr>
              <w:pStyle w:val="58"/>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03A41210">
            <w:pPr>
              <w:pStyle w:val="58"/>
              <w:spacing w:line="500" w:lineRule="exact"/>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5612ED3D">
            <w:pPr>
              <w:pStyle w:val="58"/>
              <w:spacing w:line="500" w:lineRule="exact"/>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7DAD4E3E">
            <w:pPr>
              <w:pStyle w:val="58"/>
              <w:spacing w:line="500" w:lineRule="exact"/>
              <w:rPr>
                <w:rFonts w:hint="eastAsia" w:ascii="宋体" w:hAnsi="宋体" w:eastAsia="宋体" w:cs="宋体"/>
                <w:color w:val="auto"/>
                <w:sz w:val="24"/>
                <w:szCs w:val="24"/>
                <w:highlight w:val="none"/>
              </w:rPr>
            </w:pPr>
          </w:p>
        </w:tc>
      </w:tr>
      <w:tr w14:paraId="62AAF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12C62782">
            <w:pPr>
              <w:pStyle w:val="58"/>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35D68F9E">
            <w:pPr>
              <w:pStyle w:val="58"/>
              <w:spacing w:line="500" w:lineRule="exact"/>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4367A11A">
            <w:pPr>
              <w:pStyle w:val="58"/>
              <w:spacing w:line="500" w:lineRule="exact"/>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767AF761">
            <w:pPr>
              <w:pStyle w:val="58"/>
              <w:spacing w:line="500" w:lineRule="exact"/>
              <w:rPr>
                <w:rFonts w:hint="eastAsia" w:ascii="宋体" w:hAnsi="宋体" w:eastAsia="宋体" w:cs="宋体"/>
                <w:color w:val="auto"/>
                <w:sz w:val="24"/>
                <w:szCs w:val="24"/>
                <w:highlight w:val="none"/>
              </w:rPr>
            </w:pPr>
          </w:p>
        </w:tc>
      </w:tr>
      <w:tr w14:paraId="2BCF3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4652144F">
            <w:pPr>
              <w:pStyle w:val="58"/>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03465E3E">
            <w:pPr>
              <w:pStyle w:val="58"/>
              <w:spacing w:line="500" w:lineRule="exact"/>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37D69B6B">
            <w:pPr>
              <w:pStyle w:val="58"/>
              <w:spacing w:line="500" w:lineRule="exact"/>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66617E6F">
            <w:pPr>
              <w:pStyle w:val="58"/>
              <w:spacing w:line="500" w:lineRule="exact"/>
              <w:rPr>
                <w:rFonts w:hint="eastAsia" w:ascii="宋体" w:hAnsi="宋体" w:eastAsia="宋体" w:cs="宋体"/>
                <w:color w:val="auto"/>
                <w:sz w:val="24"/>
                <w:szCs w:val="24"/>
                <w:highlight w:val="none"/>
              </w:rPr>
            </w:pPr>
          </w:p>
        </w:tc>
      </w:tr>
      <w:tr w14:paraId="666D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167F38EA">
            <w:pPr>
              <w:pStyle w:val="58"/>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75E27103">
            <w:pPr>
              <w:pStyle w:val="58"/>
              <w:spacing w:line="500" w:lineRule="exact"/>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7E3FBDBC">
            <w:pPr>
              <w:pStyle w:val="58"/>
              <w:spacing w:line="500" w:lineRule="exact"/>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633CD56A">
            <w:pPr>
              <w:pStyle w:val="58"/>
              <w:spacing w:line="500" w:lineRule="exact"/>
              <w:rPr>
                <w:rFonts w:hint="eastAsia" w:ascii="宋体" w:hAnsi="宋体" w:eastAsia="宋体" w:cs="宋体"/>
                <w:color w:val="auto"/>
                <w:sz w:val="24"/>
                <w:szCs w:val="24"/>
                <w:highlight w:val="none"/>
              </w:rPr>
            </w:pPr>
          </w:p>
        </w:tc>
      </w:tr>
      <w:tr w14:paraId="397D0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57D13F9F">
            <w:pPr>
              <w:pStyle w:val="58"/>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543027AD">
            <w:pPr>
              <w:pStyle w:val="58"/>
              <w:spacing w:line="500" w:lineRule="exact"/>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35067120">
            <w:pPr>
              <w:pStyle w:val="58"/>
              <w:spacing w:line="500" w:lineRule="exact"/>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17C98D89">
            <w:pPr>
              <w:pStyle w:val="58"/>
              <w:spacing w:line="500" w:lineRule="exact"/>
              <w:rPr>
                <w:rFonts w:hint="eastAsia" w:ascii="宋体" w:hAnsi="宋体" w:eastAsia="宋体" w:cs="宋体"/>
                <w:color w:val="auto"/>
                <w:sz w:val="24"/>
                <w:szCs w:val="24"/>
                <w:highlight w:val="none"/>
              </w:rPr>
            </w:pPr>
          </w:p>
        </w:tc>
      </w:tr>
      <w:tr w14:paraId="31288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1D6F0E95">
            <w:pPr>
              <w:pStyle w:val="58"/>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0651D585">
            <w:pPr>
              <w:pStyle w:val="58"/>
              <w:spacing w:line="500" w:lineRule="exact"/>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2B13DF24">
            <w:pPr>
              <w:pStyle w:val="58"/>
              <w:spacing w:line="500" w:lineRule="exact"/>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11D1C4A5">
            <w:pPr>
              <w:pStyle w:val="58"/>
              <w:spacing w:line="500" w:lineRule="exact"/>
              <w:rPr>
                <w:rFonts w:hint="eastAsia" w:ascii="宋体" w:hAnsi="宋体" w:eastAsia="宋体" w:cs="宋体"/>
                <w:color w:val="auto"/>
                <w:sz w:val="24"/>
                <w:szCs w:val="24"/>
                <w:highlight w:val="none"/>
              </w:rPr>
            </w:pPr>
          </w:p>
        </w:tc>
      </w:tr>
      <w:tr w14:paraId="6336F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7AB4AC98">
            <w:pPr>
              <w:pStyle w:val="58"/>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2C32ECCD">
            <w:pPr>
              <w:pStyle w:val="58"/>
              <w:spacing w:line="500" w:lineRule="exact"/>
              <w:rPr>
                <w:rFonts w:hint="eastAsia" w:ascii="宋体" w:hAnsi="宋体" w:eastAsia="宋体" w:cs="宋体"/>
                <w:color w:val="auto"/>
                <w:sz w:val="24"/>
                <w:szCs w:val="24"/>
                <w:highlight w:val="none"/>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1E70BAD6">
            <w:pPr>
              <w:pStyle w:val="58"/>
              <w:spacing w:line="500" w:lineRule="exact"/>
              <w:rPr>
                <w:rFonts w:hint="eastAsia" w:ascii="宋体" w:hAnsi="宋体" w:eastAsia="宋体" w:cs="宋体"/>
                <w:color w:val="auto"/>
                <w:sz w:val="24"/>
                <w:szCs w:val="24"/>
                <w:highlight w:val="none"/>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120D2306">
            <w:pPr>
              <w:pStyle w:val="58"/>
              <w:spacing w:line="500" w:lineRule="exact"/>
              <w:rPr>
                <w:rFonts w:hint="eastAsia" w:ascii="宋体" w:hAnsi="宋体" w:eastAsia="宋体" w:cs="宋体"/>
                <w:color w:val="auto"/>
                <w:sz w:val="24"/>
                <w:szCs w:val="24"/>
                <w:highlight w:val="none"/>
              </w:rPr>
            </w:pPr>
          </w:p>
        </w:tc>
      </w:tr>
    </w:tbl>
    <w:p w14:paraId="504A1D0D">
      <w:pPr>
        <w:pStyle w:val="58"/>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法定代表人（签章）：</w:t>
      </w:r>
      <w:r>
        <w:rPr>
          <w:rFonts w:hint="eastAsia" w:ascii="宋体" w:hAnsi="宋体" w:eastAsia="宋体" w:cs="宋体"/>
          <w:color w:val="auto"/>
          <w:sz w:val="24"/>
          <w:szCs w:val="24"/>
          <w:highlight w:val="none"/>
          <w:u w:val="single"/>
        </w:rPr>
        <w:t xml:space="preserve">                  </w:t>
      </w:r>
    </w:p>
    <w:p w14:paraId="25EBE8F7">
      <w:pPr>
        <w:pStyle w:val="58"/>
        <w:adjustRightInd w:val="0"/>
        <w:snapToGrid w:val="0"/>
        <w:spacing w:line="500" w:lineRule="exact"/>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名称（签章）：</w:t>
      </w:r>
      <w:r>
        <w:rPr>
          <w:rFonts w:hint="eastAsia" w:ascii="宋体" w:hAnsi="宋体" w:eastAsia="宋体" w:cs="宋体"/>
          <w:color w:val="auto"/>
          <w:sz w:val="24"/>
          <w:szCs w:val="24"/>
          <w:highlight w:val="none"/>
          <w:u w:val="single"/>
        </w:rPr>
        <w:t xml:space="preserve">                       </w:t>
      </w:r>
    </w:p>
    <w:p w14:paraId="5B1C29FC">
      <w:pPr>
        <w:pStyle w:val="58"/>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14:paraId="3A8933DA">
      <w:pPr>
        <w:pStyle w:val="58"/>
        <w:spacing w:line="500" w:lineRule="exact"/>
        <w:rPr>
          <w:rFonts w:hint="eastAsia" w:ascii="宋体" w:hAnsi="宋体" w:eastAsia="宋体" w:cs="宋体"/>
          <w:color w:val="auto"/>
          <w:szCs w:val="28"/>
          <w:highlight w:val="none"/>
        </w:rPr>
      </w:pPr>
    </w:p>
    <w:p w14:paraId="20ACAC6D">
      <w:pPr>
        <w:pStyle w:val="58"/>
        <w:spacing w:line="500" w:lineRule="exact"/>
        <w:rPr>
          <w:rFonts w:hint="eastAsia" w:ascii="宋体" w:hAnsi="宋体" w:eastAsia="宋体" w:cs="宋体"/>
          <w:color w:val="auto"/>
          <w:szCs w:val="28"/>
          <w:highlight w:val="none"/>
        </w:rPr>
      </w:pPr>
    </w:p>
    <w:p w14:paraId="655F5B48">
      <w:pPr>
        <w:pStyle w:val="58"/>
        <w:spacing w:line="500" w:lineRule="exact"/>
        <w:rPr>
          <w:rFonts w:hint="eastAsia" w:ascii="宋体" w:hAnsi="宋体" w:eastAsia="宋体" w:cs="宋体"/>
          <w:color w:val="auto"/>
          <w:szCs w:val="28"/>
          <w:highlight w:val="none"/>
        </w:rPr>
      </w:pPr>
    </w:p>
    <w:p w14:paraId="7E702F0D">
      <w:pPr>
        <w:pStyle w:val="20"/>
        <w:spacing w:after="0" w:line="360" w:lineRule="auto"/>
        <w:outlineLvl w:val="2"/>
        <w:rPr>
          <w:rFonts w:hint="eastAsia" w:ascii="宋体" w:hAnsi="宋体" w:eastAsia="宋体" w:cs="宋体"/>
          <w:b/>
          <w:color w:val="auto"/>
          <w:sz w:val="24"/>
          <w:highlight w:val="none"/>
          <w:lang w:val="en-US" w:eastAsia="zh-CN"/>
        </w:rPr>
      </w:pPr>
      <w:bookmarkStart w:id="284" w:name="_Toc28983"/>
      <w:r>
        <w:rPr>
          <w:rFonts w:hint="eastAsia" w:ascii="宋体" w:hAnsi="宋体" w:eastAsia="宋体" w:cs="宋体"/>
          <w:b/>
          <w:color w:val="auto"/>
          <w:sz w:val="24"/>
          <w:highlight w:val="none"/>
          <w:lang w:val="en-US" w:eastAsia="zh-CN"/>
        </w:rPr>
        <w:t>2.8、招标文件要求提供或</w:t>
      </w:r>
      <w:r>
        <w:rPr>
          <w:rFonts w:hint="eastAsia" w:ascii="宋体" w:hAnsi="宋体" w:cs="宋体"/>
          <w:b/>
          <w:color w:val="auto"/>
          <w:sz w:val="24"/>
          <w:highlight w:val="none"/>
          <w:lang w:val="en-US" w:eastAsia="zh-CN"/>
        </w:rPr>
        <w:t>供应商</w:t>
      </w:r>
      <w:r>
        <w:rPr>
          <w:rFonts w:hint="eastAsia" w:ascii="宋体" w:hAnsi="宋体" w:eastAsia="宋体" w:cs="宋体"/>
          <w:b/>
          <w:color w:val="auto"/>
          <w:sz w:val="24"/>
          <w:highlight w:val="none"/>
          <w:lang w:val="en-US" w:eastAsia="zh-CN"/>
        </w:rPr>
        <w:t>认为需提供的其它资料；</w:t>
      </w:r>
      <w:bookmarkEnd w:id="284"/>
    </w:p>
    <w:p w14:paraId="47B7D707">
      <w:pPr>
        <w:pStyle w:val="20"/>
        <w:spacing w:after="0" w:line="360" w:lineRule="auto"/>
        <w:rPr>
          <w:rFonts w:hint="eastAsia" w:ascii="宋体" w:hAnsi="宋体" w:eastAsia="宋体" w:cs="宋体"/>
          <w:color w:val="auto"/>
          <w:sz w:val="24"/>
          <w:highlight w:val="none"/>
        </w:rPr>
      </w:pPr>
    </w:p>
    <w:p w14:paraId="6B788634">
      <w:pPr>
        <w:pStyle w:val="20"/>
        <w:spacing w:after="0" w:line="360" w:lineRule="auto"/>
        <w:rPr>
          <w:rFonts w:hint="eastAsia" w:ascii="宋体" w:hAnsi="宋体" w:eastAsia="宋体" w:cs="宋体"/>
          <w:color w:val="auto"/>
          <w:sz w:val="24"/>
          <w:highlight w:val="none"/>
        </w:rPr>
      </w:pPr>
    </w:p>
    <w:p w14:paraId="6D230032">
      <w:pPr>
        <w:pStyle w:val="26"/>
        <w:rPr>
          <w:rFonts w:hint="eastAsia" w:ascii="宋体" w:hAnsi="宋体" w:eastAsia="宋体" w:cs="宋体"/>
          <w:color w:val="auto"/>
          <w:sz w:val="24"/>
          <w:highlight w:val="none"/>
        </w:rPr>
      </w:pPr>
    </w:p>
    <w:p w14:paraId="7B3BABC4">
      <w:pPr>
        <w:rPr>
          <w:rFonts w:hint="eastAsia" w:ascii="宋体" w:hAnsi="宋体" w:eastAsia="宋体" w:cs="宋体"/>
          <w:color w:val="auto"/>
          <w:sz w:val="24"/>
          <w:highlight w:val="none"/>
        </w:rPr>
      </w:pPr>
    </w:p>
    <w:p w14:paraId="3A6BF33B">
      <w:pPr>
        <w:pStyle w:val="21"/>
        <w:rPr>
          <w:rFonts w:hint="eastAsia" w:ascii="宋体" w:hAnsi="宋体" w:eastAsia="宋体" w:cs="宋体"/>
          <w:color w:val="auto"/>
          <w:sz w:val="24"/>
          <w:highlight w:val="none"/>
        </w:rPr>
      </w:pPr>
    </w:p>
    <w:p w14:paraId="559ED820">
      <w:pPr>
        <w:rPr>
          <w:rFonts w:hint="eastAsia" w:ascii="宋体" w:hAnsi="宋体" w:eastAsia="宋体" w:cs="宋体"/>
          <w:color w:val="auto"/>
          <w:sz w:val="24"/>
          <w:highlight w:val="none"/>
        </w:rPr>
      </w:pPr>
    </w:p>
    <w:p w14:paraId="36184418">
      <w:pPr>
        <w:pStyle w:val="21"/>
        <w:rPr>
          <w:rFonts w:hint="eastAsia" w:ascii="宋体" w:hAnsi="宋体" w:eastAsia="宋体" w:cs="宋体"/>
          <w:color w:val="auto"/>
          <w:sz w:val="24"/>
          <w:highlight w:val="none"/>
        </w:rPr>
      </w:pPr>
    </w:p>
    <w:p w14:paraId="54A3DCA6">
      <w:pPr>
        <w:rPr>
          <w:rFonts w:hint="eastAsia" w:ascii="宋体" w:hAnsi="宋体" w:eastAsia="宋体" w:cs="宋体"/>
          <w:color w:val="auto"/>
          <w:sz w:val="24"/>
          <w:highlight w:val="none"/>
        </w:rPr>
      </w:pPr>
    </w:p>
    <w:p w14:paraId="06FBB3DE">
      <w:pPr>
        <w:pStyle w:val="21"/>
        <w:rPr>
          <w:rFonts w:hint="eastAsia" w:ascii="宋体" w:hAnsi="宋体" w:eastAsia="宋体" w:cs="宋体"/>
          <w:color w:val="auto"/>
          <w:sz w:val="24"/>
          <w:highlight w:val="none"/>
        </w:rPr>
      </w:pPr>
    </w:p>
    <w:p w14:paraId="5EED1A93">
      <w:pPr>
        <w:rPr>
          <w:rFonts w:hint="eastAsia" w:ascii="宋体" w:hAnsi="宋体" w:eastAsia="宋体" w:cs="宋体"/>
          <w:color w:val="auto"/>
          <w:sz w:val="24"/>
          <w:highlight w:val="none"/>
        </w:rPr>
      </w:pPr>
    </w:p>
    <w:p w14:paraId="5D182FA2">
      <w:pPr>
        <w:pStyle w:val="21"/>
        <w:rPr>
          <w:rFonts w:hint="eastAsia" w:ascii="宋体" w:hAnsi="宋体" w:eastAsia="宋体" w:cs="宋体"/>
          <w:color w:val="auto"/>
          <w:sz w:val="24"/>
          <w:highlight w:val="none"/>
        </w:rPr>
      </w:pPr>
    </w:p>
    <w:p w14:paraId="4962BC42">
      <w:pPr>
        <w:rPr>
          <w:rFonts w:hint="eastAsia" w:ascii="宋体" w:hAnsi="宋体" w:eastAsia="宋体" w:cs="宋体"/>
          <w:color w:val="auto"/>
          <w:sz w:val="24"/>
          <w:highlight w:val="none"/>
        </w:rPr>
      </w:pPr>
    </w:p>
    <w:p w14:paraId="20834541">
      <w:pPr>
        <w:pStyle w:val="21"/>
        <w:rPr>
          <w:rFonts w:hint="eastAsia" w:ascii="宋体" w:hAnsi="宋体" w:eastAsia="宋体" w:cs="宋体"/>
          <w:color w:val="auto"/>
          <w:sz w:val="24"/>
          <w:highlight w:val="none"/>
        </w:rPr>
      </w:pPr>
    </w:p>
    <w:p w14:paraId="1862BFE1">
      <w:pPr>
        <w:rPr>
          <w:rFonts w:hint="eastAsia" w:ascii="宋体" w:hAnsi="宋体" w:eastAsia="宋体" w:cs="宋体"/>
          <w:color w:val="auto"/>
          <w:sz w:val="24"/>
          <w:highlight w:val="none"/>
        </w:rPr>
      </w:pPr>
    </w:p>
    <w:p w14:paraId="07E10DA8">
      <w:pPr>
        <w:pStyle w:val="21"/>
        <w:rPr>
          <w:rFonts w:hint="eastAsia" w:ascii="宋体" w:hAnsi="宋体" w:eastAsia="宋体" w:cs="宋体"/>
          <w:color w:val="auto"/>
          <w:sz w:val="24"/>
          <w:highlight w:val="none"/>
        </w:rPr>
      </w:pPr>
    </w:p>
    <w:p w14:paraId="31DF621E">
      <w:pPr>
        <w:rPr>
          <w:rFonts w:hint="eastAsia" w:ascii="宋体" w:hAnsi="宋体" w:eastAsia="宋体" w:cs="宋体"/>
          <w:color w:val="auto"/>
          <w:sz w:val="24"/>
          <w:highlight w:val="none"/>
        </w:rPr>
      </w:pPr>
    </w:p>
    <w:p w14:paraId="3A2801F7">
      <w:pPr>
        <w:pStyle w:val="21"/>
        <w:rPr>
          <w:rFonts w:hint="eastAsia" w:ascii="宋体" w:hAnsi="宋体" w:eastAsia="宋体" w:cs="宋体"/>
          <w:color w:val="auto"/>
          <w:sz w:val="24"/>
          <w:highlight w:val="none"/>
        </w:rPr>
      </w:pPr>
    </w:p>
    <w:p w14:paraId="3AB57D4A">
      <w:pPr>
        <w:rPr>
          <w:rFonts w:hint="eastAsia" w:ascii="宋体" w:hAnsi="宋体" w:eastAsia="宋体" w:cs="宋体"/>
          <w:color w:val="auto"/>
          <w:sz w:val="24"/>
          <w:highlight w:val="none"/>
        </w:rPr>
      </w:pPr>
    </w:p>
    <w:p w14:paraId="54EDDBDD">
      <w:pPr>
        <w:pStyle w:val="21"/>
        <w:rPr>
          <w:rFonts w:hint="eastAsia" w:ascii="宋体" w:hAnsi="宋体" w:eastAsia="宋体" w:cs="宋体"/>
          <w:color w:val="auto"/>
          <w:sz w:val="24"/>
          <w:highlight w:val="none"/>
        </w:rPr>
      </w:pPr>
    </w:p>
    <w:p w14:paraId="10CA4DE1">
      <w:pPr>
        <w:rPr>
          <w:rFonts w:hint="eastAsia" w:ascii="宋体" w:hAnsi="宋体" w:eastAsia="宋体" w:cs="宋体"/>
          <w:color w:val="auto"/>
          <w:sz w:val="24"/>
          <w:highlight w:val="none"/>
        </w:rPr>
      </w:pPr>
    </w:p>
    <w:p w14:paraId="04565E99">
      <w:pPr>
        <w:pStyle w:val="21"/>
        <w:rPr>
          <w:rFonts w:hint="eastAsia" w:ascii="宋体" w:hAnsi="宋体" w:eastAsia="宋体" w:cs="宋体"/>
          <w:color w:val="auto"/>
          <w:sz w:val="24"/>
          <w:highlight w:val="none"/>
        </w:rPr>
      </w:pPr>
    </w:p>
    <w:p w14:paraId="57F0DABD">
      <w:pPr>
        <w:rPr>
          <w:rFonts w:hint="eastAsia" w:ascii="宋体" w:hAnsi="宋体" w:eastAsia="宋体" w:cs="宋体"/>
          <w:color w:val="auto"/>
          <w:sz w:val="24"/>
          <w:highlight w:val="none"/>
        </w:rPr>
      </w:pPr>
    </w:p>
    <w:p w14:paraId="2E6F3C70">
      <w:pPr>
        <w:pStyle w:val="21"/>
        <w:rPr>
          <w:rFonts w:hint="eastAsia" w:ascii="宋体" w:hAnsi="宋体" w:eastAsia="宋体" w:cs="宋体"/>
          <w:color w:val="auto"/>
          <w:sz w:val="24"/>
          <w:highlight w:val="none"/>
        </w:rPr>
      </w:pPr>
    </w:p>
    <w:p w14:paraId="4BDD81F5">
      <w:pPr>
        <w:rPr>
          <w:rFonts w:hint="eastAsia"/>
          <w:color w:val="auto"/>
          <w:highlight w:val="none"/>
        </w:rPr>
      </w:pPr>
    </w:p>
    <w:p w14:paraId="01A49669">
      <w:pPr>
        <w:rPr>
          <w:rFonts w:hint="eastAsia" w:ascii="宋体" w:hAnsi="宋体" w:eastAsia="宋体" w:cs="宋体"/>
          <w:color w:val="auto"/>
          <w:sz w:val="24"/>
          <w:highlight w:val="none"/>
        </w:rPr>
      </w:pPr>
    </w:p>
    <w:p w14:paraId="519E645A">
      <w:pPr>
        <w:pStyle w:val="21"/>
        <w:rPr>
          <w:rFonts w:hint="eastAsia" w:ascii="宋体" w:hAnsi="宋体" w:eastAsia="宋体" w:cs="宋体"/>
          <w:color w:val="auto"/>
          <w:sz w:val="24"/>
          <w:highlight w:val="none"/>
        </w:rPr>
      </w:pPr>
    </w:p>
    <w:p w14:paraId="2853B85F">
      <w:pPr>
        <w:pStyle w:val="21"/>
        <w:rPr>
          <w:rFonts w:hint="eastAsia" w:ascii="宋体" w:hAnsi="宋体" w:eastAsia="宋体" w:cs="宋体"/>
          <w:color w:val="auto"/>
          <w:sz w:val="24"/>
          <w:highlight w:val="none"/>
        </w:rPr>
      </w:pPr>
    </w:p>
    <w:p w14:paraId="4255646D">
      <w:pPr>
        <w:rPr>
          <w:rFonts w:hint="eastAsia" w:ascii="宋体" w:hAnsi="宋体" w:eastAsia="宋体" w:cs="宋体"/>
          <w:color w:val="auto"/>
          <w:sz w:val="24"/>
          <w:highlight w:val="none"/>
        </w:rPr>
      </w:pPr>
    </w:p>
    <w:p w14:paraId="3360DE48">
      <w:pPr>
        <w:pStyle w:val="21"/>
        <w:rPr>
          <w:rFonts w:hint="eastAsia" w:ascii="宋体" w:hAnsi="宋体" w:eastAsia="宋体" w:cs="宋体"/>
          <w:color w:val="auto"/>
          <w:sz w:val="24"/>
          <w:highlight w:val="none"/>
        </w:rPr>
      </w:pPr>
    </w:p>
    <w:p w14:paraId="5724FAB9">
      <w:pPr>
        <w:pStyle w:val="20"/>
        <w:spacing w:after="0" w:line="360" w:lineRule="auto"/>
        <w:rPr>
          <w:rFonts w:hint="eastAsia" w:ascii="宋体" w:hAnsi="宋体" w:eastAsia="宋体" w:cs="宋体"/>
          <w:color w:val="auto"/>
          <w:sz w:val="24"/>
          <w:highlight w:val="none"/>
        </w:rPr>
      </w:pPr>
    </w:p>
    <w:p w14:paraId="7755DAFE">
      <w:pPr>
        <w:pStyle w:val="20"/>
        <w:tabs>
          <w:tab w:val="left" w:pos="8786"/>
        </w:tabs>
        <w:spacing w:after="0" w:line="360" w:lineRule="auto"/>
        <w:jc w:val="center"/>
        <w:outlineLvl w:val="1"/>
        <w:rPr>
          <w:rFonts w:hint="eastAsia" w:ascii="宋体" w:hAnsi="宋体" w:eastAsia="宋体" w:cs="宋体"/>
          <w:b/>
          <w:color w:val="auto"/>
          <w:sz w:val="24"/>
          <w:szCs w:val="24"/>
          <w:highlight w:val="none"/>
        </w:rPr>
      </w:pPr>
      <w:bookmarkStart w:id="285" w:name="_Toc4644"/>
      <w:bookmarkStart w:id="286" w:name="_Toc480368439"/>
      <w:r>
        <w:rPr>
          <w:rFonts w:hint="eastAsia" w:ascii="宋体" w:hAnsi="宋体" w:eastAsia="宋体" w:cs="宋体"/>
          <w:b/>
          <w:color w:val="auto"/>
          <w:sz w:val="24"/>
          <w:szCs w:val="24"/>
          <w:highlight w:val="none"/>
          <w:lang w:eastAsia="zh-CN"/>
        </w:rPr>
        <w:t>三</w:t>
      </w:r>
      <w:r>
        <w:rPr>
          <w:rFonts w:hint="eastAsia" w:ascii="宋体" w:hAnsi="宋体" w:eastAsia="宋体" w:cs="宋体"/>
          <w:b/>
          <w:color w:val="auto"/>
          <w:sz w:val="24"/>
          <w:szCs w:val="24"/>
          <w:highlight w:val="none"/>
        </w:rPr>
        <w:t>、技术文件</w:t>
      </w:r>
      <w:bookmarkEnd w:id="285"/>
      <w:bookmarkEnd w:id="286"/>
    </w:p>
    <w:p w14:paraId="389808FA">
      <w:pPr>
        <w:jc w:val="center"/>
        <w:rPr>
          <w:rStyle w:val="53"/>
          <w:rFonts w:hint="eastAsia" w:ascii="宋体" w:hAnsi="宋体" w:eastAsia="宋体" w:cs="宋体"/>
          <w:b/>
          <w:bCs/>
          <w:i w:val="0"/>
          <w:caps w:val="0"/>
          <w:color w:val="auto"/>
          <w:spacing w:val="0"/>
          <w:w w:val="100"/>
          <w:kern w:val="2"/>
          <w:position w:val="0"/>
          <w:sz w:val="28"/>
          <w:szCs w:val="28"/>
          <w:highlight w:val="none"/>
          <w:lang w:val="en-US" w:eastAsia="zh-CN" w:bidi="ar-SA"/>
        </w:rPr>
      </w:pPr>
      <w:r>
        <w:rPr>
          <w:rFonts w:hint="eastAsia" w:ascii="宋体" w:hAnsi="宋体" w:eastAsia="宋体" w:cs="宋体"/>
          <w:color w:val="auto"/>
          <w:kern w:val="0"/>
          <w:sz w:val="24"/>
          <w:highlight w:val="none"/>
        </w:rPr>
        <w:br w:type="page"/>
      </w:r>
      <w:r>
        <w:rPr>
          <w:rStyle w:val="53"/>
          <w:rFonts w:hint="eastAsia" w:ascii="宋体" w:hAnsi="宋体" w:eastAsia="宋体" w:cs="宋体"/>
          <w:b/>
          <w:bCs/>
          <w:i w:val="0"/>
          <w:caps w:val="0"/>
          <w:color w:val="auto"/>
          <w:spacing w:val="0"/>
          <w:w w:val="100"/>
          <w:kern w:val="2"/>
          <w:position w:val="0"/>
          <w:sz w:val="28"/>
          <w:szCs w:val="28"/>
          <w:highlight w:val="none"/>
          <w:lang w:val="en-US" w:eastAsia="zh-CN" w:bidi="ar-SA"/>
        </w:rPr>
        <w:t>招标文件补充材料</w:t>
      </w:r>
    </w:p>
    <w:p w14:paraId="248B0CC7">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b/>
          <w:bCs/>
          <w:color w:val="auto"/>
          <w:kern w:val="0"/>
          <w:sz w:val="24"/>
          <w:szCs w:val="24"/>
          <w:highlight w:val="none"/>
          <w:lang w:val="en-US" w:eastAsia="zh-CN" w:bidi="ar"/>
        </w:rPr>
        <w:t>1、关于印发中小企业划型标准规定的通知（不属于投标文件格式，仅作为判断中小企业的依据）</w:t>
      </w:r>
    </w:p>
    <w:p w14:paraId="7C44F415">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Style w:val="41"/>
          <w:rFonts w:hint="eastAsia" w:ascii="宋体" w:hAnsi="宋体" w:eastAsia="宋体" w:cs="宋体"/>
          <w:i w:val="0"/>
          <w:iCs w:val="0"/>
          <w:caps w:val="0"/>
          <w:color w:val="auto"/>
          <w:spacing w:val="0"/>
          <w:sz w:val="36"/>
          <w:szCs w:val="36"/>
          <w:highlight w:val="none"/>
          <w:lang w:eastAsia="zh-CN"/>
        </w:rPr>
      </w:pPr>
      <w:r>
        <w:rPr>
          <w:rStyle w:val="41"/>
          <w:rFonts w:hint="eastAsia" w:ascii="宋体" w:hAnsi="宋体" w:eastAsia="宋体" w:cs="宋体"/>
          <w:i w:val="0"/>
          <w:iCs w:val="0"/>
          <w:caps w:val="0"/>
          <w:color w:val="auto"/>
          <w:spacing w:val="0"/>
          <w:sz w:val="36"/>
          <w:szCs w:val="36"/>
          <w:highlight w:val="none"/>
        </w:rPr>
        <w:t>关于印发中小企业划型标准规定的通知</w:t>
      </w:r>
    </w:p>
    <w:p w14:paraId="528E65A5">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工信部联企业〔2011〕300号</w:t>
      </w:r>
    </w:p>
    <w:p w14:paraId="67124F12">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各省、自治区、直辖市人民政府，国务院各部委、各直属机构及有关单位：</w:t>
      </w:r>
    </w:p>
    <w:p w14:paraId="56D10B32">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4D609CD8">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工业和信息化部　国家统计局</w:t>
      </w:r>
    </w:p>
    <w:p w14:paraId="04482CE1">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国家发展和改革委员会　财政部</w:t>
      </w:r>
    </w:p>
    <w:p w14:paraId="326573D8">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二○一一年六月十八日</w:t>
      </w:r>
    </w:p>
    <w:p w14:paraId="1AFFAB99">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w:t>
      </w:r>
    </w:p>
    <w:p w14:paraId="0E53CD3F">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center"/>
        <w:rPr>
          <w:rFonts w:hint="eastAsia" w:ascii="宋体" w:hAnsi="宋体" w:eastAsia="宋体" w:cs="宋体"/>
          <w:i w:val="0"/>
          <w:iCs w:val="0"/>
          <w:caps w:val="0"/>
          <w:color w:val="auto"/>
          <w:spacing w:val="0"/>
          <w:sz w:val="21"/>
          <w:szCs w:val="21"/>
          <w:highlight w:val="none"/>
        </w:rPr>
      </w:pPr>
      <w:r>
        <w:rPr>
          <w:rStyle w:val="41"/>
          <w:rFonts w:hint="eastAsia" w:ascii="宋体" w:hAnsi="宋体" w:eastAsia="宋体" w:cs="宋体"/>
          <w:i w:val="0"/>
          <w:iCs w:val="0"/>
          <w:caps w:val="0"/>
          <w:color w:val="auto"/>
          <w:spacing w:val="0"/>
          <w:sz w:val="21"/>
          <w:szCs w:val="21"/>
          <w:highlight w:val="none"/>
        </w:rPr>
        <w:t>中小企业划型标准规定</w:t>
      </w:r>
    </w:p>
    <w:p w14:paraId="17903BC4">
      <w:pPr>
        <w:pStyle w:val="21"/>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aps w:val="0"/>
          <w:color w:val="auto"/>
          <w:spacing w:val="0"/>
          <w:sz w:val="18"/>
          <w:szCs w:val="18"/>
          <w:highlight w:val="none"/>
        </w:rPr>
        <w:t>　　</w:t>
      </w:r>
      <w:r>
        <w:rPr>
          <w:rFonts w:hint="eastAsia" w:ascii="宋体" w:hAnsi="宋体" w:eastAsia="宋体" w:cs="宋体"/>
          <w:color w:val="auto"/>
          <w:kern w:val="2"/>
          <w:sz w:val="18"/>
          <w:szCs w:val="18"/>
          <w:highlight w:val="none"/>
          <w:lang w:val="en-US" w:eastAsia="zh-CN" w:bidi="ar-SA"/>
        </w:rPr>
        <w:t>一、根据《中华人民共和国中小企业促进法》和《国务院关于进一步促进中小企业发展的若干意见》(国发〔2009〕36号)，制定本规定。</w:t>
      </w:r>
    </w:p>
    <w:p w14:paraId="65EB19E0">
      <w:pPr>
        <w:pStyle w:val="21"/>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二、中小企业划分为中型、小型、微型三种类型，具体标准根据企业从业人员、营业收入、资产总额等指标，结合行业特点制定。</w:t>
      </w:r>
    </w:p>
    <w:p w14:paraId="0F03907D">
      <w:pPr>
        <w:pStyle w:val="21"/>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A4A61F7">
      <w:pPr>
        <w:pStyle w:val="2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四、各行业划型标准为：</w:t>
      </w:r>
    </w:p>
    <w:p w14:paraId="4C9A91CC">
      <w:pPr>
        <w:pStyle w:val="2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（一）农、林、牧、渔业。营业收入20000万元以下的为中小微型企业。其中，营业收入500万元及以上的为中型企业，营业收入50万元及以上的为小型企业，营业收入50万元以下的为微型企业。</w:t>
      </w:r>
    </w:p>
    <w:p w14:paraId="7ABD05D9">
      <w:pPr>
        <w:pStyle w:val="2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4AEEC60">
      <w:pPr>
        <w:pStyle w:val="2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5B312DD">
      <w:pPr>
        <w:pStyle w:val="2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C1D101C">
      <w:pPr>
        <w:pStyle w:val="2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D0B9DB9">
      <w:pPr>
        <w:pStyle w:val="2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E550BFF">
      <w:pPr>
        <w:pStyle w:val="2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AA54CCD">
      <w:pPr>
        <w:pStyle w:val="2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44A5286">
      <w:pPr>
        <w:pStyle w:val="2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87DB165">
      <w:pPr>
        <w:pStyle w:val="2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7B56E2F">
      <w:pPr>
        <w:pStyle w:val="2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A7A5B32">
      <w:pPr>
        <w:pStyle w:val="2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BC8CDC3">
      <w:pPr>
        <w:pStyle w:val="2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1F044F5">
      <w:pPr>
        <w:pStyle w:val="2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B26AA49">
      <w:pPr>
        <w:pStyle w:val="2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F095D60">
      <w:pPr>
        <w:pStyle w:val="2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（十六）其他未列明行业。从业人员300人以下的为中小微型企业。其中，从业人员100人及以上的为中型企业；从业人员10人及以上的为小型企业；从业人员10人以下的为微型企业。</w:t>
      </w:r>
    </w:p>
    <w:p w14:paraId="32C77064">
      <w:pPr>
        <w:pStyle w:val="2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五、企业类型的划分以统计部门的统计数据为依据。</w:t>
      </w:r>
    </w:p>
    <w:p w14:paraId="32519D3A">
      <w:pPr>
        <w:pStyle w:val="2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六、本规定适用于在中华人民共和国境内依法设立的各类所有制和各种组织形式的企业。个体工商户和本规定以外的行业，参照本规定进行划型。</w:t>
      </w:r>
    </w:p>
    <w:p w14:paraId="62BC0890">
      <w:pPr>
        <w:pStyle w:val="2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七、本规定的中型企业标准上限即为大型企业标准的下限，国家统计部门据此制定大中小微型企业的统计分类。国务院有关部门据此进行相关数据分析，不得制定与本规定不一致的企业划型标准。</w:t>
      </w:r>
    </w:p>
    <w:p w14:paraId="50D735DC">
      <w:pPr>
        <w:pStyle w:val="2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八、本规定由工业和信息化部、国家统计局会同有关部门根据《国民经济行业分类》修订情况和企业发展变化情况适时修订。</w:t>
      </w:r>
    </w:p>
    <w:p w14:paraId="69D2D830">
      <w:pPr>
        <w:pStyle w:val="2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　　九、本规定由工业和信息化部、国家统计局会同有关部门负责解释。</w:t>
      </w:r>
    </w:p>
    <w:p w14:paraId="3C57C57C">
      <w:pPr>
        <w:pStyle w:val="21"/>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kern w:val="2"/>
          <w:sz w:val="18"/>
          <w:szCs w:val="18"/>
          <w:highlight w:val="none"/>
          <w:lang w:val="en-US" w:eastAsia="zh-CN" w:bidi="ar-SA"/>
        </w:rPr>
        <w:t>　　十、本规定自发布之日起执行，原国家经贸委、原国家计委、财政部和国家统计局2003年颁布的《中小企业标准暂行规定》同时废止。</w:t>
      </w:r>
    </w:p>
    <w:sectPr>
      <w:footerReference r:id="rId9" w:type="first"/>
      <w:headerReference r:id="rId7" w:type="default"/>
      <w:footerReference r:id="rId8" w:type="default"/>
      <w:pgSz w:w="11905" w:h="16838"/>
      <w:pgMar w:top="1474" w:right="1814" w:bottom="1474" w:left="1814" w:header="850" w:footer="850"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30561">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F1BE1">
    <w:pPr>
      <w:pStyle w:val="2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8A6F471">
                          <w:pPr>
                            <w:pStyle w:val="29"/>
                            <w:jc w:val="center"/>
                          </w:pPr>
                          <w:r>
                            <w:fldChar w:fldCharType="begin"/>
                          </w:r>
                          <w:r>
                            <w:instrText xml:space="preserve">PAGE   \* MERGEFORMAT</w:instrText>
                          </w:r>
                          <w:r>
                            <w:fldChar w:fldCharType="separate"/>
                          </w:r>
                          <w:r>
                            <w:rPr>
                              <w:lang w:val="zh-CN"/>
                            </w:rPr>
                            <w:t>46</w:t>
                          </w:r>
                          <w:r>
                            <w:rPr>
                              <w:lang w:val="zh-CN"/>
                            </w:rPr>
                            <w:fldChar w:fldCharType="end"/>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XyWeIBAADMAwAADgAAAGRycy9lMm9Eb2MueG1srVNNrtMwEN4jcQfL&#10;e5q0EqiKmj4B1UNICJAeHMB1nMaS7bE8bpNyALgBKzbsOVfPwdhJ+uCxeQs2yfz5m/k+jzc3gzXs&#10;pAJqcDVfLkrOlJPQaHeo+edPt8/WnGEUrhEGnKr5WSG/2T59sul9pVbQgWlUYATisOp9zbsYfVUU&#10;KDtlBS7AK0fJFoIVkdxwKJogekK3pliV5Yuih9D4AFIhUnQ3JvmEGB4DCG2rpdqBPFrl4ogalBGR&#10;KGGnPfJtnrZtlYwf2hZVZKbmxDTmLzUhe5++xXYjqkMQvtNyGkE8ZoQHnKzQjppeoXYiCnYM+h8o&#10;q2UAhDYuJNhiJJIVIRbL8oE2d53wKnMhqdFfRcf/Byvfnz4GppuaP+fMCUsXfvn+7fLj1+XnV7ZK&#10;8vQeK6q681QXh1cw0NLMcaRgYj20waY/8WGUJ3HPV3HVEJlMh9ar9bqklKTc7BB+cX/cB4xvFFiW&#10;jJoHur0sqji9wziWziWpm4NbbUy+QeP+ChDmGFF5BabTick4cbLisB8mentozsSOHgV17SB84ayn&#10;lai5oxfAmXnrSPG0PbMRZmM/G8JJOljzyNlovo7jlh190IeOcJeZCvqXx0hzZzppjLE3yZAcuuQs&#10;yLSQaYv+9HPV/SPc/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8+XyWeIBAADMAwAADgAA&#10;AAAAAAABACAAAAAeAQAAZHJzL2Uyb0RvYy54bWxQSwUGAAAAAAYABgBZAQAAcgUAAAAA&#10;">
              <v:fill on="f" focussize="0,0"/>
              <v:stroke on="f"/>
              <v:imagedata o:title=""/>
              <o:lock v:ext="edit" aspectratio="f"/>
              <v:textbox inset="0mm,0mm,0mm,0mm" style="mso-fit-shape-to-text:t;">
                <w:txbxContent>
                  <w:p w14:paraId="78A6F471">
                    <w:pPr>
                      <w:pStyle w:val="29"/>
                      <w:jc w:val="center"/>
                    </w:pPr>
                    <w:r>
                      <w:fldChar w:fldCharType="begin"/>
                    </w:r>
                    <w:r>
                      <w:instrText xml:space="preserve">PAGE   \* MERGEFORMAT</w:instrText>
                    </w:r>
                    <w:r>
                      <w:fldChar w:fldCharType="separate"/>
                    </w:r>
                    <w:r>
                      <w:rPr>
                        <w:lang w:val="zh-CN"/>
                      </w:rPr>
                      <w:t>46</w:t>
                    </w:r>
                    <w:r>
                      <w:rPr>
                        <w:lang w:val="zh-CN"/>
                      </w:rPr>
                      <w:fldChar w:fldCharType="end"/>
                    </w:r>
                  </w:p>
                </w:txbxContent>
              </v:textbox>
            </v:shape>
          </w:pict>
        </mc:Fallback>
      </mc:AlternateContent>
    </w:r>
  </w:p>
  <w:p w14:paraId="7D152F1F">
    <w:pPr>
      <w:pStyle w:val="2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33D0A">
    <w:pPr>
      <w:pStyle w:val="2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00AA6D">
                          <w:pPr>
                            <w:pStyle w:val="2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plR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4plRcoBAACcAwAADgAAAAAAAAABACAAAAAeAQAAZHJzL2Uyb0Rv&#10;Yy54bWxQSwUGAAAAAAYABgBZAQAAWgUAAAAA&#10;">
              <v:fill on="f" focussize="0,0"/>
              <v:stroke on="f"/>
              <v:imagedata o:title=""/>
              <o:lock v:ext="edit" aspectratio="f"/>
              <v:textbox inset="0mm,0mm,0mm,0mm" style="mso-fit-shape-to-text:t;">
                <w:txbxContent>
                  <w:p w14:paraId="0900AA6D">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F24D1">
    <w:pPr>
      <w:pStyle w:val="2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86488F">
                          <w:pPr>
                            <w:pStyle w:val="29"/>
                            <w:jc w:val="center"/>
                          </w:pPr>
                          <w:r>
                            <w:fldChar w:fldCharType="begin"/>
                          </w:r>
                          <w:r>
                            <w:instrText xml:space="preserve"> PAGE   \* MERGEFORMAT </w:instrText>
                          </w:r>
                          <w:r>
                            <w:fldChar w:fldCharType="separate"/>
                          </w:r>
                          <w:r>
                            <w:rPr>
                              <w:lang w:val="zh-CN"/>
                            </w:rPr>
                            <w:t>59</w:t>
                          </w:r>
                          <w:r>
                            <w:fldChar w:fldCharType="end"/>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M2JXt8BAADBAwAADgAAAGRycy9lMm9Eb2MueG1srVPBjtMwEL0j8Q+W&#10;7zRpDquqaroCqkVICJAWPsB1nMaS7bHsaZPyAfAHnLhw57v6HYydpAvLZQ9ckvHM+M28N+PN7WAN&#10;O6kQNbiaLxclZ8pJaLQ71Pzzp7sXK84iCtcIA07V/Kwiv90+f7bp/VpV0IFpVGAE4uK69zXvEP26&#10;KKLslBVxAV45CrYQrEA6hkPRBNETujVFVZY3RQ+h8QGkipG8uzHIJ8TwFEBoWy3VDuTRKocjalBG&#10;IFGKnfaRb3O3baskfmjbqJCZmhNTzF8qQvY+fYvtRqwPQfhOy6kF8ZQWHnGyQjsqeoXaCRTsGPQ/&#10;UFbLABFaXEiwxUgkK0IsluUjbe474VXmQlJHfxU9/j9Y+f70MTDd1LzizAlLA798/3b58evy8ytb&#10;ltVNUqj3cU2J955ScXgFA+3N7I/kTMSHNtj0J0qM4qTv+aqvGpDJdGlVrVYlhSTF5gPhFw/XfYj4&#10;RoFlyah5oAFmXcXpXcQxdU5J1RzcaWPyEI37y0GYyVOk3scek4XDfpgI7aE5Ex96CVSng/CFs572&#10;oOaO1p4z89aRzGllZiPMxn42hJN0sebI2Wi+xnG1jj7oQ5eXLTUV/csjUqeZQGpjrD11R5PNEkxb&#10;mFbnz3POenh52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6M2JXt8BAADBAwAADgAAAAAA&#10;AAABACAAAAAeAQAAZHJzL2Uyb0RvYy54bWxQSwUGAAAAAAYABgBZAQAAbwUAAAAA&#10;">
              <v:fill on="f" focussize="0,0"/>
              <v:stroke on="f"/>
              <v:imagedata o:title=""/>
              <o:lock v:ext="edit" aspectratio="f"/>
              <v:textbox inset="0mm,0mm,0mm,0mm" style="mso-fit-shape-to-text:t;">
                <w:txbxContent>
                  <w:p w14:paraId="3D86488F">
                    <w:pPr>
                      <w:pStyle w:val="29"/>
                      <w:jc w:val="center"/>
                    </w:pPr>
                    <w:r>
                      <w:fldChar w:fldCharType="begin"/>
                    </w:r>
                    <w:r>
                      <w:instrText xml:space="preserve"> PAGE   \* MERGEFORMAT </w:instrText>
                    </w:r>
                    <w:r>
                      <w:fldChar w:fldCharType="separate"/>
                    </w:r>
                    <w:r>
                      <w:rPr>
                        <w:lang w:val="zh-CN"/>
                      </w:rPr>
                      <w:t>59</w:t>
                    </w:r>
                    <w:r>
                      <w:fldChar w:fldCharType="end"/>
                    </w:r>
                  </w:p>
                </w:txbxContent>
              </v:textbox>
            </v:shape>
          </w:pict>
        </mc:Fallback>
      </mc:AlternateContent>
    </w:r>
  </w:p>
  <w:p w14:paraId="7A114C94">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AF201">
    <w:pPr>
      <w:pStyle w:val="2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01ECC7">
                          <w:pPr>
                            <w:pStyle w:val="2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45cMOABAADBAwAADgAAAGRycy9lMm9Eb2MueG1srVNBrtMwEN0jcQfL&#10;e5q0Qiiqmn4B1UdICJA+HMB1nMaS7bHsaZNyALgBKzbsOVfPwdhJ+uGz+Qs2yXhm/Gbem/HmZrCG&#10;nVSIGlzNl4uSM+UkNNodav750+2zirOIwjXCgFM1P6vIb7ZPn2x6v1Yr6MA0KjACcXHd+5p3iH5d&#10;FFF2yoq4AK8cBVsIViAdw6FogugJ3ZpiVZYvih5C4wNIFSN5d2OQT4jhMYDQtlqqHcijVQ5H1KCM&#10;QKIUO+0j3+Zu21ZJ/NC2USEzNSemmL9UhOx9+hbbjVgfgvCdllML4jEtPOBkhXZU9Aq1EyjYMeh/&#10;oKyWASK0uJBgi5FIVoRYLMsH2tx1wqvMhaSO/ip6/H+w8v3pY2C6qflzzpywNPDL92+XH78uP7+y&#10;ZbmqkkK9j2tKvPOUisMrGGhvZn8kZyI+tMGmP1FiFCd9z1d91YBMpkvVqqpKCkmKzQfCL+6v+xDx&#10;jQLLklHzQAPMuorTu4hj6pySqjm41cbkIRr3l4Mwk6dIvY89JguH/TAR2kNzJj70EqhOB+ELZz3t&#10;Qc0drT1n5q0jmdPKzEaYjf1sCCfpYs2Rs9F8jeNqHX3Qhy4vW2oq+pdHpE4zgdTGWHvqjiabJZi2&#10;MK3On+ecdf/yt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FuOXDDgAQAAwQMAAA4AAAAA&#10;AAAAAQAgAAAAHgEAAGRycy9lMm9Eb2MueG1sUEsFBgAAAAAGAAYAWQEAAHAFAAAAAA==&#10;">
              <v:fill on="f" focussize="0,0"/>
              <v:stroke on="f"/>
              <v:imagedata o:title=""/>
              <o:lock v:ext="edit" aspectratio="f"/>
              <v:textbox inset="0mm,0mm,0mm,0mm" style="mso-fit-shape-to-text:t;">
                <w:txbxContent>
                  <w:p w14:paraId="2401ECC7">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490B5">
    <w:pPr>
      <w:pStyle w:val="30"/>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D9C06">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FAF43"/>
    <w:multiLevelType w:val="singleLevel"/>
    <w:tmpl w:val="98DFAF43"/>
    <w:lvl w:ilvl="0" w:tentative="0">
      <w:start w:val="2"/>
      <w:numFmt w:val="decimal"/>
      <w:suff w:val="nothing"/>
      <w:lvlText w:val="%1、"/>
      <w:lvlJc w:val="left"/>
    </w:lvl>
  </w:abstractNum>
  <w:abstractNum w:abstractNumId="1">
    <w:nsid w:val="27DC5EF7"/>
    <w:multiLevelType w:val="multilevel"/>
    <w:tmpl w:val="27DC5EF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430444E"/>
    <w:multiLevelType w:val="multilevel"/>
    <w:tmpl w:val="6430444E"/>
    <w:lvl w:ilvl="0" w:tentative="0">
      <w:start w:val="1"/>
      <w:numFmt w:val="decimal"/>
      <w:lvlText w:val="%1、"/>
      <w:lvlJc w:val="left"/>
      <w:pPr>
        <w:ind w:left="360" w:hanging="360"/>
      </w:pPr>
      <w:rPr>
        <w:rFonts w:hint="default"/>
        <w:b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56D6133"/>
    <w:multiLevelType w:val="multilevel"/>
    <w:tmpl w:val="656D6133"/>
    <w:lvl w:ilvl="0" w:tentative="0">
      <w:start w:val="1"/>
      <w:numFmt w:val="chineseCountingThousand"/>
      <w:pStyle w:val="70"/>
      <w:suff w:val="nothing"/>
      <w:lvlText w:val="第%1部分"/>
      <w:lvlJc w:val="center"/>
      <w:pPr>
        <w:ind w:left="0" w:firstLine="288"/>
      </w:pPr>
      <w:rPr>
        <w:rFonts w:hint="eastAsia"/>
        <w:sz w:val="28"/>
        <w:szCs w:val="28"/>
      </w:rPr>
    </w:lvl>
    <w:lvl w:ilvl="1" w:tentative="0">
      <w:start w:val="1"/>
      <w:numFmt w:val="chineseCountingThousand"/>
      <w:pStyle w:val="5"/>
      <w:suff w:val="nothing"/>
      <w:lvlText w:val="%2、"/>
      <w:lvlJc w:val="left"/>
      <w:pPr>
        <w:ind w:left="240" w:firstLine="0"/>
      </w:pPr>
      <w:rPr>
        <w:rFonts w:hint="eastAsia" w:ascii="宋体" w:hAnsi="宋体" w:eastAsia="宋体"/>
        <w:sz w:val="24"/>
        <w:szCs w:val="24"/>
        <w:lang w:val="en-US"/>
      </w:rPr>
    </w:lvl>
    <w:lvl w:ilvl="2" w:tentative="0">
      <w:start w:val="1"/>
      <w:numFmt w:val="chineseCountingThousand"/>
      <w:pStyle w:val="6"/>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8"/>
      <w:suff w:val="nothing"/>
      <w:lvlText w:val="%4、"/>
      <w:lvlJc w:val="left"/>
      <w:pPr>
        <w:ind w:left="0" w:firstLine="0"/>
      </w:pPr>
      <w:rPr>
        <w:rFonts w:hint="eastAsia"/>
      </w:rPr>
    </w:lvl>
    <w:lvl w:ilvl="4" w:tentative="0">
      <w:start w:val="1"/>
      <w:numFmt w:val="upperLetter"/>
      <w:pStyle w:val="9"/>
      <w:suff w:val="nothing"/>
      <w:lvlText w:val="%5、"/>
      <w:lvlJc w:val="left"/>
      <w:pPr>
        <w:ind w:left="0" w:firstLine="0"/>
      </w:pPr>
      <w:rPr>
        <w:rFonts w:hint="eastAsia"/>
      </w:rPr>
    </w:lvl>
    <w:lvl w:ilvl="5" w:tentative="0">
      <w:start w:val="1"/>
      <w:numFmt w:val="none"/>
      <w:pStyle w:val="10"/>
      <w:suff w:val="nothing"/>
      <w:lvlText w:val=""/>
      <w:lvlJc w:val="left"/>
      <w:pPr>
        <w:ind w:left="0" w:firstLine="0"/>
      </w:pPr>
      <w:rPr>
        <w:rFonts w:hint="eastAsia"/>
      </w:rPr>
    </w:lvl>
    <w:lvl w:ilvl="6" w:tentative="0">
      <w:start w:val="1"/>
      <w:numFmt w:val="none"/>
      <w:pStyle w:val="11"/>
      <w:suff w:val="nothing"/>
      <w:lvlText w:val=""/>
      <w:lvlJc w:val="left"/>
      <w:pPr>
        <w:ind w:left="0" w:firstLine="0"/>
      </w:pPr>
      <w:rPr>
        <w:rFonts w:hint="eastAsia"/>
      </w:rPr>
    </w:lvl>
    <w:lvl w:ilvl="7" w:tentative="0">
      <w:start w:val="1"/>
      <w:numFmt w:val="none"/>
      <w:pStyle w:val="12"/>
      <w:suff w:val="nothing"/>
      <w:lvlText w:val=""/>
      <w:lvlJc w:val="left"/>
      <w:pPr>
        <w:ind w:left="0" w:firstLine="0"/>
      </w:pPr>
      <w:rPr>
        <w:rFonts w:hint="eastAsia"/>
      </w:rPr>
    </w:lvl>
    <w:lvl w:ilvl="8" w:tentative="0">
      <w:start w:val="1"/>
      <w:numFmt w:val="none"/>
      <w:pStyle w:val="13"/>
      <w:suff w:val="nothing"/>
      <w:lvlText w:val=""/>
      <w:lvlJc w:val="left"/>
      <w:pPr>
        <w:ind w:left="0" w:firstLine="0"/>
      </w:pPr>
      <w:rPr>
        <w:rFonts w:hint="eastAsia"/>
      </w:rPr>
    </w:lvl>
  </w:abstractNum>
  <w:abstractNum w:abstractNumId="4">
    <w:nsid w:val="7A4F7CFA"/>
    <w:multiLevelType w:val="multilevel"/>
    <w:tmpl w:val="7A4F7CFA"/>
    <w:lvl w:ilvl="0" w:tentative="0">
      <w:start w:val="1"/>
      <w:numFmt w:val="decimal"/>
      <w:lvlText w:val="%1"/>
      <w:lvlJc w:val="left"/>
      <w:pPr>
        <w:ind w:left="988"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NjIzOTAxZWMyN2Y5YzVhNGJlODQ3YjIwZjk2YmYifQ=="/>
  </w:docVars>
  <w:rsids>
    <w:rsidRoot w:val="00587125"/>
    <w:rsid w:val="00000190"/>
    <w:rsid w:val="00000BEF"/>
    <w:rsid w:val="00000ED2"/>
    <w:rsid w:val="000010F1"/>
    <w:rsid w:val="00001698"/>
    <w:rsid w:val="0000190B"/>
    <w:rsid w:val="000025A4"/>
    <w:rsid w:val="000026A6"/>
    <w:rsid w:val="00002AA1"/>
    <w:rsid w:val="00003089"/>
    <w:rsid w:val="00003815"/>
    <w:rsid w:val="00003BA8"/>
    <w:rsid w:val="00003F79"/>
    <w:rsid w:val="00004331"/>
    <w:rsid w:val="00004665"/>
    <w:rsid w:val="0000515F"/>
    <w:rsid w:val="0000563C"/>
    <w:rsid w:val="00005908"/>
    <w:rsid w:val="00005B0D"/>
    <w:rsid w:val="00005B26"/>
    <w:rsid w:val="0000656F"/>
    <w:rsid w:val="00006A6F"/>
    <w:rsid w:val="00006E41"/>
    <w:rsid w:val="0000703F"/>
    <w:rsid w:val="000076B3"/>
    <w:rsid w:val="000100D9"/>
    <w:rsid w:val="0001023F"/>
    <w:rsid w:val="00010A45"/>
    <w:rsid w:val="00010DA8"/>
    <w:rsid w:val="00012ECB"/>
    <w:rsid w:val="00013287"/>
    <w:rsid w:val="00013304"/>
    <w:rsid w:val="000138A8"/>
    <w:rsid w:val="00013B4A"/>
    <w:rsid w:val="00014DC2"/>
    <w:rsid w:val="000152A0"/>
    <w:rsid w:val="00015A83"/>
    <w:rsid w:val="00015A8B"/>
    <w:rsid w:val="00015C05"/>
    <w:rsid w:val="00015C59"/>
    <w:rsid w:val="00015FBF"/>
    <w:rsid w:val="000169FA"/>
    <w:rsid w:val="0001715A"/>
    <w:rsid w:val="000174EB"/>
    <w:rsid w:val="00017B46"/>
    <w:rsid w:val="00017C4B"/>
    <w:rsid w:val="00017E59"/>
    <w:rsid w:val="0002146D"/>
    <w:rsid w:val="00021481"/>
    <w:rsid w:val="000214E0"/>
    <w:rsid w:val="00021C6E"/>
    <w:rsid w:val="00021DD5"/>
    <w:rsid w:val="00021F3C"/>
    <w:rsid w:val="00022406"/>
    <w:rsid w:val="00022B2F"/>
    <w:rsid w:val="00023204"/>
    <w:rsid w:val="000233FE"/>
    <w:rsid w:val="00024048"/>
    <w:rsid w:val="00024254"/>
    <w:rsid w:val="00024A7A"/>
    <w:rsid w:val="00024B49"/>
    <w:rsid w:val="00025227"/>
    <w:rsid w:val="00025342"/>
    <w:rsid w:val="0002551C"/>
    <w:rsid w:val="00025906"/>
    <w:rsid w:val="00025A5A"/>
    <w:rsid w:val="00025FDB"/>
    <w:rsid w:val="00026256"/>
    <w:rsid w:val="000269AD"/>
    <w:rsid w:val="00026A42"/>
    <w:rsid w:val="00027040"/>
    <w:rsid w:val="000275CF"/>
    <w:rsid w:val="000317C5"/>
    <w:rsid w:val="00031C4D"/>
    <w:rsid w:val="00031EE8"/>
    <w:rsid w:val="0003255C"/>
    <w:rsid w:val="00032839"/>
    <w:rsid w:val="0003287D"/>
    <w:rsid w:val="00032D5C"/>
    <w:rsid w:val="000334F9"/>
    <w:rsid w:val="00033D3B"/>
    <w:rsid w:val="00034057"/>
    <w:rsid w:val="00034962"/>
    <w:rsid w:val="000349E5"/>
    <w:rsid w:val="00034A30"/>
    <w:rsid w:val="000367B7"/>
    <w:rsid w:val="00036EE4"/>
    <w:rsid w:val="000372BC"/>
    <w:rsid w:val="00037F5F"/>
    <w:rsid w:val="00041BC1"/>
    <w:rsid w:val="00041FEB"/>
    <w:rsid w:val="000428C3"/>
    <w:rsid w:val="00043606"/>
    <w:rsid w:val="000440E5"/>
    <w:rsid w:val="00044A29"/>
    <w:rsid w:val="00044BDD"/>
    <w:rsid w:val="00044C7F"/>
    <w:rsid w:val="00045C06"/>
    <w:rsid w:val="00045C2A"/>
    <w:rsid w:val="00045C83"/>
    <w:rsid w:val="00045CDE"/>
    <w:rsid w:val="00046816"/>
    <w:rsid w:val="000506E7"/>
    <w:rsid w:val="000507D5"/>
    <w:rsid w:val="00051759"/>
    <w:rsid w:val="00051E36"/>
    <w:rsid w:val="00052E1F"/>
    <w:rsid w:val="000530F6"/>
    <w:rsid w:val="0005331E"/>
    <w:rsid w:val="00053555"/>
    <w:rsid w:val="000537CD"/>
    <w:rsid w:val="00053B63"/>
    <w:rsid w:val="0005653E"/>
    <w:rsid w:val="0005654F"/>
    <w:rsid w:val="00056D58"/>
    <w:rsid w:val="000572BF"/>
    <w:rsid w:val="0005752D"/>
    <w:rsid w:val="000576FC"/>
    <w:rsid w:val="000602CC"/>
    <w:rsid w:val="000605C5"/>
    <w:rsid w:val="0006083A"/>
    <w:rsid w:val="00060B1D"/>
    <w:rsid w:val="00060D9F"/>
    <w:rsid w:val="00061AAB"/>
    <w:rsid w:val="00061E16"/>
    <w:rsid w:val="000626E7"/>
    <w:rsid w:val="00062DC7"/>
    <w:rsid w:val="00063340"/>
    <w:rsid w:val="000634DA"/>
    <w:rsid w:val="00063610"/>
    <w:rsid w:val="0006442D"/>
    <w:rsid w:val="00064B93"/>
    <w:rsid w:val="00064BB1"/>
    <w:rsid w:val="00064CD3"/>
    <w:rsid w:val="00064E8F"/>
    <w:rsid w:val="00065245"/>
    <w:rsid w:val="00065732"/>
    <w:rsid w:val="00065931"/>
    <w:rsid w:val="00065E5F"/>
    <w:rsid w:val="0006678E"/>
    <w:rsid w:val="00066837"/>
    <w:rsid w:val="00066CAD"/>
    <w:rsid w:val="00066EF8"/>
    <w:rsid w:val="00067D1D"/>
    <w:rsid w:val="00070B28"/>
    <w:rsid w:val="0007176B"/>
    <w:rsid w:val="00071BC1"/>
    <w:rsid w:val="00071C0E"/>
    <w:rsid w:val="00071D76"/>
    <w:rsid w:val="00071DC0"/>
    <w:rsid w:val="00072C12"/>
    <w:rsid w:val="00072D36"/>
    <w:rsid w:val="00073045"/>
    <w:rsid w:val="000734E0"/>
    <w:rsid w:val="00073687"/>
    <w:rsid w:val="000742AE"/>
    <w:rsid w:val="00074716"/>
    <w:rsid w:val="0007475E"/>
    <w:rsid w:val="00075173"/>
    <w:rsid w:val="00075662"/>
    <w:rsid w:val="0007694A"/>
    <w:rsid w:val="00076CBE"/>
    <w:rsid w:val="000770B4"/>
    <w:rsid w:val="000775AE"/>
    <w:rsid w:val="000777B4"/>
    <w:rsid w:val="00077DF7"/>
    <w:rsid w:val="00080858"/>
    <w:rsid w:val="00080A62"/>
    <w:rsid w:val="00081A34"/>
    <w:rsid w:val="00081CDA"/>
    <w:rsid w:val="000820C8"/>
    <w:rsid w:val="00082AEB"/>
    <w:rsid w:val="0008303F"/>
    <w:rsid w:val="000830F3"/>
    <w:rsid w:val="0008337D"/>
    <w:rsid w:val="0008400A"/>
    <w:rsid w:val="00085017"/>
    <w:rsid w:val="000852A6"/>
    <w:rsid w:val="00085305"/>
    <w:rsid w:val="00085DAB"/>
    <w:rsid w:val="000860E5"/>
    <w:rsid w:val="00086327"/>
    <w:rsid w:val="00086D3A"/>
    <w:rsid w:val="000872F0"/>
    <w:rsid w:val="0008757F"/>
    <w:rsid w:val="00087621"/>
    <w:rsid w:val="0008764C"/>
    <w:rsid w:val="00090910"/>
    <w:rsid w:val="00090B31"/>
    <w:rsid w:val="00090FBA"/>
    <w:rsid w:val="000918E1"/>
    <w:rsid w:val="0009193D"/>
    <w:rsid w:val="000928EE"/>
    <w:rsid w:val="00092C27"/>
    <w:rsid w:val="00092C28"/>
    <w:rsid w:val="0009307F"/>
    <w:rsid w:val="00093695"/>
    <w:rsid w:val="000936CF"/>
    <w:rsid w:val="00093B52"/>
    <w:rsid w:val="00093F2E"/>
    <w:rsid w:val="0009419F"/>
    <w:rsid w:val="00094B47"/>
    <w:rsid w:val="00094E25"/>
    <w:rsid w:val="0009515D"/>
    <w:rsid w:val="00095E39"/>
    <w:rsid w:val="0009673F"/>
    <w:rsid w:val="0009677E"/>
    <w:rsid w:val="00096B18"/>
    <w:rsid w:val="00097686"/>
    <w:rsid w:val="00097788"/>
    <w:rsid w:val="000A0B1F"/>
    <w:rsid w:val="000A0BEB"/>
    <w:rsid w:val="000A2A84"/>
    <w:rsid w:val="000A2D3F"/>
    <w:rsid w:val="000A32FD"/>
    <w:rsid w:val="000A388F"/>
    <w:rsid w:val="000A3CAD"/>
    <w:rsid w:val="000A3CD2"/>
    <w:rsid w:val="000A3EC2"/>
    <w:rsid w:val="000A401D"/>
    <w:rsid w:val="000A4785"/>
    <w:rsid w:val="000A4B9F"/>
    <w:rsid w:val="000A537F"/>
    <w:rsid w:val="000A54AE"/>
    <w:rsid w:val="000A5591"/>
    <w:rsid w:val="000A5B66"/>
    <w:rsid w:val="000A657F"/>
    <w:rsid w:val="000A6699"/>
    <w:rsid w:val="000A6780"/>
    <w:rsid w:val="000A697B"/>
    <w:rsid w:val="000A69F1"/>
    <w:rsid w:val="000A6CB1"/>
    <w:rsid w:val="000A6FCF"/>
    <w:rsid w:val="000A72EC"/>
    <w:rsid w:val="000A771A"/>
    <w:rsid w:val="000A787C"/>
    <w:rsid w:val="000A7A7C"/>
    <w:rsid w:val="000B0058"/>
    <w:rsid w:val="000B016C"/>
    <w:rsid w:val="000B0D8E"/>
    <w:rsid w:val="000B1019"/>
    <w:rsid w:val="000B1761"/>
    <w:rsid w:val="000B17F6"/>
    <w:rsid w:val="000B1AD3"/>
    <w:rsid w:val="000B1E80"/>
    <w:rsid w:val="000B1ED5"/>
    <w:rsid w:val="000B1F08"/>
    <w:rsid w:val="000B2353"/>
    <w:rsid w:val="000B2571"/>
    <w:rsid w:val="000B35D6"/>
    <w:rsid w:val="000B3786"/>
    <w:rsid w:val="000B5972"/>
    <w:rsid w:val="000B5A29"/>
    <w:rsid w:val="000B6362"/>
    <w:rsid w:val="000B66A6"/>
    <w:rsid w:val="000B6707"/>
    <w:rsid w:val="000C0292"/>
    <w:rsid w:val="000C0AB2"/>
    <w:rsid w:val="000C0CA2"/>
    <w:rsid w:val="000C0D08"/>
    <w:rsid w:val="000C0F9E"/>
    <w:rsid w:val="000C1029"/>
    <w:rsid w:val="000C14FF"/>
    <w:rsid w:val="000C2293"/>
    <w:rsid w:val="000C3E53"/>
    <w:rsid w:val="000C705A"/>
    <w:rsid w:val="000C7919"/>
    <w:rsid w:val="000D0EDF"/>
    <w:rsid w:val="000D0EF0"/>
    <w:rsid w:val="000D0F09"/>
    <w:rsid w:val="000D0FBD"/>
    <w:rsid w:val="000D0FF3"/>
    <w:rsid w:val="000D17F3"/>
    <w:rsid w:val="000D1AAE"/>
    <w:rsid w:val="000D1C4B"/>
    <w:rsid w:val="000D2007"/>
    <w:rsid w:val="000D219D"/>
    <w:rsid w:val="000D23D3"/>
    <w:rsid w:val="000D260C"/>
    <w:rsid w:val="000D2DF6"/>
    <w:rsid w:val="000D3650"/>
    <w:rsid w:val="000D42F7"/>
    <w:rsid w:val="000D44C4"/>
    <w:rsid w:val="000D46C5"/>
    <w:rsid w:val="000D496D"/>
    <w:rsid w:val="000D4A84"/>
    <w:rsid w:val="000D4EC1"/>
    <w:rsid w:val="000D6186"/>
    <w:rsid w:val="000D6B4E"/>
    <w:rsid w:val="000D70FD"/>
    <w:rsid w:val="000E0387"/>
    <w:rsid w:val="000E04B8"/>
    <w:rsid w:val="000E1540"/>
    <w:rsid w:val="000E29C5"/>
    <w:rsid w:val="000E2F42"/>
    <w:rsid w:val="000E31C9"/>
    <w:rsid w:val="000E3711"/>
    <w:rsid w:val="000E3A88"/>
    <w:rsid w:val="000E4638"/>
    <w:rsid w:val="000E4C1C"/>
    <w:rsid w:val="000E4D70"/>
    <w:rsid w:val="000E516A"/>
    <w:rsid w:val="000E51AB"/>
    <w:rsid w:val="000E6238"/>
    <w:rsid w:val="000E658F"/>
    <w:rsid w:val="000E68BB"/>
    <w:rsid w:val="000E68BF"/>
    <w:rsid w:val="000E76B3"/>
    <w:rsid w:val="000F00C9"/>
    <w:rsid w:val="000F0847"/>
    <w:rsid w:val="000F16EE"/>
    <w:rsid w:val="000F2484"/>
    <w:rsid w:val="000F3487"/>
    <w:rsid w:val="000F3698"/>
    <w:rsid w:val="000F3FFD"/>
    <w:rsid w:val="000F4523"/>
    <w:rsid w:val="000F458C"/>
    <w:rsid w:val="000F4731"/>
    <w:rsid w:val="000F48D2"/>
    <w:rsid w:val="000F4D9B"/>
    <w:rsid w:val="000F5625"/>
    <w:rsid w:val="000F6E94"/>
    <w:rsid w:val="000F74A9"/>
    <w:rsid w:val="000F7546"/>
    <w:rsid w:val="000F7877"/>
    <w:rsid w:val="001000A0"/>
    <w:rsid w:val="0010042C"/>
    <w:rsid w:val="00100450"/>
    <w:rsid w:val="001007AD"/>
    <w:rsid w:val="001007E8"/>
    <w:rsid w:val="00100F62"/>
    <w:rsid w:val="0010119F"/>
    <w:rsid w:val="00101718"/>
    <w:rsid w:val="001018F5"/>
    <w:rsid w:val="001020C4"/>
    <w:rsid w:val="001021B0"/>
    <w:rsid w:val="00102B46"/>
    <w:rsid w:val="00102E6D"/>
    <w:rsid w:val="001031E9"/>
    <w:rsid w:val="001037C8"/>
    <w:rsid w:val="00103D21"/>
    <w:rsid w:val="0010430C"/>
    <w:rsid w:val="00104636"/>
    <w:rsid w:val="00104B10"/>
    <w:rsid w:val="00104F2D"/>
    <w:rsid w:val="001050E4"/>
    <w:rsid w:val="00105D2F"/>
    <w:rsid w:val="001073F7"/>
    <w:rsid w:val="00107B89"/>
    <w:rsid w:val="00107BCF"/>
    <w:rsid w:val="00107C72"/>
    <w:rsid w:val="00107F7C"/>
    <w:rsid w:val="001101D2"/>
    <w:rsid w:val="00110690"/>
    <w:rsid w:val="001109DD"/>
    <w:rsid w:val="00111156"/>
    <w:rsid w:val="00111345"/>
    <w:rsid w:val="00111370"/>
    <w:rsid w:val="001119D4"/>
    <w:rsid w:val="00111CC4"/>
    <w:rsid w:val="00112170"/>
    <w:rsid w:val="00112786"/>
    <w:rsid w:val="00112B5E"/>
    <w:rsid w:val="0011338B"/>
    <w:rsid w:val="0011368B"/>
    <w:rsid w:val="00113AD6"/>
    <w:rsid w:val="001145B3"/>
    <w:rsid w:val="00115DCF"/>
    <w:rsid w:val="00115DD7"/>
    <w:rsid w:val="00116222"/>
    <w:rsid w:val="001165F8"/>
    <w:rsid w:val="00116EDF"/>
    <w:rsid w:val="00116F1C"/>
    <w:rsid w:val="0011731C"/>
    <w:rsid w:val="00117A65"/>
    <w:rsid w:val="00117E0A"/>
    <w:rsid w:val="00120467"/>
    <w:rsid w:val="00120577"/>
    <w:rsid w:val="00120D9C"/>
    <w:rsid w:val="0012145D"/>
    <w:rsid w:val="00121554"/>
    <w:rsid w:val="0012188C"/>
    <w:rsid w:val="0012225E"/>
    <w:rsid w:val="00122536"/>
    <w:rsid w:val="001227D5"/>
    <w:rsid w:val="00122EE7"/>
    <w:rsid w:val="001230A0"/>
    <w:rsid w:val="00123FC4"/>
    <w:rsid w:val="00124A67"/>
    <w:rsid w:val="00124ACF"/>
    <w:rsid w:val="0012542B"/>
    <w:rsid w:val="0012544D"/>
    <w:rsid w:val="00125CC1"/>
    <w:rsid w:val="00125DA0"/>
    <w:rsid w:val="00126368"/>
    <w:rsid w:val="00126380"/>
    <w:rsid w:val="00126E98"/>
    <w:rsid w:val="00127066"/>
    <w:rsid w:val="001271C9"/>
    <w:rsid w:val="001271DC"/>
    <w:rsid w:val="00127C66"/>
    <w:rsid w:val="001302FE"/>
    <w:rsid w:val="001308B5"/>
    <w:rsid w:val="001310F1"/>
    <w:rsid w:val="0013124E"/>
    <w:rsid w:val="001318E2"/>
    <w:rsid w:val="00131FE5"/>
    <w:rsid w:val="00132479"/>
    <w:rsid w:val="00132932"/>
    <w:rsid w:val="00132D7D"/>
    <w:rsid w:val="00132D9D"/>
    <w:rsid w:val="00132E9B"/>
    <w:rsid w:val="00133E50"/>
    <w:rsid w:val="0013413B"/>
    <w:rsid w:val="001341FA"/>
    <w:rsid w:val="00134598"/>
    <w:rsid w:val="00136281"/>
    <w:rsid w:val="00136629"/>
    <w:rsid w:val="001366BE"/>
    <w:rsid w:val="00136773"/>
    <w:rsid w:val="0013691A"/>
    <w:rsid w:val="00136F58"/>
    <w:rsid w:val="00137647"/>
    <w:rsid w:val="00137685"/>
    <w:rsid w:val="0014006B"/>
    <w:rsid w:val="00140AA1"/>
    <w:rsid w:val="00140C79"/>
    <w:rsid w:val="00141ED6"/>
    <w:rsid w:val="0014249C"/>
    <w:rsid w:val="00142B63"/>
    <w:rsid w:val="001430D8"/>
    <w:rsid w:val="00143494"/>
    <w:rsid w:val="0014360F"/>
    <w:rsid w:val="00143BF0"/>
    <w:rsid w:val="001441C9"/>
    <w:rsid w:val="00144502"/>
    <w:rsid w:val="00145B19"/>
    <w:rsid w:val="00145C2C"/>
    <w:rsid w:val="00146187"/>
    <w:rsid w:val="0014654F"/>
    <w:rsid w:val="00146983"/>
    <w:rsid w:val="00147232"/>
    <w:rsid w:val="00147760"/>
    <w:rsid w:val="001501E4"/>
    <w:rsid w:val="00150B31"/>
    <w:rsid w:val="00150B34"/>
    <w:rsid w:val="00150DC0"/>
    <w:rsid w:val="001513DA"/>
    <w:rsid w:val="0015453C"/>
    <w:rsid w:val="001553CF"/>
    <w:rsid w:val="00156B70"/>
    <w:rsid w:val="00156C17"/>
    <w:rsid w:val="001611A0"/>
    <w:rsid w:val="001611F4"/>
    <w:rsid w:val="00161666"/>
    <w:rsid w:val="001618AD"/>
    <w:rsid w:val="00161AD1"/>
    <w:rsid w:val="00162339"/>
    <w:rsid w:val="00162D36"/>
    <w:rsid w:val="00162E51"/>
    <w:rsid w:val="0016313E"/>
    <w:rsid w:val="0016315A"/>
    <w:rsid w:val="00163396"/>
    <w:rsid w:val="00163CD3"/>
    <w:rsid w:val="00163F7E"/>
    <w:rsid w:val="00164948"/>
    <w:rsid w:val="00166108"/>
    <w:rsid w:val="001663F3"/>
    <w:rsid w:val="001665F8"/>
    <w:rsid w:val="0016692D"/>
    <w:rsid w:val="0017009C"/>
    <w:rsid w:val="00170243"/>
    <w:rsid w:val="00170727"/>
    <w:rsid w:val="001710B6"/>
    <w:rsid w:val="0017174E"/>
    <w:rsid w:val="0017197C"/>
    <w:rsid w:val="001719E5"/>
    <w:rsid w:val="00171C07"/>
    <w:rsid w:val="00171C34"/>
    <w:rsid w:val="00171CDF"/>
    <w:rsid w:val="00173A54"/>
    <w:rsid w:val="00173A9E"/>
    <w:rsid w:val="00173F05"/>
    <w:rsid w:val="00173FA9"/>
    <w:rsid w:val="00173FB7"/>
    <w:rsid w:val="001743F9"/>
    <w:rsid w:val="00174BB2"/>
    <w:rsid w:val="0017538D"/>
    <w:rsid w:val="001758C9"/>
    <w:rsid w:val="001761AF"/>
    <w:rsid w:val="00177137"/>
    <w:rsid w:val="0017752F"/>
    <w:rsid w:val="001806B2"/>
    <w:rsid w:val="001820F9"/>
    <w:rsid w:val="00182918"/>
    <w:rsid w:val="001832EB"/>
    <w:rsid w:val="00183607"/>
    <w:rsid w:val="001837DD"/>
    <w:rsid w:val="0018385A"/>
    <w:rsid w:val="00183D3F"/>
    <w:rsid w:val="0018413D"/>
    <w:rsid w:val="0018490A"/>
    <w:rsid w:val="00184FE6"/>
    <w:rsid w:val="0018587D"/>
    <w:rsid w:val="00185CA6"/>
    <w:rsid w:val="0018624A"/>
    <w:rsid w:val="001871C9"/>
    <w:rsid w:val="0018729D"/>
    <w:rsid w:val="0018767E"/>
    <w:rsid w:val="00187FF9"/>
    <w:rsid w:val="00190C26"/>
    <w:rsid w:val="0019175D"/>
    <w:rsid w:val="00192172"/>
    <w:rsid w:val="00193275"/>
    <w:rsid w:val="00193528"/>
    <w:rsid w:val="001938A0"/>
    <w:rsid w:val="00193DA9"/>
    <w:rsid w:val="00193F29"/>
    <w:rsid w:val="001941B1"/>
    <w:rsid w:val="0019458A"/>
    <w:rsid w:val="00195D14"/>
    <w:rsid w:val="00195EDB"/>
    <w:rsid w:val="0019680C"/>
    <w:rsid w:val="00196C86"/>
    <w:rsid w:val="00196D0A"/>
    <w:rsid w:val="001979E0"/>
    <w:rsid w:val="00197AF2"/>
    <w:rsid w:val="00197C32"/>
    <w:rsid w:val="001A0816"/>
    <w:rsid w:val="001A088C"/>
    <w:rsid w:val="001A0DA6"/>
    <w:rsid w:val="001A13F2"/>
    <w:rsid w:val="001A1585"/>
    <w:rsid w:val="001A1F06"/>
    <w:rsid w:val="001A2164"/>
    <w:rsid w:val="001A27F3"/>
    <w:rsid w:val="001A2C83"/>
    <w:rsid w:val="001A3247"/>
    <w:rsid w:val="001A3A39"/>
    <w:rsid w:val="001A3C0C"/>
    <w:rsid w:val="001A3FAC"/>
    <w:rsid w:val="001A4C97"/>
    <w:rsid w:val="001A5018"/>
    <w:rsid w:val="001A5376"/>
    <w:rsid w:val="001A5DC5"/>
    <w:rsid w:val="001A6EFA"/>
    <w:rsid w:val="001A7BEB"/>
    <w:rsid w:val="001A7E2D"/>
    <w:rsid w:val="001B00B5"/>
    <w:rsid w:val="001B0328"/>
    <w:rsid w:val="001B04EB"/>
    <w:rsid w:val="001B0A5B"/>
    <w:rsid w:val="001B1B6F"/>
    <w:rsid w:val="001B2830"/>
    <w:rsid w:val="001B2918"/>
    <w:rsid w:val="001B3332"/>
    <w:rsid w:val="001B38D6"/>
    <w:rsid w:val="001B3B92"/>
    <w:rsid w:val="001B3C1A"/>
    <w:rsid w:val="001B45CE"/>
    <w:rsid w:val="001B4778"/>
    <w:rsid w:val="001B4805"/>
    <w:rsid w:val="001B4F97"/>
    <w:rsid w:val="001B50CE"/>
    <w:rsid w:val="001B5207"/>
    <w:rsid w:val="001B53E8"/>
    <w:rsid w:val="001B5AA6"/>
    <w:rsid w:val="001B5BE8"/>
    <w:rsid w:val="001B5CE7"/>
    <w:rsid w:val="001B5FA8"/>
    <w:rsid w:val="001B6941"/>
    <w:rsid w:val="001B7241"/>
    <w:rsid w:val="001B7F4A"/>
    <w:rsid w:val="001C010D"/>
    <w:rsid w:val="001C0658"/>
    <w:rsid w:val="001C0AD6"/>
    <w:rsid w:val="001C0F98"/>
    <w:rsid w:val="001C1129"/>
    <w:rsid w:val="001C14A8"/>
    <w:rsid w:val="001C1944"/>
    <w:rsid w:val="001C1C89"/>
    <w:rsid w:val="001C27C7"/>
    <w:rsid w:val="001C28C3"/>
    <w:rsid w:val="001C2AB2"/>
    <w:rsid w:val="001C2B03"/>
    <w:rsid w:val="001C2E4C"/>
    <w:rsid w:val="001C364C"/>
    <w:rsid w:val="001C3940"/>
    <w:rsid w:val="001C3CAC"/>
    <w:rsid w:val="001C468C"/>
    <w:rsid w:val="001C5038"/>
    <w:rsid w:val="001C52AE"/>
    <w:rsid w:val="001C53EB"/>
    <w:rsid w:val="001C5B95"/>
    <w:rsid w:val="001C607E"/>
    <w:rsid w:val="001C6CE6"/>
    <w:rsid w:val="001D024C"/>
    <w:rsid w:val="001D07AE"/>
    <w:rsid w:val="001D2360"/>
    <w:rsid w:val="001D236A"/>
    <w:rsid w:val="001D25AD"/>
    <w:rsid w:val="001D2896"/>
    <w:rsid w:val="001D2A9A"/>
    <w:rsid w:val="001D3A9B"/>
    <w:rsid w:val="001D3CE1"/>
    <w:rsid w:val="001D3E94"/>
    <w:rsid w:val="001D4A16"/>
    <w:rsid w:val="001D4ED9"/>
    <w:rsid w:val="001D531D"/>
    <w:rsid w:val="001D56F6"/>
    <w:rsid w:val="001D7703"/>
    <w:rsid w:val="001E0515"/>
    <w:rsid w:val="001E0528"/>
    <w:rsid w:val="001E0C22"/>
    <w:rsid w:val="001E12D8"/>
    <w:rsid w:val="001E1DB2"/>
    <w:rsid w:val="001E3123"/>
    <w:rsid w:val="001E3473"/>
    <w:rsid w:val="001E3C00"/>
    <w:rsid w:val="001E4412"/>
    <w:rsid w:val="001E6DE6"/>
    <w:rsid w:val="001E7394"/>
    <w:rsid w:val="001E73BD"/>
    <w:rsid w:val="001E74BC"/>
    <w:rsid w:val="001E7805"/>
    <w:rsid w:val="001F03BF"/>
    <w:rsid w:val="001F166A"/>
    <w:rsid w:val="001F17DE"/>
    <w:rsid w:val="001F2009"/>
    <w:rsid w:val="001F29CD"/>
    <w:rsid w:val="001F34B5"/>
    <w:rsid w:val="001F3B41"/>
    <w:rsid w:val="001F3C7A"/>
    <w:rsid w:val="001F3CAA"/>
    <w:rsid w:val="001F464C"/>
    <w:rsid w:val="001F50F2"/>
    <w:rsid w:val="001F56FC"/>
    <w:rsid w:val="001F5EF6"/>
    <w:rsid w:val="001F69BC"/>
    <w:rsid w:val="001F6DD9"/>
    <w:rsid w:val="002000A1"/>
    <w:rsid w:val="002015D6"/>
    <w:rsid w:val="00201D38"/>
    <w:rsid w:val="00202137"/>
    <w:rsid w:val="00202574"/>
    <w:rsid w:val="002026E2"/>
    <w:rsid w:val="00202F67"/>
    <w:rsid w:val="002033B4"/>
    <w:rsid w:val="002042C6"/>
    <w:rsid w:val="00204532"/>
    <w:rsid w:val="0020486A"/>
    <w:rsid w:val="00204980"/>
    <w:rsid w:val="00204B77"/>
    <w:rsid w:val="002054E8"/>
    <w:rsid w:val="00205A9F"/>
    <w:rsid w:val="00205B55"/>
    <w:rsid w:val="002064A5"/>
    <w:rsid w:val="002073F1"/>
    <w:rsid w:val="00207F52"/>
    <w:rsid w:val="00210F59"/>
    <w:rsid w:val="00210FEE"/>
    <w:rsid w:val="00211202"/>
    <w:rsid w:val="0021185B"/>
    <w:rsid w:val="00214495"/>
    <w:rsid w:val="002151C1"/>
    <w:rsid w:val="00216507"/>
    <w:rsid w:val="00216A37"/>
    <w:rsid w:val="002176B9"/>
    <w:rsid w:val="00220459"/>
    <w:rsid w:val="00221F70"/>
    <w:rsid w:val="0022300C"/>
    <w:rsid w:val="00224132"/>
    <w:rsid w:val="002241EB"/>
    <w:rsid w:val="00224223"/>
    <w:rsid w:val="00224D2A"/>
    <w:rsid w:val="00224D5E"/>
    <w:rsid w:val="00226552"/>
    <w:rsid w:val="002265DD"/>
    <w:rsid w:val="0022695E"/>
    <w:rsid w:val="00226D48"/>
    <w:rsid w:val="00226E59"/>
    <w:rsid w:val="00227F9B"/>
    <w:rsid w:val="00230620"/>
    <w:rsid w:val="002306FE"/>
    <w:rsid w:val="0023071F"/>
    <w:rsid w:val="002310E1"/>
    <w:rsid w:val="00231831"/>
    <w:rsid w:val="002319CA"/>
    <w:rsid w:val="00231E59"/>
    <w:rsid w:val="002320FB"/>
    <w:rsid w:val="00232608"/>
    <w:rsid w:val="002336C9"/>
    <w:rsid w:val="00233E67"/>
    <w:rsid w:val="002348B3"/>
    <w:rsid w:val="00235735"/>
    <w:rsid w:val="00235FE6"/>
    <w:rsid w:val="0023675E"/>
    <w:rsid w:val="00236A67"/>
    <w:rsid w:val="00237FFA"/>
    <w:rsid w:val="0024035D"/>
    <w:rsid w:val="00240BD1"/>
    <w:rsid w:val="00240E57"/>
    <w:rsid w:val="00240EF7"/>
    <w:rsid w:val="00241D54"/>
    <w:rsid w:val="0024221E"/>
    <w:rsid w:val="0024299C"/>
    <w:rsid w:val="00242D6B"/>
    <w:rsid w:val="00242F61"/>
    <w:rsid w:val="002430BC"/>
    <w:rsid w:val="002432AA"/>
    <w:rsid w:val="00243D32"/>
    <w:rsid w:val="00244F26"/>
    <w:rsid w:val="0024548C"/>
    <w:rsid w:val="00245666"/>
    <w:rsid w:val="0024680F"/>
    <w:rsid w:val="00246D6E"/>
    <w:rsid w:val="00250028"/>
    <w:rsid w:val="002500DA"/>
    <w:rsid w:val="0025010C"/>
    <w:rsid w:val="00250366"/>
    <w:rsid w:val="00250402"/>
    <w:rsid w:val="00250667"/>
    <w:rsid w:val="00250C89"/>
    <w:rsid w:val="00251850"/>
    <w:rsid w:val="00252A78"/>
    <w:rsid w:val="00253AE9"/>
    <w:rsid w:val="0025452D"/>
    <w:rsid w:val="00254B18"/>
    <w:rsid w:val="00254FFD"/>
    <w:rsid w:val="00255378"/>
    <w:rsid w:val="00255437"/>
    <w:rsid w:val="00255ADF"/>
    <w:rsid w:val="00255F8D"/>
    <w:rsid w:val="00256EC9"/>
    <w:rsid w:val="00257225"/>
    <w:rsid w:val="002572DF"/>
    <w:rsid w:val="00257469"/>
    <w:rsid w:val="00257614"/>
    <w:rsid w:val="00257C19"/>
    <w:rsid w:val="002603D3"/>
    <w:rsid w:val="002610B7"/>
    <w:rsid w:val="0026117E"/>
    <w:rsid w:val="00262B4D"/>
    <w:rsid w:val="00263D2B"/>
    <w:rsid w:val="00263DB0"/>
    <w:rsid w:val="002640FB"/>
    <w:rsid w:val="00264370"/>
    <w:rsid w:val="00264449"/>
    <w:rsid w:val="00264A9F"/>
    <w:rsid w:val="00264EF3"/>
    <w:rsid w:val="002655E0"/>
    <w:rsid w:val="0026590C"/>
    <w:rsid w:val="00265B19"/>
    <w:rsid w:val="00265B37"/>
    <w:rsid w:val="00265C0B"/>
    <w:rsid w:val="00266121"/>
    <w:rsid w:val="002662B0"/>
    <w:rsid w:val="002662E4"/>
    <w:rsid w:val="002666E0"/>
    <w:rsid w:val="002669A3"/>
    <w:rsid w:val="00266D7F"/>
    <w:rsid w:val="00266F9E"/>
    <w:rsid w:val="00267A08"/>
    <w:rsid w:val="00267A34"/>
    <w:rsid w:val="00267AFE"/>
    <w:rsid w:val="002706FE"/>
    <w:rsid w:val="00270865"/>
    <w:rsid w:val="00270BDB"/>
    <w:rsid w:val="00270EBA"/>
    <w:rsid w:val="002710EF"/>
    <w:rsid w:val="00271512"/>
    <w:rsid w:val="002718E8"/>
    <w:rsid w:val="002728A9"/>
    <w:rsid w:val="00272A97"/>
    <w:rsid w:val="00272DDF"/>
    <w:rsid w:val="002731A7"/>
    <w:rsid w:val="00273CBA"/>
    <w:rsid w:val="002741A9"/>
    <w:rsid w:val="00274286"/>
    <w:rsid w:val="002747E8"/>
    <w:rsid w:val="002752B5"/>
    <w:rsid w:val="002757BF"/>
    <w:rsid w:val="002758DF"/>
    <w:rsid w:val="00275C64"/>
    <w:rsid w:val="00275F4E"/>
    <w:rsid w:val="0027605D"/>
    <w:rsid w:val="00276092"/>
    <w:rsid w:val="002762EC"/>
    <w:rsid w:val="002765E8"/>
    <w:rsid w:val="00276C89"/>
    <w:rsid w:val="0027780E"/>
    <w:rsid w:val="002779C0"/>
    <w:rsid w:val="0028000F"/>
    <w:rsid w:val="00280262"/>
    <w:rsid w:val="00280319"/>
    <w:rsid w:val="002808F7"/>
    <w:rsid w:val="00280CA3"/>
    <w:rsid w:val="00280DB1"/>
    <w:rsid w:val="002818B0"/>
    <w:rsid w:val="00281A8D"/>
    <w:rsid w:val="00282900"/>
    <w:rsid w:val="00282CB6"/>
    <w:rsid w:val="00282E9A"/>
    <w:rsid w:val="00283922"/>
    <w:rsid w:val="00283A1D"/>
    <w:rsid w:val="00283B63"/>
    <w:rsid w:val="00284749"/>
    <w:rsid w:val="00284A9F"/>
    <w:rsid w:val="00285DD0"/>
    <w:rsid w:val="0028600D"/>
    <w:rsid w:val="00286407"/>
    <w:rsid w:val="002864C2"/>
    <w:rsid w:val="002867CF"/>
    <w:rsid w:val="00286A19"/>
    <w:rsid w:val="00286EE4"/>
    <w:rsid w:val="0028747F"/>
    <w:rsid w:val="00290311"/>
    <w:rsid w:val="00290844"/>
    <w:rsid w:val="002914BB"/>
    <w:rsid w:val="00291650"/>
    <w:rsid w:val="00291A1B"/>
    <w:rsid w:val="00292668"/>
    <w:rsid w:val="002926DE"/>
    <w:rsid w:val="00292DB4"/>
    <w:rsid w:val="002938EC"/>
    <w:rsid w:val="00294121"/>
    <w:rsid w:val="00294A5E"/>
    <w:rsid w:val="002951E2"/>
    <w:rsid w:val="0029589E"/>
    <w:rsid w:val="002961CB"/>
    <w:rsid w:val="002966B7"/>
    <w:rsid w:val="002A02AD"/>
    <w:rsid w:val="002A0358"/>
    <w:rsid w:val="002A0976"/>
    <w:rsid w:val="002A12D4"/>
    <w:rsid w:val="002A1537"/>
    <w:rsid w:val="002A1DE6"/>
    <w:rsid w:val="002A2D62"/>
    <w:rsid w:val="002A2EE0"/>
    <w:rsid w:val="002A3199"/>
    <w:rsid w:val="002A33BA"/>
    <w:rsid w:val="002A44A2"/>
    <w:rsid w:val="002A4BF8"/>
    <w:rsid w:val="002A51B5"/>
    <w:rsid w:val="002A595B"/>
    <w:rsid w:val="002A6585"/>
    <w:rsid w:val="002A6BA3"/>
    <w:rsid w:val="002A7868"/>
    <w:rsid w:val="002B0398"/>
    <w:rsid w:val="002B0439"/>
    <w:rsid w:val="002B0F43"/>
    <w:rsid w:val="002B1E7B"/>
    <w:rsid w:val="002B21A4"/>
    <w:rsid w:val="002B22B2"/>
    <w:rsid w:val="002B39CD"/>
    <w:rsid w:val="002B3CD9"/>
    <w:rsid w:val="002B5602"/>
    <w:rsid w:val="002B6BA6"/>
    <w:rsid w:val="002B71E8"/>
    <w:rsid w:val="002B71FF"/>
    <w:rsid w:val="002B742A"/>
    <w:rsid w:val="002C0002"/>
    <w:rsid w:val="002C03E3"/>
    <w:rsid w:val="002C0791"/>
    <w:rsid w:val="002C09B1"/>
    <w:rsid w:val="002C0E4B"/>
    <w:rsid w:val="002C232A"/>
    <w:rsid w:val="002C2550"/>
    <w:rsid w:val="002C332E"/>
    <w:rsid w:val="002C37A9"/>
    <w:rsid w:val="002C392B"/>
    <w:rsid w:val="002C3E8B"/>
    <w:rsid w:val="002C482F"/>
    <w:rsid w:val="002C4A70"/>
    <w:rsid w:val="002C4F2E"/>
    <w:rsid w:val="002C55C3"/>
    <w:rsid w:val="002C62E5"/>
    <w:rsid w:val="002C63F3"/>
    <w:rsid w:val="002C6DEA"/>
    <w:rsid w:val="002C70D7"/>
    <w:rsid w:val="002C72A4"/>
    <w:rsid w:val="002C7516"/>
    <w:rsid w:val="002C7542"/>
    <w:rsid w:val="002D0123"/>
    <w:rsid w:val="002D022B"/>
    <w:rsid w:val="002D1BCF"/>
    <w:rsid w:val="002D1CBA"/>
    <w:rsid w:val="002D2381"/>
    <w:rsid w:val="002D23F7"/>
    <w:rsid w:val="002D2730"/>
    <w:rsid w:val="002D27A6"/>
    <w:rsid w:val="002D2C35"/>
    <w:rsid w:val="002D305B"/>
    <w:rsid w:val="002D3190"/>
    <w:rsid w:val="002D3AEF"/>
    <w:rsid w:val="002D3CDA"/>
    <w:rsid w:val="002D3D11"/>
    <w:rsid w:val="002D5D57"/>
    <w:rsid w:val="002D642F"/>
    <w:rsid w:val="002D685D"/>
    <w:rsid w:val="002D68A0"/>
    <w:rsid w:val="002D696E"/>
    <w:rsid w:val="002D6A8D"/>
    <w:rsid w:val="002D6FAB"/>
    <w:rsid w:val="002D7348"/>
    <w:rsid w:val="002D7DDD"/>
    <w:rsid w:val="002E00E5"/>
    <w:rsid w:val="002E094E"/>
    <w:rsid w:val="002E0E57"/>
    <w:rsid w:val="002E12FD"/>
    <w:rsid w:val="002E176B"/>
    <w:rsid w:val="002E19CF"/>
    <w:rsid w:val="002E19FD"/>
    <w:rsid w:val="002E1A5D"/>
    <w:rsid w:val="002E2179"/>
    <w:rsid w:val="002E21A0"/>
    <w:rsid w:val="002E3504"/>
    <w:rsid w:val="002E3624"/>
    <w:rsid w:val="002E3A01"/>
    <w:rsid w:val="002E4375"/>
    <w:rsid w:val="002E5151"/>
    <w:rsid w:val="002E52A3"/>
    <w:rsid w:val="002E546E"/>
    <w:rsid w:val="002E549B"/>
    <w:rsid w:val="002E55F5"/>
    <w:rsid w:val="002E600B"/>
    <w:rsid w:val="002E6793"/>
    <w:rsid w:val="002F0399"/>
    <w:rsid w:val="002F0825"/>
    <w:rsid w:val="002F1869"/>
    <w:rsid w:val="002F1DC6"/>
    <w:rsid w:val="002F259A"/>
    <w:rsid w:val="002F2A74"/>
    <w:rsid w:val="002F2BB9"/>
    <w:rsid w:val="002F334D"/>
    <w:rsid w:val="002F3D47"/>
    <w:rsid w:val="002F4472"/>
    <w:rsid w:val="002F4700"/>
    <w:rsid w:val="002F4997"/>
    <w:rsid w:val="002F533F"/>
    <w:rsid w:val="002F53F0"/>
    <w:rsid w:val="002F59CA"/>
    <w:rsid w:val="002F613F"/>
    <w:rsid w:val="002F629E"/>
    <w:rsid w:val="002F65D2"/>
    <w:rsid w:val="002F6947"/>
    <w:rsid w:val="002F69F1"/>
    <w:rsid w:val="002F6CDC"/>
    <w:rsid w:val="002F72A9"/>
    <w:rsid w:val="002F7CDD"/>
    <w:rsid w:val="003011E5"/>
    <w:rsid w:val="003012A3"/>
    <w:rsid w:val="00301CAF"/>
    <w:rsid w:val="00303362"/>
    <w:rsid w:val="0030422F"/>
    <w:rsid w:val="00304609"/>
    <w:rsid w:val="00304A46"/>
    <w:rsid w:val="00304F50"/>
    <w:rsid w:val="00305707"/>
    <w:rsid w:val="00305AAE"/>
    <w:rsid w:val="00305C47"/>
    <w:rsid w:val="00305FB6"/>
    <w:rsid w:val="0030635B"/>
    <w:rsid w:val="003068F4"/>
    <w:rsid w:val="00307A91"/>
    <w:rsid w:val="00310009"/>
    <w:rsid w:val="00310142"/>
    <w:rsid w:val="0031126B"/>
    <w:rsid w:val="00311AD8"/>
    <w:rsid w:val="00311B37"/>
    <w:rsid w:val="00311E17"/>
    <w:rsid w:val="00312143"/>
    <w:rsid w:val="00312578"/>
    <w:rsid w:val="00312EC8"/>
    <w:rsid w:val="00313231"/>
    <w:rsid w:val="00313ACA"/>
    <w:rsid w:val="0031409C"/>
    <w:rsid w:val="00314155"/>
    <w:rsid w:val="003142A4"/>
    <w:rsid w:val="00314D74"/>
    <w:rsid w:val="0031585C"/>
    <w:rsid w:val="00316516"/>
    <w:rsid w:val="00316871"/>
    <w:rsid w:val="00316AEB"/>
    <w:rsid w:val="0031775C"/>
    <w:rsid w:val="00317DA4"/>
    <w:rsid w:val="00320BA4"/>
    <w:rsid w:val="00321040"/>
    <w:rsid w:val="003213B1"/>
    <w:rsid w:val="003215BE"/>
    <w:rsid w:val="00321BB5"/>
    <w:rsid w:val="003228A2"/>
    <w:rsid w:val="00322DE2"/>
    <w:rsid w:val="0032379B"/>
    <w:rsid w:val="00324069"/>
    <w:rsid w:val="0032424B"/>
    <w:rsid w:val="0032429D"/>
    <w:rsid w:val="00324B67"/>
    <w:rsid w:val="00325C77"/>
    <w:rsid w:val="00325E64"/>
    <w:rsid w:val="00326DE8"/>
    <w:rsid w:val="00326E02"/>
    <w:rsid w:val="00327512"/>
    <w:rsid w:val="00330138"/>
    <w:rsid w:val="00330F36"/>
    <w:rsid w:val="003311D1"/>
    <w:rsid w:val="003316A6"/>
    <w:rsid w:val="0033187C"/>
    <w:rsid w:val="00331D1A"/>
    <w:rsid w:val="003323E7"/>
    <w:rsid w:val="00332965"/>
    <w:rsid w:val="00332F36"/>
    <w:rsid w:val="003333A4"/>
    <w:rsid w:val="003333C8"/>
    <w:rsid w:val="00334125"/>
    <w:rsid w:val="00334635"/>
    <w:rsid w:val="003346C8"/>
    <w:rsid w:val="00334AF6"/>
    <w:rsid w:val="00335FAF"/>
    <w:rsid w:val="003371E5"/>
    <w:rsid w:val="00340874"/>
    <w:rsid w:val="00340A94"/>
    <w:rsid w:val="00340B79"/>
    <w:rsid w:val="00340FC4"/>
    <w:rsid w:val="003412D4"/>
    <w:rsid w:val="00341325"/>
    <w:rsid w:val="003414E8"/>
    <w:rsid w:val="00341653"/>
    <w:rsid w:val="0034178F"/>
    <w:rsid w:val="0034193A"/>
    <w:rsid w:val="003419BF"/>
    <w:rsid w:val="003419D0"/>
    <w:rsid w:val="00341FD7"/>
    <w:rsid w:val="00342D80"/>
    <w:rsid w:val="003431D1"/>
    <w:rsid w:val="003436A4"/>
    <w:rsid w:val="00343767"/>
    <w:rsid w:val="00343A15"/>
    <w:rsid w:val="003445CC"/>
    <w:rsid w:val="00344AF4"/>
    <w:rsid w:val="00344EB9"/>
    <w:rsid w:val="003450F8"/>
    <w:rsid w:val="00345510"/>
    <w:rsid w:val="003458DE"/>
    <w:rsid w:val="003458E6"/>
    <w:rsid w:val="00345C96"/>
    <w:rsid w:val="003466F2"/>
    <w:rsid w:val="00346970"/>
    <w:rsid w:val="00346CDF"/>
    <w:rsid w:val="00346E85"/>
    <w:rsid w:val="00347173"/>
    <w:rsid w:val="00350562"/>
    <w:rsid w:val="003507B0"/>
    <w:rsid w:val="00350C6D"/>
    <w:rsid w:val="00350D55"/>
    <w:rsid w:val="003511F6"/>
    <w:rsid w:val="00351CF8"/>
    <w:rsid w:val="00352664"/>
    <w:rsid w:val="0035267B"/>
    <w:rsid w:val="00352D78"/>
    <w:rsid w:val="00353487"/>
    <w:rsid w:val="0035359C"/>
    <w:rsid w:val="00353A66"/>
    <w:rsid w:val="00353DF0"/>
    <w:rsid w:val="00353F94"/>
    <w:rsid w:val="0035422C"/>
    <w:rsid w:val="003542A5"/>
    <w:rsid w:val="003559A9"/>
    <w:rsid w:val="00355B86"/>
    <w:rsid w:val="00356059"/>
    <w:rsid w:val="00356433"/>
    <w:rsid w:val="003564CF"/>
    <w:rsid w:val="00356F50"/>
    <w:rsid w:val="00357EB3"/>
    <w:rsid w:val="0036059F"/>
    <w:rsid w:val="003614B4"/>
    <w:rsid w:val="00361E0E"/>
    <w:rsid w:val="003628EB"/>
    <w:rsid w:val="00362D58"/>
    <w:rsid w:val="00362DAD"/>
    <w:rsid w:val="00363192"/>
    <w:rsid w:val="0036375A"/>
    <w:rsid w:val="00363B2A"/>
    <w:rsid w:val="00363CC9"/>
    <w:rsid w:val="00363DAD"/>
    <w:rsid w:val="003651CB"/>
    <w:rsid w:val="00365210"/>
    <w:rsid w:val="00366A00"/>
    <w:rsid w:val="00367B61"/>
    <w:rsid w:val="003701DE"/>
    <w:rsid w:val="00370BD1"/>
    <w:rsid w:val="00371979"/>
    <w:rsid w:val="00371A23"/>
    <w:rsid w:val="00371B55"/>
    <w:rsid w:val="00371DA7"/>
    <w:rsid w:val="00371E00"/>
    <w:rsid w:val="0037208A"/>
    <w:rsid w:val="00372EAA"/>
    <w:rsid w:val="003735CB"/>
    <w:rsid w:val="00373861"/>
    <w:rsid w:val="003741D4"/>
    <w:rsid w:val="00374263"/>
    <w:rsid w:val="003742BC"/>
    <w:rsid w:val="00374532"/>
    <w:rsid w:val="00374D8C"/>
    <w:rsid w:val="0037557A"/>
    <w:rsid w:val="00375832"/>
    <w:rsid w:val="00375FFA"/>
    <w:rsid w:val="00376309"/>
    <w:rsid w:val="00376B99"/>
    <w:rsid w:val="00376F92"/>
    <w:rsid w:val="003775BC"/>
    <w:rsid w:val="003777F0"/>
    <w:rsid w:val="00377B58"/>
    <w:rsid w:val="003802D2"/>
    <w:rsid w:val="0038037C"/>
    <w:rsid w:val="003818FA"/>
    <w:rsid w:val="00381A6B"/>
    <w:rsid w:val="00381E33"/>
    <w:rsid w:val="00382463"/>
    <w:rsid w:val="00382BA1"/>
    <w:rsid w:val="00382CC0"/>
    <w:rsid w:val="00382DF0"/>
    <w:rsid w:val="003833C8"/>
    <w:rsid w:val="003834D8"/>
    <w:rsid w:val="00383733"/>
    <w:rsid w:val="00383B92"/>
    <w:rsid w:val="00383CAB"/>
    <w:rsid w:val="00384975"/>
    <w:rsid w:val="0038503C"/>
    <w:rsid w:val="003853E1"/>
    <w:rsid w:val="0038552A"/>
    <w:rsid w:val="00385BEA"/>
    <w:rsid w:val="00386C0A"/>
    <w:rsid w:val="00386CCE"/>
    <w:rsid w:val="00387AE5"/>
    <w:rsid w:val="00387B78"/>
    <w:rsid w:val="003904E7"/>
    <w:rsid w:val="00390807"/>
    <w:rsid w:val="003909E2"/>
    <w:rsid w:val="00391100"/>
    <w:rsid w:val="00391755"/>
    <w:rsid w:val="003919A7"/>
    <w:rsid w:val="00391C41"/>
    <w:rsid w:val="00392910"/>
    <w:rsid w:val="00392A4B"/>
    <w:rsid w:val="003931A4"/>
    <w:rsid w:val="00394380"/>
    <w:rsid w:val="00394443"/>
    <w:rsid w:val="003948B0"/>
    <w:rsid w:val="00395171"/>
    <w:rsid w:val="00395889"/>
    <w:rsid w:val="0039697A"/>
    <w:rsid w:val="003970B8"/>
    <w:rsid w:val="003971C1"/>
    <w:rsid w:val="0039799D"/>
    <w:rsid w:val="003A040C"/>
    <w:rsid w:val="003A04B2"/>
    <w:rsid w:val="003A0CA4"/>
    <w:rsid w:val="003A0FA1"/>
    <w:rsid w:val="003A18DC"/>
    <w:rsid w:val="003A1C93"/>
    <w:rsid w:val="003A1CF0"/>
    <w:rsid w:val="003A212B"/>
    <w:rsid w:val="003A2B7A"/>
    <w:rsid w:val="003A2C09"/>
    <w:rsid w:val="003A3704"/>
    <w:rsid w:val="003A397C"/>
    <w:rsid w:val="003A39D7"/>
    <w:rsid w:val="003A3D58"/>
    <w:rsid w:val="003A46A6"/>
    <w:rsid w:val="003A4CFB"/>
    <w:rsid w:val="003A4F8C"/>
    <w:rsid w:val="003A531E"/>
    <w:rsid w:val="003A6EB4"/>
    <w:rsid w:val="003A6FFB"/>
    <w:rsid w:val="003A72AD"/>
    <w:rsid w:val="003A7F77"/>
    <w:rsid w:val="003B040D"/>
    <w:rsid w:val="003B1C7D"/>
    <w:rsid w:val="003B2754"/>
    <w:rsid w:val="003B295D"/>
    <w:rsid w:val="003B2C85"/>
    <w:rsid w:val="003B2D10"/>
    <w:rsid w:val="003B3D47"/>
    <w:rsid w:val="003B5123"/>
    <w:rsid w:val="003B51EE"/>
    <w:rsid w:val="003B5595"/>
    <w:rsid w:val="003B59F8"/>
    <w:rsid w:val="003B5CEA"/>
    <w:rsid w:val="003B614F"/>
    <w:rsid w:val="003B6BC1"/>
    <w:rsid w:val="003B6E07"/>
    <w:rsid w:val="003B73B5"/>
    <w:rsid w:val="003B73C3"/>
    <w:rsid w:val="003C00CC"/>
    <w:rsid w:val="003C010D"/>
    <w:rsid w:val="003C021A"/>
    <w:rsid w:val="003C075E"/>
    <w:rsid w:val="003C140D"/>
    <w:rsid w:val="003C14F1"/>
    <w:rsid w:val="003C16CD"/>
    <w:rsid w:val="003C1F94"/>
    <w:rsid w:val="003C267E"/>
    <w:rsid w:val="003C33AD"/>
    <w:rsid w:val="003C36B2"/>
    <w:rsid w:val="003C38F2"/>
    <w:rsid w:val="003C3987"/>
    <w:rsid w:val="003C3C24"/>
    <w:rsid w:val="003C47E3"/>
    <w:rsid w:val="003C570E"/>
    <w:rsid w:val="003C5725"/>
    <w:rsid w:val="003C57F6"/>
    <w:rsid w:val="003C6364"/>
    <w:rsid w:val="003C64E7"/>
    <w:rsid w:val="003C75B6"/>
    <w:rsid w:val="003C7B8E"/>
    <w:rsid w:val="003C7BB9"/>
    <w:rsid w:val="003C7BDE"/>
    <w:rsid w:val="003C7DD1"/>
    <w:rsid w:val="003D01EC"/>
    <w:rsid w:val="003D07A5"/>
    <w:rsid w:val="003D09A4"/>
    <w:rsid w:val="003D0C72"/>
    <w:rsid w:val="003D16C2"/>
    <w:rsid w:val="003D21AB"/>
    <w:rsid w:val="003D22E7"/>
    <w:rsid w:val="003D2856"/>
    <w:rsid w:val="003D28FD"/>
    <w:rsid w:val="003D35AA"/>
    <w:rsid w:val="003D3BB7"/>
    <w:rsid w:val="003D425A"/>
    <w:rsid w:val="003D45A7"/>
    <w:rsid w:val="003D4914"/>
    <w:rsid w:val="003D4B93"/>
    <w:rsid w:val="003D589F"/>
    <w:rsid w:val="003D5ECC"/>
    <w:rsid w:val="003D62FD"/>
    <w:rsid w:val="003D65A9"/>
    <w:rsid w:val="003D6669"/>
    <w:rsid w:val="003D6937"/>
    <w:rsid w:val="003D73BF"/>
    <w:rsid w:val="003D74A4"/>
    <w:rsid w:val="003D75BA"/>
    <w:rsid w:val="003D7B51"/>
    <w:rsid w:val="003D7BFB"/>
    <w:rsid w:val="003E085B"/>
    <w:rsid w:val="003E0E08"/>
    <w:rsid w:val="003E0FD2"/>
    <w:rsid w:val="003E2494"/>
    <w:rsid w:val="003E24E7"/>
    <w:rsid w:val="003E3368"/>
    <w:rsid w:val="003E338D"/>
    <w:rsid w:val="003E3937"/>
    <w:rsid w:val="003E3BFD"/>
    <w:rsid w:val="003E4FDD"/>
    <w:rsid w:val="003E5664"/>
    <w:rsid w:val="003E60A6"/>
    <w:rsid w:val="003E72A2"/>
    <w:rsid w:val="003E7DAC"/>
    <w:rsid w:val="003F0347"/>
    <w:rsid w:val="003F0E28"/>
    <w:rsid w:val="003F0F86"/>
    <w:rsid w:val="003F1DFA"/>
    <w:rsid w:val="003F48FE"/>
    <w:rsid w:val="003F55BC"/>
    <w:rsid w:val="003F56E9"/>
    <w:rsid w:val="003F61E7"/>
    <w:rsid w:val="003F664A"/>
    <w:rsid w:val="003F6A93"/>
    <w:rsid w:val="003F6B15"/>
    <w:rsid w:val="003F6B1D"/>
    <w:rsid w:val="003F6F2D"/>
    <w:rsid w:val="003F75A7"/>
    <w:rsid w:val="003F7861"/>
    <w:rsid w:val="003F788E"/>
    <w:rsid w:val="004005DD"/>
    <w:rsid w:val="004009EB"/>
    <w:rsid w:val="00400DC2"/>
    <w:rsid w:val="004014F7"/>
    <w:rsid w:val="00401715"/>
    <w:rsid w:val="00401763"/>
    <w:rsid w:val="0040233E"/>
    <w:rsid w:val="004025FE"/>
    <w:rsid w:val="0040388C"/>
    <w:rsid w:val="0040408E"/>
    <w:rsid w:val="0040430F"/>
    <w:rsid w:val="00404B7C"/>
    <w:rsid w:val="00404D36"/>
    <w:rsid w:val="0040502B"/>
    <w:rsid w:val="00405CA1"/>
    <w:rsid w:val="0040684F"/>
    <w:rsid w:val="00407003"/>
    <w:rsid w:val="00407BEA"/>
    <w:rsid w:val="00407FDE"/>
    <w:rsid w:val="00410051"/>
    <w:rsid w:val="0041012B"/>
    <w:rsid w:val="004102FD"/>
    <w:rsid w:val="00410E6B"/>
    <w:rsid w:val="00411958"/>
    <w:rsid w:val="00411D37"/>
    <w:rsid w:val="004123FD"/>
    <w:rsid w:val="00412733"/>
    <w:rsid w:val="0041283C"/>
    <w:rsid w:val="00412A9F"/>
    <w:rsid w:val="0041382D"/>
    <w:rsid w:val="00414393"/>
    <w:rsid w:val="004152BF"/>
    <w:rsid w:val="004167AA"/>
    <w:rsid w:val="00417A44"/>
    <w:rsid w:val="00420562"/>
    <w:rsid w:val="0042094D"/>
    <w:rsid w:val="0042146C"/>
    <w:rsid w:val="00421F7B"/>
    <w:rsid w:val="004224A6"/>
    <w:rsid w:val="00422E05"/>
    <w:rsid w:val="004236F7"/>
    <w:rsid w:val="00424A1C"/>
    <w:rsid w:val="00424F89"/>
    <w:rsid w:val="0042562A"/>
    <w:rsid w:val="0042589C"/>
    <w:rsid w:val="00425ABF"/>
    <w:rsid w:val="00426872"/>
    <w:rsid w:val="004271A4"/>
    <w:rsid w:val="004275FA"/>
    <w:rsid w:val="00427A67"/>
    <w:rsid w:val="00427AEE"/>
    <w:rsid w:val="00427BEE"/>
    <w:rsid w:val="00427D93"/>
    <w:rsid w:val="00427F30"/>
    <w:rsid w:val="004307CC"/>
    <w:rsid w:val="00430C50"/>
    <w:rsid w:val="00432244"/>
    <w:rsid w:val="00432D82"/>
    <w:rsid w:val="00433919"/>
    <w:rsid w:val="00433C81"/>
    <w:rsid w:val="00434BE6"/>
    <w:rsid w:val="00435BF3"/>
    <w:rsid w:val="00435DAD"/>
    <w:rsid w:val="00435F90"/>
    <w:rsid w:val="004360DC"/>
    <w:rsid w:val="0043668B"/>
    <w:rsid w:val="00436DD1"/>
    <w:rsid w:val="0043705A"/>
    <w:rsid w:val="0043723A"/>
    <w:rsid w:val="00437264"/>
    <w:rsid w:val="00437A1D"/>
    <w:rsid w:val="00437FD9"/>
    <w:rsid w:val="00440BD0"/>
    <w:rsid w:val="00441A94"/>
    <w:rsid w:val="00441D27"/>
    <w:rsid w:val="00441FBF"/>
    <w:rsid w:val="00443660"/>
    <w:rsid w:val="00443CFA"/>
    <w:rsid w:val="00444053"/>
    <w:rsid w:val="00444973"/>
    <w:rsid w:val="00446463"/>
    <w:rsid w:val="0044655A"/>
    <w:rsid w:val="004465C9"/>
    <w:rsid w:val="004467EE"/>
    <w:rsid w:val="00446AE0"/>
    <w:rsid w:val="00446EC8"/>
    <w:rsid w:val="00447A47"/>
    <w:rsid w:val="00447D77"/>
    <w:rsid w:val="00447D7D"/>
    <w:rsid w:val="00447DCC"/>
    <w:rsid w:val="00450327"/>
    <w:rsid w:val="00450F62"/>
    <w:rsid w:val="004510DA"/>
    <w:rsid w:val="00451F0A"/>
    <w:rsid w:val="00452563"/>
    <w:rsid w:val="004526C8"/>
    <w:rsid w:val="004527A5"/>
    <w:rsid w:val="004529B1"/>
    <w:rsid w:val="0045385C"/>
    <w:rsid w:val="00453AB0"/>
    <w:rsid w:val="00454487"/>
    <w:rsid w:val="00454633"/>
    <w:rsid w:val="00454B84"/>
    <w:rsid w:val="00454EAA"/>
    <w:rsid w:val="00454F86"/>
    <w:rsid w:val="0045565D"/>
    <w:rsid w:val="00455CB7"/>
    <w:rsid w:val="00456350"/>
    <w:rsid w:val="004565F0"/>
    <w:rsid w:val="004566C3"/>
    <w:rsid w:val="00456A27"/>
    <w:rsid w:val="00456D55"/>
    <w:rsid w:val="00456F5A"/>
    <w:rsid w:val="00460623"/>
    <w:rsid w:val="00460E4C"/>
    <w:rsid w:val="00460EC8"/>
    <w:rsid w:val="004615C6"/>
    <w:rsid w:val="004627FF"/>
    <w:rsid w:val="00463A11"/>
    <w:rsid w:val="00463F18"/>
    <w:rsid w:val="00464FD9"/>
    <w:rsid w:val="004657DF"/>
    <w:rsid w:val="00465A21"/>
    <w:rsid w:val="004666F7"/>
    <w:rsid w:val="0046721A"/>
    <w:rsid w:val="004672A0"/>
    <w:rsid w:val="0046776A"/>
    <w:rsid w:val="00467B12"/>
    <w:rsid w:val="0047008B"/>
    <w:rsid w:val="004702E7"/>
    <w:rsid w:val="00470C08"/>
    <w:rsid w:val="00470C8D"/>
    <w:rsid w:val="00470F04"/>
    <w:rsid w:val="004714E9"/>
    <w:rsid w:val="00472538"/>
    <w:rsid w:val="004728E9"/>
    <w:rsid w:val="004733C0"/>
    <w:rsid w:val="0047376C"/>
    <w:rsid w:val="00473897"/>
    <w:rsid w:val="00473BB9"/>
    <w:rsid w:val="00474731"/>
    <w:rsid w:val="00474E00"/>
    <w:rsid w:val="00474FAE"/>
    <w:rsid w:val="004750F0"/>
    <w:rsid w:val="00475421"/>
    <w:rsid w:val="00475ACE"/>
    <w:rsid w:val="00475EAB"/>
    <w:rsid w:val="00475FD0"/>
    <w:rsid w:val="00477344"/>
    <w:rsid w:val="004773F4"/>
    <w:rsid w:val="004776A1"/>
    <w:rsid w:val="00477876"/>
    <w:rsid w:val="0047793F"/>
    <w:rsid w:val="004800A3"/>
    <w:rsid w:val="0048086E"/>
    <w:rsid w:val="00480B3F"/>
    <w:rsid w:val="00480C22"/>
    <w:rsid w:val="004812F1"/>
    <w:rsid w:val="004814A1"/>
    <w:rsid w:val="00481538"/>
    <w:rsid w:val="00481A41"/>
    <w:rsid w:val="00481B75"/>
    <w:rsid w:val="00481E3C"/>
    <w:rsid w:val="0048211F"/>
    <w:rsid w:val="004827A8"/>
    <w:rsid w:val="00482A2E"/>
    <w:rsid w:val="00482EBE"/>
    <w:rsid w:val="00483669"/>
    <w:rsid w:val="00483905"/>
    <w:rsid w:val="0048420B"/>
    <w:rsid w:val="00484592"/>
    <w:rsid w:val="00485A77"/>
    <w:rsid w:val="00485D8D"/>
    <w:rsid w:val="00486078"/>
    <w:rsid w:val="0048618A"/>
    <w:rsid w:val="004861B0"/>
    <w:rsid w:val="0048621F"/>
    <w:rsid w:val="0048744B"/>
    <w:rsid w:val="0049011F"/>
    <w:rsid w:val="004901E9"/>
    <w:rsid w:val="00490471"/>
    <w:rsid w:val="00490567"/>
    <w:rsid w:val="00490BDE"/>
    <w:rsid w:val="00491A98"/>
    <w:rsid w:val="00492A1B"/>
    <w:rsid w:val="00492B50"/>
    <w:rsid w:val="00493732"/>
    <w:rsid w:val="00494511"/>
    <w:rsid w:val="00494BE8"/>
    <w:rsid w:val="00494DE5"/>
    <w:rsid w:val="004955AC"/>
    <w:rsid w:val="00495A64"/>
    <w:rsid w:val="00495DCF"/>
    <w:rsid w:val="0049703D"/>
    <w:rsid w:val="004977F0"/>
    <w:rsid w:val="004A0165"/>
    <w:rsid w:val="004A11FE"/>
    <w:rsid w:val="004A1331"/>
    <w:rsid w:val="004A1EFA"/>
    <w:rsid w:val="004A2082"/>
    <w:rsid w:val="004A23D6"/>
    <w:rsid w:val="004A26E4"/>
    <w:rsid w:val="004A299B"/>
    <w:rsid w:val="004A2F3F"/>
    <w:rsid w:val="004A3068"/>
    <w:rsid w:val="004A3306"/>
    <w:rsid w:val="004A3419"/>
    <w:rsid w:val="004A348F"/>
    <w:rsid w:val="004A385D"/>
    <w:rsid w:val="004A423C"/>
    <w:rsid w:val="004A4A26"/>
    <w:rsid w:val="004A4E43"/>
    <w:rsid w:val="004A5711"/>
    <w:rsid w:val="004A5875"/>
    <w:rsid w:val="004A5A3F"/>
    <w:rsid w:val="004A6017"/>
    <w:rsid w:val="004A6051"/>
    <w:rsid w:val="004A619A"/>
    <w:rsid w:val="004A7378"/>
    <w:rsid w:val="004A7A03"/>
    <w:rsid w:val="004A7B10"/>
    <w:rsid w:val="004B0D56"/>
    <w:rsid w:val="004B0E00"/>
    <w:rsid w:val="004B101C"/>
    <w:rsid w:val="004B1394"/>
    <w:rsid w:val="004B1F83"/>
    <w:rsid w:val="004B247C"/>
    <w:rsid w:val="004B2B84"/>
    <w:rsid w:val="004B2BA7"/>
    <w:rsid w:val="004B307D"/>
    <w:rsid w:val="004B36F4"/>
    <w:rsid w:val="004B3BA1"/>
    <w:rsid w:val="004B3F36"/>
    <w:rsid w:val="004B42C1"/>
    <w:rsid w:val="004B469B"/>
    <w:rsid w:val="004B5C0B"/>
    <w:rsid w:val="004B5DB7"/>
    <w:rsid w:val="004B5E66"/>
    <w:rsid w:val="004B5FF5"/>
    <w:rsid w:val="004B6285"/>
    <w:rsid w:val="004B6DBC"/>
    <w:rsid w:val="004B71EB"/>
    <w:rsid w:val="004B74A7"/>
    <w:rsid w:val="004C020A"/>
    <w:rsid w:val="004C06B5"/>
    <w:rsid w:val="004C0898"/>
    <w:rsid w:val="004C2076"/>
    <w:rsid w:val="004C24A6"/>
    <w:rsid w:val="004C3205"/>
    <w:rsid w:val="004C3CFF"/>
    <w:rsid w:val="004C40A5"/>
    <w:rsid w:val="004C4726"/>
    <w:rsid w:val="004C47E4"/>
    <w:rsid w:val="004C4AE2"/>
    <w:rsid w:val="004C4D10"/>
    <w:rsid w:val="004C50D6"/>
    <w:rsid w:val="004C6116"/>
    <w:rsid w:val="004C617E"/>
    <w:rsid w:val="004C6912"/>
    <w:rsid w:val="004C6BFE"/>
    <w:rsid w:val="004C7230"/>
    <w:rsid w:val="004C7316"/>
    <w:rsid w:val="004C73D4"/>
    <w:rsid w:val="004C78C2"/>
    <w:rsid w:val="004C7D00"/>
    <w:rsid w:val="004C7D4B"/>
    <w:rsid w:val="004D0195"/>
    <w:rsid w:val="004D113B"/>
    <w:rsid w:val="004D1D88"/>
    <w:rsid w:val="004D34BB"/>
    <w:rsid w:val="004D34C5"/>
    <w:rsid w:val="004D38F1"/>
    <w:rsid w:val="004D3A54"/>
    <w:rsid w:val="004D5081"/>
    <w:rsid w:val="004D5206"/>
    <w:rsid w:val="004D7670"/>
    <w:rsid w:val="004D79FE"/>
    <w:rsid w:val="004D7E89"/>
    <w:rsid w:val="004D7F68"/>
    <w:rsid w:val="004E03CD"/>
    <w:rsid w:val="004E08FD"/>
    <w:rsid w:val="004E1777"/>
    <w:rsid w:val="004E2875"/>
    <w:rsid w:val="004E2A14"/>
    <w:rsid w:val="004E3447"/>
    <w:rsid w:val="004E3B52"/>
    <w:rsid w:val="004E46E5"/>
    <w:rsid w:val="004E4EB4"/>
    <w:rsid w:val="004E5025"/>
    <w:rsid w:val="004E672A"/>
    <w:rsid w:val="004E69A1"/>
    <w:rsid w:val="004E6F24"/>
    <w:rsid w:val="004E7028"/>
    <w:rsid w:val="004E7706"/>
    <w:rsid w:val="004E7AD6"/>
    <w:rsid w:val="004F03AD"/>
    <w:rsid w:val="004F0978"/>
    <w:rsid w:val="004F0D0C"/>
    <w:rsid w:val="004F185A"/>
    <w:rsid w:val="004F247F"/>
    <w:rsid w:val="004F25FF"/>
    <w:rsid w:val="004F262A"/>
    <w:rsid w:val="004F3212"/>
    <w:rsid w:val="004F372C"/>
    <w:rsid w:val="004F49F2"/>
    <w:rsid w:val="004F54DD"/>
    <w:rsid w:val="004F553C"/>
    <w:rsid w:val="004F55B2"/>
    <w:rsid w:val="004F5707"/>
    <w:rsid w:val="004F5AA6"/>
    <w:rsid w:val="004F5BC6"/>
    <w:rsid w:val="004F61AA"/>
    <w:rsid w:val="004F67AE"/>
    <w:rsid w:val="004F73B7"/>
    <w:rsid w:val="004F73C2"/>
    <w:rsid w:val="004F79EF"/>
    <w:rsid w:val="004F7A13"/>
    <w:rsid w:val="004F7B34"/>
    <w:rsid w:val="0050015D"/>
    <w:rsid w:val="00500A35"/>
    <w:rsid w:val="00500CB7"/>
    <w:rsid w:val="00502D4E"/>
    <w:rsid w:val="00503B6D"/>
    <w:rsid w:val="00504293"/>
    <w:rsid w:val="0050441B"/>
    <w:rsid w:val="005049EB"/>
    <w:rsid w:val="00505664"/>
    <w:rsid w:val="00505D43"/>
    <w:rsid w:val="00505D4F"/>
    <w:rsid w:val="00505E73"/>
    <w:rsid w:val="00506523"/>
    <w:rsid w:val="00506D00"/>
    <w:rsid w:val="00510284"/>
    <w:rsid w:val="00510533"/>
    <w:rsid w:val="00510CA5"/>
    <w:rsid w:val="0051121F"/>
    <w:rsid w:val="005118A0"/>
    <w:rsid w:val="00511919"/>
    <w:rsid w:val="005126C2"/>
    <w:rsid w:val="005128C4"/>
    <w:rsid w:val="00513F59"/>
    <w:rsid w:val="005142DE"/>
    <w:rsid w:val="005144C8"/>
    <w:rsid w:val="005144D3"/>
    <w:rsid w:val="00516AF1"/>
    <w:rsid w:val="005171E3"/>
    <w:rsid w:val="00517FF3"/>
    <w:rsid w:val="005202D7"/>
    <w:rsid w:val="005209B9"/>
    <w:rsid w:val="00520BE1"/>
    <w:rsid w:val="005215F9"/>
    <w:rsid w:val="005233CE"/>
    <w:rsid w:val="00523B97"/>
    <w:rsid w:val="00524189"/>
    <w:rsid w:val="0052544A"/>
    <w:rsid w:val="005259C7"/>
    <w:rsid w:val="00527F83"/>
    <w:rsid w:val="005301FE"/>
    <w:rsid w:val="00530981"/>
    <w:rsid w:val="00530BDF"/>
    <w:rsid w:val="00531E0F"/>
    <w:rsid w:val="00531EF9"/>
    <w:rsid w:val="00531FFC"/>
    <w:rsid w:val="0053345B"/>
    <w:rsid w:val="005336D1"/>
    <w:rsid w:val="0053386A"/>
    <w:rsid w:val="00533A4A"/>
    <w:rsid w:val="005341CD"/>
    <w:rsid w:val="00534288"/>
    <w:rsid w:val="005346F7"/>
    <w:rsid w:val="005350BF"/>
    <w:rsid w:val="005354EE"/>
    <w:rsid w:val="00535618"/>
    <w:rsid w:val="0053653A"/>
    <w:rsid w:val="00536C76"/>
    <w:rsid w:val="00537375"/>
    <w:rsid w:val="00540394"/>
    <w:rsid w:val="0054050C"/>
    <w:rsid w:val="005406C6"/>
    <w:rsid w:val="0054088C"/>
    <w:rsid w:val="005411ED"/>
    <w:rsid w:val="00541A95"/>
    <w:rsid w:val="00542103"/>
    <w:rsid w:val="00542411"/>
    <w:rsid w:val="00542773"/>
    <w:rsid w:val="0054372D"/>
    <w:rsid w:val="00544250"/>
    <w:rsid w:val="00544966"/>
    <w:rsid w:val="00545CA7"/>
    <w:rsid w:val="005462AC"/>
    <w:rsid w:val="005467FD"/>
    <w:rsid w:val="005475F9"/>
    <w:rsid w:val="0054767A"/>
    <w:rsid w:val="00547850"/>
    <w:rsid w:val="005501BE"/>
    <w:rsid w:val="005501DD"/>
    <w:rsid w:val="005503A3"/>
    <w:rsid w:val="0055050C"/>
    <w:rsid w:val="00550DD0"/>
    <w:rsid w:val="00551C23"/>
    <w:rsid w:val="00552457"/>
    <w:rsid w:val="0055256E"/>
    <w:rsid w:val="00552936"/>
    <w:rsid w:val="00552CF6"/>
    <w:rsid w:val="0055339B"/>
    <w:rsid w:val="00553B7A"/>
    <w:rsid w:val="00553C4F"/>
    <w:rsid w:val="00553CC7"/>
    <w:rsid w:val="00553FAF"/>
    <w:rsid w:val="00554A79"/>
    <w:rsid w:val="00554F5F"/>
    <w:rsid w:val="00555520"/>
    <w:rsid w:val="00556433"/>
    <w:rsid w:val="00556E64"/>
    <w:rsid w:val="005570EC"/>
    <w:rsid w:val="00557BFB"/>
    <w:rsid w:val="005603BC"/>
    <w:rsid w:val="00560581"/>
    <w:rsid w:val="00561453"/>
    <w:rsid w:val="0056160F"/>
    <w:rsid w:val="005621E2"/>
    <w:rsid w:val="00562420"/>
    <w:rsid w:val="0056298C"/>
    <w:rsid w:val="00562C10"/>
    <w:rsid w:val="00562C80"/>
    <w:rsid w:val="00563D09"/>
    <w:rsid w:val="005640EB"/>
    <w:rsid w:val="00564DC8"/>
    <w:rsid w:val="00564E1E"/>
    <w:rsid w:val="00565DF7"/>
    <w:rsid w:val="00566117"/>
    <w:rsid w:val="00566899"/>
    <w:rsid w:val="00566A03"/>
    <w:rsid w:val="005671E1"/>
    <w:rsid w:val="005675EF"/>
    <w:rsid w:val="0056776A"/>
    <w:rsid w:val="00567B95"/>
    <w:rsid w:val="00567EDA"/>
    <w:rsid w:val="005703B6"/>
    <w:rsid w:val="00570414"/>
    <w:rsid w:val="005710B9"/>
    <w:rsid w:val="00571710"/>
    <w:rsid w:val="0057192A"/>
    <w:rsid w:val="00571D78"/>
    <w:rsid w:val="005725D2"/>
    <w:rsid w:val="005726CD"/>
    <w:rsid w:val="005727F2"/>
    <w:rsid w:val="00572D66"/>
    <w:rsid w:val="005737B4"/>
    <w:rsid w:val="00573D7F"/>
    <w:rsid w:val="00573E7B"/>
    <w:rsid w:val="0057407D"/>
    <w:rsid w:val="00574DBC"/>
    <w:rsid w:val="00574F77"/>
    <w:rsid w:val="0057503D"/>
    <w:rsid w:val="00575291"/>
    <w:rsid w:val="00575B97"/>
    <w:rsid w:val="00575D0C"/>
    <w:rsid w:val="0057601E"/>
    <w:rsid w:val="00576247"/>
    <w:rsid w:val="005763DA"/>
    <w:rsid w:val="00576716"/>
    <w:rsid w:val="00576EDB"/>
    <w:rsid w:val="005778E3"/>
    <w:rsid w:val="00577F70"/>
    <w:rsid w:val="00580410"/>
    <w:rsid w:val="00580758"/>
    <w:rsid w:val="00580FF2"/>
    <w:rsid w:val="005811DB"/>
    <w:rsid w:val="00581667"/>
    <w:rsid w:val="00581E3E"/>
    <w:rsid w:val="00582EC1"/>
    <w:rsid w:val="00584180"/>
    <w:rsid w:val="005846ED"/>
    <w:rsid w:val="00584E02"/>
    <w:rsid w:val="005851E1"/>
    <w:rsid w:val="0058582C"/>
    <w:rsid w:val="00585E8B"/>
    <w:rsid w:val="00586043"/>
    <w:rsid w:val="00586332"/>
    <w:rsid w:val="00586CB8"/>
    <w:rsid w:val="00587125"/>
    <w:rsid w:val="005876D2"/>
    <w:rsid w:val="0059079A"/>
    <w:rsid w:val="005907A4"/>
    <w:rsid w:val="00590A7A"/>
    <w:rsid w:val="00590F45"/>
    <w:rsid w:val="005911CB"/>
    <w:rsid w:val="005911FC"/>
    <w:rsid w:val="00591847"/>
    <w:rsid w:val="00591CB6"/>
    <w:rsid w:val="005921E5"/>
    <w:rsid w:val="005925EA"/>
    <w:rsid w:val="005931B0"/>
    <w:rsid w:val="00593AEA"/>
    <w:rsid w:val="00594523"/>
    <w:rsid w:val="00594586"/>
    <w:rsid w:val="00594A97"/>
    <w:rsid w:val="00595EAA"/>
    <w:rsid w:val="00596337"/>
    <w:rsid w:val="005966BC"/>
    <w:rsid w:val="00596999"/>
    <w:rsid w:val="00596B19"/>
    <w:rsid w:val="005974CF"/>
    <w:rsid w:val="00597DAA"/>
    <w:rsid w:val="005A0031"/>
    <w:rsid w:val="005A01A4"/>
    <w:rsid w:val="005A0FEB"/>
    <w:rsid w:val="005A16A8"/>
    <w:rsid w:val="005A2443"/>
    <w:rsid w:val="005A25D4"/>
    <w:rsid w:val="005A3876"/>
    <w:rsid w:val="005A38F8"/>
    <w:rsid w:val="005A4797"/>
    <w:rsid w:val="005A4AB2"/>
    <w:rsid w:val="005A4E22"/>
    <w:rsid w:val="005A5335"/>
    <w:rsid w:val="005A54A0"/>
    <w:rsid w:val="005A57F8"/>
    <w:rsid w:val="005A640D"/>
    <w:rsid w:val="005A6823"/>
    <w:rsid w:val="005A6A32"/>
    <w:rsid w:val="005A6ED8"/>
    <w:rsid w:val="005A73D8"/>
    <w:rsid w:val="005A7C47"/>
    <w:rsid w:val="005B0221"/>
    <w:rsid w:val="005B033D"/>
    <w:rsid w:val="005B0371"/>
    <w:rsid w:val="005B08DA"/>
    <w:rsid w:val="005B1306"/>
    <w:rsid w:val="005B1576"/>
    <w:rsid w:val="005B1738"/>
    <w:rsid w:val="005B1FA8"/>
    <w:rsid w:val="005B21F0"/>
    <w:rsid w:val="005B2859"/>
    <w:rsid w:val="005B2C56"/>
    <w:rsid w:val="005B2CAB"/>
    <w:rsid w:val="005B3176"/>
    <w:rsid w:val="005B379C"/>
    <w:rsid w:val="005B381D"/>
    <w:rsid w:val="005B3D0A"/>
    <w:rsid w:val="005B4400"/>
    <w:rsid w:val="005B4A1A"/>
    <w:rsid w:val="005B4F27"/>
    <w:rsid w:val="005B5143"/>
    <w:rsid w:val="005B5561"/>
    <w:rsid w:val="005B5F60"/>
    <w:rsid w:val="005B64A4"/>
    <w:rsid w:val="005B64B7"/>
    <w:rsid w:val="005B66B1"/>
    <w:rsid w:val="005B73FA"/>
    <w:rsid w:val="005C19F6"/>
    <w:rsid w:val="005C1E87"/>
    <w:rsid w:val="005C1F45"/>
    <w:rsid w:val="005C2623"/>
    <w:rsid w:val="005C275A"/>
    <w:rsid w:val="005C27E7"/>
    <w:rsid w:val="005C2806"/>
    <w:rsid w:val="005C2DDA"/>
    <w:rsid w:val="005C32FF"/>
    <w:rsid w:val="005C3A0E"/>
    <w:rsid w:val="005C3CF0"/>
    <w:rsid w:val="005C3D14"/>
    <w:rsid w:val="005C4982"/>
    <w:rsid w:val="005C4A9E"/>
    <w:rsid w:val="005C4AE4"/>
    <w:rsid w:val="005C501C"/>
    <w:rsid w:val="005C51CA"/>
    <w:rsid w:val="005C5979"/>
    <w:rsid w:val="005C599F"/>
    <w:rsid w:val="005C5B42"/>
    <w:rsid w:val="005C61EF"/>
    <w:rsid w:val="005C6292"/>
    <w:rsid w:val="005C704D"/>
    <w:rsid w:val="005C7439"/>
    <w:rsid w:val="005C7D06"/>
    <w:rsid w:val="005C7FB3"/>
    <w:rsid w:val="005D0A14"/>
    <w:rsid w:val="005D0CD6"/>
    <w:rsid w:val="005D1670"/>
    <w:rsid w:val="005D1B3C"/>
    <w:rsid w:val="005D28F4"/>
    <w:rsid w:val="005D2D5A"/>
    <w:rsid w:val="005D2E25"/>
    <w:rsid w:val="005D2E26"/>
    <w:rsid w:val="005D2F48"/>
    <w:rsid w:val="005D3325"/>
    <w:rsid w:val="005D33D3"/>
    <w:rsid w:val="005D3597"/>
    <w:rsid w:val="005D35EB"/>
    <w:rsid w:val="005D51A2"/>
    <w:rsid w:val="005D5880"/>
    <w:rsid w:val="005D5D0F"/>
    <w:rsid w:val="005D618A"/>
    <w:rsid w:val="005D6296"/>
    <w:rsid w:val="005D6315"/>
    <w:rsid w:val="005D6CC7"/>
    <w:rsid w:val="005D73B3"/>
    <w:rsid w:val="005D7969"/>
    <w:rsid w:val="005D7EBC"/>
    <w:rsid w:val="005E097E"/>
    <w:rsid w:val="005E1087"/>
    <w:rsid w:val="005E17FB"/>
    <w:rsid w:val="005E1D3A"/>
    <w:rsid w:val="005E228F"/>
    <w:rsid w:val="005E24DA"/>
    <w:rsid w:val="005E3855"/>
    <w:rsid w:val="005E3A4B"/>
    <w:rsid w:val="005E460F"/>
    <w:rsid w:val="005E52B6"/>
    <w:rsid w:val="005E5571"/>
    <w:rsid w:val="005E5D77"/>
    <w:rsid w:val="005E6245"/>
    <w:rsid w:val="005E6A8D"/>
    <w:rsid w:val="005E7030"/>
    <w:rsid w:val="005E7684"/>
    <w:rsid w:val="005F0078"/>
    <w:rsid w:val="005F0EAF"/>
    <w:rsid w:val="005F177D"/>
    <w:rsid w:val="005F19A0"/>
    <w:rsid w:val="005F21DF"/>
    <w:rsid w:val="005F28B6"/>
    <w:rsid w:val="005F297E"/>
    <w:rsid w:val="005F2F9A"/>
    <w:rsid w:val="005F3453"/>
    <w:rsid w:val="005F35EC"/>
    <w:rsid w:val="005F4880"/>
    <w:rsid w:val="005F511E"/>
    <w:rsid w:val="005F78E7"/>
    <w:rsid w:val="006013E4"/>
    <w:rsid w:val="0060147C"/>
    <w:rsid w:val="00601DFB"/>
    <w:rsid w:val="00602750"/>
    <w:rsid w:val="00602755"/>
    <w:rsid w:val="00602E20"/>
    <w:rsid w:val="006032F2"/>
    <w:rsid w:val="0060418C"/>
    <w:rsid w:val="00604252"/>
    <w:rsid w:val="00604446"/>
    <w:rsid w:val="0060464D"/>
    <w:rsid w:val="00604ED5"/>
    <w:rsid w:val="0060546E"/>
    <w:rsid w:val="00605A87"/>
    <w:rsid w:val="00605A97"/>
    <w:rsid w:val="00605C91"/>
    <w:rsid w:val="006064D3"/>
    <w:rsid w:val="00606697"/>
    <w:rsid w:val="00606B40"/>
    <w:rsid w:val="00607A77"/>
    <w:rsid w:val="006100C8"/>
    <w:rsid w:val="00610C7D"/>
    <w:rsid w:val="00610E89"/>
    <w:rsid w:val="00612824"/>
    <w:rsid w:val="00612A51"/>
    <w:rsid w:val="00612A7E"/>
    <w:rsid w:val="00613B53"/>
    <w:rsid w:val="00613E81"/>
    <w:rsid w:val="00614305"/>
    <w:rsid w:val="00614A6D"/>
    <w:rsid w:val="00616F7B"/>
    <w:rsid w:val="00617989"/>
    <w:rsid w:val="00617C2B"/>
    <w:rsid w:val="00617CD5"/>
    <w:rsid w:val="00617FEA"/>
    <w:rsid w:val="00620247"/>
    <w:rsid w:val="006205FD"/>
    <w:rsid w:val="00620653"/>
    <w:rsid w:val="00620962"/>
    <w:rsid w:val="00620E60"/>
    <w:rsid w:val="006212C3"/>
    <w:rsid w:val="0062333F"/>
    <w:rsid w:val="0062359C"/>
    <w:rsid w:val="006236CA"/>
    <w:rsid w:val="00623860"/>
    <w:rsid w:val="00624052"/>
    <w:rsid w:val="006240C9"/>
    <w:rsid w:val="00624368"/>
    <w:rsid w:val="006251B2"/>
    <w:rsid w:val="006254CB"/>
    <w:rsid w:val="00625EF6"/>
    <w:rsid w:val="006262DA"/>
    <w:rsid w:val="006264AF"/>
    <w:rsid w:val="00626554"/>
    <w:rsid w:val="00627067"/>
    <w:rsid w:val="0062716D"/>
    <w:rsid w:val="00627692"/>
    <w:rsid w:val="006279D3"/>
    <w:rsid w:val="00627B15"/>
    <w:rsid w:val="00627C25"/>
    <w:rsid w:val="00627E87"/>
    <w:rsid w:val="006304C2"/>
    <w:rsid w:val="0063106B"/>
    <w:rsid w:val="006310E3"/>
    <w:rsid w:val="00631209"/>
    <w:rsid w:val="00631282"/>
    <w:rsid w:val="00631363"/>
    <w:rsid w:val="006314C3"/>
    <w:rsid w:val="006317FD"/>
    <w:rsid w:val="006321FA"/>
    <w:rsid w:val="006325AD"/>
    <w:rsid w:val="00632D3A"/>
    <w:rsid w:val="00632D53"/>
    <w:rsid w:val="00632E21"/>
    <w:rsid w:val="00632E4F"/>
    <w:rsid w:val="00632E68"/>
    <w:rsid w:val="00632EA8"/>
    <w:rsid w:val="00633C31"/>
    <w:rsid w:val="00633F22"/>
    <w:rsid w:val="00634612"/>
    <w:rsid w:val="006348BA"/>
    <w:rsid w:val="00634F2A"/>
    <w:rsid w:val="006350FA"/>
    <w:rsid w:val="00635AC9"/>
    <w:rsid w:val="00635DD2"/>
    <w:rsid w:val="0063667E"/>
    <w:rsid w:val="006372A4"/>
    <w:rsid w:val="00637A50"/>
    <w:rsid w:val="006401A4"/>
    <w:rsid w:val="0064023C"/>
    <w:rsid w:val="00640EC8"/>
    <w:rsid w:val="0064106A"/>
    <w:rsid w:val="0064141C"/>
    <w:rsid w:val="006418B8"/>
    <w:rsid w:val="00641946"/>
    <w:rsid w:val="00641C0D"/>
    <w:rsid w:val="00641C95"/>
    <w:rsid w:val="00643027"/>
    <w:rsid w:val="00643252"/>
    <w:rsid w:val="00643AE0"/>
    <w:rsid w:val="006442AE"/>
    <w:rsid w:val="00644400"/>
    <w:rsid w:val="006444A3"/>
    <w:rsid w:val="00644A8A"/>
    <w:rsid w:val="00644BCE"/>
    <w:rsid w:val="00644FD7"/>
    <w:rsid w:val="006450B4"/>
    <w:rsid w:val="00645B30"/>
    <w:rsid w:val="00646F2A"/>
    <w:rsid w:val="006478A2"/>
    <w:rsid w:val="00647ECE"/>
    <w:rsid w:val="0065062F"/>
    <w:rsid w:val="00650981"/>
    <w:rsid w:val="00650EA5"/>
    <w:rsid w:val="006511E1"/>
    <w:rsid w:val="00651337"/>
    <w:rsid w:val="00651510"/>
    <w:rsid w:val="006516B0"/>
    <w:rsid w:val="00653178"/>
    <w:rsid w:val="00653C53"/>
    <w:rsid w:val="0065465E"/>
    <w:rsid w:val="00655B08"/>
    <w:rsid w:val="00655CFA"/>
    <w:rsid w:val="006560DB"/>
    <w:rsid w:val="00656460"/>
    <w:rsid w:val="0065647C"/>
    <w:rsid w:val="00657446"/>
    <w:rsid w:val="006609F3"/>
    <w:rsid w:val="00660B84"/>
    <w:rsid w:val="00660E36"/>
    <w:rsid w:val="00660F40"/>
    <w:rsid w:val="0066141F"/>
    <w:rsid w:val="00661A0A"/>
    <w:rsid w:val="006621F0"/>
    <w:rsid w:val="00662D11"/>
    <w:rsid w:val="00662E4D"/>
    <w:rsid w:val="006632AF"/>
    <w:rsid w:val="00663358"/>
    <w:rsid w:val="00663594"/>
    <w:rsid w:val="00663B95"/>
    <w:rsid w:val="00663CD9"/>
    <w:rsid w:val="00663ED6"/>
    <w:rsid w:val="00665084"/>
    <w:rsid w:val="00665FE3"/>
    <w:rsid w:val="00666235"/>
    <w:rsid w:val="0066747C"/>
    <w:rsid w:val="006676A7"/>
    <w:rsid w:val="00667706"/>
    <w:rsid w:val="00667779"/>
    <w:rsid w:val="00667966"/>
    <w:rsid w:val="00667EA4"/>
    <w:rsid w:val="006700B7"/>
    <w:rsid w:val="00670403"/>
    <w:rsid w:val="0067045F"/>
    <w:rsid w:val="00670463"/>
    <w:rsid w:val="00670CD5"/>
    <w:rsid w:val="0067108E"/>
    <w:rsid w:val="00671575"/>
    <w:rsid w:val="00671ED3"/>
    <w:rsid w:val="00672479"/>
    <w:rsid w:val="0067253D"/>
    <w:rsid w:val="00672D22"/>
    <w:rsid w:val="00672E3A"/>
    <w:rsid w:val="00672F8D"/>
    <w:rsid w:val="00673888"/>
    <w:rsid w:val="0067409E"/>
    <w:rsid w:val="006742A5"/>
    <w:rsid w:val="006749D1"/>
    <w:rsid w:val="00674E21"/>
    <w:rsid w:val="00675616"/>
    <w:rsid w:val="00675A47"/>
    <w:rsid w:val="00675E39"/>
    <w:rsid w:val="006769CB"/>
    <w:rsid w:val="0067740A"/>
    <w:rsid w:val="00677D87"/>
    <w:rsid w:val="00680391"/>
    <w:rsid w:val="006804F0"/>
    <w:rsid w:val="00680504"/>
    <w:rsid w:val="00680CDC"/>
    <w:rsid w:val="00680DBF"/>
    <w:rsid w:val="006816E8"/>
    <w:rsid w:val="006819B6"/>
    <w:rsid w:val="00681A9F"/>
    <w:rsid w:val="006825C9"/>
    <w:rsid w:val="006830F7"/>
    <w:rsid w:val="00683969"/>
    <w:rsid w:val="00683DFB"/>
    <w:rsid w:val="00684711"/>
    <w:rsid w:val="006847DC"/>
    <w:rsid w:val="00685033"/>
    <w:rsid w:val="0068583D"/>
    <w:rsid w:val="006858B8"/>
    <w:rsid w:val="00685E3B"/>
    <w:rsid w:val="00685FB1"/>
    <w:rsid w:val="00686BFB"/>
    <w:rsid w:val="00686CB3"/>
    <w:rsid w:val="00686E4E"/>
    <w:rsid w:val="006870E9"/>
    <w:rsid w:val="006872FE"/>
    <w:rsid w:val="00687708"/>
    <w:rsid w:val="00687745"/>
    <w:rsid w:val="00687BDD"/>
    <w:rsid w:val="00687C3A"/>
    <w:rsid w:val="00690429"/>
    <w:rsid w:val="00690CED"/>
    <w:rsid w:val="00691582"/>
    <w:rsid w:val="00691E15"/>
    <w:rsid w:val="00692250"/>
    <w:rsid w:val="00692CC8"/>
    <w:rsid w:val="006937A2"/>
    <w:rsid w:val="006938D8"/>
    <w:rsid w:val="00693F2B"/>
    <w:rsid w:val="006948A5"/>
    <w:rsid w:val="006948D8"/>
    <w:rsid w:val="00694D7F"/>
    <w:rsid w:val="00695040"/>
    <w:rsid w:val="00695AD2"/>
    <w:rsid w:val="0069617C"/>
    <w:rsid w:val="0069720D"/>
    <w:rsid w:val="0069772C"/>
    <w:rsid w:val="00697CDA"/>
    <w:rsid w:val="00697F73"/>
    <w:rsid w:val="006A0774"/>
    <w:rsid w:val="006A0BDF"/>
    <w:rsid w:val="006A1142"/>
    <w:rsid w:val="006A1320"/>
    <w:rsid w:val="006A19DF"/>
    <w:rsid w:val="006A1F73"/>
    <w:rsid w:val="006A244E"/>
    <w:rsid w:val="006A322B"/>
    <w:rsid w:val="006A3AF4"/>
    <w:rsid w:val="006A4315"/>
    <w:rsid w:val="006A4501"/>
    <w:rsid w:val="006A4B51"/>
    <w:rsid w:val="006A5FDB"/>
    <w:rsid w:val="006A6475"/>
    <w:rsid w:val="006A68B9"/>
    <w:rsid w:val="006A6966"/>
    <w:rsid w:val="006A71AE"/>
    <w:rsid w:val="006A72B9"/>
    <w:rsid w:val="006A7E75"/>
    <w:rsid w:val="006B02B5"/>
    <w:rsid w:val="006B0EBE"/>
    <w:rsid w:val="006B249A"/>
    <w:rsid w:val="006B3129"/>
    <w:rsid w:val="006B3BB3"/>
    <w:rsid w:val="006B3BE5"/>
    <w:rsid w:val="006B43D0"/>
    <w:rsid w:val="006B483C"/>
    <w:rsid w:val="006B484B"/>
    <w:rsid w:val="006B4A13"/>
    <w:rsid w:val="006B4E65"/>
    <w:rsid w:val="006B5E9A"/>
    <w:rsid w:val="006B6AD7"/>
    <w:rsid w:val="006B7094"/>
    <w:rsid w:val="006B723F"/>
    <w:rsid w:val="006B7C40"/>
    <w:rsid w:val="006B7EB1"/>
    <w:rsid w:val="006C0334"/>
    <w:rsid w:val="006C042C"/>
    <w:rsid w:val="006C0608"/>
    <w:rsid w:val="006C0A15"/>
    <w:rsid w:val="006C0AF1"/>
    <w:rsid w:val="006C0D7D"/>
    <w:rsid w:val="006C0E4B"/>
    <w:rsid w:val="006C153E"/>
    <w:rsid w:val="006C1CA6"/>
    <w:rsid w:val="006C2097"/>
    <w:rsid w:val="006C2FC2"/>
    <w:rsid w:val="006C3027"/>
    <w:rsid w:val="006C38C8"/>
    <w:rsid w:val="006C3CD0"/>
    <w:rsid w:val="006C42C6"/>
    <w:rsid w:val="006C49CB"/>
    <w:rsid w:val="006C518D"/>
    <w:rsid w:val="006C5D95"/>
    <w:rsid w:val="006C610D"/>
    <w:rsid w:val="006C6413"/>
    <w:rsid w:val="006C7C49"/>
    <w:rsid w:val="006D0933"/>
    <w:rsid w:val="006D09B8"/>
    <w:rsid w:val="006D1584"/>
    <w:rsid w:val="006D164B"/>
    <w:rsid w:val="006D1E70"/>
    <w:rsid w:val="006D209E"/>
    <w:rsid w:val="006D2FCE"/>
    <w:rsid w:val="006D3654"/>
    <w:rsid w:val="006D3B18"/>
    <w:rsid w:val="006D3FA9"/>
    <w:rsid w:val="006D41D4"/>
    <w:rsid w:val="006D4DDB"/>
    <w:rsid w:val="006D4F96"/>
    <w:rsid w:val="006D535E"/>
    <w:rsid w:val="006D6107"/>
    <w:rsid w:val="006D641B"/>
    <w:rsid w:val="006D653B"/>
    <w:rsid w:val="006D685A"/>
    <w:rsid w:val="006D6933"/>
    <w:rsid w:val="006D6F8E"/>
    <w:rsid w:val="006D702B"/>
    <w:rsid w:val="006D77B7"/>
    <w:rsid w:val="006D7CA0"/>
    <w:rsid w:val="006E0883"/>
    <w:rsid w:val="006E16BC"/>
    <w:rsid w:val="006E1ABB"/>
    <w:rsid w:val="006E1B62"/>
    <w:rsid w:val="006E1DC1"/>
    <w:rsid w:val="006E2385"/>
    <w:rsid w:val="006E30BC"/>
    <w:rsid w:val="006E334E"/>
    <w:rsid w:val="006E3626"/>
    <w:rsid w:val="006E388D"/>
    <w:rsid w:val="006E3CBA"/>
    <w:rsid w:val="006E4D2E"/>
    <w:rsid w:val="006E51C7"/>
    <w:rsid w:val="006E523F"/>
    <w:rsid w:val="006E5B97"/>
    <w:rsid w:val="006E5C8E"/>
    <w:rsid w:val="006E5F20"/>
    <w:rsid w:val="006E67D2"/>
    <w:rsid w:val="006E686B"/>
    <w:rsid w:val="006E69CF"/>
    <w:rsid w:val="006E6C56"/>
    <w:rsid w:val="006E7853"/>
    <w:rsid w:val="006E78AD"/>
    <w:rsid w:val="006E7B27"/>
    <w:rsid w:val="006F050F"/>
    <w:rsid w:val="006F1090"/>
    <w:rsid w:val="006F1D55"/>
    <w:rsid w:val="006F2C25"/>
    <w:rsid w:val="006F3301"/>
    <w:rsid w:val="006F38FE"/>
    <w:rsid w:val="006F465C"/>
    <w:rsid w:val="006F4B16"/>
    <w:rsid w:val="006F5588"/>
    <w:rsid w:val="006F5E81"/>
    <w:rsid w:val="006F7D31"/>
    <w:rsid w:val="006F7D55"/>
    <w:rsid w:val="006F7F40"/>
    <w:rsid w:val="00700542"/>
    <w:rsid w:val="00700C02"/>
    <w:rsid w:val="00700F84"/>
    <w:rsid w:val="00701960"/>
    <w:rsid w:val="00701D3B"/>
    <w:rsid w:val="00702783"/>
    <w:rsid w:val="00702897"/>
    <w:rsid w:val="00702A6B"/>
    <w:rsid w:val="00702E5A"/>
    <w:rsid w:val="00702F8D"/>
    <w:rsid w:val="007030D5"/>
    <w:rsid w:val="00704041"/>
    <w:rsid w:val="00704256"/>
    <w:rsid w:val="00704C2D"/>
    <w:rsid w:val="00704EEF"/>
    <w:rsid w:val="007052E5"/>
    <w:rsid w:val="007052EB"/>
    <w:rsid w:val="00705424"/>
    <w:rsid w:val="0070598A"/>
    <w:rsid w:val="007059D9"/>
    <w:rsid w:val="00705D74"/>
    <w:rsid w:val="007068CF"/>
    <w:rsid w:val="00707158"/>
    <w:rsid w:val="00707350"/>
    <w:rsid w:val="00707A9D"/>
    <w:rsid w:val="007102C5"/>
    <w:rsid w:val="00710AAF"/>
    <w:rsid w:val="007118E9"/>
    <w:rsid w:val="00711F7F"/>
    <w:rsid w:val="00711FB3"/>
    <w:rsid w:val="00712690"/>
    <w:rsid w:val="00712D94"/>
    <w:rsid w:val="00712F72"/>
    <w:rsid w:val="0071341D"/>
    <w:rsid w:val="007139E4"/>
    <w:rsid w:val="00713B91"/>
    <w:rsid w:val="00713E61"/>
    <w:rsid w:val="007145FE"/>
    <w:rsid w:val="0071460F"/>
    <w:rsid w:val="0071499F"/>
    <w:rsid w:val="00714BE9"/>
    <w:rsid w:val="00714DD7"/>
    <w:rsid w:val="007150D6"/>
    <w:rsid w:val="00715449"/>
    <w:rsid w:val="0071568F"/>
    <w:rsid w:val="007157B3"/>
    <w:rsid w:val="00715951"/>
    <w:rsid w:val="00715DDC"/>
    <w:rsid w:val="007163D0"/>
    <w:rsid w:val="00716432"/>
    <w:rsid w:val="007164E6"/>
    <w:rsid w:val="0071710E"/>
    <w:rsid w:val="00717393"/>
    <w:rsid w:val="007178BA"/>
    <w:rsid w:val="00720434"/>
    <w:rsid w:val="007204C3"/>
    <w:rsid w:val="00720523"/>
    <w:rsid w:val="00720983"/>
    <w:rsid w:val="00720BAA"/>
    <w:rsid w:val="007214A2"/>
    <w:rsid w:val="007224FB"/>
    <w:rsid w:val="00722A9A"/>
    <w:rsid w:val="0072395D"/>
    <w:rsid w:val="00723B1F"/>
    <w:rsid w:val="00724B5D"/>
    <w:rsid w:val="00724BC5"/>
    <w:rsid w:val="00725D56"/>
    <w:rsid w:val="00725E09"/>
    <w:rsid w:val="00725F4E"/>
    <w:rsid w:val="00727950"/>
    <w:rsid w:val="00727D12"/>
    <w:rsid w:val="00730A25"/>
    <w:rsid w:val="00730FB7"/>
    <w:rsid w:val="007312CB"/>
    <w:rsid w:val="00731479"/>
    <w:rsid w:val="00731F68"/>
    <w:rsid w:val="0073224E"/>
    <w:rsid w:val="00732D61"/>
    <w:rsid w:val="00733272"/>
    <w:rsid w:val="00734069"/>
    <w:rsid w:val="00735E1B"/>
    <w:rsid w:val="00735E55"/>
    <w:rsid w:val="00736E6D"/>
    <w:rsid w:val="00737383"/>
    <w:rsid w:val="00737D7C"/>
    <w:rsid w:val="00740830"/>
    <w:rsid w:val="007418C4"/>
    <w:rsid w:val="007418E9"/>
    <w:rsid w:val="00741E12"/>
    <w:rsid w:val="0074227D"/>
    <w:rsid w:val="0074306F"/>
    <w:rsid w:val="007430E8"/>
    <w:rsid w:val="00743191"/>
    <w:rsid w:val="00744081"/>
    <w:rsid w:val="00744381"/>
    <w:rsid w:val="0074480F"/>
    <w:rsid w:val="007452AB"/>
    <w:rsid w:val="007459F1"/>
    <w:rsid w:val="00745AA1"/>
    <w:rsid w:val="00745BC3"/>
    <w:rsid w:val="007462C3"/>
    <w:rsid w:val="0074642B"/>
    <w:rsid w:val="007467A4"/>
    <w:rsid w:val="00746AAC"/>
    <w:rsid w:val="00746DA8"/>
    <w:rsid w:val="007472A7"/>
    <w:rsid w:val="007478B9"/>
    <w:rsid w:val="00747E10"/>
    <w:rsid w:val="00747F8A"/>
    <w:rsid w:val="00750234"/>
    <w:rsid w:val="0075026F"/>
    <w:rsid w:val="00750944"/>
    <w:rsid w:val="007515F4"/>
    <w:rsid w:val="0075266A"/>
    <w:rsid w:val="00753336"/>
    <w:rsid w:val="007536F7"/>
    <w:rsid w:val="00753873"/>
    <w:rsid w:val="0075399C"/>
    <w:rsid w:val="00753A3B"/>
    <w:rsid w:val="00753D94"/>
    <w:rsid w:val="00753FE8"/>
    <w:rsid w:val="0075463B"/>
    <w:rsid w:val="00754BA7"/>
    <w:rsid w:val="007550D8"/>
    <w:rsid w:val="007558F2"/>
    <w:rsid w:val="00755A71"/>
    <w:rsid w:val="00755B5E"/>
    <w:rsid w:val="00756643"/>
    <w:rsid w:val="007567F5"/>
    <w:rsid w:val="00756840"/>
    <w:rsid w:val="00756B3A"/>
    <w:rsid w:val="00756CBF"/>
    <w:rsid w:val="00756F4B"/>
    <w:rsid w:val="007576B8"/>
    <w:rsid w:val="0076008C"/>
    <w:rsid w:val="00760388"/>
    <w:rsid w:val="007612BE"/>
    <w:rsid w:val="00761846"/>
    <w:rsid w:val="007619E5"/>
    <w:rsid w:val="00761E58"/>
    <w:rsid w:val="00762689"/>
    <w:rsid w:val="00762DE7"/>
    <w:rsid w:val="00762E87"/>
    <w:rsid w:val="00762FC3"/>
    <w:rsid w:val="0076314B"/>
    <w:rsid w:val="007637A1"/>
    <w:rsid w:val="007653A2"/>
    <w:rsid w:val="00765765"/>
    <w:rsid w:val="00766419"/>
    <w:rsid w:val="007664EF"/>
    <w:rsid w:val="0076673A"/>
    <w:rsid w:val="007668C4"/>
    <w:rsid w:val="00766A02"/>
    <w:rsid w:val="00766F52"/>
    <w:rsid w:val="007701C4"/>
    <w:rsid w:val="00770514"/>
    <w:rsid w:val="00770E17"/>
    <w:rsid w:val="007713F5"/>
    <w:rsid w:val="007716C8"/>
    <w:rsid w:val="00771D0D"/>
    <w:rsid w:val="00772BD0"/>
    <w:rsid w:val="00773112"/>
    <w:rsid w:val="00773453"/>
    <w:rsid w:val="007735BA"/>
    <w:rsid w:val="00773817"/>
    <w:rsid w:val="007739DD"/>
    <w:rsid w:val="00773D43"/>
    <w:rsid w:val="00773F59"/>
    <w:rsid w:val="007750AF"/>
    <w:rsid w:val="0077590A"/>
    <w:rsid w:val="007759DC"/>
    <w:rsid w:val="00775BAF"/>
    <w:rsid w:val="00776120"/>
    <w:rsid w:val="00776B13"/>
    <w:rsid w:val="007774E2"/>
    <w:rsid w:val="0077762A"/>
    <w:rsid w:val="0077783C"/>
    <w:rsid w:val="007778E8"/>
    <w:rsid w:val="00777ABC"/>
    <w:rsid w:val="00780680"/>
    <w:rsid w:val="00781481"/>
    <w:rsid w:val="00781ABB"/>
    <w:rsid w:val="00782A91"/>
    <w:rsid w:val="0078368D"/>
    <w:rsid w:val="00783A8B"/>
    <w:rsid w:val="00783B99"/>
    <w:rsid w:val="0078427A"/>
    <w:rsid w:val="00784BCB"/>
    <w:rsid w:val="00784ECB"/>
    <w:rsid w:val="00785186"/>
    <w:rsid w:val="007851E2"/>
    <w:rsid w:val="00785C24"/>
    <w:rsid w:val="00786506"/>
    <w:rsid w:val="00787405"/>
    <w:rsid w:val="0078743E"/>
    <w:rsid w:val="00787A9A"/>
    <w:rsid w:val="007901F6"/>
    <w:rsid w:val="00790C93"/>
    <w:rsid w:val="00790ECF"/>
    <w:rsid w:val="00791F70"/>
    <w:rsid w:val="00793C8C"/>
    <w:rsid w:val="00793EA2"/>
    <w:rsid w:val="007940E0"/>
    <w:rsid w:val="007942CA"/>
    <w:rsid w:val="00794611"/>
    <w:rsid w:val="00794635"/>
    <w:rsid w:val="0079465D"/>
    <w:rsid w:val="007947C0"/>
    <w:rsid w:val="0079516B"/>
    <w:rsid w:val="00795244"/>
    <w:rsid w:val="0079537E"/>
    <w:rsid w:val="00795920"/>
    <w:rsid w:val="007959F1"/>
    <w:rsid w:val="00796076"/>
    <w:rsid w:val="00796224"/>
    <w:rsid w:val="0079645C"/>
    <w:rsid w:val="0079646C"/>
    <w:rsid w:val="00797F19"/>
    <w:rsid w:val="007A02EB"/>
    <w:rsid w:val="007A0483"/>
    <w:rsid w:val="007A05B2"/>
    <w:rsid w:val="007A1AC6"/>
    <w:rsid w:val="007A1BAB"/>
    <w:rsid w:val="007A398C"/>
    <w:rsid w:val="007A3E0F"/>
    <w:rsid w:val="007A4142"/>
    <w:rsid w:val="007A50F0"/>
    <w:rsid w:val="007A51A2"/>
    <w:rsid w:val="007A55EF"/>
    <w:rsid w:val="007A5752"/>
    <w:rsid w:val="007A6620"/>
    <w:rsid w:val="007A6623"/>
    <w:rsid w:val="007A68A9"/>
    <w:rsid w:val="007A6BD1"/>
    <w:rsid w:val="007A7570"/>
    <w:rsid w:val="007A77DD"/>
    <w:rsid w:val="007A7C0D"/>
    <w:rsid w:val="007A7E6B"/>
    <w:rsid w:val="007B0458"/>
    <w:rsid w:val="007B083E"/>
    <w:rsid w:val="007B0A41"/>
    <w:rsid w:val="007B0B5B"/>
    <w:rsid w:val="007B120C"/>
    <w:rsid w:val="007B154D"/>
    <w:rsid w:val="007B1BA0"/>
    <w:rsid w:val="007B2082"/>
    <w:rsid w:val="007B22D5"/>
    <w:rsid w:val="007B2466"/>
    <w:rsid w:val="007B26F1"/>
    <w:rsid w:val="007B2FD3"/>
    <w:rsid w:val="007B31AB"/>
    <w:rsid w:val="007B32AC"/>
    <w:rsid w:val="007B4023"/>
    <w:rsid w:val="007B4CFC"/>
    <w:rsid w:val="007B4E46"/>
    <w:rsid w:val="007B55FB"/>
    <w:rsid w:val="007B56DE"/>
    <w:rsid w:val="007B6124"/>
    <w:rsid w:val="007B62D8"/>
    <w:rsid w:val="007B6C02"/>
    <w:rsid w:val="007B6E37"/>
    <w:rsid w:val="007C0B85"/>
    <w:rsid w:val="007C1C92"/>
    <w:rsid w:val="007C2075"/>
    <w:rsid w:val="007C2879"/>
    <w:rsid w:val="007C3482"/>
    <w:rsid w:val="007C3489"/>
    <w:rsid w:val="007C3558"/>
    <w:rsid w:val="007C36E0"/>
    <w:rsid w:val="007C37EB"/>
    <w:rsid w:val="007C3963"/>
    <w:rsid w:val="007C3EDA"/>
    <w:rsid w:val="007C425D"/>
    <w:rsid w:val="007C44DF"/>
    <w:rsid w:val="007C4A5B"/>
    <w:rsid w:val="007C59AE"/>
    <w:rsid w:val="007C5ED9"/>
    <w:rsid w:val="007C69E5"/>
    <w:rsid w:val="007D0C44"/>
    <w:rsid w:val="007D1FCF"/>
    <w:rsid w:val="007D282D"/>
    <w:rsid w:val="007D3E19"/>
    <w:rsid w:val="007D5695"/>
    <w:rsid w:val="007D5ABB"/>
    <w:rsid w:val="007D5C23"/>
    <w:rsid w:val="007D5D4D"/>
    <w:rsid w:val="007D5DDC"/>
    <w:rsid w:val="007D644C"/>
    <w:rsid w:val="007D6B09"/>
    <w:rsid w:val="007D6F90"/>
    <w:rsid w:val="007D7045"/>
    <w:rsid w:val="007D787B"/>
    <w:rsid w:val="007D7E6E"/>
    <w:rsid w:val="007E0163"/>
    <w:rsid w:val="007E055F"/>
    <w:rsid w:val="007E1119"/>
    <w:rsid w:val="007E195B"/>
    <w:rsid w:val="007E2053"/>
    <w:rsid w:val="007E2302"/>
    <w:rsid w:val="007E2E4A"/>
    <w:rsid w:val="007E3097"/>
    <w:rsid w:val="007E399C"/>
    <w:rsid w:val="007E3BBA"/>
    <w:rsid w:val="007E3F3B"/>
    <w:rsid w:val="007E4F28"/>
    <w:rsid w:val="007E503B"/>
    <w:rsid w:val="007E529A"/>
    <w:rsid w:val="007E530F"/>
    <w:rsid w:val="007E563F"/>
    <w:rsid w:val="007E56C6"/>
    <w:rsid w:val="007E5711"/>
    <w:rsid w:val="007E57EC"/>
    <w:rsid w:val="007E5C5E"/>
    <w:rsid w:val="007E6871"/>
    <w:rsid w:val="007E7246"/>
    <w:rsid w:val="007E73BB"/>
    <w:rsid w:val="007E7F00"/>
    <w:rsid w:val="007E7FE5"/>
    <w:rsid w:val="007F0205"/>
    <w:rsid w:val="007F04EF"/>
    <w:rsid w:val="007F0DDB"/>
    <w:rsid w:val="007F14F1"/>
    <w:rsid w:val="007F192A"/>
    <w:rsid w:val="007F19BB"/>
    <w:rsid w:val="007F1C4F"/>
    <w:rsid w:val="007F27D8"/>
    <w:rsid w:val="007F3CE0"/>
    <w:rsid w:val="007F3DD1"/>
    <w:rsid w:val="007F42AA"/>
    <w:rsid w:val="007F42E8"/>
    <w:rsid w:val="007F433D"/>
    <w:rsid w:val="007F46CB"/>
    <w:rsid w:val="007F4A15"/>
    <w:rsid w:val="007F53DB"/>
    <w:rsid w:val="007F57EB"/>
    <w:rsid w:val="007F6441"/>
    <w:rsid w:val="007F6E87"/>
    <w:rsid w:val="007F76F7"/>
    <w:rsid w:val="008001D1"/>
    <w:rsid w:val="00800D99"/>
    <w:rsid w:val="008012DB"/>
    <w:rsid w:val="008018D0"/>
    <w:rsid w:val="00801BFE"/>
    <w:rsid w:val="00802533"/>
    <w:rsid w:val="00802E53"/>
    <w:rsid w:val="00804057"/>
    <w:rsid w:val="00804388"/>
    <w:rsid w:val="00804746"/>
    <w:rsid w:val="00804F9B"/>
    <w:rsid w:val="008054DB"/>
    <w:rsid w:val="008059D6"/>
    <w:rsid w:val="00805A49"/>
    <w:rsid w:val="00805B58"/>
    <w:rsid w:val="00805D98"/>
    <w:rsid w:val="008063C6"/>
    <w:rsid w:val="008064DE"/>
    <w:rsid w:val="00806ABD"/>
    <w:rsid w:val="00807347"/>
    <w:rsid w:val="008077E6"/>
    <w:rsid w:val="00807882"/>
    <w:rsid w:val="00807B4D"/>
    <w:rsid w:val="00810327"/>
    <w:rsid w:val="00811872"/>
    <w:rsid w:val="0081246C"/>
    <w:rsid w:val="00812514"/>
    <w:rsid w:val="00813573"/>
    <w:rsid w:val="00813637"/>
    <w:rsid w:val="008139A9"/>
    <w:rsid w:val="00813BB3"/>
    <w:rsid w:val="0081446A"/>
    <w:rsid w:val="008144D8"/>
    <w:rsid w:val="00814F24"/>
    <w:rsid w:val="0081502F"/>
    <w:rsid w:val="0081568E"/>
    <w:rsid w:val="00815B69"/>
    <w:rsid w:val="00816149"/>
    <w:rsid w:val="00816CA3"/>
    <w:rsid w:val="00816CF6"/>
    <w:rsid w:val="00816E8E"/>
    <w:rsid w:val="00817226"/>
    <w:rsid w:val="00817669"/>
    <w:rsid w:val="008176DF"/>
    <w:rsid w:val="00817ADD"/>
    <w:rsid w:val="00817EA3"/>
    <w:rsid w:val="00820309"/>
    <w:rsid w:val="00820B26"/>
    <w:rsid w:val="00820D8B"/>
    <w:rsid w:val="00820FC6"/>
    <w:rsid w:val="008214AD"/>
    <w:rsid w:val="008219C7"/>
    <w:rsid w:val="00821D5C"/>
    <w:rsid w:val="00822368"/>
    <w:rsid w:val="00822ADB"/>
    <w:rsid w:val="00822C8A"/>
    <w:rsid w:val="0082337A"/>
    <w:rsid w:val="00823514"/>
    <w:rsid w:val="00824900"/>
    <w:rsid w:val="00824A2E"/>
    <w:rsid w:val="00824EC9"/>
    <w:rsid w:val="00825E1E"/>
    <w:rsid w:val="0082716E"/>
    <w:rsid w:val="00827B33"/>
    <w:rsid w:val="008310C7"/>
    <w:rsid w:val="00831A06"/>
    <w:rsid w:val="00831AC5"/>
    <w:rsid w:val="008325DB"/>
    <w:rsid w:val="00832F3B"/>
    <w:rsid w:val="00834E6E"/>
    <w:rsid w:val="0083565C"/>
    <w:rsid w:val="00836D90"/>
    <w:rsid w:val="00837556"/>
    <w:rsid w:val="008375A3"/>
    <w:rsid w:val="00840327"/>
    <w:rsid w:val="0084093E"/>
    <w:rsid w:val="0084119C"/>
    <w:rsid w:val="00841B67"/>
    <w:rsid w:val="00841C3B"/>
    <w:rsid w:val="00842289"/>
    <w:rsid w:val="0084237E"/>
    <w:rsid w:val="008425A3"/>
    <w:rsid w:val="00842C3E"/>
    <w:rsid w:val="00842FA1"/>
    <w:rsid w:val="008435D0"/>
    <w:rsid w:val="0084375D"/>
    <w:rsid w:val="00843BFE"/>
    <w:rsid w:val="00844B3F"/>
    <w:rsid w:val="00845E7A"/>
    <w:rsid w:val="00845F45"/>
    <w:rsid w:val="00846579"/>
    <w:rsid w:val="008468FB"/>
    <w:rsid w:val="00846AE9"/>
    <w:rsid w:val="00847A75"/>
    <w:rsid w:val="00847CCD"/>
    <w:rsid w:val="00847E30"/>
    <w:rsid w:val="008505D7"/>
    <w:rsid w:val="00850821"/>
    <w:rsid w:val="00850867"/>
    <w:rsid w:val="00850CC5"/>
    <w:rsid w:val="00851143"/>
    <w:rsid w:val="008511C1"/>
    <w:rsid w:val="00851DD3"/>
    <w:rsid w:val="00852351"/>
    <w:rsid w:val="008524AC"/>
    <w:rsid w:val="00852B21"/>
    <w:rsid w:val="00852E04"/>
    <w:rsid w:val="00852E26"/>
    <w:rsid w:val="00852F13"/>
    <w:rsid w:val="008536B6"/>
    <w:rsid w:val="00853A5F"/>
    <w:rsid w:val="00854C7E"/>
    <w:rsid w:val="00856A95"/>
    <w:rsid w:val="00856CFF"/>
    <w:rsid w:val="00857010"/>
    <w:rsid w:val="00860305"/>
    <w:rsid w:val="00860D67"/>
    <w:rsid w:val="00860D93"/>
    <w:rsid w:val="00861A93"/>
    <w:rsid w:val="00862007"/>
    <w:rsid w:val="008629E1"/>
    <w:rsid w:val="0086308B"/>
    <w:rsid w:val="008632B8"/>
    <w:rsid w:val="00863927"/>
    <w:rsid w:val="0086398E"/>
    <w:rsid w:val="0086423F"/>
    <w:rsid w:val="00865836"/>
    <w:rsid w:val="00865B9C"/>
    <w:rsid w:val="0086617A"/>
    <w:rsid w:val="008664D6"/>
    <w:rsid w:val="00866B93"/>
    <w:rsid w:val="00866FC6"/>
    <w:rsid w:val="008673B7"/>
    <w:rsid w:val="00867733"/>
    <w:rsid w:val="00867771"/>
    <w:rsid w:val="00867B2F"/>
    <w:rsid w:val="00867E76"/>
    <w:rsid w:val="008704C4"/>
    <w:rsid w:val="00870581"/>
    <w:rsid w:val="00871241"/>
    <w:rsid w:val="00871505"/>
    <w:rsid w:val="0087195C"/>
    <w:rsid w:val="00871FBB"/>
    <w:rsid w:val="008722A6"/>
    <w:rsid w:val="00873189"/>
    <w:rsid w:val="0087335E"/>
    <w:rsid w:val="008736FE"/>
    <w:rsid w:val="00873756"/>
    <w:rsid w:val="00874116"/>
    <w:rsid w:val="008743E3"/>
    <w:rsid w:val="008751C4"/>
    <w:rsid w:val="00875AEF"/>
    <w:rsid w:val="00875AF4"/>
    <w:rsid w:val="00875C71"/>
    <w:rsid w:val="00875DB2"/>
    <w:rsid w:val="008762B5"/>
    <w:rsid w:val="0087688C"/>
    <w:rsid w:val="0087695E"/>
    <w:rsid w:val="00877485"/>
    <w:rsid w:val="00877780"/>
    <w:rsid w:val="00877784"/>
    <w:rsid w:val="00877C29"/>
    <w:rsid w:val="00877C32"/>
    <w:rsid w:val="0088084B"/>
    <w:rsid w:val="00880B73"/>
    <w:rsid w:val="00881B3D"/>
    <w:rsid w:val="00881E9A"/>
    <w:rsid w:val="00882661"/>
    <w:rsid w:val="008826AE"/>
    <w:rsid w:val="0088276D"/>
    <w:rsid w:val="00882BD8"/>
    <w:rsid w:val="00883017"/>
    <w:rsid w:val="00883461"/>
    <w:rsid w:val="008845FA"/>
    <w:rsid w:val="008851AA"/>
    <w:rsid w:val="00885BCA"/>
    <w:rsid w:val="00885F79"/>
    <w:rsid w:val="00885F9B"/>
    <w:rsid w:val="008873F8"/>
    <w:rsid w:val="00887930"/>
    <w:rsid w:val="00887B6D"/>
    <w:rsid w:val="00887EDA"/>
    <w:rsid w:val="00890239"/>
    <w:rsid w:val="0089101E"/>
    <w:rsid w:val="0089119B"/>
    <w:rsid w:val="0089129F"/>
    <w:rsid w:val="008916DE"/>
    <w:rsid w:val="00891AF2"/>
    <w:rsid w:val="00891D9E"/>
    <w:rsid w:val="00892037"/>
    <w:rsid w:val="00892A42"/>
    <w:rsid w:val="00893091"/>
    <w:rsid w:val="008935D5"/>
    <w:rsid w:val="00893845"/>
    <w:rsid w:val="00893AA1"/>
    <w:rsid w:val="00894670"/>
    <w:rsid w:val="0089474B"/>
    <w:rsid w:val="0089520E"/>
    <w:rsid w:val="0089555D"/>
    <w:rsid w:val="0089703D"/>
    <w:rsid w:val="0089710B"/>
    <w:rsid w:val="0089724A"/>
    <w:rsid w:val="00897377"/>
    <w:rsid w:val="00897687"/>
    <w:rsid w:val="008A0186"/>
    <w:rsid w:val="008A0718"/>
    <w:rsid w:val="008A08C2"/>
    <w:rsid w:val="008A0FBE"/>
    <w:rsid w:val="008A1001"/>
    <w:rsid w:val="008A1171"/>
    <w:rsid w:val="008A1A2F"/>
    <w:rsid w:val="008A1B99"/>
    <w:rsid w:val="008A1EA4"/>
    <w:rsid w:val="008A30F4"/>
    <w:rsid w:val="008A38EC"/>
    <w:rsid w:val="008A39F8"/>
    <w:rsid w:val="008A3FD3"/>
    <w:rsid w:val="008A4ED6"/>
    <w:rsid w:val="008A50F4"/>
    <w:rsid w:val="008A51E9"/>
    <w:rsid w:val="008A58E8"/>
    <w:rsid w:val="008A607D"/>
    <w:rsid w:val="008A6329"/>
    <w:rsid w:val="008A6644"/>
    <w:rsid w:val="008A69AB"/>
    <w:rsid w:val="008A6E87"/>
    <w:rsid w:val="008A7772"/>
    <w:rsid w:val="008A7AFC"/>
    <w:rsid w:val="008B0F4F"/>
    <w:rsid w:val="008B1DC9"/>
    <w:rsid w:val="008B2047"/>
    <w:rsid w:val="008B293C"/>
    <w:rsid w:val="008B2D17"/>
    <w:rsid w:val="008B33CA"/>
    <w:rsid w:val="008B34FD"/>
    <w:rsid w:val="008B38BD"/>
    <w:rsid w:val="008B3C48"/>
    <w:rsid w:val="008B3D23"/>
    <w:rsid w:val="008B3E07"/>
    <w:rsid w:val="008B435F"/>
    <w:rsid w:val="008B4936"/>
    <w:rsid w:val="008B4A0B"/>
    <w:rsid w:val="008B5821"/>
    <w:rsid w:val="008B5B7E"/>
    <w:rsid w:val="008B760C"/>
    <w:rsid w:val="008B7804"/>
    <w:rsid w:val="008B7ABF"/>
    <w:rsid w:val="008C01FA"/>
    <w:rsid w:val="008C0632"/>
    <w:rsid w:val="008C0C5F"/>
    <w:rsid w:val="008C1799"/>
    <w:rsid w:val="008C2F29"/>
    <w:rsid w:val="008C3098"/>
    <w:rsid w:val="008C3130"/>
    <w:rsid w:val="008C33D0"/>
    <w:rsid w:val="008C388D"/>
    <w:rsid w:val="008C3F53"/>
    <w:rsid w:val="008C3FEE"/>
    <w:rsid w:val="008C4619"/>
    <w:rsid w:val="008C4C53"/>
    <w:rsid w:val="008C512B"/>
    <w:rsid w:val="008C548A"/>
    <w:rsid w:val="008C5D54"/>
    <w:rsid w:val="008C6B00"/>
    <w:rsid w:val="008C75D2"/>
    <w:rsid w:val="008D0B5D"/>
    <w:rsid w:val="008D0C6D"/>
    <w:rsid w:val="008D180F"/>
    <w:rsid w:val="008D262D"/>
    <w:rsid w:val="008D2B32"/>
    <w:rsid w:val="008D2DAC"/>
    <w:rsid w:val="008D344A"/>
    <w:rsid w:val="008D37F2"/>
    <w:rsid w:val="008D3E00"/>
    <w:rsid w:val="008D4090"/>
    <w:rsid w:val="008D440A"/>
    <w:rsid w:val="008D44A3"/>
    <w:rsid w:val="008D461A"/>
    <w:rsid w:val="008D4A12"/>
    <w:rsid w:val="008D4ECE"/>
    <w:rsid w:val="008D4FAF"/>
    <w:rsid w:val="008D5080"/>
    <w:rsid w:val="008D5092"/>
    <w:rsid w:val="008D52BE"/>
    <w:rsid w:val="008D5637"/>
    <w:rsid w:val="008D5B52"/>
    <w:rsid w:val="008D62A5"/>
    <w:rsid w:val="008D6C62"/>
    <w:rsid w:val="008D7144"/>
    <w:rsid w:val="008D7574"/>
    <w:rsid w:val="008D75D2"/>
    <w:rsid w:val="008D7C83"/>
    <w:rsid w:val="008E062D"/>
    <w:rsid w:val="008E1447"/>
    <w:rsid w:val="008E2404"/>
    <w:rsid w:val="008E3101"/>
    <w:rsid w:val="008E31DB"/>
    <w:rsid w:val="008E384F"/>
    <w:rsid w:val="008E3E4B"/>
    <w:rsid w:val="008E40CC"/>
    <w:rsid w:val="008E49B0"/>
    <w:rsid w:val="008E4C24"/>
    <w:rsid w:val="008E4C3D"/>
    <w:rsid w:val="008E4CA6"/>
    <w:rsid w:val="008E5181"/>
    <w:rsid w:val="008E58D2"/>
    <w:rsid w:val="008E5AE5"/>
    <w:rsid w:val="008E5B0E"/>
    <w:rsid w:val="008E5C85"/>
    <w:rsid w:val="008E5F35"/>
    <w:rsid w:val="008E61A2"/>
    <w:rsid w:val="008E6259"/>
    <w:rsid w:val="008E6585"/>
    <w:rsid w:val="008E6DD7"/>
    <w:rsid w:val="008E6F31"/>
    <w:rsid w:val="008E7171"/>
    <w:rsid w:val="008E781E"/>
    <w:rsid w:val="008E7DC0"/>
    <w:rsid w:val="008E7EE5"/>
    <w:rsid w:val="008F062F"/>
    <w:rsid w:val="008F089B"/>
    <w:rsid w:val="008F0A74"/>
    <w:rsid w:val="008F0B54"/>
    <w:rsid w:val="008F0D91"/>
    <w:rsid w:val="008F1A4C"/>
    <w:rsid w:val="008F21B8"/>
    <w:rsid w:val="008F226A"/>
    <w:rsid w:val="008F2AE5"/>
    <w:rsid w:val="008F2D22"/>
    <w:rsid w:val="008F300E"/>
    <w:rsid w:val="008F3306"/>
    <w:rsid w:val="008F3981"/>
    <w:rsid w:val="008F3EAC"/>
    <w:rsid w:val="008F42C3"/>
    <w:rsid w:val="008F48E1"/>
    <w:rsid w:val="008F4C34"/>
    <w:rsid w:val="008F4FBF"/>
    <w:rsid w:val="008F54E4"/>
    <w:rsid w:val="008F6275"/>
    <w:rsid w:val="008F636D"/>
    <w:rsid w:val="008F663E"/>
    <w:rsid w:val="008F6AB9"/>
    <w:rsid w:val="008F7850"/>
    <w:rsid w:val="00900191"/>
    <w:rsid w:val="009004B8"/>
    <w:rsid w:val="00900A02"/>
    <w:rsid w:val="00900A35"/>
    <w:rsid w:val="0090146D"/>
    <w:rsid w:val="0090173D"/>
    <w:rsid w:val="00901E9C"/>
    <w:rsid w:val="009020BF"/>
    <w:rsid w:val="009020C8"/>
    <w:rsid w:val="00902161"/>
    <w:rsid w:val="00902DA0"/>
    <w:rsid w:val="0090390B"/>
    <w:rsid w:val="00903C8A"/>
    <w:rsid w:val="0090458F"/>
    <w:rsid w:val="009048B6"/>
    <w:rsid w:val="00904923"/>
    <w:rsid w:val="009052B0"/>
    <w:rsid w:val="00905B25"/>
    <w:rsid w:val="00905EF1"/>
    <w:rsid w:val="00906565"/>
    <w:rsid w:val="009065C7"/>
    <w:rsid w:val="009067F2"/>
    <w:rsid w:val="00906E1C"/>
    <w:rsid w:val="00907015"/>
    <w:rsid w:val="009073DE"/>
    <w:rsid w:val="00907A81"/>
    <w:rsid w:val="00907F8D"/>
    <w:rsid w:val="0091016E"/>
    <w:rsid w:val="0091094F"/>
    <w:rsid w:val="00910D86"/>
    <w:rsid w:val="0091123F"/>
    <w:rsid w:val="009120D0"/>
    <w:rsid w:val="00912845"/>
    <w:rsid w:val="00912E55"/>
    <w:rsid w:val="00913D9F"/>
    <w:rsid w:val="00914398"/>
    <w:rsid w:val="00914BCE"/>
    <w:rsid w:val="009155A6"/>
    <w:rsid w:val="00915B37"/>
    <w:rsid w:val="00915B9C"/>
    <w:rsid w:val="0091697F"/>
    <w:rsid w:val="00916D2F"/>
    <w:rsid w:val="0091751D"/>
    <w:rsid w:val="0091773A"/>
    <w:rsid w:val="00920608"/>
    <w:rsid w:val="00921103"/>
    <w:rsid w:val="00921142"/>
    <w:rsid w:val="009213B4"/>
    <w:rsid w:val="009217CD"/>
    <w:rsid w:val="009219C4"/>
    <w:rsid w:val="0092200A"/>
    <w:rsid w:val="0092229D"/>
    <w:rsid w:val="009226F9"/>
    <w:rsid w:val="009232D5"/>
    <w:rsid w:val="0092346A"/>
    <w:rsid w:val="009258BE"/>
    <w:rsid w:val="00925F48"/>
    <w:rsid w:val="0092681D"/>
    <w:rsid w:val="00926947"/>
    <w:rsid w:val="00926989"/>
    <w:rsid w:val="00930DED"/>
    <w:rsid w:val="0093122F"/>
    <w:rsid w:val="009312D6"/>
    <w:rsid w:val="00931942"/>
    <w:rsid w:val="00931BF6"/>
    <w:rsid w:val="0093227B"/>
    <w:rsid w:val="00932670"/>
    <w:rsid w:val="00932B9C"/>
    <w:rsid w:val="00932EC8"/>
    <w:rsid w:val="00932F20"/>
    <w:rsid w:val="00933C9A"/>
    <w:rsid w:val="00933E38"/>
    <w:rsid w:val="0093480F"/>
    <w:rsid w:val="00934FB1"/>
    <w:rsid w:val="009354C2"/>
    <w:rsid w:val="009355E5"/>
    <w:rsid w:val="00935672"/>
    <w:rsid w:val="009379BA"/>
    <w:rsid w:val="009405AA"/>
    <w:rsid w:val="0094110E"/>
    <w:rsid w:val="009430F6"/>
    <w:rsid w:val="00943252"/>
    <w:rsid w:val="009441F0"/>
    <w:rsid w:val="009448C2"/>
    <w:rsid w:val="00944A4E"/>
    <w:rsid w:val="00944DF2"/>
    <w:rsid w:val="00945002"/>
    <w:rsid w:val="0094528F"/>
    <w:rsid w:val="0094543D"/>
    <w:rsid w:val="009457BC"/>
    <w:rsid w:val="0094580D"/>
    <w:rsid w:val="00945C74"/>
    <w:rsid w:val="00945FBF"/>
    <w:rsid w:val="00946602"/>
    <w:rsid w:val="00946AD5"/>
    <w:rsid w:val="00946F49"/>
    <w:rsid w:val="00947306"/>
    <w:rsid w:val="009500AB"/>
    <w:rsid w:val="009506E3"/>
    <w:rsid w:val="00951ACE"/>
    <w:rsid w:val="00951C32"/>
    <w:rsid w:val="00951D1E"/>
    <w:rsid w:val="009528A4"/>
    <w:rsid w:val="00953257"/>
    <w:rsid w:val="00953398"/>
    <w:rsid w:val="00953611"/>
    <w:rsid w:val="009539AD"/>
    <w:rsid w:val="00955726"/>
    <w:rsid w:val="00956010"/>
    <w:rsid w:val="0095619F"/>
    <w:rsid w:val="009561B7"/>
    <w:rsid w:val="0095680E"/>
    <w:rsid w:val="00956944"/>
    <w:rsid w:val="00956B4E"/>
    <w:rsid w:val="00956C88"/>
    <w:rsid w:val="009571EC"/>
    <w:rsid w:val="009574AE"/>
    <w:rsid w:val="00957651"/>
    <w:rsid w:val="00957D1E"/>
    <w:rsid w:val="00957EF9"/>
    <w:rsid w:val="00960932"/>
    <w:rsid w:val="009619EA"/>
    <w:rsid w:val="00961F84"/>
    <w:rsid w:val="00962308"/>
    <w:rsid w:val="00962B9B"/>
    <w:rsid w:val="00963A84"/>
    <w:rsid w:val="0096465A"/>
    <w:rsid w:val="00965EFC"/>
    <w:rsid w:val="009662E5"/>
    <w:rsid w:val="009664F9"/>
    <w:rsid w:val="00966CC2"/>
    <w:rsid w:val="00966EDA"/>
    <w:rsid w:val="009673EF"/>
    <w:rsid w:val="00967C17"/>
    <w:rsid w:val="00967E55"/>
    <w:rsid w:val="009708C4"/>
    <w:rsid w:val="009709C9"/>
    <w:rsid w:val="00970B62"/>
    <w:rsid w:val="00970D1D"/>
    <w:rsid w:val="0097119B"/>
    <w:rsid w:val="00971D39"/>
    <w:rsid w:val="009723F7"/>
    <w:rsid w:val="0097240C"/>
    <w:rsid w:val="00972423"/>
    <w:rsid w:val="0097286F"/>
    <w:rsid w:val="00972CC4"/>
    <w:rsid w:val="00973136"/>
    <w:rsid w:val="00973855"/>
    <w:rsid w:val="00973897"/>
    <w:rsid w:val="009739F6"/>
    <w:rsid w:val="00973CAA"/>
    <w:rsid w:val="00973DEF"/>
    <w:rsid w:val="00973F19"/>
    <w:rsid w:val="009748D3"/>
    <w:rsid w:val="00974A2F"/>
    <w:rsid w:val="00974DC8"/>
    <w:rsid w:val="0097598A"/>
    <w:rsid w:val="00976E16"/>
    <w:rsid w:val="00976F22"/>
    <w:rsid w:val="009773A1"/>
    <w:rsid w:val="009775D9"/>
    <w:rsid w:val="00977BCC"/>
    <w:rsid w:val="00977CEA"/>
    <w:rsid w:val="00980037"/>
    <w:rsid w:val="00980551"/>
    <w:rsid w:val="0098079F"/>
    <w:rsid w:val="009807AA"/>
    <w:rsid w:val="00981796"/>
    <w:rsid w:val="0098230A"/>
    <w:rsid w:val="0098281F"/>
    <w:rsid w:val="00982972"/>
    <w:rsid w:val="00982A7F"/>
    <w:rsid w:val="00982E8B"/>
    <w:rsid w:val="00983B70"/>
    <w:rsid w:val="009843D5"/>
    <w:rsid w:val="009850CB"/>
    <w:rsid w:val="0098574A"/>
    <w:rsid w:val="00985BBD"/>
    <w:rsid w:val="00986139"/>
    <w:rsid w:val="009861DC"/>
    <w:rsid w:val="0098634C"/>
    <w:rsid w:val="00986749"/>
    <w:rsid w:val="00986D4F"/>
    <w:rsid w:val="00986F9D"/>
    <w:rsid w:val="0098735E"/>
    <w:rsid w:val="009879E4"/>
    <w:rsid w:val="00987AE2"/>
    <w:rsid w:val="00990076"/>
    <w:rsid w:val="0099039E"/>
    <w:rsid w:val="00990697"/>
    <w:rsid w:val="0099104B"/>
    <w:rsid w:val="00991D12"/>
    <w:rsid w:val="00992C76"/>
    <w:rsid w:val="009930CC"/>
    <w:rsid w:val="0099380E"/>
    <w:rsid w:val="00993FDE"/>
    <w:rsid w:val="0099413D"/>
    <w:rsid w:val="00994713"/>
    <w:rsid w:val="00995163"/>
    <w:rsid w:val="00995348"/>
    <w:rsid w:val="0099558C"/>
    <w:rsid w:val="00995A74"/>
    <w:rsid w:val="00997464"/>
    <w:rsid w:val="009974B8"/>
    <w:rsid w:val="0099790F"/>
    <w:rsid w:val="009A01D3"/>
    <w:rsid w:val="009A071A"/>
    <w:rsid w:val="009A071D"/>
    <w:rsid w:val="009A09EB"/>
    <w:rsid w:val="009A114F"/>
    <w:rsid w:val="009A1905"/>
    <w:rsid w:val="009A1B90"/>
    <w:rsid w:val="009A1F2F"/>
    <w:rsid w:val="009A22A3"/>
    <w:rsid w:val="009A2403"/>
    <w:rsid w:val="009A4267"/>
    <w:rsid w:val="009A434A"/>
    <w:rsid w:val="009A4359"/>
    <w:rsid w:val="009A47CC"/>
    <w:rsid w:val="009A4A65"/>
    <w:rsid w:val="009A4BCB"/>
    <w:rsid w:val="009A4E45"/>
    <w:rsid w:val="009A51B5"/>
    <w:rsid w:val="009A523E"/>
    <w:rsid w:val="009A5E45"/>
    <w:rsid w:val="009A6A89"/>
    <w:rsid w:val="009A6C8A"/>
    <w:rsid w:val="009A778E"/>
    <w:rsid w:val="009A7AEE"/>
    <w:rsid w:val="009A7BE2"/>
    <w:rsid w:val="009B001A"/>
    <w:rsid w:val="009B08D9"/>
    <w:rsid w:val="009B0FED"/>
    <w:rsid w:val="009B2AAA"/>
    <w:rsid w:val="009B4041"/>
    <w:rsid w:val="009B4370"/>
    <w:rsid w:val="009B46CF"/>
    <w:rsid w:val="009B5344"/>
    <w:rsid w:val="009B5821"/>
    <w:rsid w:val="009B5ADD"/>
    <w:rsid w:val="009B5D67"/>
    <w:rsid w:val="009B6126"/>
    <w:rsid w:val="009B666D"/>
    <w:rsid w:val="009B6AFA"/>
    <w:rsid w:val="009B729A"/>
    <w:rsid w:val="009B73E2"/>
    <w:rsid w:val="009B7BE0"/>
    <w:rsid w:val="009C006A"/>
    <w:rsid w:val="009C03C7"/>
    <w:rsid w:val="009C0497"/>
    <w:rsid w:val="009C0756"/>
    <w:rsid w:val="009C0D63"/>
    <w:rsid w:val="009C11E7"/>
    <w:rsid w:val="009C213C"/>
    <w:rsid w:val="009C2366"/>
    <w:rsid w:val="009C2632"/>
    <w:rsid w:val="009C2848"/>
    <w:rsid w:val="009C3145"/>
    <w:rsid w:val="009C31BF"/>
    <w:rsid w:val="009C42FD"/>
    <w:rsid w:val="009C4400"/>
    <w:rsid w:val="009C47E6"/>
    <w:rsid w:val="009C4F76"/>
    <w:rsid w:val="009C5261"/>
    <w:rsid w:val="009C52D2"/>
    <w:rsid w:val="009C55E2"/>
    <w:rsid w:val="009C5AD3"/>
    <w:rsid w:val="009C7CF5"/>
    <w:rsid w:val="009C7DD1"/>
    <w:rsid w:val="009D0315"/>
    <w:rsid w:val="009D03A5"/>
    <w:rsid w:val="009D0B64"/>
    <w:rsid w:val="009D0EAE"/>
    <w:rsid w:val="009D11D1"/>
    <w:rsid w:val="009D1A61"/>
    <w:rsid w:val="009D1A7F"/>
    <w:rsid w:val="009D2AFF"/>
    <w:rsid w:val="009D30E8"/>
    <w:rsid w:val="009D3581"/>
    <w:rsid w:val="009D368B"/>
    <w:rsid w:val="009D3706"/>
    <w:rsid w:val="009D3727"/>
    <w:rsid w:val="009D3F1D"/>
    <w:rsid w:val="009D4C77"/>
    <w:rsid w:val="009D4EB3"/>
    <w:rsid w:val="009D54CB"/>
    <w:rsid w:val="009D5AD2"/>
    <w:rsid w:val="009D769B"/>
    <w:rsid w:val="009D7F3E"/>
    <w:rsid w:val="009E07D8"/>
    <w:rsid w:val="009E0C80"/>
    <w:rsid w:val="009E0F64"/>
    <w:rsid w:val="009E1230"/>
    <w:rsid w:val="009E15C3"/>
    <w:rsid w:val="009E16D4"/>
    <w:rsid w:val="009E17FB"/>
    <w:rsid w:val="009E2021"/>
    <w:rsid w:val="009E2045"/>
    <w:rsid w:val="009E2589"/>
    <w:rsid w:val="009E2875"/>
    <w:rsid w:val="009E2A5D"/>
    <w:rsid w:val="009E3051"/>
    <w:rsid w:val="009E34E8"/>
    <w:rsid w:val="009E3673"/>
    <w:rsid w:val="009E3AC5"/>
    <w:rsid w:val="009E3F23"/>
    <w:rsid w:val="009E4057"/>
    <w:rsid w:val="009E4AF0"/>
    <w:rsid w:val="009E4B26"/>
    <w:rsid w:val="009E50E4"/>
    <w:rsid w:val="009E5413"/>
    <w:rsid w:val="009E603D"/>
    <w:rsid w:val="009E6193"/>
    <w:rsid w:val="009E6945"/>
    <w:rsid w:val="009E7115"/>
    <w:rsid w:val="009E7552"/>
    <w:rsid w:val="009E75BE"/>
    <w:rsid w:val="009E7829"/>
    <w:rsid w:val="009E7D39"/>
    <w:rsid w:val="009F01B8"/>
    <w:rsid w:val="009F16FB"/>
    <w:rsid w:val="009F1748"/>
    <w:rsid w:val="009F1921"/>
    <w:rsid w:val="009F207B"/>
    <w:rsid w:val="009F2756"/>
    <w:rsid w:val="009F28B7"/>
    <w:rsid w:val="009F29BA"/>
    <w:rsid w:val="009F2C69"/>
    <w:rsid w:val="009F2E46"/>
    <w:rsid w:val="009F30BB"/>
    <w:rsid w:val="009F48C7"/>
    <w:rsid w:val="009F4CF6"/>
    <w:rsid w:val="009F5490"/>
    <w:rsid w:val="009F56D4"/>
    <w:rsid w:val="009F5A2C"/>
    <w:rsid w:val="009F5D64"/>
    <w:rsid w:val="009F7710"/>
    <w:rsid w:val="009F792E"/>
    <w:rsid w:val="00A0006A"/>
    <w:rsid w:val="00A020B8"/>
    <w:rsid w:val="00A0233C"/>
    <w:rsid w:val="00A033B3"/>
    <w:rsid w:val="00A034CA"/>
    <w:rsid w:val="00A03A1E"/>
    <w:rsid w:val="00A03EC7"/>
    <w:rsid w:val="00A0409E"/>
    <w:rsid w:val="00A0449C"/>
    <w:rsid w:val="00A04A21"/>
    <w:rsid w:val="00A052E2"/>
    <w:rsid w:val="00A053FF"/>
    <w:rsid w:val="00A05560"/>
    <w:rsid w:val="00A05D35"/>
    <w:rsid w:val="00A06A8D"/>
    <w:rsid w:val="00A07180"/>
    <w:rsid w:val="00A07636"/>
    <w:rsid w:val="00A07D8E"/>
    <w:rsid w:val="00A10947"/>
    <w:rsid w:val="00A11095"/>
    <w:rsid w:val="00A11171"/>
    <w:rsid w:val="00A1181B"/>
    <w:rsid w:val="00A11A04"/>
    <w:rsid w:val="00A11B5A"/>
    <w:rsid w:val="00A12F8E"/>
    <w:rsid w:val="00A133D6"/>
    <w:rsid w:val="00A1351A"/>
    <w:rsid w:val="00A13A87"/>
    <w:rsid w:val="00A14036"/>
    <w:rsid w:val="00A16007"/>
    <w:rsid w:val="00A169AF"/>
    <w:rsid w:val="00A16C96"/>
    <w:rsid w:val="00A17D21"/>
    <w:rsid w:val="00A17E6F"/>
    <w:rsid w:val="00A2132A"/>
    <w:rsid w:val="00A21333"/>
    <w:rsid w:val="00A22A3F"/>
    <w:rsid w:val="00A23038"/>
    <w:rsid w:val="00A233F6"/>
    <w:rsid w:val="00A23489"/>
    <w:rsid w:val="00A23F1E"/>
    <w:rsid w:val="00A246A0"/>
    <w:rsid w:val="00A24E3C"/>
    <w:rsid w:val="00A27B8B"/>
    <w:rsid w:val="00A321ED"/>
    <w:rsid w:val="00A324EE"/>
    <w:rsid w:val="00A3362B"/>
    <w:rsid w:val="00A33672"/>
    <w:rsid w:val="00A33784"/>
    <w:rsid w:val="00A33E07"/>
    <w:rsid w:val="00A33E1B"/>
    <w:rsid w:val="00A343A6"/>
    <w:rsid w:val="00A3472C"/>
    <w:rsid w:val="00A34C7B"/>
    <w:rsid w:val="00A34DF3"/>
    <w:rsid w:val="00A35147"/>
    <w:rsid w:val="00A35A77"/>
    <w:rsid w:val="00A35E9B"/>
    <w:rsid w:val="00A3663A"/>
    <w:rsid w:val="00A36833"/>
    <w:rsid w:val="00A36B6E"/>
    <w:rsid w:val="00A376FB"/>
    <w:rsid w:val="00A405A8"/>
    <w:rsid w:val="00A40843"/>
    <w:rsid w:val="00A40887"/>
    <w:rsid w:val="00A40FCF"/>
    <w:rsid w:val="00A415FE"/>
    <w:rsid w:val="00A417DD"/>
    <w:rsid w:val="00A41814"/>
    <w:rsid w:val="00A41A01"/>
    <w:rsid w:val="00A41A97"/>
    <w:rsid w:val="00A42ABE"/>
    <w:rsid w:val="00A439BC"/>
    <w:rsid w:val="00A440E4"/>
    <w:rsid w:val="00A45E01"/>
    <w:rsid w:val="00A4608D"/>
    <w:rsid w:val="00A46FF8"/>
    <w:rsid w:val="00A4715D"/>
    <w:rsid w:val="00A47191"/>
    <w:rsid w:val="00A47F51"/>
    <w:rsid w:val="00A5122C"/>
    <w:rsid w:val="00A513DE"/>
    <w:rsid w:val="00A5184E"/>
    <w:rsid w:val="00A5199C"/>
    <w:rsid w:val="00A51CA0"/>
    <w:rsid w:val="00A51F58"/>
    <w:rsid w:val="00A522A3"/>
    <w:rsid w:val="00A52365"/>
    <w:rsid w:val="00A52595"/>
    <w:rsid w:val="00A52AFF"/>
    <w:rsid w:val="00A53472"/>
    <w:rsid w:val="00A5360D"/>
    <w:rsid w:val="00A541B4"/>
    <w:rsid w:val="00A54620"/>
    <w:rsid w:val="00A55983"/>
    <w:rsid w:val="00A5688E"/>
    <w:rsid w:val="00A56C89"/>
    <w:rsid w:val="00A56EC3"/>
    <w:rsid w:val="00A56F2C"/>
    <w:rsid w:val="00A5708A"/>
    <w:rsid w:val="00A572D3"/>
    <w:rsid w:val="00A5736A"/>
    <w:rsid w:val="00A57905"/>
    <w:rsid w:val="00A5798C"/>
    <w:rsid w:val="00A57DB4"/>
    <w:rsid w:val="00A602FA"/>
    <w:rsid w:val="00A624EA"/>
    <w:rsid w:val="00A62775"/>
    <w:rsid w:val="00A6348A"/>
    <w:rsid w:val="00A634F9"/>
    <w:rsid w:val="00A637CA"/>
    <w:rsid w:val="00A63DFC"/>
    <w:rsid w:val="00A64A86"/>
    <w:rsid w:val="00A64D17"/>
    <w:rsid w:val="00A650AC"/>
    <w:rsid w:val="00A654DF"/>
    <w:rsid w:val="00A65B7E"/>
    <w:rsid w:val="00A65CD6"/>
    <w:rsid w:val="00A65FC4"/>
    <w:rsid w:val="00A66A92"/>
    <w:rsid w:val="00A66CA9"/>
    <w:rsid w:val="00A67A2A"/>
    <w:rsid w:val="00A701BC"/>
    <w:rsid w:val="00A709C2"/>
    <w:rsid w:val="00A70CC3"/>
    <w:rsid w:val="00A712A3"/>
    <w:rsid w:val="00A7141A"/>
    <w:rsid w:val="00A71A61"/>
    <w:rsid w:val="00A72304"/>
    <w:rsid w:val="00A72D62"/>
    <w:rsid w:val="00A7342B"/>
    <w:rsid w:val="00A736FF"/>
    <w:rsid w:val="00A73761"/>
    <w:rsid w:val="00A73870"/>
    <w:rsid w:val="00A73BFD"/>
    <w:rsid w:val="00A73EFC"/>
    <w:rsid w:val="00A74297"/>
    <w:rsid w:val="00A74564"/>
    <w:rsid w:val="00A75830"/>
    <w:rsid w:val="00A77332"/>
    <w:rsid w:val="00A7749E"/>
    <w:rsid w:val="00A77982"/>
    <w:rsid w:val="00A77E4E"/>
    <w:rsid w:val="00A8004C"/>
    <w:rsid w:val="00A80751"/>
    <w:rsid w:val="00A807CD"/>
    <w:rsid w:val="00A81800"/>
    <w:rsid w:val="00A81937"/>
    <w:rsid w:val="00A82448"/>
    <w:rsid w:val="00A827E0"/>
    <w:rsid w:val="00A82A33"/>
    <w:rsid w:val="00A834C6"/>
    <w:rsid w:val="00A837C2"/>
    <w:rsid w:val="00A837E2"/>
    <w:rsid w:val="00A83E0F"/>
    <w:rsid w:val="00A83E18"/>
    <w:rsid w:val="00A84024"/>
    <w:rsid w:val="00A84314"/>
    <w:rsid w:val="00A84738"/>
    <w:rsid w:val="00A8489D"/>
    <w:rsid w:val="00A851E7"/>
    <w:rsid w:val="00A856BA"/>
    <w:rsid w:val="00A858E6"/>
    <w:rsid w:val="00A85C9A"/>
    <w:rsid w:val="00A85D36"/>
    <w:rsid w:val="00A869DF"/>
    <w:rsid w:val="00A86C89"/>
    <w:rsid w:val="00A9061D"/>
    <w:rsid w:val="00A911C8"/>
    <w:rsid w:val="00A919BB"/>
    <w:rsid w:val="00A91E0F"/>
    <w:rsid w:val="00A939E3"/>
    <w:rsid w:val="00A93A81"/>
    <w:rsid w:val="00A93AFC"/>
    <w:rsid w:val="00A94253"/>
    <w:rsid w:val="00A95303"/>
    <w:rsid w:val="00A95628"/>
    <w:rsid w:val="00A958D2"/>
    <w:rsid w:val="00A96274"/>
    <w:rsid w:val="00A9672C"/>
    <w:rsid w:val="00A96A2E"/>
    <w:rsid w:val="00A97C45"/>
    <w:rsid w:val="00A97EB6"/>
    <w:rsid w:val="00A97F55"/>
    <w:rsid w:val="00A97F75"/>
    <w:rsid w:val="00AA0728"/>
    <w:rsid w:val="00AA078F"/>
    <w:rsid w:val="00AA0E74"/>
    <w:rsid w:val="00AA142D"/>
    <w:rsid w:val="00AA14AA"/>
    <w:rsid w:val="00AA2243"/>
    <w:rsid w:val="00AA2838"/>
    <w:rsid w:val="00AA2ABD"/>
    <w:rsid w:val="00AA2ADE"/>
    <w:rsid w:val="00AA3232"/>
    <w:rsid w:val="00AA35A5"/>
    <w:rsid w:val="00AA3704"/>
    <w:rsid w:val="00AA3FA9"/>
    <w:rsid w:val="00AA426E"/>
    <w:rsid w:val="00AA446D"/>
    <w:rsid w:val="00AA61A1"/>
    <w:rsid w:val="00AA63DC"/>
    <w:rsid w:val="00AA65D2"/>
    <w:rsid w:val="00AA6B12"/>
    <w:rsid w:val="00AA7762"/>
    <w:rsid w:val="00AA7E48"/>
    <w:rsid w:val="00AB0852"/>
    <w:rsid w:val="00AB09A7"/>
    <w:rsid w:val="00AB0CB7"/>
    <w:rsid w:val="00AB0DB6"/>
    <w:rsid w:val="00AB11A8"/>
    <w:rsid w:val="00AB127D"/>
    <w:rsid w:val="00AB2CEC"/>
    <w:rsid w:val="00AB333F"/>
    <w:rsid w:val="00AB3CD3"/>
    <w:rsid w:val="00AB3ED7"/>
    <w:rsid w:val="00AB4B03"/>
    <w:rsid w:val="00AB4E9C"/>
    <w:rsid w:val="00AB4F9B"/>
    <w:rsid w:val="00AB6EC8"/>
    <w:rsid w:val="00AB733E"/>
    <w:rsid w:val="00AB7617"/>
    <w:rsid w:val="00AB7FB3"/>
    <w:rsid w:val="00AC00DA"/>
    <w:rsid w:val="00AC01FE"/>
    <w:rsid w:val="00AC1A7F"/>
    <w:rsid w:val="00AC20C9"/>
    <w:rsid w:val="00AC27BF"/>
    <w:rsid w:val="00AC3899"/>
    <w:rsid w:val="00AC3AD7"/>
    <w:rsid w:val="00AC4266"/>
    <w:rsid w:val="00AC4297"/>
    <w:rsid w:val="00AC5AEC"/>
    <w:rsid w:val="00AC5E9A"/>
    <w:rsid w:val="00AC6309"/>
    <w:rsid w:val="00AC6D63"/>
    <w:rsid w:val="00AC7428"/>
    <w:rsid w:val="00AC78BB"/>
    <w:rsid w:val="00AC7A3B"/>
    <w:rsid w:val="00AC7EE5"/>
    <w:rsid w:val="00AD06CA"/>
    <w:rsid w:val="00AD0823"/>
    <w:rsid w:val="00AD0A11"/>
    <w:rsid w:val="00AD0CD3"/>
    <w:rsid w:val="00AD0F1C"/>
    <w:rsid w:val="00AD0F75"/>
    <w:rsid w:val="00AD1486"/>
    <w:rsid w:val="00AD15EE"/>
    <w:rsid w:val="00AD16AD"/>
    <w:rsid w:val="00AD16DA"/>
    <w:rsid w:val="00AD1D29"/>
    <w:rsid w:val="00AD1E22"/>
    <w:rsid w:val="00AD26EE"/>
    <w:rsid w:val="00AD418A"/>
    <w:rsid w:val="00AD4995"/>
    <w:rsid w:val="00AD4B3C"/>
    <w:rsid w:val="00AD502A"/>
    <w:rsid w:val="00AD5818"/>
    <w:rsid w:val="00AD60EC"/>
    <w:rsid w:val="00AD6F30"/>
    <w:rsid w:val="00AD72C4"/>
    <w:rsid w:val="00AD7345"/>
    <w:rsid w:val="00AE00AA"/>
    <w:rsid w:val="00AE0C7D"/>
    <w:rsid w:val="00AE122B"/>
    <w:rsid w:val="00AE18DC"/>
    <w:rsid w:val="00AE1D54"/>
    <w:rsid w:val="00AE1DD7"/>
    <w:rsid w:val="00AE21C6"/>
    <w:rsid w:val="00AE290C"/>
    <w:rsid w:val="00AE2A50"/>
    <w:rsid w:val="00AE2D8C"/>
    <w:rsid w:val="00AE2EEB"/>
    <w:rsid w:val="00AE2F8A"/>
    <w:rsid w:val="00AE3AF0"/>
    <w:rsid w:val="00AE438F"/>
    <w:rsid w:val="00AE5050"/>
    <w:rsid w:val="00AE57D1"/>
    <w:rsid w:val="00AE59DC"/>
    <w:rsid w:val="00AE5D8E"/>
    <w:rsid w:val="00AE60E5"/>
    <w:rsid w:val="00AE618F"/>
    <w:rsid w:val="00AE76F7"/>
    <w:rsid w:val="00AF05E4"/>
    <w:rsid w:val="00AF0E36"/>
    <w:rsid w:val="00AF15AF"/>
    <w:rsid w:val="00AF1930"/>
    <w:rsid w:val="00AF19B7"/>
    <w:rsid w:val="00AF1CBD"/>
    <w:rsid w:val="00AF23AE"/>
    <w:rsid w:val="00AF2A9E"/>
    <w:rsid w:val="00AF31FD"/>
    <w:rsid w:val="00AF32CA"/>
    <w:rsid w:val="00AF3BD1"/>
    <w:rsid w:val="00AF46FE"/>
    <w:rsid w:val="00AF4F69"/>
    <w:rsid w:val="00AF5041"/>
    <w:rsid w:val="00AF5655"/>
    <w:rsid w:val="00AF5C13"/>
    <w:rsid w:val="00AF5EAD"/>
    <w:rsid w:val="00AF6286"/>
    <w:rsid w:val="00AF6909"/>
    <w:rsid w:val="00AF751D"/>
    <w:rsid w:val="00AF7A8E"/>
    <w:rsid w:val="00B00536"/>
    <w:rsid w:val="00B009DD"/>
    <w:rsid w:val="00B00E54"/>
    <w:rsid w:val="00B0146B"/>
    <w:rsid w:val="00B0170C"/>
    <w:rsid w:val="00B017B2"/>
    <w:rsid w:val="00B01A4D"/>
    <w:rsid w:val="00B01A92"/>
    <w:rsid w:val="00B01CB9"/>
    <w:rsid w:val="00B02353"/>
    <w:rsid w:val="00B024F1"/>
    <w:rsid w:val="00B02652"/>
    <w:rsid w:val="00B02C62"/>
    <w:rsid w:val="00B036F6"/>
    <w:rsid w:val="00B039C8"/>
    <w:rsid w:val="00B0437F"/>
    <w:rsid w:val="00B043DE"/>
    <w:rsid w:val="00B04434"/>
    <w:rsid w:val="00B050AB"/>
    <w:rsid w:val="00B0534B"/>
    <w:rsid w:val="00B055B0"/>
    <w:rsid w:val="00B056D2"/>
    <w:rsid w:val="00B05D67"/>
    <w:rsid w:val="00B05E1F"/>
    <w:rsid w:val="00B061E3"/>
    <w:rsid w:val="00B073E0"/>
    <w:rsid w:val="00B07A83"/>
    <w:rsid w:val="00B07C4B"/>
    <w:rsid w:val="00B10188"/>
    <w:rsid w:val="00B10BF8"/>
    <w:rsid w:val="00B115C3"/>
    <w:rsid w:val="00B1183B"/>
    <w:rsid w:val="00B11C37"/>
    <w:rsid w:val="00B11D65"/>
    <w:rsid w:val="00B125F1"/>
    <w:rsid w:val="00B12AA6"/>
    <w:rsid w:val="00B1357A"/>
    <w:rsid w:val="00B13D65"/>
    <w:rsid w:val="00B16B79"/>
    <w:rsid w:val="00B172CD"/>
    <w:rsid w:val="00B20019"/>
    <w:rsid w:val="00B207A7"/>
    <w:rsid w:val="00B20A72"/>
    <w:rsid w:val="00B20B50"/>
    <w:rsid w:val="00B20F00"/>
    <w:rsid w:val="00B21D65"/>
    <w:rsid w:val="00B22236"/>
    <w:rsid w:val="00B226E1"/>
    <w:rsid w:val="00B229B0"/>
    <w:rsid w:val="00B22EF0"/>
    <w:rsid w:val="00B235BB"/>
    <w:rsid w:val="00B23993"/>
    <w:rsid w:val="00B23EF6"/>
    <w:rsid w:val="00B23FE4"/>
    <w:rsid w:val="00B24336"/>
    <w:rsid w:val="00B25156"/>
    <w:rsid w:val="00B256B5"/>
    <w:rsid w:val="00B25C48"/>
    <w:rsid w:val="00B2659F"/>
    <w:rsid w:val="00B30240"/>
    <w:rsid w:val="00B30DB4"/>
    <w:rsid w:val="00B31459"/>
    <w:rsid w:val="00B31972"/>
    <w:rsid w:val="00B32001"/>
    <w:rsid w:val="00B32585"/>
    <w:rsid w:val="00B32F85"/>
    <w:rsid w:val="00B32FEA"/>
    <w:rsid w:val="00B33155"/>
    <w:rsid w:val="00B35B7B"/>
    <w:rsid w:val="00B35C2A"/>
    <w:rsid w:val="00B3725A"/>
    <w:rsid w:val="00B375FF"/>
    <w:rsid w:val="00B377EE"/>
    <w:rsid w:val="00B37B57"/>
    <w:rsid w:val="00B37B70"/>
    <w:rsid w:val="00B37FB5"/>
    <w:rsid w:val="00B400CB"/>
    <w:rsid w:val="00B40612"/>
    <w:rsid w:val="00B4076E"/>
    <w:rsid w:val="00B40A60"/>
    <w:rsid w:val="00B40EA7"/>
    <w:rsid w:val="00B4125D"/>
    <w:rsid w:val="00B41585"/>
    <w:rsid w:val="00B41741"/>
    <w:rsid w:val="00B41764"/>
    <w:rsid w:val="00B41B82"/>
    <w:rsid w:val="00B41C3F"/>
    <w:rsid w:val="00B41C57"/>
    <w:rsid w:val="00B41CFB"/>
    <w:rsid w:val="00B41D93"/>
    <w:rsid w:val="00B41DFE"/>
    <w:rsid w:val="00B42285"/>
    <w:rsid w:val="00B43004"/>
    <w:rsid w:val="00B431B4"/>
    <w:rsid w:val="00B43235"/>
    <w:rsid w:val="00B433FD"/>
    <w:rsid w:val="00B437E5"/>
    <w:rsid w:val="00B43B5D"/>
    <w:rsid w:val="00B4454D"/>
    <w:rsid w:val="00B44BAC"/>
    <w:rsid w:val="00B4503C"/>
    <w:rsid w:val="00B45DFE"/>
    <w:rsid w:val="00B460D7"/>
    <w:rsid w:val="00B46221"/>
    <w:rsid w:val="00B4644E"/>
    <w:rsid w:val="00B46B70"/>
    <w:rsid w:val="00B46E7C"/>
    <w:rsid w:val="00B470A5"/>
    <w:rsid w:val="00B47806"/>
    <w:rsid w:val="00B47AFA"/>
    <w:rsid w:val="00B47E18"/>
    <w:rsid w:val="00B5016E"/>
    <w:rsid w:val="00B501BF"/>
    <w:rsid w:val="00B5081B"/>
    <w:rsid w:val="00B516AA"/>
    <w:rsid w:val="00B51C93"/>
    <w:rsid w:val="00B524C2"/>
    <w:rsid w:val="00B52592"/>
    <w:rsid w:val="00B52A34"/>
    <w:rsid w:val="00B52D9F"/>
    <w:rsid w:val="00B52FDE"/>
    <w:rsid w:val="00B530B2"/>
    <w:rsid w:val="00B5317A"/>
    <w:rsid w:val="00B53D5F"/>
    <w:rsid w:val="00B53DAB"/>
    <w:rsid w:val="00B5458C"/>
    <w:rsid w:val="00B545CE"/>
    <w:rsid w:val="00B54B95"/>
    <w:rsid w:val="00B55571"/>
    <w:rsid w:val="00B56C1B"/>
    <w:rsid w:val="00B56F98"/>
    <w:rsid w:val="00B56FC9"/>
    <w:rsid w:val="00B575B5"/>
    <w:rsid w:val="00B57C05"/>
    <w:rsid w:val="00B57CF0"/>
    <w:rsid w:val="00B60331"/>
    <w:rsid w:val="00B603C2"/>
    <w:rsid w:val="00B60484"/>
    <w:rsid w:val="00B606E4"/>
    <w:rsid w:val="00B60A93"/>
    <w:rsid w:val="00B61A07"/>
    <w:rsid w:val="00B61AA2"/>
    <w:rsid w:val="00B61D0D"/>
    <w:rsid w:val="00B61E32"/>
    <w:rsid w:val="00B621DD"/>
    <w:rsid w:val="00B6231F"/>
    <w:rsid w:val="00B62629"/>
    <w:rsid w:val="00B6302A"/>
    <w:rsid w:val="00B63810"/>
    <w:rsid w:val="00B63E6A"/>
    <w:rsid w:val="00B64600"/>
    <w:rsid w:val="00B648A3"/>
    <w:rsid w:val="00B64CAC"/>
    <w:rsid w:val="00B64DB2"/>
    <w:rsid w:val="00B64F7B"/>
    <w:rsid w:val="00B6511D"/>
    <w:rsid w:val="00B65397"/>
    <w:rsid w:val="00B656D9"/>
    <w:rsid w:val="00B6580F"/>
    <w:rsid w:val="00B662FC"/>
    <w:rsid w:val="00B670C0"/>
    <w:rsid w:val="00B67DF8"/>
    <w:rsid w:val="00B70D87"/>
    <w:rsid w:val="00B70E83"/>
    <w:rsid w:val="00B734E4"/>
    <w:rsid w:val="00B7356E"/>
    <w:rsid w:val="00B73A59"/>
    <w:rsid w:val="00B74111"/>
    <w:rsid w:val="00B74233"/>
    <w:rsid w:val="00B748AC"/>
    <w:rsid w:val="00B74C9D"/>
    <w:rsid w:val="00B74EF6"/>
    <w:rsid w:val="00B751CC"/>
    <w:rsid w:val="00B75E0F"/>
    <w:rsid w:val="00B760F7"/>
    <w:rsid w:val="00B76C33"/>
    <w:rsid w:val="00B76F92"/>
    <w:rsid w:val="00B80144"/>
    <w:rsid w:val="00B8088E"/>
    <w:rsid w:val="00B81051"/>
    <w:rsid w:val="00B81AE0"/>
    <w:rsid w:val="00B81F2E"/>
    <w:rsid w:val="00B82254"/>
    <w:rsid w:val="00B8299C"/>
    <w:rsid w:val="00B833FB"/>
    <w:rsid w:val="00B83A68"/>
    <w:rsid w:val="00B83E60"/>
    <w:rsid w:val="00B84080"/>
    <w:rsid w:val="00B848FB"/>
    <w:rsid w:val="00B84A79"/>
    <w:rsid w:val="00B850FB"/>
    <w:rsid w:val="00B85307"/>
    <w:rsid w:val="00B858EC"/>
    <w:rsid w:val="00B85D02"/>
    <w:rsid w:val="00B85F21"/>
    <w:rsid w:val="00B862B3"/>
    <w:rsid w:val="00B86E00"/>
    <w:rsid w:val="00B87180"/>
    <w:rsid w:val="00B87757"/>
    <w:rsid w:val="00B906EB"/>
    <w:rsid w:val="00B90E23"/>
    <w:rsid w:val="00B91024"/>
    <w:rsid w:val="00B91476"/>
    <w:rsid w:val="00B914A1"/>
    <w:rsid w:val="00B91528"/>
    <w:rsid w:val="00B91718"/>
    <w:rsid w:val="00B91951"/>
    <w:rsid w:val="00B91D60"/>
    <w:rsid w:val="00B926F1"/>
    <w:rsid w:val="00B928D2"/>
    <w:rsid w:val="00B9292D"/>
    <w:rsid w:val="00B92F8A"/>
    <w:rsid w:val="00B9317D"/>
    <w:rsid w:val="00B93545"/>
    <w:rsid w:val="00B94DEC"/>
    <w:rsid w:val="00B9568B"/>
    <w:rsid w:val="00B95A69"/>
    <w:rsid w:val="00B96FEC"/>
    <w:rsid w:val="00B970FB"/>
    <w:rsid w:val="00B97199"/>
    <w:rsid w:val="00B97739"/>
    <w:rsid w:val="00B97874"/>
    <w:rsid w:val="00B9794C"/>
    <w:rsid w:val="00B97BC6"/>
    <w:rsid w:val="00B97D51"/>
    <w:rsid w:val="00BA07A5"/>
    <w:rsid w:val="00BA0A44"/>
    <w:rsid w:val="00BA0E4E"/>
    <w:rsid w:val="00BA12B7"/>
    <w:rsid w:val="00BA1358"/>
    <w:rsid w:val="00BA1539"/>
    <w:rsid w:val="00BA1775"/>
    <w:rsid w:val="00BA184E"/>
    <w:rsid w:val="00BA191A"/>
    <w:rsid w:val="00BA1E90"/>
    <w:rsid w:val="00BA3156"/>
    <w:rsid w:val="00BA3FC2"/>
    <w:rsid w:val="00BA4029"/>
    <w:rsid w:val="00BA4216"/>
    <w:rsid w:val="00BA446C"/>
    <w:rsid w:val="00BA4EA8"/>
    <w:rsid w:val="00BA508F"/>
    <w:rsid w:val="00BA51F2"/>
    <w:rsid w:val="00BA56DA"/>
    <w:rsid w:val="00BA64BD"/>
    <w:rsid w:val="00BA6E71"/>
    <w:rsid w:val="00BA7108"/>
    <w:rsid w:val="00BA72AC"/>
    <w:rsid w:val="00BA7687"/>
    <w:rsid w:val="00BA7826"/>
    <w:rsid w:val="00BA7877"/>
    <w:rsid w:val="00BA7D8F"/>
    <w:rsid w:val="00BB15DC"/>
    <w:rsid w:val="00BB2AFB"/>
    <w:rsid w:val="00BB2B35"/>
    <w:rsid w:val="00BB2D6F"/>
    <w:rsid w:val="00BB305B"/>
    <w:rsid w:val="00BB37E4"/>
    <w:rsid w:val="00BB40D9"/>
    <w:rsid w:val="00BB40E4"/>
    <w:rsid w:val="00BB5E86"/>
    <w:rsid w:val="00BB5F6C"/>
    <w:rsid w:val="00BB6207"/>
    <w:rsid w:val="00BB62D2"/>
    <w:rsid w:val="00BB6B10"/>
    <w:rsid w:val="00BB6DDE"/>
    <w:rsid w:val="00BB7AA6"/>
    <w:rsid w:val="00BC042C"/>
    <w:rsid w:val="00BC0683"/>
    <w:rsid w:val="00BC06DD"/>
    <w:rsid w:val="00BC25A6"/>
    <w:rsid w:val="00BC2E36"/>
    <w:rsid w:val="00BC2EA1"/>
    <w:rsid w:val="00BC32D8"/>
    <w:rsid w:val="00BC3B71"/>
    <w:rsid w:val="00BC3C58"/>
    <w:rsid w:val="00BC3E5B"/>
    <w:rsid w:val="00BC3E5D"/>
    <w:rsid w:val="00BC4616"/>
    <w:rsid w:val="00BC46D3"/>
    <w:rsid w:val="00BC4FA8"/>
    <w:rsid w:val="00BC5A01"/>
    <w:rsid w:val="00BC5C6D"/>
    <w:rsid w:val="00BC5FF8"/>
    <w:rsid w:val="00BC660B"/>
    <w:rsid w:val="00BC66E7"/>
    <w:rsid w:val="00BC7F45"/>
    <w:rsid w:val="00BD0B0B"/>
    <w:rsid w:val="00BD0B1A"/>
    <w:rsid w:val="00BD0CEC"/>
    <w:rsid w:val="00BD16E1"/>
    <w:rsid w:val="00BD1D86"/>
    <w:rsid w:val="00BD281B"/>
    <w:rsid w:val="00BD28C8"/>
    <w:rsid w:val="00BD2C08"/>
    <w:rsid w:val="00BD2E2F"/>
    <w:rsid w:val="00BD2FD8"/>
    <w:rsid w:val="00BD3966"/>
    <w:rsid w:val="00BD3DC4"/>
    <w:rsid w:val="00BD3F7D"/>
    <w:rsid w:val="00BD44E6"/>
    <w:rsid w:val="00BD4CD6"/>
    <w:rsid w:val="00BD5185"/>
    <w:rsid w:val="00BD524B"/>
    <w:rsid w:val="00BD550C"/>
    <w:rsid w:val="00BD575F"/>
    <w:rsid w:val="00BD5881"/>
    <w:rsid w:val="00BD5C96"/>
    <w:rsid w:val="00BD635D"/>
    <w:rsid w:val="00BD6455"/>
    <w:rsid w:val="00BD6654"/>
    <w:rsid w:val="00BD6A1E"/>
    <w:rsid w:val="00BD72B8"/>
    <w:rsid w:val="00BD7739"/>
    <w:rsid w:val="00BE073C"/>
    <w:rsid w:val="00BE1929"/>
    <w:rsid w:val="00BE19BB"/>
    <w:rsid w:val="00BE1DCD"/>
    <w:rsid w:val="00BE2AEB"/>
    <w:rsid w:val="00BE3072"/>
    <w:rsid w:val="00BE4419"/>
    <w:rsid w:val="00BE595A"/>
    <w:rsid w:val="00BE5F33"/>
    <w:rsid w:val="00BE6190"/>
    <w:rsid w:val="00BE67BE"/>
    <w:rsid w:val="00BE6B56"/>
    <w:rsid w:val="00BE6F76"/>
    <w:rsid w:val="00BE73F8"/>
    <w:rsid w:val="00BE7588"/>
    <w:rsid w:val="00BE77E3"/>
    <w:rsid w:val="00BE7D87"/>
    <w:rsid w:val="00BE7E73"/>
    <w:rsid w:val="00BF0AD1"/>
    <w:rsid w:val="00BF0DF3"/>
    <w:rsid w:val="00BF0F56"/>
    <w:rsid w:val="00BF0FC3"/>
    <w:rsid w:val="00BF1021"/>
    <w:rsid w:val="00BF1398"/>
    <w:rsid w:val="00BF1696"/>
    <w:rsid w:val="00BF1A00"/>
    <w:rsid w:val="00BF235D"/>
    <w:rsid w:val="00BF25A6"/>
    <w:rsid w:val="00BF5550"/>
    <w:rsid w:val="00BF6235"/>
    <w:rsid w:val="00BF6ED9"/>
    <w:rsid w:val="00BF74BB"/>
    <w:rsid w:val="00BF763E"/>
    <w:rsid w:val="00BF7FAA"/>
    <w:rsid w:val="00C008B3"/>
    <w:rsid w:val="00C00DC7"/>
    <w:rsid w:val="00C01856"/>
    <w:rsid w:val="00C01E1E"/>
    <w:rsid w:val="00C01F9C"/>
    <w:rsid w:val="00C01FE7"/>
    <w:rsid w:val="00C023B9"/>
    <w:rsid w:val="00C03168"/>
    <w:rsid w:val="00C035B3"/>
    <w:rsid w:val="00C03DC2"/>
    <w:rsid w:val="00C0437F"/>
    <w:rsid w:val="00C049CF"/>
    <w:rsid w:val="00C04CEB"/>
    <w:rsid w:val="00C05063"/>
    <w:rsid w:val="00C050D4"/>
    <w:rsid w:val="00C0677F"/>
    <w:rsid w:val="00C06AFE"/>
    <w:rsid w:val="00C07639"/>
    <w:rsid w:val="00C078CF"/>
    <w:rsid w:val="00C07A72"/>
    <w:rsid w:val="00C07B60"/>
    <w:rsid w:val="00C07E83"/>
    <w:rsid w:val="00C10659"/>
    <w:rsid w:val="00C1071C"/>
    <w:rsid w:val="00C10959"/>
    <w:rsid w:val="00C11203"/>
    <w:rsid w:val="00C11C08"/>
    <w:rsid w:val="00C1259B"/>
    <w:rsid w:val="00C12BB2"/>
    <w:rsid w:val="00C12D0E"/>
    <w:rsid w:val="00C1334F"/>
    <w:rsid w:val="00C135B4"/>
    <w:rsid w:val="00C13A1A"/>
    <w:rsid w:val="00C13C71"/>
    <w:rsid w:val="00C13DE4"/>
    <w:rsid w:val="00C13E62"/>
    <w:rsid w:val="00C142BD"/>
    <w:rsid w:val="00C14E6E"/>
    <w:rsid w:val="00C15344"/>
    <w:rsid w:val="00C15AF0"/>
    <w:rsid w:val="00C15B1C"/>
    <w:rsid w:val="00C15B5F"/>
    <w:rsid w:val="00C15E4E"/>
    <w:rsid w:val="00C15F2E"/>
    <w:rsid w:val="00C1605E"/>
    <w:rsid w:val="00C160F9"/>
    <w:rsid w:val="00C16183"/>
    <w:rsid w:val="00C16615"/>
    <w:rsid w:val="00C16B92"/>
    <w:rsid w:val="00C1723B"/>
    <w:rsid w:val="00C1765B"/>
    <w:rsid w:val="00C17A48"/>
    <w:rsid w:val="00C203C6"/>
    <w:rsid w:val="00C203D5"/>
    <w:rsid w:val="00C2084C"/>
    <w:rsid w:val="00C20AE6"/>
    <w:rsid w:val="00C211E5"/>
    <w:rsid w:val="00C21995"/>
    <w:rsid w:val="00C21EEF"/>
    <w:rsid w:val="00C22329"/>
    <w:rsid w:val="00C22ACB"/>
    <w:rsid w:val="00C2360F"/>
    <w:rsid w:val="00C23BD6"/>
    <w:rsid w:val="00C23DC8"/>
    <w:rsid w:val="00C23E22"/>
    <w:rsid w:val="00C23E52"/>
    <w:rsid w:val="00C23E5E"/>
    <w:rsid w:val="00C2411A"/>
    <w:rsid w:val="00C258CE"/>
    <w:rsid w:val="00C25978"/>
    <w:rsid w:val="00C25CB9"/>
    <w:rsid w:val="00C25E0D"/>
    <w:rsid w:val="00C264BA"/>
    <w:rsid w:val="00C300C3"/>
    <w:rsid w:val="00C3024B"/>
    <w:rsid w:val="00C308B2"/>
    <w:rsid w:val="00C31057"/>
    <w:rsid w:val="00C319E2"/>
    <w:rsid w:val="00C31C0A"/>
    <w:rsid w:val="00C31CB0"/>
    <w:rsid w:val="00C32374"/>
    <w:rsid w:val="00C3323B"/>
    <w:rsid w:val="00C3326F"/>
    <w:rsid w:val="00C335EE"/>
    <w:rsid w:val="00C34F40"/>
    <w:rsid w:val="00C350CA"/>
    <w:rsid w:val="00C35261"/>
    <w:rsid w:val="00C359A4"/>
    <w:rsid w:val="00C359C4"/>
    <w:rsid w:val="00C35E05"/>
    <w:rsid w:val="00C36C98"/>
    <w:rsid w:val="00C37273"/>
    <w:rsid w:val="00C3758D"/>
    <w:rsid w:val="00C40508"/>
    <w:rsid w:val="00C40923"/>
    <w:rsid w:val="00C41EA5"/>
    <w:rsid w:val="00C42587"/>
    <w:rsid w:val="00C42A3D"/>
    <w:rsid w:val="00C42D31"/>
    <w:rsid w:val="00C431ED"/>
    <w:rsid w:val="00C43BF5"/>
    <w:rsid w:val="00C43EA2"/>
    <w:rsid w:val="00C4428A"/>
    <w:rsid w:val="00C444EC"/>
    <w:rsid w:val="00C44D1D"/>
    <w:rsid w:val="00C4511B"/>
    <w:rsid w:val="00C4598F"/>
    <w:rsid w:val="00C45B24"/>
    <w:rsid w:val="00C45B64"/>
    <w:rsid w:val="00C45D29"/>
    <w:rsid w:val="00C45DC5"/>
    <w:rsid w:val="00C469A6"/>
    <w:rsid w:val="00C47099"/>
    <w:rsid w:val="00C47809"/>
    <w:rsid w:val="00C478F3"/>
    <w:rsid w:val="00C47E1B"/>
    <w:rsid w:val="00C51E06"/>
    <w:rsid w:val="00C5221D"/>
    <w:rsid w:val="00C522F9"/>
    <w:rsid w:val="00C5277E"/>
    <w:rsid w:val="00C52FFC"/>
    <w:rsid w:val="00C54843"/>
    <w:rsid w:val="00C54B4F"/>
    <w:rsid w:val="00C5576F"/>
    <w:rsid w:val="00C55DDA"/>
    <w:rsid w:val="00C56116"/>
    <w:rsid w:val="00C5634C"/>
    <w:rsid w:val="00C57DAA"/>
    <w:rsid w:val="00C60287"/>
    <w:rsid w:val="00C606AE"/>
    <w:rsid w:val="00C60781"/>
    <w:rsid w:val="00C6097D"/>
    <w:rsid w:val="00C60F17"/>
    <w:rsid w:val="00C61641"/>
    <w:rsid w:val="00C618FB"/>
    <w:rsid w:val="00C61BAF"/>
    <w:rsid w:val="00C62EF2"/>
    <w:rsid w:val="00C635C9"/>
    <w:rsid w:val="00C63A63"/>
    <w:rsid w:val="00C64296"/>
    <w:rsid w:val="00C70E4A"/>
    <w:rsid w:val="00C714ED"/>
    <w:rsid w:val="00C71A39"/>
    <w:rsid w:val="00C71C78"/>
    <w:rsid w:val="00C71FFA"/>
    <w:rsid w:val="00C72DD1"/>
    <w:rsid w:val="00C72FA5"/>
    <w:rsid w:val="00C73010"/>
    <w:rsid w:val="00C7324E"/>
    <w:rsid w:val="00C73DA1"/>
    <w:rsid w:val="00C73E9C"/>
    <w:rsid w:val="00C76C53"/>
    <w:rsid w:val="00C76E0D"/>
    <w:rsid w:val="00C77EF9"/>
    <w:rsid w:val="00C8092A"/>
    <w:rsid w:val="00C80DA1"/>
    <w:rsid w:val="00C80E1E"/>
    <w:rsid w:val="00C80FC0"/>
    <w:rsid w:val="00C80FDC"/>
    <w:rsid w:val="00C8168E"/>
    <w:rsid w:val="00C819CC"/>
    <w:rsid w:val="00C8290F"/>
    <w:rsid w:val="00C82C52"/>
    <w:rsid w:val="00C82D46"/>
    <w:rsid w:val="00C82E47"/>
    <w:rsid w:val="00C83B85"/>
    <w:rsid w:val="00C83CBE"/>
    <w:rsid w:val="00C84ACF"/>
    <w:rsid w:val="00C84B12"/>
    <w:rsid w:val="00C84BB6"/>
    <w:rsid w:val="00C84BEF"/>
    <w:rsid w:val="00C853CA"/>
    <w:rsid w:val="00C860A2"/>
    <w:rsid w:val="00C867BA"/>
    <w:rsid w:val="00C86922"/>
    <w:rsid w:val="00C86925"/>
    <w:rsid w:val="00C87EFE"/>
    <w:rsid w:val="00C87FB1"/>
    <w:rsid w:val="00C9014B"/>
    <w:rsid w:val="00C91ACB"/>
    <w:rsid w:val="00C91BE2"/>
    <w:rsid w:val="00C92671"/>
    <w:rsid w:val="00C92777"/>
    <w:rsid w:val="00C934B0"/>
    <w:rsid w:val="00C9384C"/>
    <w:rsid w:val="00C938F4"/>
    <w:rsid w:val="00C94483"/>
    <w:rsid w:val="00C94821"/>
    <w:rsid w:val="00C94D50"/>
    <w:rsid w:val="00C94E0F"/>
    <w:rsid w:val="00C94E71"/>
    <w:rsid w:val="00C9570D"/>
    <w:rsid w:val="00C957F4"/>
    <w:rsid w:val="00C9585B"/>
    <w:rsid w:val="00C95EF8"/>
    <w:rsid w:val="00C96E24"/>
    <w:rsid w:val="00C97140"/>
    <w:rsid w:val="00C97C1A"/>
    <w:rsid w:val="00CA002D"/>
    <w:rsid w:val="00CA09EC"/>
    <w:rsid w:val="00CA1469"/>
    <w:rsid w:val="00CA2097"/>
    <w:rsid w:val="00CA2121"/>
    <w:rsid w:val="00CA2B95"/>
    <w:rsid w:val="00CA2D92"/>
    <w:rsid w:val="00CA31B2"/>
    <w:rsid w:val="00CA32C0"/>
    <w:rsid w:val="00CA3D3A"/>
    <w:rsid w:val="00CA3E8E"/>
    <w:rsid w:val="00CA4135"/>
    <w:rsid w:val="00CA42EB"/>
    <w:rsid w:val="00CA48A8"/>
    <w:rsid w:val="00CA4F0E"/>
    <w:rsid w:val="00CA4F49"/>
    <w:rsid w:val="00CA525A"/>
    <w:rsid w:val="00CA6573"/>
    <w:rsid w:val="00CA70D9"/>
    <w:rsid w:val="00CA75EE"/>
    <w:rsid w:val="00CA76D2"/>
    <w:rsid w:val="00CA7749"/>
    <w:rsid w:val="00CB0315"/>
    <w:rsid w:val="00CB160F"/>
    <w:rsid w:val="00CB25D4"/>
    <w:rsid w:val="00CB2A82"/>
    <w:rsid w:val="00CB2ADA"/>
    <w:rsid w:val="00CB2C45"/>
    <w:rsid w:val="00CB2C49"/>
    <w:rsid w:val="00CB30AF"/>
    <w:rsid w:val="00CB39F6"/>
    <w:rsid w:val="00CB590E"/>
    <w:rsid w:val="00CB5F1A"/>
    <w:rsid w:val="00CB6DD8"/>
    <w:rsid w:val="00CB7091"/>
    <w:rsid w:val="00CB7D9C"/>
    <w:rsid w:val="00CC10B8"/>
    <w:rsid w:val="00CC1B07"/>
    <w:rsid w:val="00CC1F22"/>
    <w:rsid w:val="00CC30A9"/>
    <w:rsid w:val="00CC31D4"/>
    <w:rsid w:val="00CC340A"/>
    <w:rsid w:val="00CC3755"/>
    <w:rsid w:val="00CC3C87"/>
    <w:rsid w:val="00CC4915"/>
    <w:rsid w:val="00CC4B30"/>
    <w:rsid w:val="00CC4C0B"/>
    <w:rsid w:val="00CC55FE"/>
    <w:rsid w:val="00CC571F"/>
    <w:rsid w:val="00CC58EB"/>
    <w:rsid w:val="00CC5D52"/>
    <w:rsid w:val="00CC6223"/>
    <w:rsid w:val="00CC6422"/>
    <w:rsid w:val="00CC6501"/>
    <w:rsid w:val="00CC6762"/>
    <w:rsid w:val="00CC7053"/>
    <w:rsid w:val="00CC7521"/>
    <w:rsid w:val="00CC78E8"/>
    <w:rsid w:val="00CC7CDA"/>
    <w:rsid w:val="00CD06C4"/>
    <w:rsid w:val="00CD1833"/>
    <w:rsid w:val="00CD1B20"/>
    <w:rsid w:val="00CD20E3"/>
    <w:rsid w:val="00CD3043"/>
    <w:rsid w:val="00CD3C90"/>
    <w:rsid w:val="00CD4DD3"/>
    <w:rsid w:val="00CD51BC"/>
    <w:rsid w:val="00CD675A"/>
    <w:rsid w:val="00CD712A"/>
    <w:rsid w:val="00CD79B4"/>
    <w:rsid w:val="00CE0326"/>
    <w:rsid w:val="00CE0B85"/>
    <w:rsid w:val="00CE0FF0"/>
    <w:rsid w:val="00CE1518"/>
    <w:rsid w:val="00CE1F2D"/>
    <w:rsid w:val="00CE2FDE"/>
    <w:rsid w:val="00CE3822"/>
    <w:rsid w:val="00CE3D45"/>
    <w:rsid w:val="00CE41ED"/>
    <w:rsid w:val="00CE4E42"/>
    <w:rsid w:val="00CE4EB2"/>
    <w:rsid w:val="00CE5E06"/>
    <w:rsid w:val="00CE5F42"/>
    <w:rsid w:val="00CE60FE"/>
    <w:rsid w:val="00CE693A"/>
    <w:rsid w:val="00CE6F50"/>
    <w:rsid w:val="00CE73DB"/>
    <w:rsid w:val="00CE7A54"/>
    <w:rsid w:val="00CF0AA4"/>
    <w:rsid w:val="00CF0EBF"/>
    <w:rsid w:val="00CF1239"/>
    <w:rsid w:val="00CF1255"/>
    <w:rsid w:val="00CF12F2"/>
    <w:rsid w:val="00CF1311"/>
    <w:rsid w:val="00CF14E6"/>
    <w:rsid w:val="00CF1E47"/>
    <w:rsid w:val="00CF3C93"/>
    <w:rsid w:val="00CF41AF"/>
    <w:rsid w:val="00CF49CF"/>
    <w:rsid w:val="00CF5488"/>
    <w:rsid w:val="00CF57A9"/>
    <w:rsid w:val="00CF717F"/>
    <w:rsid w:val="00CF7238"/>
    <w:rsid w:val="00D014B7"/>
    <w:rsid w:val="00D034CB"/>
    <w:rsid w:val="00D03A82"/>
    <w:rsid w:val="00D03ACE"/>
    <w:rsid w:val="00D03BE2"/>
    <w:rsid w:val="00D03EF1"/>
    <w:rsid w:val="00D04E5B"/>
    <w:rsid w:val="00D04EC1"/>
    <w:rsid w:val="00D06119"/>
    <w:rsid w:val="00D11320"/>
    <w:rsid w:val="00D12B7A"/>
    <w:rsid w:val="00D137F2"/>
    <w:rsid w:val="00D13A08"/>
    <w:rsid w:val="00D13FA9"/>
    <w:rsid w:val="00D14A5F"/>
    <w:rsid w:val="00D14B1C"/>
    <w:rsid w:val="00D14D85"/>
    <w:rsid w:val="00D155B2"/>
    <w:rsid w:val="00D168AA"/>
    <w:rsid w:val="00D16ED1"/>
    <w:rsid w:val="00D17446"/>
    <w:rsid w:val="00D17D03"/>
    <w:rsid w:val="00D21410"/>
    <w:rsid w:val="00D2155B"/>
    <w:rsid w:val="00D2189B"/>
    <w:rsid w:val="00D21F07"/>
    <w:rsid w:val="00D223C6"/>
    <w:rsid w:val="00D22427"/>
    <w:rsid w:val="00D22BAC"/>
    <w:rsid w:val="00D235E4"/>
    <w:rsid w:val="00D236F0"/>
    <w:rsid w:val="00D2409C"/>
    <w:rsid w:val="00D24354"/>
    <w:rsid w:val="00D24AFC"/>
    <w:rsid w:val="00D258FE"/>
    <w:rsid w:val="00D25C5E"/>
    <w:rsid w:val="00D26057"/>
    <w:rsid w:val="00D263EA"/>
    <w:rsid w:val="00D26D69"/>
    <w:rsid w:val="00D2745A"/>
    <w:rsid w:val="00D2747F"/>
    <w:rsid w:val="00D2761F"/>
    <w:rsid w:val="00D277A4"/>
    <w:rsid w:val="00D2795C"/>
    <w:rsid w:val="00D3005F"/>
    <w:rsid w:val="00D301FA"/>
    <w:rsid w:val="00D3034D"/>
    <w:rsid w:val="00D3062E"/>
    <w:rsid w:val="00D309A8"/>
    <w:rsid w:val="00D30B1A"/>
    <w:rsid w:val="00D31AEB"/>
    <w:rsid w:val="00D323BF"/>
    <w:rsid w:val="00D32A5A"/>
    <w:rsid w:val="00D33152"/>
    <w:rsid w:val="00D33461"/>
    <w:rsid w:val="00D349E5"/>
    <w:rsid w:val="00D34D8D"/>
    <w:rsid w:val="00D34F23"/>
    <w:rsid w:val="00D35072"/>
    <w:rsid w:val="00D36493"/>
    <w:rsid w:val="00D367B0"/>
    <w:rsid w:val="00D370A2"/>
    <w:rsid w:val="00D40221"/>
    <w:rsid w:val="00D40C86"/>
    <w:rsid w:val="00D419C5"/>
    <w:rsid w:val="00D41B6B"/>
    <w:rsid w:val="00D41D3B"/>
    <w:rsid w:val="00D41F24"/>
    <w:rsid w:val="00D42CAC"/>
    <w:rsid w:val="00D42EC5"/>
    <w:rsid w:val="00D42F80"/>
    <w:rsid w:val="00D43F16"/>
    <w:rsid w:val="00D44EAA"/>
    <w:rsid w:val="00D454E2"/>
    <w:rsid w:val="00D457E6"/>
    <w:rsid w:val="00D45C2C"/>
    <w:rsid w:val="00D45EFF"/>
    <w:rsid w:val="00D46612"/>
    <w:rsid w:val="00D46B9F"/>
    <w:rsid w:val="00D46CBB"/>
    <w:rsid w:val="00D47574"/>
    <w:rsid w:val="00D52005"/>
    <w:rsid w:val="00D521FD"/>
    <w:rsid w:val="00D52564"/>
    <w:rsid w:val="00D52A44"/>
    <w:rsid w:val="00D5326F"/>
    <w:rsid w:val="00D532CC"/>
    <w:rsid w:val="00D53421"/>
    <w:rsid w:val="00D541BD"/>
    <w:rsid w:val="00D5480A"/>
    <w:rsid w:val="00D5489F"/>
    <w:rsid w:val="00D54A48"/>
    <w:rsid w:val="00D55058"/>
    <w:rsid w:val="00D5570A"/>
    <w:rsid w:val="00D557DB"/>
    <w:rsid w:val="00D55A8B"/>
    <w:rsid w:val="00D55B4F"/>
    <w:rsid w:val="00D55C81"/>
    <w:rsid w:val="00D56050"/>
    <w:rsid w:val="00D56065"/>
    <w:rsid w:val="00D56480"/>
    <w:rsid w:val="00D56C2E"/>
    <w:rsid w:val="00D5720D"/>
    <w:rsid w:val="00D577CA"/>
    <w:rsid w:val="00D577EB"/>
    <w:rsid w:val="00D57CDF"/>
    <w:rsid w:val="00D6049A"/>
    <w:rsid w:val="00D60A7F"/>
    <w:rsid w:val="00D61150"/>
    <w:rsid w:val="00D61758"/>
    <w:rsid w:val="00D61917"/>
    <w:rsid w:val="00D61D7A"/>
    <w:rsid w:val="00D61E10"/>
    <w:rsid w:val="00D6223A"/>
    <w:rsid w:val="00D6260F"/>
    <w:rsid w:val="00D62921"/>
    <w:rsid w:val="00D62FFE"/>
    <w:rsid w:val="00D63192"/>
    <w:rsid w:val="00D6397A"/>
    <w:rsid w:val="00D63CF8"/>
    <w:rsid w:val="00D63EA5"/>
    <w:rsid w:val="00D647D1"/>
    <w:rsid w:val="00D651DC"/>
    <w:rsid w:val="00D65381"/>
    <w:rsid w:val="00D653BE"/>
    <w:rsid w:val="00D65868"/>
    <w:rsid w:val="00D65DF0"/>
    <w:rsid w:val="00D65FC8"/>
    <w:rsid w:val="00D661E2"/>
    <w:rsid w:val="00D662A6"/>
    <w:rsid w:val="00D664D2"/>
    <w:rsid w:val="00D672A8"/>
    <w:rsid w:val="00D6783D"/>
    <w:rsid w:val="00D7029C"/>
    <w:rsid w:val="00D705B4"/>
    <w:rsid w:val="00D706B1"/>
    <w:rsid w:val="00D716C8"/>
    <w:rsid w:val="00D71E92"/>
    <w:rsid w:val="00D728CE"/>
    <w:rsid w:val="00D72A98"/>
    <w:rsid w:val="00D72DA3"/>
    <w:rsid w:val="00D735F7"/>
    <w:rsid w:val="00D73655"/>
    <w:rsid w:val="00D73A0C"/>
    <w:rsid w:val="00D745F2"/>
    <w:rsid w:val="00D74789"/>
    <w:rsid w:val="00D74DD7"/>
    <w:rsid w:val="00D75277"/>
    <w:rsid w:val="00D75384"/>
    <w:rsid w:val="00D75733"/>
    <w:rsid w:val="00D759B3"/>
    <w:rsid w:val="00D76150"/>
    <w:rsid w:val="00D763FB"/>
    <w:rsid w:val="00D777DE"/>
    <w:rsid w:val="00D77804"/>
    <w:rsid w:val="00D77C94"/>
    <w:rsid w:val="00D80457"/>
    <w:rsid w:val="00D80636"/>
    <w:rsid w:val="00D80D71"/>
    <w:rsid w:val="00D82006"/>
    <w:rsid w:val="00D8221A"/>
    <w:rsid w:val="00D823D5"/>
    <w:rsid w:val="00D82888"/>
    <w:rsid w:val="00D82CD3"/>
    <w:rsid w:val="00D837DF"/>
    <w:rsid w:val="00D83DF9"/>
    <w:rsid w:val="00D83FA7"/>
    <w:rsid w:val="00D8410A"/>
    <w:rsid w:val="00D84FFA"/>
    <w:rsid w:val="00D85102"/>
    <w:rsid w:val="00D853BF"/>
    <w:rsid w:val="00D85580"/>
    <w:rsid w:val="00D8580D"/>
    <w:rsid w:val="00D85C3E"/>
    <w:rsid w:val="00D8631A"/>
    <w:rsid w:val="00D867FE"/>
    <w:rsid w:val="00D871DF"/>
    <w:rsid w:val="00D8735F"/>
    <w:rsid w:val="00D87451"/>
    <w:rsid w:val="00D91036"/>
    <w:rsid w:val="00D91440"/>
    <w:rsid w:val="00D91DF7"/>
    <w:rsid w:val="00D9265D"/>
    <w:rsid w:val="00D92E91"/>
    <w:rsid w:val="00D93198"/>
    <w:rsid w:val="00D93846"/>
    <w:rsid w:val="00D939CF"/>
    <w:rsid w:val="00D9434F"/>
    <w:rsid w:val="00D948C5"/>
    <w:rsid w:val="00D95B97"/>
    <w:rsid w:val="00D95DAB"/>
    <w:rsid w:val="00D96071"/>
    <w:rsid w:val="00D9633E"/>
    <w:rsid w:val="00D96C50"/>
    <w:rsid w:val="00DA02B7"/>
    <w:rsid w:val="00DA0488"/>
    <w:rsid w:val="00DA063A"/>
    <w:rsid w:val="00DA0ECF"/>
    <w:rsid w:val="00DA18CE"/>
    <w:rsid w:val="00DA1D1B"/>
    <w:rsid w:val="00DA1FC8"/>
    <w:rsid w:val="00DA3113"/>
    <w:rsid w:val="00DA334F"/>
    <w:rsid w:val="00DA3A08"/>
    <w:rsid w:val="00DA566C"/>
    <w:rsid w:val="00DA5F31"/>
    <w:rsid w:val="00DA638A"/>
    <w:rsid w:val="00DA63E9"/>
    <w:rsid w:val="00DA6EC4"/>
    <w:rsid w:val="00DA6EF0"/>
    <w:rsid w:val="00DA7057"/>
    <w:rsid w:val="00DA7646"/>
    <w:rsid w:val="00DB07E2"/>
    <w:rsid w:val="00DB09DB"/>
    <w:rsid w:val="00DB09FE"/>
    <w:rsid w:val="00DB0F91"/>
    <w:rsid w:val="00DB1C6F"/>
    <w:rsid w:val="00DB2584"/>
    <w:rsid w:val="00DB2798"/>
    <w:rsid w:val="00DB308C"/>
    <w:rsid w:val="00DB3723"/>
    <w:rsid w:val="00DB38BD"/>
    <w:rsid w:val="00DB3D00"/>
    <w:rsid w:val="00DB4496"/>
    <w:rsid w:val="00DB4723"/>
    <w:rsid w:val="00DB4732"/>
    <w:rsid w:val="00DB4888"/>
    <w:rsid w:val="00DB5484"/>
    <w:rsid w:val="00DB55D5"/>
    <w:rsid w:val="00DB56A3"/>
    <w:rsid w:val="00DB5FC1"/>
    <w:rsid w:val="00DB65FD"/>
    <w:rsid w:val="00DB6974"/>
    <w:rsid w:val="00DB6F94"/>
    <w:rsid w:val="00DB7616"/>
    <w:rsid w:val="00DB76EA"/>
    <w:rsid w:val="00DB7A80"/>
    <w:rsid w:val="00DC06E5"/>
    <w:rsid w:val="00DC07EE"/>
    <w:rsid w:val="00DC0CBB"/>
    <w:rsid w:val="00DC118B"/>
    <w:rsid w:val="00DC1287"/>
    <w:rsid w:val="00DC17A0"/>
    <w:rsid w:val="00DC1A6E"/>
    <w:rsid w:val="00DC37B4"/>
    <w:rsid w:val="00DC3A12"/>
    <w:rsid w:val="00DC3FF9"/>
    <w:rsid w:val="00DC412A"/>
    <w:rsid w:val="00DC4678"/>
    <w:rsid w:val="00DC4896"/>
    <w:rsid w:val="00DC4B19"/>
    <w:rsid w:val="00DC4C47"/>
    <w:rsid w:val="00DC5CB2"/>
    <w:rsid w:val="00DC7450"/>
    <w:rsid w:val="00DC795F"/>
    <w:rsid w:val="00DC7B90"/>
    <w:rsid w:val="00DC7DF7"/>
    <w:rsid w:val="00DD01B2"/>
    <w:rsid w:val="00DD0968"/>
    <w:rsid w:val="00DD0DE5"/>
    <w:rsid w:val="00DD0F24"/>
    <w:rsid w:val="00DD24B6"/>
    <w:rsid w:val="00DD2A1B"/>
    <w:rsid w:val="00DD3C96"/>
    <w:rsid w:val="00DD4B67"/>
    <w:rsid w:val="00DD65C0"/>
    <w:rsid w:val="00DD7FE4"/>
    <w:rsid w:val="00DE0855"/>
    <w:rsid w:val="00DE0EF7"/>
    <w:rsid w:val="00DE2DFB"/>
    <w:rsid w:val="00DE3616"/>
    <w:rsid w:val="00DE3C08"/>
    <w:rsid w:val="00DE425C"/>
    <w:rsid w:val="00DE44AA"/>
    <w:rsid w:val="00DE4A18"/>
    <w:rsid w:val="00DE5168"/>
    <w:rsid w:val="00DE5330"/>
    <w:rsid w:val="00DE59BE"/>
    <w:rsid w:val="00DE5BDE"/>
    <w:rsid w:val="00DE60CD"/>
    <w:rsid w:val="00DE620F"/>
    <w:rsid w:val="00DE64F2"/>
    <w:rsid w:val="00DE6704"/>
    <w:rsid w:val="00DE6724"/>
    <w:rsid w:val="00DE6E33"/>
    <w:rsid w:val="00DE7E7A"/>
    <w:rsid w:val="00DF03BA"/>
    <w:rsid w:val="00DF0768"/>
    <w:rsid w:val="00DF09AE"/>
    <w:rsid w:val="00DF0B73"/>
    <w:rsid w:val="00DF0D11"/>
    <w:rsid w:val="00DF1DCE"/>
    <w:rsid w:val="00DF20D4"/>
    <w:rsid w:val="00DF2238"/>
    <w:rsid w:val="00DF2C73"/>
    <w:rsid w:val="00DF2F4D"/>
    <w:rsid w:val="00DF3E0C"/>
    <w:rsid w:val="00DF40D2"/>
    <w:rsid w:val="00DF515A"/>
    <w:rsid w:val="00DF60C4"/>
    <w:rsid w:val="00DF69F7"/>
    <w:rsid w:val="00DF6D27"/>
    <w:rsid w:val="00DF722F"/>
    <w:rsid w:val="00DF7D7E"/>
    <w:rsid w:val="00DF7DCD"/>
    <w:rsid w:val="00E007B9"/>
    <w:rsid w:val="00E009F9"/>
    <w:rsid w:val="00E00BBC"/>
    <w:rsid w:val="00E010C3"/>
    <w:rsid w:val="00E01664"/>
    <w:rsid w:val="00E01957"/>
    <w:rsid w:val="00E022C1"/>
    <w:rsid w:val="00E02F40"/>
    <w:rsid w:val="00E0409B"/>
    <w:rsid w:val="00E04154"/>
    <w:rsid w:val="00E04361"/>
    <w:rsid w:val="00E0443E"/>
    <w:rsid w:val="00E04691"/>
    <w:rsid w:val="00E04A61"/>
    <w:rsid w:val="00E04AF4"/>
    <w:rsid w:val="00E04CB2"/>
    <w:rsid w:val="00E05342"/>
    <w:rsid w:val="00E057EA"/>
    <w:rsid w:val="00E057F4"/>
    <w:rsid w:val="00E05F00"/>
    <w:rsid w:val="00E06619"/>
    <w:rsid w:val="00E06963"/>
    <w:rsid w:val="00E06DD7"/>
    <w:rsid w:val="00E06F64"/>
    <w:rsid w:val="00E06FDD"/>
    <w:rsid w:val="00E07197"/>
    <w:rsid w:val="00E07887"/>
    <w:rsid w:val="00E07966"/>
    <w:rsid w:val="00E107B4"/>
    <w:rsid w:val="00E10DC3"/>
    <w:rsid w:val="00E10F7A"/>
    <w:rsid w:val="00E116B9"/>
    <w:rsid w:val="00E117F1"/>
    <w:rsid w:val="00E11E07"/>
    <w:rsid w:val="00E12001"/>
    <w:rsid w:val="00E12467"/>
    <w:rsid w:val="00E12794"/>
    <w:rsid w:val="00E127BC"/>
    <w:rsid w:val="00E12943"/>
    <w:rsid w:val="00E12E6B"/>
    <w:rsid w:val="00E1301D"/>
    <w:rsid w:val="00E141E9"/>
    <w:rsid w:val="00E14200"/>
    <w:rsid w:val="00E14226"/>
    <w:rsid w:val="00E146FD"/>
    <w:rsid w:val="00E14915"/>
    <w:rsid w:val="00E14A33"/>
    <w:rsid w:val="00E153E3"/>
    <w:rsid w:val="00E1585E"/>
    <w:rsid w:val="00E163B8"/>
    <w:rsid w:val="00E168EA"/>
    <w:rsid w:val="00E17A1E"/>
    <w:rsid w:val="00E17D0E"/>
    <w:rsid w:val="00E20E5D"/>
    <w:rsid w:val="00E22531"/>
    <w:rsid w:val="00E22581"/>
    <w:rsid w:val="00E22587"/>
    <w:rsid w:val="00E22915"/>
    <w:rsid w:val="00E22F03"/>
    <w:rsid w:val="00E2360D"/>
    <w:rsid w:val="00E23867"/>
    <w:rsid w:val="00E23BB9"/>
    <w:rsid w:val="00E23DBA"/>
    <w:rsid w:val="00E240BC"/>
    <w:rsid w:val="00E24AFB"/>
    <w:rsid w:val="00E258A6"/>
    <w:rsid w:val="00E25A53"/>
    <w:rsid w:val="00E26249"/>
    <w:rsid w:val="00E26BDD"/>
    <w:rsid w:val="00E309EE"/>
    <w:rsid w:val="00E30A02"/>
    <w:rsid w:val="00E30C81"/>
    <w:rsid w:val="00E30CA5"/>
    <w:rsid w:val="00E31A41"/>
    <w:rsid w:val="00E31BBF"/>
    <w:rsid w:val="00E329C1"/>
    <w:rsid w:val="00E32A51"/>
    <w:rsid w:val="00E32D6B"/>
    <w:rsid w:val="00E33309"/>
    <w:rsid w:val="00E334B1"/>
    <w:rsid w:val="00E336F1"/>
    <w:rsid w:val="00E338E9"/>
    <w:rsid w:val="00E34344"/>
    <w:rsid w:val="00E34926"/>
    <w:rsid w:val="00E349E8"/>
    <w:rsid w:val="00E34A79"/>
    <w:rsid w:val="00E34EFF"/>
    <w:rsid w:val="00E355D5"/>
    <w:rsid w:val="00E3572C"/>
    <w:rsid w:val="00E3575C"/>
    <w:rsid w:val="00E35AB0"/>
    <w:rsid w:val="00E35AC8"/>
    <w:rsid w:val="00E35C5A"/>
    <w:rsid w:val="00E35DA8"/>
    <w:rsid w:val="00E35EDF"/>
    <w:rsid w:val="00E35FF9"/>
    <w:rsid w:val="00E36318"/>
    <w:rsid w:val="00E36C4C"/>
    <w:rsid w:val="00E372E3"/>
    <w:rsid w:val="00E373A9"/>
    <w:rsid w:val="00E3748D"/>
    <w:rsid w:val="00E37C5F"/>
    <w:rsid w:val="00E37CFD"/>
    <w:rsid w:val="00E402EF"/>
    <w:rsid w:val="00E404C7"/>
    <w:rsid w:val="00E4061E"/>
    <w:rsid w:val="00E4103A"/>
    <w:rsid w:val="00E4294E"/>
    <w:rsid w:val="00E43F33"/>
    <w:rsid w:val="00E43F65"/>
    <w:rsid w:val="00E444AE"/>
    <w:rsid w:val="00E4460A"/>
    <w:rsid w:val="00E44CED"/>
    <w:rsid w:val="00E44E64"/>
    <w:rsid w:val="00E458CF"/>
    <w:rsid w:val="00E45B8E"/>
    <w:rsid w:val="00E4655E"/>
    <w:rsid w:val="00E4687C"/>
    <w:rsid w:val="00E503B0"/>
    <w:rsid w:val="00E50429"/>
    <w:rsid w:val="00E50DE9"/>
    <w:rsid w:val="00E50F81"/>
    <w:rsid w:val="00E51A84"/>
    <w:rsid w:val="00E543D0"/>
    <w:rsid w:val="00E54DEB"/>
    <w:rsid w:val="00E55E91"/>
    <w:rsid w:val="00E56939"/>
    <w:rsid w:val="00E57206"/>
    <w:rsid w:val="00E57266"/>
    <w:rsid w:val="00E57970"/>
    <w:rsid w:val="00E60402"/>
    <w:rsid w:val="00E60A41"/>
    <w:rsid w:val="00E61175"/>
    <w:rsid w:val="00E61555"/>
    <w:rsid w:val="00E621D5"/>
    <w:rsid w:val="00E62844"/>
    <w:rsid w:val="00E628B4"/>
    <w:rsid w:val="00E629DD"/>
    <w:rsid w:val="00E62B13"/>
    <w:rsid w:val="00E62FED"/>
    <w:rsid w:val="00E6363B"/>
    <w:rsid w:val="00E63B23"/>
    <w:rsid w:val="00E63B25"/>
    <w:rsid w:val="00E640F7"/>
    <w:rsid w:val="00E64262"/>
    <w:rsid w:val="00E64492"/>
    <w:rsid w:val="00E6491A"/>
    <w:rsid w:val="00E7066E"/>
    <w:rsid w:val="00E70E15"/>
    <w:rsid w:val="00E7104D"/>
    <w:rsid w:val="00E728B8"/>
    <w:rsid w:val="00E72F2A"/>
    <w:rsid w:val="00E73206"/>
    <w:rsid w:val="00E7331E"/>
    <w:rsid w:val="00E734A3"/>
    <w:rsid w:val="00E736D1"/>
    <w:rsid w:val="00E73C3A"/>
    <w:rsid w:val="00E741C5"/>
    <w:rsid w:val="00E74DF9"/>
    <w:rsid w:val="00E7514F"/>
    <w:rsid w:val="00E755DF"/>
    <w:rsid w:val="00E75773"/>
    <w:rsid w:val="00E75E02"/>
    <w:rsid w:val="00E7652F"/>
    <w:rsid w:val="00E769F1"/>
    <w:rsid w:val="00E7741C"/>
    <w:rsid w:val="00E80439"/>
    <w:rsid w:val="00E80482"/>
    <w:rsid w:val="00E80FAA"/>
    <w:rsid w:val="00E8121B"/>
    <w:rsid w:val="00E81579"/>
    <w:rsid w:val="00E82ABE"/>
    <w:rsid w:val="00E83481"/>
    <w:rsid w:val="00E846C4"/>
    <w:rsid w:val="00E848FE"/>
    <w:rsid w:val="00E84EB2"/>
    <w:rsid w:val="00E8500B"/>
    <w:rsid w:val="00E85536"/>
    <w:rsid w:val="00E8600D"/>
    <w:rsid w:val="00E861BF"/>
    <w:rsid w:val="00E86501"/>
    <w:rsid w:val="00E877E3"/>
    <w:rsid w:val="00E87EF5"/>
    <w:rsid w:val="00E905F1"/>
    <w:rsid w:val="00E90FDA"/>
    <w:rsid w:val="00E914F5"/>
    <w:rsid w:val="00E91975"/>
    <w:rsid w:val="00E91A1D"/>
    <w:rsid w:val="00E91DB1"/>
    <w:rsid w:val="00E92993"/>
    <w:rsid w:val="00E92FA0"/>
    <w:rsid w:val="00E95B44"/>
    <w:rsid w:val="00E95F6E"/>
    <w:rsid w:val="00E972A7"/>
    <w:rsid w:val="00E97470"/>
    <w:rsid w:val="00E97F7F"/>
    <w:rsid w:val="00EA04EF"/>
    <w:rsid w:val="00EA063E"/>
    <w:rsid w:val="00EA0715"/>
    <w:rsid w:val="00EA0923"/>
    <w:rsid w:val="00EA0D62"/>
    <w:rsid w:val="00EA112B"/>
    <w:rsid w:val="00EA1478"/>
    <w:rsid w:val="00EA152B"/>
    <w:rsid w:val="00EA2B93"/>
    <w:rsid w:val="00EA3BEF"/>
    <w:rsid w:val="00EA4210"/>
    <w:rsid w:val="00EA425B"/>
    <w:rsid w:val="00EA575C"/>
    <w:rsid w:val="00EA6BC8"/>
    <w:rsid w:val="00EA6FEC"/>
    <w:rsid w:val="00EA7B12"/>
    <w:rsid w:val="00EB0EA4"/>
    <w:rsid w:val="00EB174E"/>
    <w:rsid w:val="00EB1928"/>
    <w:rsid w:val="00EB1B14"/>
    <w:rsid w:val="00EB1D62"/>
    <w:rsid w:val="00EB2109"/>
    <w:rsid w:val="00EB2ABA"/>
    <w:rsid w:val="00EB31D1"/>
    <w:rsid w:val="00EB40D6"/>
    <w:rsid w:val="00EB40DA"/>
    <w:rsid w:val="00EB497B"/>
    <w:rsid w:val="00EB4B80"/>
    <w:rsid w:val="00EB4BB7"/>
    <w:rsid w:val="00EB4D00"/>
    <w:rsid w:val="00EB523A"/>
    <w:rsid w:val="00EB5257"/>
    <w:rsid w:val="00EB53F8"/>
    <w:rsid w:val="00EB5613"/>
    <w:rsid w:val="00EB62F4"/>
    <w:rsid w:val="00EB6320"/>
    <w:rsid w:val="00EB6B0C"/>
    <w:rsid w:val="00EB6B66"/>
    <w:rsid w:val="00EB751A"/>
    <w:rsid w:val="00EB7C33"/>
    <w:rsid w:val="00EB7F1D"/>
    <w:rsid w:val="00EC038E"/>
    <w:rsid w:val="00EC06AB"/>
    <w:rsid w:val="00EC16BC"/>
    <w:rsid w:val="00EC197E"/>
    <w:rsid w:val="00EC1CC3"/>
    <w:rsid w:val="00EC284B"/>
    <w:rsid w:val="00EC2EFA"/>
    <w:rsid w:val="00EC2FB1"/>
    <w:rsid w:val="00EC3235"/>
    <w:rsid w:val="00EC3C0B"/>
    <w:rsid w:val="00EC4E42"/>
    <w:rsid w:val="00EC505B"/>
    <w:rsid w:val="00EC5297"/>
    <w:rsid w:val="00EC52B1"/>
    <w:rsid w:val="00EC5451"/>
    <w:rsid w:val="00EC5479"/>
    <w:rsid w:val="00EC57DA"/>
    <w:rsid w:val="00EC59BD"/>
    <w:rsid w:val="00EC5D23"/>
    <w:rsid w:val="00EC6C24"/>
    <w:rsid w:val="00EC79FC"/>
    <w:rsid w:val="00EC7E0B"/>
    <w:rsid w:val="00EC7F6B"/>
    <w:rsid w:val="00ED09C1"/>
    <w:rsid w:val="00ED0B24"/>
    <w:rsid w:val="00ED0C4F"/>
    <w:rsid w:val="00ED0F12"/>
    <w:rsid w:val="00ED1359"/>
    <w:rsid w:val="00ED156B"/>
    <w:rsid w:val="00ED1922"/>
    <w:rsid w:val="00ED1B67"/>
    <w:rsid w:val="00ED1D24"/>
    <w:rsid w:val="00ED1EB1"/>
    <w:rsid w:val="00ED264F"/>
    <w:rsid w:val="00ED27EE"/>
    <w:rsid w:val="00ED3864"/>
    <w:rsid w:val="00ED38CD"/>
    <w:rsid w:val="00ED406D"/>
    <w:rsid w:val="00ED674C"/>
    <w:rsid w:val="00ED713F"/>
    <w:rsid w:val="00ED7492"/>
    <w:rsid w:val="00ED74F7"/>
    <w:rsid w:val="00ED7A6C"/>
    <w:rsid w:val="00EE096E"/>
    <w:rsid w:val="00EE2097"/>
    <w:rsid w:val="00EE4863"/>
    <w:rsid w:val="00EE4EE3"/>
    <w:rsid w:val="00EE554A"/>
    <w:rsid w:val="00EE5E4D"/>
    <w:rsid w:val="00EE61D6"/>
    <w:rsid w:val="00EE6EFE"/>
    <w:rsid w:val="00EF0740"/>
    <w:rsid w:val="00EF0CC9"/>
    <w:rsid w:val="00EF0EA3"/>
    <w:rsid w:val="00EF14BC"/>
    <w:rsid w:val="00EF1683"/>
    <w:rsid w:val="00EF1C02"/>
    <w:rsid w:val="00EF1C2C"/>
    <w:rsid w:val="00EF21A4"/>
    <w:rsid w:val="00EF25F2"/>
    <w:rsid w:val="00EF2923"/>
    <w:rsid w:val="00EF2AAB"/>
    <w:rsid w:val="00EF2C7A"/>
    <w:rsid w:val="00EF2DC0"/>
    <w:rsid w:val="00EF3424"/>
    <w:rsid w:val="00EF34F7"/>
    <w:rsid w:val="00EF357D"/>
    <w:rsid w:val="00EF49B7"/>
    <w:rsid w:val="00EF559B"/>
    <w:rsid w:val="00EF5A77"/>
    <w:rsid w:val="00EF623E"/>
    <w:rsid w:val="00EF62DE"/>
    <w:rsid w:val="00EF63BE"/>
    <w:rsid w:val="00EF7351"/>
    <w:rsid w:val="00EF7476"/>
    <w:rsid w:val="00EF76D9"/>
    <w:rsid w:val="00EF7986"/>
    <w:rsid w:val="00EF79FC"/>
    <w:rsid w:val="00F005FA"/>
    <w:rsid w:val="00F00647"/>
    <w:rsid w:val="00F01B48"/>
    <w:rsid w:val="00F024ED"/>
    <w:rsid w:val="00F02F58"/>
    <w:rsid w:val="00F03208"/>
    <w:rsid w:val="00F03B1A"/>
    <w:rsid w:val="00F03CA9"/>
    <w:rsid w:val="00F03DAB"/>
    <w:rsid w:val="00F04138"/>
    <w:rsid w:val="00F046C3"/>
    <w:rsid w:val="00F04D70"/>
    <w:rsid w:val="00F04E08"/>
    <w:rsid w:val="00F050A8"/>
    <w:rsid w:val="00F05508"/>
    <w:rsid w:val="00F05704"/>
    <w:rsid w:val="00F0571F"/>
    <w:rsid w:val="00F05B5C"/>
    <w:rsid w:val="00F05BD7"/>
    <w:rsid w:val="00F07301"/>
    <w:rsid w:val="00F105CE"/>
    <w:rsid w:val="00F10662"/>
    <w:rsid w:val="00F106D8"/>
    <w:rsid w:val="00F10C19"/>
    <w:rsid w:val="00F10E3D"/>
    <w:rsid w:val="00F112DD"/>
    <w:rsid w:val="00F116B7"/>
    <w:rsid w:val="00F11864"/>
    <w:rsid w:val="00F12199"/>
    <w:rsid w:val="00F122CE"/>
    <w:rsid w:val="00F13A1D"/>
    <w:rsid w:val="00F13D25"/>
    <w:rsid w:val="00F147ED"/>
    <w:rsid w:val="00F1562B"/>
    <w:rsid w:val="00F156B8"/>
    <w:rsid w:val="00F157A3"/>
    <w:rsid w:val="00F15EFB"/>
    <w:rsid w:val="00F16470"/>
    <w:rsid w:val="00F16D22"/>
    <w:rsid w:val="00F178CC"/>
    <w:rsid w:val="00F179FB"/>
    <w:rsid w:val="00F2046B"/>
    <w:rsid w:val="00F20D5B"/>
    <w:rsid w:val="00F20E6E"/>
    <w:rsid w:val="00F22572"/>
    <w:rsid w:val="00F23220"/>
    <w:rsid w:val="00F234F0"/>
    <w:rsid w:val="00F2400E"/>
    <w:rsid w:val="00F25263"/>
    <w:rsid w:val="00F255A0"/>
    <w:rsid w:val="00F25ACF"/>
    <w:rsid w:val="00F25E3F"/>
    <w:rsid w:val="00F274E8"/>
    <w:rsid w:val="00F275E5"/>
    <w:rsid w:val="00F2789D"/>
    <w:rsid w:val="00F30242"/>
    <w:rsid w:val="00F30D6C"/>
    <w:rsid w:val="00F314BB"/>
    <w:rsid w:val="00F31676"/>
    <w:rsid w:val="00F31CC1"/>
    <w:rsid w:val="00F31FAD"/>
    <w:rsid w:val="00F320E4"/>
    <w:rsid w:val="00F32284"/>
    <w:rsid w:val="00F325EB"/>
    <w:rsid w:val="00F32EAF"/>
    <w:rsid w:val="00F33456"/>
    <w:rsid w:val="00F33555"/>
    <w:rsid w:val="00F3385F"/>
    <w:rsid w:val="00F33CB5"/>
    <w:rsid w:val="00F3420B"/>
    <w:rsid w:val="00F34C01"/>
    <w:rsid w:val="00F351B9"/>
    <w:rsid w:val="00F36095"/>
    <w:rsid w:val="00F3624C"/>
    <w:rsid w:val="00F375C1"/>
    <w:rsid w:val="00F37AD9"/>
    <w:rsid w:val="00F37D45"/>
    <w:rsid w:val="00F37FDE"/>
    <w:rsid w:val="00F40C72"/>
    <w:rsid w:val="00F4189F"/>
    <w:rsid w:val="00F42261"/>
    <w:rsid w:val="00F42865"/>
    <w:rsid w:val="00F42A4A"/>
    <w:rsid w:val="00F44245"/>
    <w:rsid w:val="00F4507B"/>
    <w:rsid w:val="00F4519F"/>
    <w:rsid w:val="00F4539A"/>
    <w:rsid w:val="00F465B1"/>
    <w:rsid w:val="00F46A55"/>
    <w:rsid w:val="00F46CFA"/>
    <w:rsid w:val="00F47BEA"/>
    <w:rsid w:val="00F501E6"/>
    <w:rsid w:val="00F50615"/>
    <w:rsid w:val="00F506BB"/>
    <w:rsid w:val="00F5074D"/>
    <w:rsid w:val="00F5094E"/>
    <w:rsid w:val="00F50D08"/>
    <w:rsid w:val="00F50FC9"/>
    <w:rsid w:val="00F5148D"/>
    <w:rsid w:val="00F51931"/>
    <w:rsid w:val="00F51B05"/>
    <w:rsid w:val="00F51DE7"/>
    <w:rsid w:val="00F523E5"/>
    <w:rsid w:val="00F52D67"/>
    <w:rsid w:val="00F5341A"/>
    <w:rsid w:val="00F53860"/>
    <w:rsid w:val="00F543FB"/>
    <w:rsid w:val="00F54621"/>
    <w:rsid w:val="00F54A44"/>
    <w:rsid w:val="00F54EC9"/>
    <w:rsid w:val="00F54F92"/>
    <w:rsid w:val="00F552EF"/>
    <w:rsid w:val="00F5543C"/>
    <w:rsid w:val="00F55CE8"/>
    <w:rsid w:val="00F561D9"/>
    <w:rsid w:val="00F565A8"/>
    <w:rsid w:val="00F56A7F"/>
    <w:rsid w:val="00F5726C"/>
    <w:rsid w:val="00F57A88"/>
    <w:rsid w:val="00F603B9"/>
    <w:rsid w:val="00F605AF"/>
    <w:rsid w:val="00F6085B"/>
    <w:rsid w:val="00F60CF6"/>
    <w:rsid w:val="00F61B43"/>
    <w:rsid w:val="00F623F7"/>
    <w:rsid w:val="00F625C7"/>
    <w:rsid w:val="00F628E0"/>
    <w:rsid w:val="00F63C57"/>
    <w:rsid w:val="00F63C98"/>
    <w:rsid w:val="00F6466C"/>
    <w:rsid w:val="00F6528C"/>
    <w:rsid w:val="00F65DC4"/>
    <w:rsid w:val="00F66645"/>
    <w:rsid w:val="00F66E16"/>
    <w:rsid w:val="00F66EB0"/>
    <w:rsid w:val="00F67150"/>
    <w:rsid w:val="00F67B10"/>
    <w:rsid w:val="00F70360"/>
    <w:rsid w:val="00F7061E"/>
    <w:rsid w:val="00F706D3"/>
    <w:rsid w:val="00F70AB5"/>
    <w:rsid w:val="00F71D11"/>
    <w:rsid w:val="00F72040"/>
    <w:rsid w:val="00F73B7A"/>
    <w:rsid w:val="00F745CB"/>
    <w:rsid w:val="00F746F0"/>
    <w:rsid w:val="00F748C9"/>
    <w:rsid w:val="00F74AB5"/>
    <w:rsid w:val="00F7526A"/>
    <w:rsid w:val="00F7552E"/>
    <w:rsid w:val="00F761D6"/>
    <w:rsid w:val="00F76674"/>
    <w:rsid w:val="00F76BA4"/>
    <w:rsid w:val="00F76FE8"/>
    <w:rsid w:val="00F77C37"/>
    <w:rsid w:val="00F77EA5"/>
    <w:rsid w:val="00F77EEF"/>
    <w:rsid w:val="00F8080B"/>
    <w:rsid w:val="00F809C6"/>
    <w:rsid w:val="00F81F68"/>
    <w:rsid w:val="00F830FD"/>
    <w:rsid w:val="00F83203"/>
    <w:rsid w:val="00F8345B"/>
    <w:rsid w:val="00F83ADC"/>
    <w:rsid w:val="00F84E38"/>
    <w:rsid w:val="00F85060"/>
    <w:rsid w:val="00F85604"/>
    <w:rsid w:val="00F856BE"/>
    <w:rsid w:val="00F85E27"/>
    <w:rsid w:val="00F871E9"/>
    <w:rsid w:val="00F87273"/>
    <w:rsid w:val="00F90E59"/>
    <w:rsid w:val="00F9149F"/>
    <w:rsid w:val="00F91767"/>
    <w:rsid w:val="00F91F72"/>
    <w:rsid w:val="00F920A4"/>
    <w:rsid w:val="00F92304"/>
    <w:rsid w:val="00F9298B"/>
    <w:rsid w:val="00F94A82"/>
    <w:rsid w:val="00F95FC6"/>
    <w:rsid w:val="00F9643D"/>
    <w:rsid w:val="00F96635"/>
    <w:rsid w:val="00F96BFB"/>
    <w:rsid w:val="00F96D8F"/>
    <w:rsid w:val="00F9708B"/>
    <w:rsid w:val="00FA032E"/>
    <w:rsid w:val="00FA04FA"/>
    <w:rsid w:val="00FA07B6"/>
    <w:rsid w:val="00FA134A"/>
    <w:rsid w:val="00FA2978"/>
    <w:rsid w:val="00FA2A14"/>
    <w:rsid w:val="00FA2E03"/>
    <w:rsid w:val="00FA2F85"/>
    <w:rsid w:val="00FA364E"/>
    <w:rsid w:val="00FA40FC"/>
    <w:rsid w:val="00FA41C6"/>
    <w:rsid w:val="00FA4342"/>
    <w:rsid w:val="00FA59D7"/>
    <w:rsid w:val="00FA69B1"/>
    <w:rsid w:val="00FA72DD"/>
    <w:rsid w:val="00FA7666"/>
    <w:rsid w:val="00FA7688"/>
    <w:rsid w:val="00FA7D10"/>
    <w:rsid w:val="00FA7E24"/>
    <w:rsid w:val="00FB06FE"/>
    <w:rsid w:val="00FB1379"/>
    <w:rsid w:val="00FB1A06"/>
    <w:rsid w:val="00FB1F60"/>
    <w:rsid w:val="00FB2359"/>
    <w:rsid w:val="00FB2880"/>
    <w:rsid w:val="00FB2A74"/>
    <w:rsid w:val="00FB2C4F"/>
    <w:rsid w:val="00FB2CAC"/>
    <w:rsid w:val="00FB3308"/>
    <w:rsid w:val="00FB3DB1"/>
    <w:rsid w:val="00FB415A"/>
    <w:rsid w:val="00FB42BC"/>
    <w:rsid w:val="00FB4498"/>
    <w:rsid w:val="00FB4515"/>
    <w:rsid w:val="00FB4804"/>
    <w:rsid w:val="00FB5364"/>
    <w:rsid w:val="00FB5856"/>
    <w:rsid w:val="00FB58FF"/>
    <w:rsid w:val="00FB60D1"/>
    <w:rsid w:val="00FB6BE7"/>
    <w:rsid w:val="00FB7096"/>
    <w:rsid w:val="00FB71E6"/>
    <w:rsid w:val="00FB72FB"/>
    <w:rsid w:val="00FB742C"/>
    <w:rsid w:val="00FB7927"/>
    <w:rsid w:val="00FC0415"/>
    <w:rsid w:val="00FC086E"/>
    <w:rsid w:val="00FC0D93"/>
    <w:rsid w:val="00FC12F0"/>
    <w:rsid w:val="00FC1B03"/>
    <w:rsid w:val="00FC24E6"/>
    <w:rsid w:val="00FC2E90"/>
    <w:rsid w:val="00FC37DB"/>
    <w:rsid w:val="00FC38B4"/>
    <w:rsid w:val="00FC3C18"/>
    <w:rsid w:val="00FC4780"/>
    <w:rsid w:val="00FC4901"/>
    <w:rsid w:val="00FC4EC0"/>
    <w:rsid w:val="00FC5900"/>
    <w:rsid w:val="00FC643F"/>
    <w:rsid w:val="00FD107A"/>
    <w:rsid w:val="00FD13E0"/>
    <w:rsid w:val="00FD168F"/>
    <w:rsid w:val="00FD1E93"/>
    <w:rsid w:val="00FD307D"/>
    <w:rsid w:val="00FD4847"/>
    <w:rsid w:val="00FD51A5"/>
    <w:rsid w:val="00FD5511"/>
    <w:rsid w:val="00FD6769"/>
    <w:rsid w:val="00FD6B56"/>
    <w:rsid w:val="00FD73D2"/>
    <w:rsid w:val="00FD7D07"/>
    <w:rsid w:val="00FE07A9"/>
    <w:rsid w:val="00FE0E00"/>
    <w:rsid w:val="00FE1312"/>
    <w:rsid w:val="00FE2073"/>
    <w:rsid w:val="00FE2082"/>
    <w:rsid w:val="00FE259B"/>
    <w:rsid w:val="00FE29FA"/>
    <w:rsid w:val="00FE2D8B"/>
    <w:rsid w:val="00FE3706"/>
    <w:rsid w:val="00FE5997"/>
    <w:rsid w:val="00FE6DE4"/>
    <w:rsid w:val="00FE7071"/>
    <w:rsid w:val="00FE78F5"/>
    <w:rsid w:val="00FF0B48"/>
    <w:rsid w:val="00FF0DDA"/>
    <w:rsid w:val="00FF1011"/>
    <w:rsid w:val="00FF206F"/>
    <w:rsid w:val="00FF208E"/>
    <w:rsid w:val="00FF28A8"/>
    <w:rsid w:val="00FF2FFB"/>
    <w:rsid w:val="00FF31C0"/>
    <w:rsid w:val="00FF3392"/>
    <w:rsid w:val="00FF479C"/>
    <w:rsid w:val="00FF508D"/>
    <w:rsid w:val="00FF59FB"/>
    <w:rsid w:val="00FF640A"/>
    <w:rsid w:val="00FF6A10"/>
    <w:rsid w:val="00FF7E56"/>
    <w:rsid w:val="01E46355"/>
    <w:rsid w:val="07064019"/>
    <w:rsid w:val="07ED44BE"/>
    <w:rsid w:val="0A7809B7"/>
    <w:rsid w:val="0B780D2A"/>
    <w:rsid w:val="0C906FBD"/>
    <w:rsid w:val="0CB832EC"/>
    <w:rsid w:val="100F08E2"/>
    <w:rsid w:val="11021249"/>
    <w:rsid w:val="11CC62EB"/>
    <w:rsid w:val="13004CD8"/>
    <w:rsid w:val="132B2AAE"/>
    <w:rsid w:val="1C9D5FD9"/>
    <w:rsid w:val="1DEE6EA8"/>
    <w:rsid w:val="1FB42039"/>
    <w:rsid w:val="222D60D3"/>
    <w:rsid w:val="22C2565B"/>
    <w:rsid w:val="26822E23"/>
    <w:rsid w:val="27F27785"/>
    <w:rsid w:val="2ABD576C"/>
    <w:rsid w:val="31E949FA"/>
    <w:rsid w:val="34115D09"/>
    <w:rsid w:val="36B017B3"/>
    <w:rsid w:val="37875F6D"/>
    <w:rsid w:val="3B1662FE"/>
    <w:rsid w:val="3B240A3A"/>
    <w:rsid w:val="414D5A7D"/>
    <w:rsid w:val="417F398A"/>
    <w:rsid w:val="45510B8E"/>
    <w:rsid w:val="48D628DC"/>
    <w:rsid w:val="4B4A7DCA"/>
    <w:rsid w:val="4BD67ED0"/>
    <w:rsid w:val="4D3A7893"/>
    <w:rsid w:val="4D8712BE"/>
    <w:rsid w:val="4DAA7A1F"/>
    <w:rsid w:val="4EAA4484"/>
    <w:rsid w:val="4FEB787C"/>
    <w:rsid w:val="5002526A"/>
    <w:rsid w:val="52ED0DE3"/>
    <w:rsid w:val="559342F8"/>
    <w:rsid w:val="58592B0E"/>
    <w:rsid w:val="5AF45C50"/>
    <w:rsid w:val="5DF11787"/>
    <w:rsid w:val="5E0026DC"/>
    <w:rsid w:val="5ED20E90"/>
    <w:rsid w:val="60717F32"/>
    <w:rsid w:val="623F4D56"/>
    <w:rsid w:val="6580766F"/>
    <w:rsid w:val="67492634"/>
    <w:rsid w:val="68253479"/>
    <w:rsid w:val="68472284"/>
    <w:rsid w:val="6E755ABD"/>
    <w:rsid w:val="706933FF"/>
    <w:rsid w:val="72810756"/>
    <w:rsid w:val="73497C27"/>
    <w:rsid w:val="76A22074"/>
    <w:rsid w:val="779F3F85"/>
    <w:rsid w:val="786434B7"/>
    <w:rsid w:val="7B3D7962"/>
    <w:rsid w:val="7D44474B"/>
    <w:rsid w:val="7E803C5E"/>
    <w:rsid w:val="7EF46ED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4"/>
    <w:link w:val="108"/>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5">
    <w:name w:val="heading 2"/>
    <w:basedOn w:val="4"/>
    <w:next w:val="4"/>
    <w:link w:val="10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7"/>
    <w:qFormat/>
    <w:uiPriority w:val="0"/>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8">
    <w:name w:val="heading 4"/>
    <w:basedOn w:val="1"/>
    <w:next w:val="7"/>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9">
    <w:name w:val="heading 5"/>
    <w:basedOn w:val="1"/>
    <w:next w:val="1"/>
    <w:link w:val="110"/>
    <w:qFormat/>
    <w:uiPriority w:val="0"/>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10">
    <w:name w:val="heading 6"/>
    <w:basedOn w:val="1"/>
    <w:next w:val="1"/>
    <w:qFormat/>
    <w:uiPriority w:val="0"/>
    <w:pPr>
      <w:keepNext/>
      <w:keepLines/>
      <w:numPr>
        <w:ilvl w:val="5"/>
        <w:numId w:val="1"/>
      </w:numPr>
      <w:adjustRightInd w:val="0"/>
      <w:spacing w:before="240" w:after="64" w:line="320" w:lineRule="atLeast"/>
      <w:jc w:val="left"/>
      <w:textAlignment w:val="baseline"/>
      <w:outlineLvl w:val="5"/>
    </w:pPr>
    <w:rPr>
      <w:rFonts w:ascii="Arial" w:hAnsi="Arial" w:eastAsia="黑体"/>
      <w:b/>
      <w:bCs/>
      <w:kern w:val="0"/>
      <w:sz w:val="24"/>
    </w:rPr>
  </w:style>
  <w:style w:type="paragraph" w:styleId="11">
    <w:name w:val="heading 7"/>
    <w:basedOn w:val="1"/>
    <w:next w:val="1"/>
    <w:qFormat/>
    <w:uiPriority w:val="0"/>
    <w:pPr>
      <w:keepNext/>
      <w:keepLines/>
      <w:numPr>
        <w:ilvl w:val="6"/>
        <w:numId w:val="1"/>
      </w:numPr>
      <w:adjustRightInd w:val="0"/>
      <w:spacing w:before="240" w:after="64" w:line="320" w:lineRule="atLeast"/>
      <w:jc w:val="left"/>
      <w:textAlignment w:val="baseline"/>
      <w:outlineLvl w:val="6"/>
    </w:pPr>
    <w:rPr>
      <w:b/>
      <w:bCs/>
      <w:kern w:val="0"/>
      <w:sz w:val="24"/>
    </w:rPr>
  </w:style>
  <w:style w:type="paragraph" w:styleId="12">
    <w:name w:val="heading 8"/>
    <w:basedOn w:val="1"/>
    <w:next w:val="1"/>
    <w:qFormat/>
    <w:uiPriority w:val="0"/>
    <w:pPr>
      <w:keepNext/>
      <w:keepLines/>
      <w:numPr>
        <w:ilvl w:val="7"/>
        <w:numId w:val="1"/>
      </w:numPr>
      <w:adjustRightInd w:val="0"/>
      <w:spacing w:before="240" w:after="64" w:line="320" w:lineRule="atLeast"/>
      <w:jc w:val="left"/>
      <w:textAlignment w:val="baseline"/>
      <w:outlineLvl w:val="7"/>
    </w:pPr>
    <w:rPr>
      <w:rFonts w:ascii="Arial" w:hAnsi="Arial" w:eastAsia="黑体"/>
      <w:kern w:val="0"/>
      <w:sz w:val="24"/>
    </w:rPr>
  </w:style>
  <w:style w:type="paragraph" w:styleId="13">
    <w:name w:val="heading 9"/>
    <w:basedOn w:val="1"/>
    <w:next w:val="1"/>
    <w:qFormat/>
    <w:uiPriority w:val="0"/>
    <w:pPr>
      <w:keepNext/>
      <w:keepLines/>
      <w:numPr>
        <w:ilvl w:val="8"/>
        <w:numId w:val="1"/>
      </w:numPr>
      <w:adjustRightInd w:val="0"/>
      <w:spacing w:before="240" w:after="64" w:line="320" w:lineRule="atLeast"/>
      <w:jc w:val="left"/>
      <w:textAlignment w:val="baseline"/>
      <w:outlineLvl w:val="8"/>
    </w:pPr>
    <w:rPr>
      <w:rFonts w:ascii="Arial" w:hAnsi="Arial" w:eastAsia="黑体"/>
      <w:kern w:val="0"/>
      <w:szCs w:val="21"/>
    </w:rPr>
  </w:style>
  <w:style w:type="character" w:default="1" w:styleId="40">
    <w:name w:val="Default Paragraph Font"/>
    <w:semiHidden/>
    <w:qFormat/>
    <w:uiPriority w:val="0"/>
  </w:style>
  <w:style w:type="table" w:default="1" w:styleId="38">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sz w:val="24"/>
      <w:szCs w:val="24"/>
    </w:rPr>
  </w:style>
  <w:style w:type="paragraph" w:customStyle="1" w:styleId="4">
    <w:name w:val="方案正文"/>
    <w:basedOn w:val="1"/>
    <w:qFormat/>
    <w:uiPriority w:val="0"/>
    <w:pPr>
      <w:snapToGrid w:val="0"/>
      <w:spacing w:afterLines="50"/>
    </w:pPr>
    <w:rPr>
      <w:rFonts w:ascii="仿宋" w:hAnsi="仿宋" w:eastAsia="仿宋"/>
      <w:color w:val="000000"/>
      <w:kern w:val="0"/>
      <w:sz w:val="28"/>
      <w:szCs w:val="28"/>
    </w:rPr>
  </w:style>
  <w:style w:type="paragraph" w:customStyle="1" w:styleId="7">
    <w:name w:val="技术正文"/>
    <w:basedOn w:val="1"/>
    <w:link w:val="104"/>
    <w:qFormat/>
    <w:uiPriority w:val="0"/>
    <w:pPr>
      <w:wordWrap w:val="0"/>
      <w:spacing w:before="30" w:beforeLines="30" w:after="30" w:afterLines="30" w:line="300" w:lineRule="auto"/>
      <w:ind w:firstLine="200" w:firstLineChars="200"/>
    </w:pPr>
    <w:rPr>
      <w:rFonts w:ascii="Times New Roman" w:hAnsi="Times New Roman"/>
      <w:sz w:val="24"/>
    </w:rPr>
  </w:style>
  <w:style w:type="paragraph" w:styleId="14">
    <w:name w:val="List 3"/>
    <w:basedOn w:val="1"/>
    <w:link w:val="111"/>
    <w:qFormat/>
    <w:uiPriority w:val="0"/>
    <w:pPr>
      <w:ind w:left="100" w:leftChars="400" w:hanging="200" w:hangingChars="200"/>
    </w:pPr>
  </w:style>
  <w:style w:type="paragraph" w:styleId="15">
    <w:name w:val="Normal Indent"/>
    <w:basedOn w:val="1"/>
    <w:unhideWhenUsed/>
    <w:qFormat/>
    <w:uiPriority w:val="0"/>
    <w:pPr>
      <w:ind w:firstLine="420" w:firstLineChars="200"/>
    </w:pPr>
    <w:rPr>
      <w:rFonts w:ascii="Calibri" w:hAnsi="Calibri"/>
      <w:szCs w:val="22"/>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semiHidden/>
    <w:qFormat/>
    <w:uiPriority w:val="0"/>
    <w:pPr>
      <w:shd w:val="clear" w:color="auto" w:fill="000080"/>
    </w:pPr>
  </w:style>
  <w:style w:type="paragraph" w:styleId="18">
    <w:name w:val="annotation text"/>
    <w:basedOn w:val="1"/>
    <w:link w:val="48"/>
    <w:semiHidden/>
    <w:qFormat/>
    <w:uiPriority w:val="0"/>
    <w:pPr>
      <w:jc w:val="left"/>
    </w:pPr>
  </w:style>
  <w:style w:type="paragraph" w:styleId="19">
    <w:name w:val="Body Text 3"/>
    <w:basedOn w:val="1"/>
    <w:qFormat/>
    <w:uiPriority w:val="0"/>
    <w:pPr>
      <w:spacing w:after="120"/>
    </w:pPr>
    <w:rPr>
      <w:sz w:val="16"/>
      <w:szCs w:val="16"/>
    </w:rPr>
  </w:style>
  <w:style w:type="paragraph" w:styleId="20">
    <w:name w:val="Body Text"/>
    <w:basedOn w:val="1"/>
    <w:next w:val="21"/>
    <w:link w:val="49"/>
    <w:qFormat/>
    <w:uiPriority w:val="0"/>
    <w:pPr>
      <w:spacing w:after="120"/>
    </w:pPr>
  </w:style>
  <w:style w:type="paragraph" w:styleId="21">
    <w:name w:val="Body Text First Indent"/>
    <w:basedOn w:val="20"/>
    <w:unhideWhenUsed/>
    <w:qFormat/>
    <w:uiPriority w:val="99"/>
    <w:pPr>
      <w:spacing w:before="0" w:beforeAutospacing="0" w:after="120" w:afterAutospacing="0" w:line="360" w:lineRule="auto"/>
      <w:ind w:firstLine="420" w:firstLineChars="100"/>
    </w:pPr>
    <w:rPr>
      <w:rFonts w:ascii="Calibri" w:hAnsi="Calibri" w:eastAsia="仿宋"/>
      <w:sz w:val="28"/>
    </w:rPr>
  </w:style>
  <w:style w:type="paragraph" w:styleId="22">
    <w:name w:val="Body Text Indent"/>
    <w:basedOn w:val="1"/>
    <w:link w:val="47"/>
    <w:qFormat/>
    <w:uiPriority w:val="0"/>
    <w:pPr>
      <w:spacing w:line="500" w:lineRule="exact"/>
      <w:ind w:left="1588" w:leftChars="832" w:firstLine="433" w:firstLineChars="196"/>
    </w:pPr>
    <w:rPr>
      <w:sz w:val="24"/>
    </w:rPr>
  </w:style>
  <w:style w:type="paragraph" w:styleId="23">
    <w:name w:val="List 2"/>
    <w:basedOn w:val="1"/>
    <w:qFormat/>
    <w:uiPriority w:val="0"/>
    <w:pPr>
      <w:ind w:left="100" w:leftChars="200" w:hanging="200" w:hangingChars="200"/>
    </w:pPr>
  </w:style>
  <w:style w:type="paragraph" w:styleId="24">
    <w:name w:val="toc 3"/>
    <w:basedOn w:val="1"/>
    <w:next w:val="1"/>
    <w:qFormat/>
    <w:uiPriority w:val="39"/>
    <w:pPr>
      <w:ind w:left="840" w:leftChars="400"/>
    </w:pPr>
  </w:style>
  <w:style w:type="paragraph" w:styleId="25">
    <w:name w:val="Plain Text"/>
    <w:basedOn w:val="1"/>
    <w:link w:val="50"/>
    <w:qFormat/>
    <w:uiPriority w:val="0"/>
    <w:rPr>
      <w:rFonts w:ascii="宋体" w:hAnsi="Courier New"/>
      <w:szCs w:val="21"/>
    </w:rPr>
  </w:style>
  <w:style w:type="paragraph" w:styleId="26">
    <w:name w:val="Date"/>
    <w:basedOn w:val="1"/>
    <w:next w:val="1"/>
    <w:qFormat/>
    <w:uiPriority w:val="0"/>
    <w:pPr>
      <w:ind w:left="100" w:leftChars="2500"/>
    </w:pPr>
  </w:style>
  <w:style w:type="paragraph" w:styleId="27">
    <w:name w:val="Body Text Indent 2"/>
    <w:basedOn w:val="1"/>
    <w:qFormat/>
    <w:uiPriority w:val="0"/>
    <w:pPr>
      <w:spacing w:after="120" w:line="480" w:lineRule="auto"/>
      <w:ind w:left="420" w:leftChars="200"/>
    </w:pPr>
  </w:style>
  <w:style w:type="paragraph" w:styleId="28">
    <w:name w:val="Balloon Text"/>
    <w:basedOn w:val="1"/>
    <w:semiHidden/>
    <w:qFormat/>
    <w:uiPriority w:val="0"/>
    <w:rPr>
      <w:sz w:val="18"/>
      <w:szCs w:val="18"/>
    </w:rPr>
  </w:style>
  <w:style w:type="paragraph" w:styleId="29">
    <w:name w:val="footer"/>
    <w:basedOn w:val="1"/>
    <w:link w:val="52"/>
    <w:qFormat/>
    <w:uiPriority w:val="99"/>
    <w:pPr>
      <w:tabs>
        <w:tab w:val="center" w:pos="4153"/>
        <w:tab w:val="right" w:pos="8306"/>
      </w:tabs>
      <w:snapToGrid w:val="0"/>
      <w:jc w:val="left"/>
    </w:pPr>
    <w:rPr>
      <w:sz w:val="18"/>
      <w:szCs w:val="18"/>
    </w:rPr>
  </w:style>
  <w:style w:type="paragraph" w:styleId="3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style>
  <w:style w:type="paragraph" w:styleId="32">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33">
    <w:name w:val="Body Text Indent 3"/>
    <w:basedOn w:val="1"/>
    <w:qFormat/>
    <w:uiPriority w:val="0"/>
    <w:pPr>
      <w:tabs>
        <w:tab w:val="left" w:pos="1134"/>
        <w:tab w:val="left" w:pos="5481"/>
        <w:tab w:val="left" w:pos="5859"/>
      </w:tabs>
      <w:spacing w:line="500" w:lineRule="exact"/>
      <w:ind w:firstLine="8275" w:firstLineChars="1200"/>
    </w:pPr>
    <w:rPr>
      <w:rFonts w:eastAsia="黑体"/>
      <w:b/>
      <w:bCs/>
      <w:sz w:val="72"/>
    </w:rPr>
  </w:style>
  <w:style w:type="paragraph" w:styleId="34">
    <w:name w:val="toc 2"/>
    <w:basedOn w:val="1"/>
    <w:next w:val="1"/>
    <w:qFormat/>
    <w:uiPriority w:val="39"/>
    <w:pPr>
      <w:ind w:left="420" w:leftChars="200"/>
    </w:pPr>
  </w:style>
  <w:style w:type="paragraph" w:styleId="35">
    <w:name w:val="Normal (Web)"/>
    <w:basedOn w:val="1"/>
    <w:qFormat/>
    <w:uiPriority w:val="0"/>
    <w:rPr>
      <w:sz w:val="24"/>
    </w:rPr>
  </w:style>
  <w:style w:type="paragraph" w:styleId="36">
    <w:name w:val="annotation subject"/>
    <w:basedOn w:val="18"/>
    <w:next w:val="18"/>
    <w:semiHidden/>
    <w:qFormat/>
    <w:uiPriority w:val="0"/>
    <w:rPr>
      <w:b/>
      <w:bCs/>
    </w:rPr>
  </w:style>
  <w:style w:type="paragraph" w:styleId="37">
    <w:name w:val="Body Text First Indent 2"/>
    <w:basedOn w:val="22"/>
    <w:qFormat/>
    <w:uiPriority w:val="0"/>
    <w:pPr>
      <w:spacing w:after="0"/>
      <w:ind w:firstLine="420" w:firstLineChars="200"/>
    </w:pPr>
    <w:rPr>
      <w:rFonts w:ascii="Calibri" w:hAnsi="Calibri" w:eastAsia="宋体"/>
      <w:szCs w:val="21"/>
    </w:rPr>
  </w:style>
  <w:style w:type="table" w:styleId="39">
    <w:name w:val="Table Grid"/>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0"/>
    <w:rPr>
      <w:kern w:val="2"/>
      <w:sz w:val="21"/>
      <w:szCs w:val="24"/>
      <w:lang w:val="en-US" w:eastAsia="zh-CN" w:bidi="ar-SA"/>
    </w:rPr>
  </w:style>
  <w:style w:type="character" w:styleId="42">
    <w:name w:val="page number"/>
    <w:basedOn w:val="40"/>
    <w:qFormat/>
    <w:uiPriority w:val="0"/>
  </w:style>
  <w:style w:type="character" w:styleId="43">
    <w:name w:val="Hyperlink"/>
    <w:qFormat/>
    <w:uiPriority w:val="99"/>
    <w:rPr>
      <w:color w:val="0000FF"/>
      <w:u w:val="single"/>
    </w:rPr>
  </w:style>
  <w:style w:type="character" w:styleId="44">
    <w:name w:val="annotation reference"/>
    <w:semiHidden/>
    <w:qFormat/>
    <w:uiPriority w:val="0"/>
    <w:rPr>
      <w:sz w:val="21"/>
      <w:szCs w:val="21"/>
    </w:rPr>
  </w:style>
  <w:style w:type="paragraph" w:customStyle="1" w:styleId="45">
    <w:name w:val="UserStyle_0"/>
    <w:next w:val="1"/>
    <w:autoRedefine/>
    <w:qFormat/>
    <w:uiPriority w:val="0"/>
    <w:pPr>
      <w:textAlignment w:val="baseline"/>
    </w:pPr>
    <w:rPr>
      <w:rFonts w:ascii="宋体" w:hAnsi="宋体" w:eastAsia="宋体" w:cs="Times New Roman"/>
      <w:color w:val="000000"/>
      <w:sz w:val="24"/>
      <w:szCs w:val="24"/>
      <w:lang w:val="en-US" w:eastAsia="zh-CN" w:bidi="ar-SA"/>
    </w:rPr>
  </w:style>
  <w:style w:type="paragraph" w:customStyle="1" w:styleId="46">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47">
    <w:name w:val="正文文本缩进 Char"/>
    <w:link w:val="22"/>
    <w:qFormat/>
    <w:uiPriority w:val="0"/>
    <w:rPr>
      <w:rFonts w:eastAsia="宋体"/>
      <w:kern w:val="2"/>
      <w:sz w:val="24"/>
      <w:szCs w:val="24"/>
      <w:lang w:val="en-US" w:eastAsia="zh-CN" w:bidi="ar-SA"/>
    </w:rPr>
  </w:style>
  <w:style w:type="character" w:customStyle="1" w:styleId="48">
    <w:name w:val="批注文字 Char"/>
    <w:link w:val="18"/>
    <w:qFormat/>
    <w:uiPriority w:val="0"/>
    <w:rPr>
      <w:rFonts w:eastAsia="宋体"/>
      <w:kern w:val="2"/>
      <w:sz w:val="21"/>
      <w:szCs w:val="24"/>
      <w:lang w:val="en-US" w:eastAsia="zh-CN" w:bidi="ar-SA"/>
    </w:rPr>
  </w:style>
  <w:style w:type="character" w:customStyle="1" w:styleId="49">
    <w:name w:val="正文文本 Char"/>
    <w:link w:val="20"/>
    <w:qFormat/>
    <w:uiPriority w:val="0"/>
    <w:rPr>
      <w:rFonts w:eastAsia="宋体"/>
      <w:kern w:val="2"/>
      <w:sz w:val="21"/>
      <w:szCs w:val="24"/>
      <w:lang w:val="en-US" w:eastAsia="zh-CN" w:bidi="ar-SA"/>
    </w:rPr>
  </w:style>
  <w:style w:type="character" w:customStyle="1" w:styleId="50">
    <w:name w:val="纯文本 Char"/>
    <w:link w:val="25"/>
    <w:qFormat/>
    <w:uiPriority w:val="0"/>
    <w:rPr>
      <w:rFonts w:ascii="宋体" w:hAnsi="Courier New" w:eastAsia="宋体"/>
      <w:kern w:val="2"/>
      <w:sz w:val="21"/>
      <w:szCs w:val="21"/>
      <w:lang w:val="en-US" w:eastAsia="zh-CN" w:bidi="ar-SA"/>
    </w:rPr>
  </w:style>
  <w:style w:type="paragraph" w:customStyle="1" w:styleId="51">
    <w:name w:val="Normal_0"/>
    <w:qFormat/>
    <w:uiPriority w:val="0"/>
    <w:rPr>
      <w:rFonts w:ascii="Times New Roman" w:hAnsi="Times New Roman" w:eastAsia="Times New Roman" w:cs="Times New Roman"/>
      <w:sz w:val="24"/>
      <w:szCs w:val="24"/>
      <w:lang w:bidi="ar-SA"/>
    </w:rPr>
  </w:style>
  <w:style w:type="character" w:customStyle="1" w:styleId="52">
    <w:name w:val="页脚 Char"/>
    <w:link w:val="29"/>
    <w:qFormat/>
    <w:uiPriority w:val="99"/>
    <w:rPr>
      <w:kern w:val="2"/>
      <w:sz w:val="18"/>
      <w:szCs w:val="18"/>
    </w:rPr>
  </w:style>
  <w:style w:type="character" w:customStyle="1" w:styleId="53">
    <w:name w:val="NormalCharacter"/>
    <w:link w:val="54"/>
    <w:qFormat/>
    <w:uiPriority w:val="0"/>
  </w:style>
  <w:style w:type="paragraph" w:customStyle="1" w:styleId="54">
    <w:name w:val="UserStyle_5"/>
    <w:basedOn w:val="1"/>
    <w:link w:val="53"/>
    <w:qFormat/>
    <w:uiPriority w:val="0"/>
    <w:pPr>
      <w:widowControl/>
      <w:spacing w:after="160" w:line="240" w:lineRule="exact"/>
      <w:jc w:val="left"/>
      <w:textAlignment w:val="baseline"/>
    </w:pPr>
  </w:style>
  <w:style w:type="character" w:customStyle="1" w:styleId="55">
    <w:name w:val=" Char Char3"/>
    <w:qFormat/>
    <w:uiPriority w:val="0"/>
    <w:rPr>
      <w:rFonts w:eastAsia="宋体"/>
      <w:kern w:val="2"/>
      <w:sz w:val="21"/>
      <w:szCs w:val="24"/>
      <w:lang w:val="en-US" w:eastAsia="zh-CN" w:bidi="ar-SA"/>
    </w:rPr>
  </w:style>
  <w:style w:type="character" w:customStyle="1" w:styleId="56">
    <w:name w:val="标题 3 Char_0"/>
    <w:link w:val="57"/>
    <w:qFormat/>
    <w:uiPriority w:val="0"/>
    <w:rPr>
      <w:rFonts w:ascii="宋体" w:hAnsi="宋体"/>
      <w:b/>
      <w:kern w:val="2"/>
      <w:sz w:val="28"/>
      <w:szCs w:val="28"/>
    </w:rPr>
  </w:style>
  <w:style w:type="paragraph" w:customStyle="1" w:styleId="57">
    <w:name w:val="标题 3_0"/>
    <w:basedOn w:val="58"/>
    <w:next w:val="58"/>
    <w:link w:val="56"/>
    <w:qFormat/>
    <w:uiPriority w:val="0"/>
    <w:pPr>
      <w:autoSpaceDE w:val="0"/>
      <w:autoSpaceDN w:val="0"/>
      <w:adjustRightInd w:val="0"/>
      <w:spacing w:line="500" w:lineRule="exact"/>
      <w:jc w:val="center"/>
      <w:outlineLvl w:val="2"/>
    </w:pPr>
    <w:rPr>
      <w:rFonts w:ascii="宋体" w:hAnsi="宋体"/>
      <w:b/>
      <w:szCs w:val="28"/>
    </w:rPr>
  </w:style>
  <w:style w:type="paragraph" w:customStyle="1" w:styleId="58">
    <w:name w:val="正文_0_0"/>
    <w:qFormat/>
    <w:uiPriority w:val="0"/>
    <w:pPr>
      <w:widowControl w:val="0"/>
      <w:jc w:val="both"/>
    </w:pPr>
    <w:rPr>
      <w:rFonts w:ascii="Calibri" w:hAnsi="Calibri" w:eastAsia="宋体" w:cs="Times New Roman"/>
      <w:kern w:val="2"/>
      <w:sz w:val="28"/>
      <w:szCs w:val="22"/>
      <w:lang w:val="en-US" w:eastAsia="zh-CN" w:bidi="ar-SA"/>
    </w:rPr>
  </w:style>
  <w:style w:type="character" w:customStyle="1" w:styleId="59">
    <w:name w:val=" Char Char6"/>
    <w:qFormat/>
    <w:uiPriority w:val="0"/>
    <w:rPr>
      <w:rFonts w:eastAsia="宋体"/>
      <w:kern w:val="2"/>
      <w:sz w:val="21"/>
      <w:szCs w:val="24"/>
      <w:lang w:val="en-US" w:eastAsia="zh-CN" w:bidi="ar-SA"/>
    </w:rPr>
  </w:style>
  <w:style w:type="paragraph" w:customStyle="1" w:styleId="60">
    <w:name w:val="Char Char Char1 Char8"/>
    <w:basedOn w:val="1"/>
    <w:semiHidden/>
    <w:qFormat/>
    <w:uiPriority w:val="0"/>
    <w:pPr>
      <w:spacing w:line="360" w:lineRule="auto"/>
      <w:ind w:firstLine="200" w:firstLineChars="200"/>
    </w:pPr>
    <w:rPr>
      <w:rFonts w:ascii="宋体" w:hAnsi="宋体" w:cs="宋体"/>
      <w:sz w:val="24"/>
    </w:rPr>
  </w:style>
  <w:style w:type="paragraph" w:customStyle="1" w:styleId="61">
    <w:name w:val="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62">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63">
    <w:name w:val="Char Char Char Char Char Char"/>
    <w:basedOn w:val="17"/>
    <w:qFormat/>
    <w:uiPriority w:val="0"/>
    <w:rPr>
      <w:rFonts w:ascii="Tahoma" w:hAnsi="Tahoma"/>
      <w:sz w:val="24"/>
    </w:rPr>
  </w:style>
  <w:style w:type="paragraph" w:customStyle="1" w:styleId="64">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65">
    <w:name w:val="List Paragraph"/>
    <w:basedOn w:val="1"/>
    <w:qFormat/>
    <w:uiPriority w:val="0"/>
    <w:pPr>
      <w:ind w:firstLine="420" w:firstLineChars="200"/>
    </w:pPr>
    <w:rPr>
      <w:rFonts w:ascii="Calibri" w:hAnsi="Calibri"/>
      <w:szCs w:val="22"/>
    </w:rPr>
  </w:style>
  <w:style w:type="paragraph" w:customStyle="1" w:styleId="66">
    <w:name w:val=" Char"/>
    <w:basedOn w:val="1"/>
    <w:qFormat/>
    <w:uiPriority w:val="0"/>
    <w:pPr>
      <w:tabs>
        <w:tab w:val="left" w:pos="432"/>
      </w:tabs>
      <w:spacing w:before="156" w:beforeLines="50" w:after="156" w:afterLines="50"/>
      <w:ind w:left="432" w:hanging="432"/>
    </w:pPr>
  </w:style>
  <w:style w:type="paragraph" w:customStyle="1" w:styleId="67">
    <w:name w:val="样式 标题 2 + 宋体 五号 非加粗 黑色"/>
    <w:basedOn w:val="5"/>
    <w:qFormat/>
    <w:uiPriority w:val="0"/>
    <w:rPr>
      <w:rFonts w:ascii="宋体" w:hAnsi="宋体" w:eastAsia="宋体"/>
      <w:b w:val="0"/>
      <w:bCs w:val="0"/>
      <w:color w:val="000000"/>
      <w:sz w:val="21"/>
    </w:rPr>
  </w:style>
  <w:style w:type="paragraph" w:customStyle="1" w:styleId="68">
    <w:name w:val="附件正文"/>
    <w:basedOn w:val="1"/>
    <w:qFormat/>
    <w:uiPriority w:val="0"/>
    <w:pPr>
      <w:snapToGrid w:val="0"/>
      <w:spacing w:line="500" w:lineRule="exact"/>
      <w:ind w:firstLine="540" w:firstLineChars="225"/>
    </w:pPr>
    <w:rPr>
      <w:kern w:val="0"/>
      <w:sz w:val="24"/>
    </w:rPr>
  </w:style>
  <w:style w:type="paragraph" w:customStyle="1" w:styleId="69">
    <w:name w:val="默认段落字体 Para Char Char Char Char Char Char Char Char Char Char Char Char Char Char Char Char"/>
    <w:basedOn w:val="1"/>
    <w:qFormat/>
    <w:uiPriority w:val="0"/>
    <w:rPr>
      <w:rFonts w:ascii="Tahoma" w:hAnsi="Tahoma"/>
      <w:sz w:val="24"/>
      <w:szCs w:val="20"/>
    </w:rPr>
  </w:style>
  <w:style w:type="paragraph" w:customStyle="1" w:styleId="70">
    <w:name w:val="样式1"/>
    <w:basedOn w:val="1"/>
    <w:qFormat/>
    <w:uiPriority w:val="0"/>
    <w:pPr>
      <w:numPr>
        <w:ilvl w:val="0"/>
        <w:numId w:val="1"/>
      </w:numPr>
      <w:tabs>
        <w:tab w:val="left" w:pos="1110"/>
      </w:tabs>
      <w:adjustRightInd w:val="0"/>
      <w:textAlignment w:val="baseline"/>
    </w:pPr>
    <w:rPr>
      <w:rFonts w:ascii="宋体" w:hAnsi="宋体"/>
      <w:kern w:val="0"/>
      <w:szCs w:val="21"/>
    </w:rPr>
  </w:style>
  <w:style w:type="paragraph" w:customStyle="1" w:styleId="71">
    <w:name w:val="Char"/>
    <w:basedOn w:val="1"/>
    <w:qFormat/>
    <w:uiPriority w:val="0"/>
    <w:pPr>
      <w:tabs>
        <w:tab w:val="left" w:pos="360"/>
      </w:tabs>
      <w:spacing w:line="360" w:lineRule="auto"/>
      <w:ind w:firstLine="480" w:firstLineChars="200"/>
    </w:pPr>
    <w:rPr>
      <w:rFonts w:ascii="楷体_GB2312" w:eastAsia="楷体_GB2312"/>
      <w:sz w:val="24"/>
    </w:rPr>
  </w:style>
  <w:style w:type="paragraph" w:customStyle="1" w:styleId="72">
    <w:name w:val="样式 标题 4 + 段前: 5 磅 段后: 5 磅 行距: 单倍行距"/>
    <w:basedOn w:val="8"/>
    <w:qFormat/>
    <w:uiPriority w:val="0"/>
    <w:pPr>
      <w:spacing w:before="100" w:after="100" w:line="240" w:lineRule="auto"/>
    </w:pPr>
    <w:rPr>
      <w:rFonts w:cs="宋体"/>
      <w:szCs w:val="20"/>
    </w:rPr>
  </w:style>
  <w:style w:type="paragraph" w:customStyle="1" w:styleId="73">
    <w:name w:val="Char Char Char"/>
    <w:basedOn w:val="1"/>
    <w:qFormat/>
    <w:uiPriority w:val="0"/>
    <w:pPr>
      <w:widowControl/>
      <w:spacing w:after="160" w:line="240" w:lineRule="exact"/>
      <w:jc w:val="left"/>
    </w:pPr>
  </w:style>
  <w:style w:type="paragraph" w:customStyle="1" w:styleId="74">
    <w:name w:val="_Style 71"/>
    <w:basedOn w:val="3"/>
    <w:next w:val="1"/>
    <w:qFormat/>
    <w:uiPriority w:val="39"/>
    <w:pPr>
      <w:widowControl/>
      <w:adjustRightInd/>
      <w:spacing w:before="480" w:after="0" w:line="276" w:lineRule="auto"/>
      <w:ind w:firstLine="0"/>
      <w:textAlignment w:val="auto"/>
      <w:outlineLvl w:val="9"/>
    </w:pPr>
    <w:rPr>
      <w:rFonts w:ascii="Cambria" w:hAnsi="Cambria" w:eastAsia="宋体" w:cs="Times New Roman"/>
      <w:color w:val="365F91"/>
      <w:kern w:val="0"/>
      <w:sz w:val="28"/>
      <w:szCs w:val="28"/>
    </w:rPr>
  </w:style>
  <w:style w:type="paragraph" w:customStyle="1" w:styleId="75">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76">
    <w:name w:val="UserStyle_22"/>
    <w:basedOn w:val="77"/>
    <w:qFormat/>
    <w:uiPriority w:val="0"/>
    <w:pPr>
      <w:jc w:val="both"/>
      <w:textAlignment w:val="baseline"/>
    </w:pPr>
    <w:rPr>
      <w:kern w:val="2"/>
      <w:sz w:val="21"/>
      <w:szCs w:val="24"/>
      <w:lang w:val="en-US" w:eastAsia="zh-CN" w:bidi="ar-SA"/>
    </w:rPr>
  </w:style>
  <w:style w:type="paragraph" w:customStyle="1" w:styleId="77">
    <w:name w:val="UserStyle_23"/>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78">
    <w:name w:val="BodyTextIndent"/>
    <w:basedOn w:val="1"/>
    <w:qFormat/>
    <w:uiPriority w:val="0"/>
    <w:pPr>
      <w:spacing w:line="500" w:lineRule="exact"/>
      <w:ind w:left="1588" w:leftChars="832" w:firstLine="433" w:firstLineChars="196"/>
      <w:jc w:val="both"/>
      <w:textAlignment w:val="baseline"/>
    </w:pPr>
    <w:rPr>
      <w:rFonts w:ascii="Times New Roman" w:hAnsi="Times New Roman"/>
      <w:kern w:val="2"/>
      <w:sz w:val="24"/>
      <w:szCs w:val="24"/>
      <w:lang w:val="en-US" w:eastAsia="zh-CN" w:bidi="ar-SA"/>
    </w:rPr>
  </w:style>
  <w:style w:type="paragraph" w:customStyle="1" w:styleId="79">
    <w:name w:val="UserStyle_32"/>
    <w:qFormat/>
    <w:uiPriority w:val="0"/>
    <w:pPr>
      <w:widowControl/>
      <w:textAlignment w:val="baseline"/>
    </w:pPr>
    <w:rPr>
      <w:rFonts w:ascii="黑体" w:hAnsi="黑体" w:eastAsia="黑体" w:cs="Times New Roman"/>
      <w:b/>
      <w:sz w:val="32"/>
      <w:szCs w:val="24"/>
      <w:lang w:val="en-US" w:bidi="ar-SA"/>
    </w:rPr>
  </w:style>
  <w:style w:type="paragraph" w:customStyle="1" w:styleId="80">
    <w:name w:val="UserStyle_37"/>
    <w:qFormat/>
    <w:uiPriority w:val="0"/>
    <w:pPr>
      <w:widowControl/>
      <w:textAlignment w:val="baseline"/>
    </w:pPr>
    <w:rPr>
      <w:rFonts w:ascii="黑体" w:hAnsi="黑体" w:eastAsia="黑体" w:cs="Times New Roman"/>
      <w:b/>
      <w:sz w:val="32"/>
      <w:szCs w:val="24"/>
      <w:lang w:val="en-US" w:bidi="ar-SA"/>
    </w:rPr>
  </w:style>
  <w:style w:type="paragraph" w:customStyle="1" w:styleId="81">
    <w:name w:val="UserStyle_38"/>
    <w:qFormat/>
    <w:uiPriority w:val="0"/>
    <w:pPr>
      <w:widowControl/>
      <w:textAlignment w:val="baseline"/>
    </w:pPr>
    <w:rPr>
      <w:rFonts w:ascii="黑体" w:hAnsi="黑体" w:eastAsia="黑体" w:cs="Times New Roman"/>
      <w:b/>
      <w:sz w:val="32"/>
      <w:szCs w:val="24"/>
      <w:lang w:val="en-US" w:bidi="ar-SA"/>
    </w:rPr>
  </w:style>
  <w:style w:type="paragraph" w:customStyle="1" w:styleId="82">
    <w:name w:val="UserStyle_66"/>
    <w:basedOn w:val="83"/>
    <w:qFormat/>
    <w:uiPriority w:val="0"/>
    <w:pPr>
      <w:jc w:val="both"/>
      <w:textAlignment w:val="baseline"/>
    </w:pPr>
    <w:rPr>
      <w:rFonts w:ascii="Calibri" w:hAnsi="Calibri" w:eastAsia="宋体"/>
      <w:kern w:val="2"/>
      <w:sz w:val="21"/>
      <w:szCs w:val="22"/>
      <w:lang w:val="en-US" w:eastAsia="zh-CN" w:bidi="ar-SA"/>
    </w:rPr>
  </w:style>
  <w:style w:type="paragraph" w:customStyle="1" w:styleId="83">
    <w:name w:val="UserStyle_67"/>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84">
    <w:name w:val="UserStyle_122"/>
    <w:basedOn w:val="83"/>
    <w:qFormat/>
    <w:uiPriority w:val="0"/>
    <w:pPr>
      <w:widowControl/>
      <w:jc w:val="left"/>
      <w:textAlignment w:val="baseline"/>
    </w:pPr>
    <w:rPr>
      <w:rFonts w:ascii="黑体" w:hAnsi="黑体" w:eastAsia="黑体" w:cs="宋体"/>
      <w:b/>
      <w:bCs/>
      <w:kern w:val="0"/>
      <w:sz w:val="32"/>
      <w:szCs w:val="32"/>
      <w:lang w:val="en-US" w:eastAsia="zh-CN" w:bidi="ar-SA"/>
    </w:rPr>
  </w:style>
  <w:style w:type="paragraph" w:customStyle="1" w:styleId="85">
    <w:name w:val="UserStyle_123"/>
    <w:basedOn w:val="83"/>
    <w:next w:val="86"/>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86">
    <w:name w:val="UserStyle_124"/>
    <w:basedOn w:val="85"/>
    <w:semiHidden/>
    <w:qFormat/>
    <w:uiPriority w:val="0"/>
    <w:pPr>
      <w:snapToGrid w:val="0"/>
      <w:jc w:val="left"/>
      <w:textAlignment w:val="baseline"/>
    </w:pPr>
    <w:rPr>
      <w:rFonts w:ascii="Calibri" w:hAnsi="Calibri" w:eastAsia="宋体"/>
      <w:kern w:val="2"/>
      <w:sz w:val="18"/>
      <w:szCs w:val="18"/>
      <w:lang w:val="en-US" w:eastAsia="zh-CN" w:bidi="ar-SA"/>
    </w:rPr>
  </w:style>
  <w:style w:type="paragraph" w:customStyle="1" w:styleId="87">
    <w:name w:val="UserStyle_100"/>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88">
    <w:name w:val="UserStyle_125"/>
    <w:basedOn w:val="83"/>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89">
    <w:name w:val="UserStyle_74"/>
    <w:qFormat/>
    <w:uiPriority w:val="0"/>
    <w:pPr>
      <w:widowControl/>
      <w:textAlignment w:val="baseline"/>
    </w:pPr>
    <w:rPr>
      <w:rFonts w:ascii="黑体" w:hAnsi="黑体" w:eastAsia="黑体" w:cs="Times New Roman"/>
      <w:b/>
      <w:sz w:val="32"/>
      <w:szCs w:val="24"/>
      <w:lang w:val="en-US" w:bidi="ar-SA"/>
    </w:rPr>
  </w:style>
  <w:style w:type="paragraph" w:customStyle="1" w:styleId="90">
    <w:name w:val="正"/>
    <w:basedOn w:val="91"/>
    <w:qFormat/>
    <w:uiPriority w:val="0"/>
    <w:pPr>
      <w:ind w:firstLine="525"/>
    </w:pPr>
    <w:rPr>
      <w:spacing w:val="20"/>
      <w:szCs w:val="20"/>
    </w:rPr>
  </w:style>
  <w:style w:type="paragraph" w:customStyle="1" w:styleId="91">
    <w:name w:val="正文_1"/>
    <w:basedOn w:val="92"/>
    <w:next w:val="90"/>
    <w:qFormat/>
    <w:uiPriority w:val="0"/>
    <w:rPr>
      <w:rFonts w:ascii="Calibri" w:hAnsi="Calibri" w:cs="Calibri"/>
      <w:szCs w:val="21"/>
    </w:rPr>
  </w:style>
  <w:style w:type="paragraph" w:customStyle="1" w:styleId="92">
    <w:name w:val="正文_2"/>
    <w:basedOn w:val="9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13_0"/>
    <w:next w:val="9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5">
    <w:name w:val="正文文本_2_0"/>
    <w:basedOn w:val="94"/>
    <w:qFormat/>
    <w:uiPriority w:val="0"/>
    <w:pPr>
      <w:spacing w:after="120"/>
    </w:pPr>
  </w:style>
  <w:style w:type="paragraph" w:customStyle="1" w:styleId="96">
    <w:name w:val="UserStyle_34"/>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97">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UserStyle_82"/>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99">
    <w:name w:val="UserStyle_43"/>
    <w:qFormat/>
    <w:uiPriority w:val="0"/>
    <w:pPr>
      <w:jc w:val="both"/>
      <w:textAlignment w:val="baseline"/>
    </w:pPr>
    <w:rPr>
      <w:rFonts w:ascii="Calibri" w:hAnsi="Calibri" w:eastAsia="宋体" w:cs="Times New Roman"/>
      <w:kern w:val="2"/>
      <w:sz w:val="28"/>
      <w:szCs w:val="22"/>
      <w:lang w:val="en-US" w:eastAsia="zh-CN" w:bidi="ar-SA"/>
    </w:rPr>
  </w:style>
  <w:style w:type="paragraph" w:customStyle="1" w:styleId="100">
    <w:name w:val="yhw3"/>
    <w:basedOn w:val="1"/>
    <w:qFormat/>
    <w:uiPriority w:val="0"/>
    <w:pPr>
      <w:ind w:firstLine="640" w:firstLineChars="200"/>
    </w:pPr>
    <w:rPr>
      <w:rFonts w:cs="宋体"/>
    </w:rPr>
  </w:style>
  <w:style w:type="paragraph" w:styleId="10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HtmlNormal"/>
    <w:basedOn w:val="1"/>
    <w:qFormat/>
    <w:uiPriority w:val="0"/>
    <w:pPr>
      <w:jc w:val="both"/>
      <w:textAlignment w:val="baseline"/>
    </w:pPr>
    <w:rPr>
      <w:rFonts w:ascii="Calibri" w:hAnsi="Calibri"/>
      <w:kern w:val="2"/>
      <w:sz w:val="24"/>
      <w:szCs w:val="22"/>
      <w:lang w:val="en-US" w:eastAsia="zh-CN" w:bidi="ar-SA"/>
    </w:rPr>
  </w:style>
  <w:style w:type="paragraph" w:customStyle="1" w:styleId="103">
    <w:name w:val="_Style 2"/>
    <w:basedOn w:val="1"/>
    <w:qFormat/>
    <w:uiPriority w:val="99"/>
    <w:pPr>
      <w:ind w:firstLine="420" w:firstLineChars="200"/>
    </w:pPr>
    <w:rPr>
      <w:rFonts w:ascii="Calibri" w:hAnsi="Calibri" w:eastAsia="宋体" w:cs="Times New Roman"/>
    </w:rPr>
  </w:style>
  <w:style w:type="character" w:customStyle="1" w:styleId="104">
    <w:name w:val="技术正文 Char"/>
    <w:link w:val="7"/>
    <w:autoRedefine/>
    <w:qFormat/>
    <w:uiPriority w:val="0"/>
    <w:rPr>
      <w:rFonts w:ascii="Times New Roman" w:hAnsi="Times New Roman"/>
      <w:sz w:val="24"/>
    </w:rPr>
  </w:style>
  <w:style w:type="paragraph" w:customStyle="1" w:styleId="105">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106">
    <w:name w:val="索引 11"/>
    <w:basedOn w:val="1"/>
    <w:next w:val="1"/>
    <w:autoRedefine/>
    <w:qFormat/>
    <w:uiPriority w:val="0"/>
    <w:pPr>
      <w:spacing w:line="360" w:lineRule="auto"/>
    </w:pPr>
    <w:rPr>
      <w:rFonts w:ascii="仿宋_GB2312" w:eastAsia="仿宋_GB2312"/>
      <w:sz w:val="24"/>
      <w:szCs w:val="20"/>
    </w:rPr>
  </w:style>
  <w:style w:type="paragraph" w:customStyle="1" w:styleId="107">
    <w:name w:val="纯文本1"/>
    <w:basedOn w:val="1"/>
    <w:autoRedefine/>
    <w:qFormat/>
    <w:uiPriority w:val="0"/>
    <w:rPr>
      <w:rFonts w:ascii="宋体" w:hAnsi="Courier New"/>
      <w:kern w:val="0"/>
      <w:sz w:val="20"/>
      <w:szCs w:val="20"/>
    </w:rPr>
  </w:style>
  <w:style w:type="character" w:customStyle="1" w:styleId="108">
    <w:name w:val="标题 1 Char"/>
    <w:link w:val="3"/>
    <w:qFormat/>
    <w:uiPriority w:val="0"/>
    <w:rPr>
      <w:b/>
      <w:bCs/>
      <w:kern w:val="44"/>
      <w:sz w:val="44"/>
      <w:szCs w:val="44"/>
    </w:rPr>
  </w:style>
  <w:style w:type="character" w:customStyle="1" w:styleId="109">
    <w:name w:val="标题 2 Char"/>
    <w:link w:val="5"/>
    <w:qFormat/>
    <w:uiPriority w:val="0"/>
    <w:rPr>
      <w:rFonts w:ascii="Arial" w:hAnsi="Arial" w:eastAsia="黑体"/>
      <w:b/>
      <w:bCs/>
      <w:kern w:val="0"/>
      <w:sz w:val="32"/>
      <w:szCs w:val="32"/>
    </w:rPr>
  </w:style>
  <w:style w:type="character" w:customStyle="1" w:styleId="110">
    <w:name w:val="标题 5 Char"/>
    <w:link w:val="9"/>
    <w:qFormat/>
    <w:uiPriority w:val="0"/>
    <w:rPr>
      <w:b/>
      <w:bCs/>
      <w:kern w:val="0"/>
      <w:sz w:val="28"/>
      <w:szCs w:val="28"/>
    </w:rPr>
  </w:style>
  <w:style w:type="character" w:customStyle="1" w:styleId="111">
    <w:name w:val="列表 3 Char"/>
    <w:link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97</Pages>
  <Words>4125</Words>
  <Characters>4764</Characters>
  <Lines>250</Lines>
  <Paragraphs>70</Paragraphs>
  <TotalTime>37</TotalTime>
  <ScaleCrop>false</ScaleCrop>
  <LinksUpToDate>false</LinksUpToDate>
  <CharactersWithSpaces>4951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2015-04-19T07:05:00Z</dcterms:created>
  <dc:creator>王峰</dc:creator>
  <cp:lastModifiedBy>马琴琴琴琴琴</cp:lastModifiedBy>
  <cp:lastPrinted>2013-12-16T03:12:00Z</cp:lastPrinted>
  <dcterms:modified xsi:type="dcterms:W3CDTF">2025-06-26T04:30:30Z</dcterms:modified>
  <dc:title>滨州市政府采购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13557CD480934EEAADD25F1858AAE96D_13</vt:lpwstr>
  </property>
  <property fmtid="{D5CDD505-2E9C-101B-9397-08002B2CF9AE}" pid="4" name="KSOTemplateDocerSaveRecord">
    <vt:lpwstr>eyJoZGlkIjoiNGIyNjIzOTAxZWMyN2Y5YzVhNGJlODQ3YjIwZjk2YmYiLCJ1c2VySWQiOiIyNDIzOTU1MjAifQ==</vt:lpwstr>
  </property>
</Properties>
</file>