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DC7F2">
      <w:pPr>
        <w:keepNext w:val="0"/>
        <w:keepLines w:val="0"/>
        <w:pageBreakBefore w:val="0"/>
        <w:widowControl w:val="0"/>
        <w:kinsoku/>
        <w:wordWrap/>
        <w:overflowPunct/>
        <w:topLinePunct w:val="0"/>
        <w:autoSpaceDE/>
        <w:autoSpaceDN/>
        <w:bidi w:val="0"/>
        <w:adjustRightInd/>
        <w:snapToGrid/>
        <w:spacing w:line="720" w:lineRule="auto"/>
        <w:ind w:firstLine="560" w:firstLineChars="200"/>
        <w:jc w:val="both"/>
        <w:textAlignment w:val="auto"/>
        <w:rPr>
          <w:rFonts w:hint="eastAsia" w:ascii="宋体" w:hAnsi="宋体" w:eastAsia="宋体" w:cs="宋体"/>
          <w:sz w:val="28"/>
          <w:szCs w:val="28"/>
        </w:rPr>
      </w:pPr>
    </w:p>
    <w:p w14:paraId="45E237C8">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sz w:val="28"/>
          <w:szCs w:val="28"/>
        </w:rPr>
      </w:pPr>
      <w:r>
        <w:rPr>
          <w:rFonts w:hint="eastAsia" w:ascii="宋体" w:hAnsi="宋体" w:eastAsia="宋体" w:cs="宋体"/>
          <w:sz w:val="72"/>
          <w:szCs w:val="72"/>
        </w:rPr>
        <w:t>竞争性磋商文件</w:t>
      </w:r>
    </w:p>
    <w:p w14:paraId="62298207">
      <w:pPr>
        <w:keepNext w:val="0"/>
        <w:keepLines w:val="0"/>
        <w:pageBreakBefore w:val="0"/>
        <w:widowControl w:val="0"/>
        <w:kinsoku/>
        <w:wordWrap/>
        <w:overflowPunct/>
        <w:topLinePunct w:val="0"/>
        <w:autoSpaceDE/>
        <w:autoSpaceDN/>
        <w:bidi w:val="0"/>
        <w:adjustRightInd/>
        <w:snapToGrid/>
        <w:spacing w:line="720" w:lineRule="auto"/>
        <w:ind w:firstLine="560" w:firstLineChars="200"/>
        <w:jc w:val="both"/>
        <w:textAlignment w:val="auto"/>
        <w:rPr>
          <w:rFonts w:hint="eastAsia" w:ascii="宋体" w:hAnsi="宋体" w:eastAsia="宋体" w:cs="宋体"/>
          <w:sz w:val="28"/>
          <w:szCs w:val="28"/>
        </w:rPr>
      </w:pPr>
    </w:p>
    <w:p w14:paraId="4CB03011">
      <w:pPr>
        <w:keepNext w:val="0"/>
        <w:keepLines w:val="0"/>
        <w:pageBreakBefore w:val="0"/>
        <w:widowControl w:val="0"/>
        <w:kinsoku/>
        <w:wordWrap/>
        <w:overflowPunct/>
        <w:topLinePunct w:val="0"/>
        <w:autoSpaceDE/>
        <w:autoSpaceDN/>
        <w:bidi w:val="0"/>
        <w:adjustRightInd/>
        <w:snapToGrid/>
        <w:spacing w:line="960" w:lineRule="auto"/>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ascii="宋体" w:hAnsi="宋体" w:eastAsia="宋体" w:cs="宋体"/>
          <w:sz w:val="28"/>
          <w:szCs w:val="28"/>
          <w:lang w:val="en-US" w:eastAsia="zh-CN"/>
        </w:rPr>
        <w:t>哈密市伊吾县大白杨沟中小河流治理工程</w:t>
      </w:r>
    </w:p>
    <w:p w14:paraId="6D5E743E">
      <w:pPr>
        <w:keepNext w:val="0"/>
        <w:keepLines w:val="0"/>
        <w:pageBreakBefore w:val="0"/>
        <w:widowControl w:val="0"/>
        <w:kinsoku/>
        <w:wordWrap/>
        <w:overflowPunct/>
        <w:topLinePunct w:val="0"/>
        <w:autoSpaceDE/>
        <w:autoSpaceDN/>
        <w:bidi w:val="0"/>
        <w:adjustRightInd/>
        <w:snapToGrid/>
        <w:spacing w:line="720" w:lineRule="auto"/>
        <w:ind w:firstLine="560" w:firstLineChars="200"/>
        <w:jc w:val="both"/>
        <w:textAlignment w:val="auto"/>
        <w:rPr>
          <w:rFonts w:hint="eastAsia" w:ascii="宋体" w:hAnsi="宋体" w:eastAsia="宋体" w:cs="宋体"/>
          <w:sz w:val="28"/>
          <w:szCs w:val="28"/>
          <w:lang w:val="en-US" w:eastAsia="zh-CN"/>
        </w:rPr>
      </w:pPr>
    </w:p>
    <w:p w14:paraId="51596F19">
      <w:pPr>
        <w:keepNext w:val="0"/>
        <w:keepLines w:val="0"/>
        <w:pageBreakBefore w:val="0"/>
        <w:widowControl w:val="0"/>
        <w:kinsoku/>
        <w:wordWrap/>
        <w:overflowPunct/>
        <w:topLinePunct w:val="0"/>
        <w:autoSpaceDE/>
        <w:autoSpaceDN/>
        <w:bidi w:val="0"/>
        <w:adjustRightInd/>
        <w:snapToGrid/>
        <w:spacing w:line="960" w:lineRule="auto"/>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项目编号：XJKC-ZB-2025（065）</w:t>
      </w:r>
    </w:p>
    <w:p w14:paraId="6A98F3DB">
      <w:pPr>
        <w:keepNext w:val="0"/>
        <w:keepLines w:val="0"/>
        <w:pageBreakBefore w:val="0"/>
        <w:widowControl w:val="0"/>
        <w:kinsoku/>
        <w:wordWrap/>
        <w:overflowPunct/>
        <w:topLinePunct w:val="0"/>
        <w:autoSpaceDE/>
        <w:autoSpaceDN/>
        <w:bidi w:val="0"/>
        <w:adjustRightInd/>
        <w:snapToGrid/>
        <w:spacing w:line="720" w:lineRule="auto"/>
        <w:ind w:firstLine="560" w:firstLineChars="200"/>
        <w:jc w:val="both"/>
        <w:textAlignment w:val="auto"/>
        <w:rPr>
          <w:rFonts w:hint="eastAsia" w:ascii="宋体" w:hAnsi="宋体" w:eastAsia="宋体" w:cs="宋体"/>
          <w:sz w:val="28"/>
          <w:szCs w:val="28"/>
        </w:rPr>
      </w:pPr>
    </w:p>
    <w:p w14:paraId="7589FACD">
      <w:pPr>
        <w:keepNext w:val="0"/>
        <w:keepLines w:val="0"/>
        <w:pageBreakBefore w:val="0"/>
        <w:widowControl w:val="0"/>
        <w:kinsoku/>
        <w:wordWrap/>
        <w:overflowPunct/>
        <w:topLinePunct w:val="0"/>
        <w:autoSpaceDE/>
        <w:autoSpaceDN/>
        <w:bidi w:val="0"/>
        <w:adjustRightInd/>
        <w:snapToGrid/>
        <w:spacing w:line="9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采购人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伊吾县水利局</w:t>
      </w:r>
    </w:p>
    <w:p w14:paraId="6C01CC58">
      <w:pPr>
        <w:keepNext w:val="0"/>
        <w:keepLines w:val="0"/>
        <w:pageBreakBefore w:val="0"/>
        <w:widowControl w:val="0"/>
        <w:kinsoku/>
        <w:wordWrap/>
        <w:overflowPunct/>
        <w:topLinePunct w:val="0"/>
        <w:autoSpaceDE/>
        <w:autoSpaceDN/>
        <w:bidi w:val="0"/>
        <w:adjustRightInd/>
        <w:snapToGrid/>
        <w:spacing w:line="720" w:lineRule="auto"/>
        <w:ind w:firstLine="560" w:firstLineChars="200"/>
        <w:jc w:val="both"/>
        <w:textAlignment w:val="auto"/>
        <w:rPr>
          <w:rFonts w:hint="eastAsia" w:ascii="宋体" w:hAnsi="宋体" w:eastAsia="宋体" w:cs="宋体"/>
          <w:sz w:val="28"/>
          <w:szCs w:val="28"/>
        </w:rPr>
      </w:pPr>
    </w:p>
    <w:p w14:paraId="4FB86DDE">
      <w:pPr>
        <w:keepNext w:val="0"/>
        <w:keepLines w:val="0"/>
        <w:pageBreakBefore w:val="0"/>
        <w:widowControl w:val="0"/>
        <w:kinsoku/>
        <w:wordWrap/>
        <w:overflowPunct/>
        <w:topLinePunct w:val="0"/>
        <w:autoSpaceDE/>
        <w:autoSpaceDN/>
        <w:bidi w:val="0"/>
        <w:adjustRightInd/>
        <w:snapToGrid/>
        <w:spacing w:line="9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采购代理机构</w:t>
      </w:r>
      <w:r>
        <w:rPr>
          <w:rFonts w:hint="eastAsia" w:ascii="宋体" w:hAnsi="宋体" w:eastAsia="宋体" w:cs="宋体"/>
          <w:sz w:val="28"/>
          <w:szCs w:val="28"/>
          <w:lang w:eastAsia="zh-CN"/>
        </w:rPr>
        <w:t>：</w:t>
      </w:r>
      <w:r>
        <w:rPr>
          <w:rFonts w:hint="eastAsia" w:ascii="宋体" w:hAnsi="宋体" w:eastAsia="宋体" w:cs="宋体"/>
          <w:sz w:val="28"/>
          <w:szCs w:val="28"/>
        </w:rPr>
        <w:t>新疆科辰工程项目管理有限公司</w:t>
      </w:r>
    </w:p>
    <w:p w14:paraId="06FF1A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p>
    <w:p w14:paraId="60EDF3A2">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2025年07月</w:t>
      </w:r>
    </w:p>
    <w:p w14:paraId="551AC35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0009E251">
      <w:pPr>
        <w:jc w:val="center"/>
        <w:rPr>
          <w:rFonts w:hint="eastAsia" w:ascii="宋体" w:hAnsi="宋体" w:eastAsia="宋体" w:cs="宋体"/>
          <w:sz w:val="28"/>
          <w:szCs w:val="28"/>
          <w:lang w:val="en-US" w:eastAsia="zh-CN"/>
        </w:rPr>
      </w:pPr>
      <w:bookmarkStart w:id="0" w:name="_Toc29668"/>
      <w:r>
        <w:rPr>
          <w:rFonts w:hint="eastAsia" w:ascii="宋体" w:hAnsi="宋体" w:eastAsia="宋体" w:cs="宋体"/>
          <w:sz w:val="28"/>
          <w:szCs w:val="28"/>
          <w:lang w:val="en-US" w:eastAsia="zh-CN"/>
        </w:rPr>
        <w:t>目录</w:t>
      </w:r>
    </w:p>
    <w:p w14:paraId="64D2068B">
      <w:pPr>
        <w:pStyle w:val="5"/>
        <w:tabs>
          <w:tab w:val="right" w:leader="dot" w:pos="9746"/>
        </w:tabs>
        <w:spacing w:line="72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"1-3"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_Toc26259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第一章  竞争性磋商公告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_Toc26259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78FFC75">
      <w:pPr>
        <w:pStyle w:val="5"/>
        <w:tabs>
          <w:tab w:val="right" w:leader="dot" w:pos="9746"/>
        </w:tabs>
        <w:spacing w:line="72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_Toc31702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第二章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_Toc31702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8393CDA">
      <w:pPr>
        <w:pStyle w:val="5"/>
        <w:tabs>
          <w:tab w:val="right" w:leader="dot" w:pos="9746"/>
        </w:tabs>
        <w:spacing w:line="72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_Toc31029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第三章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_Toc31029 \h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4B91CE6">
      <w:pPr>
        <w:pStyle w:val="5"/>
        <w:tabs>
          <w:tab w:val="right" w:leader="dot" w:pos="9746"/>
        </w:tabs>
        <w:spacing w:line="72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_Toc16980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第四章  评审方法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_Toc16980 \h </w:instrText>
      </w:r>
      <w:r>
        <w:rPr>
          <w:rFonts w:hint="eastAsia" w:ascii="宋体" w:hAnsi="宋体" w:eastAsia="宋体" w:cs="宋体"/>
          <w:sz w:val="28"/>
          <w:szCs w:val="28"/>
        </w:rPr>
        <w:fldChar w:fldCharType="separate"/>
      </w:r>
      <w:r>
        <w:rPr>
          <w:rFonts w:hint="eastAsia" w:ascii="宋体" w:hAnsi="宋体" w:eastAsia="宋体" w:cs="宋体"/>
          <w:sz w:val="28"/>
          <w:szCs w:val="28"/>
        </w:rPr>
        <w:t>43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50CC85F">
      <w:pPr>
        <w:pStyle w:val="5"/>
        <w:tabs>
          <w:tab w:val="right" w:leader="dot" w:pos="9746"/>
        </w:tabs>
        <w:spacing w:line="72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_Toc31025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第五章  合同文本</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_Toc31025 \h </w:instrText>
      </w:r>
      <w:r>
        <w:rPr>
          <w:rFonts w:hint="eastAsia" w:ascii="宋体" w:hAnsi="宋体" w:eastAsia="宋体" w:cs="宋体"/>
          <w:sz w:val="28"/>
          <w:szCs w:val="28"/>
        </w:rPr>
        <w:fldChar w:fldCharType="separate"/>
      </w:r>
      <w:r>
        <w:rPr>
          <w:rFonts w:hint="eastAsia" w:ascii="宋体" w:hAnsi="宋体" w:eastAsia="宋体" w:cs="宋体"/>
          <w:sz w:val="28"/>
          <w:szCs w:val="28"/>
        </w:rPr>
        <w:t>51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1D6FCFB">
      <w:pPr>
        <w:pStyle w:val="5"/>
        <w:tabs>
          <w:tab w:val="right" w:leader="dot" w:pos="9746"/>
        </w:tabs>
        <w:spacing w:line="72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_Toc23580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第六章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_Toc23580 \h </w:instrText>
      </w:r>
      <w:r>
        <w:rPr>
          <w:rFonts w:hint="eastAsia" w:ascii="宋体" w:hAnsi="宋体" w:eastAsia="宋体" w:cs="宋体"/>
          <w:sz w:val="28"/>
          <w:szCs w:val="28"/>
        </w:rPr>
        <w:fldChar w:fldCharType="separate"/>
      </w:r>
      <w:r>
        <w:rPr>
          <w:rFonts w:hint="eastAsia" w:ascii="宋体" w:hAnsi="宋体" w:eastAsia="宋体" w:cs="宋体"/>
          <w:sz w:val="28"/>
          <w:szCs w:val="28"/>
        </w:rPr>
        <w:t>78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F77A11F">
      <w:pPr>
        <w:spacing w:line="720" w:lineRule="auto"/>
      </w:pPr>
      <w:r>
        <w:rPr>
          <w:rFonts w:hint="eastAsia" w:ascii="宋体" w:hAnsi="宋体" w:eastAsia="宋体" w:cs="宋体"/>
          <w:sz w:val="28"/>
          <w:szCs w:val="28"/>
        </w:rPr>
        <w:fldChar w:fldCharType="end"/>
      </w:r>
    </w:p>
    <w:p w14:paraId="2698D11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8"/>
          <w:szCs w:val="28"/>
          <w:lang w:val="en-US" w:eastAsia="zh-CN"/>
        </w:rPr>
        <w:sectPr>
          <w:pgSz w:w="11906" w:h="16838"/>
          <w:pgMar w:top="1440" w:right="1080" w:bottom="1440" w:left="1080" w:header="851" w:footer="992" w:gutter="0"/>
          <w:cols w:space="425" w:num="1"/>
          <w:docGrid w:type="lines" w:linePitch="312" w:charSpace="0"/>
        </w:sectPr>
      </w:pPr>
    </w:p>
    <w:p w14:paraId="684D0AC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8"/>
          <w:szCs w:val="28"/>
          <w:lang w:val="en-US" w:eastAsia="zh-CN"/>
        </w:rPr>
      </w:pPr>
      <w:bookmarkStart w:id="1" w:name="_Toc26259"/>
      <w:r>
        <w:rPr>
          <w:rFonts w:hint="eastAsia" w:ascii="宋体" w:hAnsi="宋体" w:eastAsia="宋体" w:cs="宋体"/>
          <w:sz w:val="28"/>
          <w:szCs w:val="28"/>
          <w:lang w:val="en-US" w:eastAsia="zh-CN"/>
        </w:rPr>
        <w:t xml:space="preserve">第一章  </w:t>
      </w:r>
      <w:bookmarkEnd w:id="0"/>
      <w:r>
        <w:rPr>
          <w:rFonts w:hint="eastAsia" w:ascii="宋体" w:hAnsi="宋体" w:eastAsia="宋体" w:cs="宋体"/>
          <w:sz w:val="28"/>
          <w:szCs w:val="28"/>
          <w:lang w:val="en-US" w:eastAsia="zh-CN"/>
        </w:rPr>
        <w:t>竞争性磋商公告</w:t>
      </w:r>
      <w:bookmarkEnd w:id="1"/>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0D0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0C143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项目概况</w:t>
            </w:r>
          </w:p>
          <w:p w14:paraId="141CD2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哈密市伊吾县大白杨沟中小河流治理工程采购项目的潜在供应商应在政采云平台线上获</w:t>
            </w:r>
            <w:r>
              <w:rPr>
                <w:rFonts w:hint="eastAsia" w:ascii="宋体" w:hAnsi="宋体" w:eastAsia="宋体" w:cs="宋体"/>
                <w:sz w:val="24"/>
                <w:szCs w:val="24"/>
                <w:highlight w:val="none"/>
                <w:vertAlign w:val="baseline"/>
                <w:lang w:val="en-US" w:eastAsia="zh-CN"/>
              </w:rPr>
              <w:t>取采购文件，并于2025年07月18日11：00（北京时间）前提交响应文</w:t>
            </w:r>
            <w:r>
              <w:rPr>
                <w:rFonts w:hint="eastAsia" w:ascii="宋体" w:hAnsi="宋体" w:eastAsia="宋体" w:cs="宋体"/>
                <w:sz w:val="24"/>
                <w:szCs w:val="24"/>
                <w:vertAlign w:val="baseline"/>
                <w:lang w:val="en-US" w:eastAsia="zh-CN"/>
              </w:rPr>
              <w:t>件。</w:t>
            </w:r>
          </w:p>
        </w:tc>
      </w:tr>
    </w:tbl>
    <w:p w14:paraId="52A1A2F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一、项目基本情况</w:t>
      </w:r>
    </w:p>
    <w:p w14:paraId="59B769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项目编号：XJKC-ZB-2025（065）</w:t>
      </w:r>
    </w:p>
    <w:p w14:paraId="649663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项目名称：哈密市伊吾县大白杨沟中小河流治理工程</w:t>
      </w:r>
    </w:p>
    <w:p w14:paraId="68E78C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采购方式：竞争性磋商</w:t>
      </w:r>
    </w:p>
    <w:p w14:paraId="1068B2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预算金额（元）：1965195.14</w:t>
      </w:r>
    </w:p>
    <w:p w14:paraId="4DE0EC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最高限价（元）：1965195.14</w:t>
      </w:r>
    </w:p>
    <w:p w14:paraId="7D1299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采购需求：</w:t>
      </w:r>
    </w:p>
    <w:p w14:paraId="3BD580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标项名称：哈密市伊吾县大白杨沟中小河流治理工程</w:t>
      </w:r>
    </w:p>
    <w:p w14:paraId="6B26E6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数量：1</w:t>
      </w:r>
    </w:p>
    <w:p w14:paraId="6AA4AE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预算金额（元）：1965195.14</w:t>
      </w:r>
    </w:p>
    <w:p w14:paraId="17BD6E5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单位：项</w:t>
      </w:r>
    </w:p>
    <w:p w14:paraId="493B92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简要规格描述：新建大白杨沟吐葫芦乡大石头村左侧防洪护岸1.07km（桩号37+300-37+609，38+330-39+091），治理河长1.7km。护岸沿左岸河床布置，设计护岸型式采用坡式护岸，护面材料选用厚0.3m格宾石笼。</w:t>
      </w:r>
    </w:p>
    <w:p w14:paraId="6A755C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p w14:paraId="3400E4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合同履约期限：标项1，102日历天，具体以合同签订为准。</w:t>
      </w:r>
    </w:p>
    <w:p w14:paraId="7F589A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本项目（否）接受联合体投标。</w:t>
      </w:r>
    </w:p>
    <w:p w14:paraId="21D8F71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二、申请人的资格要求：</w:t>
      </w:r>
    </w:p>
    <w:p w14:paraId="479FC2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1.满足《中华人民共和国政府采购法》第二十二条规定；</w:t>
      </w:r>
    </w:p>
    <w:p w14:paraId="19C46C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2.落实政府采购政策需满足的资格要求：标项1：本项目专门面向中小企业</w:t>
      </w:r>
    </w:p>
    <w:p w14:paraId="54AC9E7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3.本项目的特定资格要求：</w:t>
      </w:r>
    </w:p>
    <w:p w14:paraId="7594826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【标项1】</w:t>
      </w:r>
    </w:p>
    <w:p w14:paraId="7270995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（1）[供应商]具备水利水电工程施工总承包贰级（含）及以上资质，有效期内的安全生产许可证；</w:t>
      </w:r>
    </w:p>
    <w:p w14:paraId="38565DE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负责人]具备水利水电工程专业二级（含）及以上注册建造师执业资格，有效的安全生产考核合格证书（B证），同时具有水利工程相关专业中级及以上职称，且未担任其他在施建设工程项目的项目负责人、项目经理；</w:t>
      </w:r>
    </w:p>
    <w:p w14:paraId="33A86A2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（3）单位负责人为同一人或者存在控股、管理关系的不同供应商，不得参加同一标段投标或者未划分标段的同一招标项目投标。</w:t>
      </w:r>
    </w:p>
    <w:p w14:paraId="4C15458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lang w:val="en-US" w:eastAsia="zh-CN"/>
        </w:rPr>
        <w:t>三、获</w:t>
      </w:r>
      <w:r>
        <w:rPr>
          <w:rFonts w:hint="eastAsia" w:ascii="宋体" w:hAnsi="宋体" w:eastAsia="宋体" w:cs="宋体"/>
          <w:b/>
          <w:bCs/>
          <w:sz w:val="24"/>
          <w:szCs w:val="24"/>
          <w:highlight w:val="none"/>
          <w:lang w:val="en-US" w:eastAsia="zh-CN"/>
        </w:rPr>
        <w:t>取采购文件</w:t>
      </w:r>
    </w:p>
    <w:p w14:paraId="6D2583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时间：2025年07月04日至2025年07月11日，每天上午00：00至12：00，下午12：00至23：59（北京时间，法定节假日除外）</w:t>
      </w:r>
    </w:p>
    <w:p w14:paraId="6B9CBC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地点：政采云平台线上</w:t>
      </w:r>
    </w:p>
    <w:p w14:paraId="1BC498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3E9A9F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售价（元）：0</w:t>
      </w:r>
    </w:p>
    <w:p w14:paraId="33A3A85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highlight w:val="none"/>
          <w:lang w:val="en-US" w:eastAsia="zh-CN"/>
        </w:rPr>
        <w:t>响应文件提交</w:t>
      </w:r>
    </w:p>
    <w:p w14:paraId="2263DD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截止时间：2025年07月18日11：00（北京时间）</w:t>
      </w:r>
    </w:p>
    <w:p w14:paraId="5ED66F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地点：请登录政采云投标客户端投标</w:t>
      </w:r>
    </w:p>
    <w:p w14:paraId="4C20D87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kern w:val="2"/>
          <w:sz w:val="24"/>
          <w:szCs w:val="24"/>
          <w:lang w:val="en-US" w:eastAsia="zh-CN" w:bidi="ar-SA"/>
        </w:rPr>
        <w:t>五、</w:t>
      </w:r>
      <w:r>
        <w:rPr>
          <w:rFonts w:hint="eastAsia" w:ascii="宋体" w:hAnsi="宋体" w:eastAsia="宋体" w:cs="宋体"/>
          <w:b/>
          <w:bCs/>
          <w:sz w:val="24"/>
          <w:szCs w:val="24"/>
          <w:highlight w:val="none"/>
          <w:lang w:val="en-US" w:eastAsia="zh-CN"/>
        </w:rPr>
        <w:t>响应文件开启</w:t>
      </w:r>
    </w:p>
    <w:p w14:paraId="4E6BE7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开启时间：2025年07月18日11：00（北京时间）</w:t>
      </w:r>
    </w:p>
    <w:p w14:paraId="546AE4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地点：投标人登录政采云平台https://www.zcygov.cn/，进入“项目采购-开标评标-右边选择对应项目点击“进入项目”进入开标大厅。</w:t>
      </w:r>
    </w:p>
    <w:p w14:paraId="2784AA6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14:paraId="2DA57D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自本公告发布之日起3个工作日</w:t>
      </w:r>
    </w:p>
    <w:p w14:paraId="50393DA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七、其他补充事宜</w:t>
      </w:r>
    </w:p>
    <w:p w14:paraId="387866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1、本项目实行网上投标，采用电子投标文件。</w:t>
      </w:r>
    </w:p>
    <w:p w14:paraId="230429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12D705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3、供应商将政采云电子交易客户端下载、安装完成后，可通过账号密码或CA登录客户端进行投标文件的制作。在使用政采云投标客户端时，建议使用WIN7及以上操作系统。</w:t>
      </w:r>
    </w:p>
    <w:p w14:paraId="199E65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其他事项：1.根据《财政部关于在政府采购活动中查询及使用信用记录有关问题的通知》财库〔2016〕125号的规定，各供应商应在本项目采购公告发布之日起到响应文件递交截止时间期间，通过“信用中国”网站（www.creditchina.gov.cn）、中国政府采购网（www.ccgp.gov.cn）等渠道查询主体信用记录，并将信用信息查询记录作为响应文件组成部分。对列入失信被执行人的主体将拒绝其参与政府采购活动。供应商不良信用记录以采购人或采购代理机构查询结果为准。在本磋商文件规定的查询时间之外，网站信息发生的任何变更均不作为资格审查依据。2.本次采购采用电子交易方式，电子交易平台为“政府采购云平台（www.zcygov.cn）”。供应商参与本项目电子交易活动前，应注册成为政府采购云平台正式供应商。编制电子投标文件前还需申领CA证书并绑定帐号。供应商应充分考虑完成平台注册、申领CA证书等所需的时间。因未注册入库、未办理CA数字证书等原因造成无法投标或投标失败等后果由供应商自行承担。3.供应商须在在投标截止时间前通过CA在政采云平台上传加密的电子投标文件。供应商在磋商时须使用制作加密电子投标文件所使用的CA锁解密，供应商须提前配置好浏览器（建议使用360浏览器或谷歌浏览器），并确保磋商期间电脑网络环境畅通，以便磋商时解密。本项目解密时间定为30分钟，如因供应商自身原因导致无法正常解密，后果由供应商自行承担。4.各供应商对不见面开评标系统的技术操作咨询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42C2B2A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特别提示：</w:t>
      </w:r>
    </w:p>
    <w:p w14:paraId="47C189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1、采购限额标准以上，200万元以下的货物和服务采购项目、400万元以下的工程采购项目，适宜由中小企业提供的，采购人应当专门面向中小企业采购。</w:t>
      </w:r>
    </w:p>
    <w:p w14:paraId="61E250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2、超过200万元的货物和服务采购项目，预留该部分采购项目预算总额的30%以上专门面向中小企业采购，其中预留给小微企业的比例不低于60%。</w:t>
      </w:r>
    </w:p>
    <w:p w14:paraId="54E739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3、超过400万元的工程采购项目中适宜由中小企业提供的，预留该部分采购项目预算总额的40%以上专门面向中小企业采购，其中预留给小微企业的比例不低于60%。</w:t>
      </w:r>
    </w:p>
    <w:p w14:paraId="660087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DBACF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BC1EF5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八、凡对本次招标提出询问，请按以下方式联系</w:t>
      </w:r>
    </w:p>
    <w:p w14:paraId="4C6CE4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1.采购人信息</w:t>
      </w:r>
    </w:p>
    <w:p w14:paraId="0448E9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名称：伊吾县水利局</w:t>
      </w:r>
    </w:p>
    <w:p w14:paraId="6FF0F8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地址：哈密市伊吾县伊吾镇振兴西路177号</w:t>
      </w:r>
    </w:p>
    <w:p w14:paraId="656DE7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w:t>
      </w:r>
      <w:bookmarkStart w:id="11" w:name="_GoBack"/>
      <w:bookmarkEnd w:id="11"/>
      <w:r>
        <w:rPr>
          <w:rFonts w:hint="eastAsia" w:ascii="宋体" w:hAnsi="宋体" w:eastAsia="宋体" w:cs="宋体"/>
          <w:sz w:val="24"/>
          <w:szCs w:val="24"/>
          <w:lang w:val="en-US" w:eastAsia="zh-CN"/>
        </w:rPr>
        <w:t>18199792266</w:t>
      </w:r>
    </w:p>
    <w:p w14:paraId="5F3EE6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p>
    <w:p w14:paraId="5DF256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名称：新疆科辰工程项目管理有限公司</w:t>
      </w:r>
    </w:p>
    <w:p w14:paraId="4C4884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地址：新疆乌鲁木齐市水磨沟区红光山路2588号绿地中心智海大厦20层办公8室</w:t>
      </w:r>
    </w:p>
    <w:p w14:paraId="54A9E3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联系方式：18016898352</w:t>
      </w:r>
    </w:p>
    <w:p w14:paraId="2616D9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3.项目联系方式</w:t>
      </w:r>
    </w:p>
    <w:p w14:paraId="5CBF6F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项目联系人：李鑫</w:t>
      </w:r>
    </w:p>
    <w:p w14:paraId="2AB46B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电话：18016898352</w:t>
      </w:r>
    </w:p>
    <w:p w14:paraId="14B6755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54B40F5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8"/>
          <w:szCs w:val="28"/>
          <w:lang w:val="en-US" w:eastAsia="zh-CN"/>
        </w:rPr>
      </w:pPr>
      <w:bookmarkStart w:id="2" w:name="_Toc17967"/>
      <w:bookmarkStart w:id="3" w:name="_Toc31702"/>
      <w:r>
        <w:rPr>
          <w:rFonts w:hint="eastAsia" w:ascii="宋体" w:hAnsi="宋体" w:eastAsia="宋体" w:cs="宋体"/>
          <w:sz w:val="28"/>
          <w:szCs w:val="28"/>
          <w:lang w:val="en-US" w:eastAsia="zh-CN"/>
        </w:rPr>
        <w:t>第二章  供应商须知</w:t>
      </w:r>
      <w:bookmarkEnd w:id="2"/>
      <w:bookmarkEnd w:id="3"/>
    </w:p>
    <w:p w14:paraId="222D0BC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供应商须知前附表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1035"/>
        <w:gridCol w:w="8445"/>
      </w:tblGrid>
      <w:tr w14:paraId="2447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062250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序号</w:t>
            </w:r>
          </w:p>
        </w:tc>
        <w:tc>
          <w:tcPr>
            <w:tcW w:w="0" w:type="auto"/>
            <w:vAlign w:val="center"/>
          </w:tcPr>
          <w:p w14:paraId="1ED16D5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条款名称</w:t>
            </w:r>
          </w:p>
        </w:tc>
        <w:tc>
          <w:tcPr>
            <w:tcW w:w="0" w:type="auto"/>
            <w:vAlign w:val="center"/>
          </w:tcPr>
          <w:p w14:paraId="5F51733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内容</w:t>
            </w:r>
          </w:p>
        </w:tc>
      </w:tr>
      <w:tr w14:paraId="339F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16459E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0" w:type="auto"/>
            <w:vAlign w:val="center"/>
          </w:tcPr>
          <w:p w14:paraId="45B8129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采购人</w:t>
            </w:r>
            <w:r>
              <w:rPr>
                <w:rFonts w:hint="eastAsia" w:ascii="宋体" w:hAnsi="宋体" w:eastAsia="宋体" w:cs="宋体"/>
                <w:sz w:val="24"/>
                <w:szCs w:val="24"/>
                <w:vertAlign w:val="baseline"/>
                <w:lang w:val="en-US" w:eastAsia="zh-CN"/>
              </w:rPr>
              <w:t>信息</w:t>
            </w:r>
          </w:p>
        </w:tc>
        <w:tc>
          <w:tcPr>
            <w:tcW w:w="0" w:type="auto"/>
            <w:vAlign w:val="center"/>
          </w:tcPr>
          <w:p w14:paraId="59FC5A56">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采购人：</w:t>
            </w:r>
            <w:r>
              <w:rPr>
                <w:rFonts w:hint="eastAsia" w:ascii="宋体" w:hAnsi="宋体" w:eastAsia="宋体" w:cs="宋体"/>
                <w:sz w:val="24"/>
                <w:szCs w:val="24"/>
                <w:vertAlign w:val="baseline"/>
                <w:lang w:val="en-US" w:eastAsia="zh-CN"/>
              </w:rPr>
              <w:t>伊吾县水利局</w:t>
            </w:r>
          </w:p>
          <w:p w14:paraId="76B8A215">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地址：</w:t>
            </w:r>
            <w:r>
              <w:rPr>
                <w:rFonts w:hint="eastAsia" w:ascii="宋体" w:hAnsi="宋体" w:eastAsia="宋体" w:cs="宋体"/>
                <w:sz w:val="24"/>
                <w:szCs w:val="24"/>
                <w:vertAlign w:val="baseline"/>
                <w:lang w:val="en-US" w:eastAsia="zh-CN"/>
              </w:rPr>
              <w:t>哈密市伊吾县伊吾镇振兴西路177号</w:t>
            </w:r>
          </w:p>
          <w:p w14:paraId="3DF3A34E">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联系方式：</w:t>
            </w:r>
            <w:r>
              <w:rPr>
                <w:rFonts w:hint="eastAsia" w:ascii="宋体" w:hAnsi="宋体" w:eastAsia="宋体" w:cs="宋体"/>
                <w:sz w:val="24"/>
                <w:szCs w:val="24"/>
                <w:vertAlign w:val="baseline"/>
                <w:lang w:val="en-US" w:eastAsia="zh-CN"/>
              </w:rPr>
              <w:t>18199792266</w:t>
            </w:r>
          </w:p>
        </w:tc>
      </w:tr>
      <w:tr w14:paraId="4FE0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4BB1DA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0" w:type="auto"/>
            <w:vAlign w:val="center"/>
          </w:tcPr>
          <w:p w14:paraId="4005C99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采购代理机构</w:t>
            </w:r>
            <w:r>
              <w:rPr>
                <w:rFonts w:hint="eastAsia" w:ascii="宋体" w:hAnsi="宋体" w:eastAsia="宋体" w:cs="宋体"/>
                <w:sz w:val="24"/>
                <w:szCs w:val="24"/>
                <w:vertAlign w:val="baseline"/>
                <w:lang w:val="en-US" w:eastAsia="zh-CN"/>
              </w:rPr>
              <w:t>信息</w:t>
            </w:r>
          </w:p>
        </w:tc>
        <w:tc>
          <w:tcPr>
            <w:tcW w:w="0" w:type="auto"/>
            <w:vAlign w:val="center"/>
          </w:tcPr>
          <w:p w14:paraId="4878DE3F">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采购代理机构：新疆科辰工程项目管理有限公司</w:t>
            </w:r>
          </w:p>
          <w:p w14:paraId="4B5C881B">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地址：新疆乌鲁木齐市水磨沟区红光山路2588号绿地中心智海大厦20层办公8室</w:t>
            </w:r>
          </w:p>
          <w:p w14:paraId="3CE089F9">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联系人：李鑫</w:t>
            </w:r>
          </w:p>
          <w:p w14:paraId="67077F51">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联系方式：18016898352</w:t>
            </w:r>
          </w:p>
        </w:tc>
      </w:tr>
      <w:tr w14:paraId="615B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CB2D03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0" w:type="auto"/>
            <w:vAlign w:val="center"/>
          </w:tcPr>
          <w:p w14:paraId="0332329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项目</w:t>
            </w:r>
            <w:r>
              <w:rPr>
                <w:rFonts w:hint="eastAsia" w:ascii="宋体" w:hAnsi="宋体" w:eastAsia="宋体" w:cs="宋体"/>
                <w:sz w:val="24"/>
                <w:szCs w:val="24"/>
                <w:vertAlign w:val="baseline"/>
                <w:lang w:val="en-US" w:eastAsia="zh-CN"/>
              </w:rPr>
              <w:t>名称及编号</w:t>
            </w:r>
          </w:p>
        </w:tc>
        <w:tc>
          <w:tcPr>
            <w:tcW w:w="0" w:type="auto"/>
            <w:vAlign w:val="center"/>
          </w:tcPr>
          <w:p w14:paraId="19E7AEAE">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项目名称：</w:t>
            </w:r>
            <w:r>
              <w:rPr>
                <w:rFonts w:hint="eastAsia" w:ascii="宋体" w:hAnsi="宋体" w:eastAsia="宋体" w:cs="宋体"/>
                <w:sz w:val="24"/>
                <w:szCs w:val="24"/>
                <w:vertAlign w:val="baseline"/>
                <w:lang w:val="en-US" w:eastAsia="zh-CN"/>
              </w:rPr>
              <w:t>哈密市伊吾县大白杨沟中小河流治理工程</w:t>
            </w:r>
          </w:p>
          <w:p w14:paraId="00BCF7F4">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项目编号：</w:t>
            </w:r>
            <w:r>
              <w:rPr>
                <w:rFonts w:hint="eastAsia" w:ascii="宋体" w:hAnsi="宋体" w:eastAsia="宋体" w:cs="宋体"/>
                <w:sz w:val="24"/>
                <w:szCs w:val="24"/>
                <w:vertAlign w:val="baseline"/>
                <w:lang w:val="en-US" w:eastAsia="zh-CN"/>
              </w:rPr>
              <w:t>XJKC-ZB-2025（065）</w:t>
            </w:r>
          </w:p>
        </w:tc>
      </w:tr>
      <w:tr w14:paraId="777EA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216E61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0" w:type="auto"/>
            <w:vAlign w:val="center"/>
          </w:tcPr>
          <w:p w14:paraId="2F6BFA9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资金来源</w:t>
            </w:r>
          </w:p>
        </w:tc>
        <w:tc>
          <w:tcPr>
            <w:tcW w:w="0" w:type="auto"/>
            <w:vAlign w:val="center"/>
          </w:tcPr>
          <w:p w14:paraId="2CED9C81">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中央水利发展资金及县财政资金</w:t>
            </w:r>
          </w:p>
        </w:tc>
      </w:tr>
      <w:tr w14:paraId="184E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B2050B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0" w:type="auto"/>
            <w:vAlign w:val="center"/>
          </w:tcPr>
          <w:p w14:paraId="1D7DDBE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落实情况</w:t>
            </w:r>
          </w:p>
        </w:tc>
        <w:tc>
          <w:tcPr>
            <w:tcW w:w="0" w:type="auto"/>
            <w:vAlign w:val="center"/>
          </w:tcPr>
          <w:p w14:paraId="099F7F1F">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已落实</w:t>
            </w:r>
          </w:p>
        </w:tc>
      </w:tr>
      <w:tr w14:paraId="15BD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ABD11F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0" w:type="auto"/>
            <w:vAlign w:val="center"/>
          </w:tcPr>
          <w:p w14:paraId="4350F7A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建设地点</w:t>
            </w:r>
          </w:p>
        </w:tc>
        <w:tc>
          <w:tcPr>
            <w:tcW w:w="0" w:type="auto"/>
            <w:vAlign w:val="center"/>
          </w:tcPr>
          <w:p w14:paraId="1FE99E20">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伊吾县吐葫芦乡</w:t>
            </w:r>
          </w:p>
        </w:tc>
      </w:tr>
      <w:tr w14:paraId="53E8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A4D287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0" w:type="auto"/>
            <w:vAlign w:val="center"/>
          </w:tcPr>
          <w:p w14:paraId="2C0D6CB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采购内容</w:t>
            </w:r>
          </w:p>
        </w:tc>
        <w:tc>
          <w:tcPr>
            <w:tcW w:w="0" w:type="auto"/>
            <w:vAlign w:val="center"/>
          </w:tcPr>
          <w:p w14:paraId="2D87C853">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新建大白杨沟吐葫芦乡大石头村左侧防洪护岸1.07km（桩号37+300-37+609，38+330-39+091），治理河长1.7km。护岸沿左岸河床布置，设计护岸型式采用坡式护岸，护面材料选用厚0.3m格宾石笼</w:t>
            </w:r>
          </w:p>
        </w:tc>
      </w:tr>
      <w:tr w14:paraId="4439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63319F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0" w:type="auto"/>
            <w:vAlign w:val="center"/>
          </w:tcPr>
          <w:p w14:paraId="5C349BA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质量要求</w:t>
            </w:r>
          </w:p>
        </w:tc>
        <w:tc>
          <w:tcPr>
            <w:tcW w:w="0" w:type="auto"/>
            <w:vAlign w:val="center"/>
          </w:tcPr>
          <w:p w14:paraId="2B7EA9B4">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合格</w:t>
            </w:r>
          </w:p>
        </w:tc>
      </w:tr>
      <w:tr w14:paraId="428D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FDB4F3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0" w:type="auto"/>
            <w:vAlign w:val="center"/>
          </w:tcPr>
          <w:p w14:paraId="3CE3D2F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highlight w:val="none"/>
                <w:vertAlign w:val="baseline"/>
                <w:lang w:val="en-US" w:eastAsia="zh-CN"/>
              </w:rPr>
            </w:pPr>
            <w:r>
              <w:rPr>
                <w:rFonts w:hint="default" w:ascii="宋体" w:hAnsi="宋体" w:eastAsia="宋体" w:cs="宋体"/>
                <w:sz w:val="24"/>
                <w:szCs w:val="24"/>
                <w:highlight w:val="none"/>
                <w:vertAlign w:val="baseline"/>
                <w:lang w:val="en-US" w:eastAsia="zh-CN"/>
              </w:rPr>
              <w:t>工期</w:t>
            </w:r>
          </w:p>
        </w:tc>
        <w:tc>
          <w:tcPr>
            <w:tcW w:w="0" w:type="auto"/>
            <w:vAlign w:val="center"/>
          </w:tcPr>
          <w:p w14:paraId="5E6D5BD3">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highlight w:val="none"/>
                <w:vertAlign w:val="baseline"/>
                <w:lang w:val="en-US" w:eastAsia="zh-CN"/>
              </w:rPr>
            </w:pPr>
            <w:r>
              <w:rPr>
                <w:rFonts w:hint="default" w:ascii="宋体" w:hAnsi="宋体" w:eastAsia="宋体" w:cs="宋体"/>
                <w:sz w:val="24"/>
                <w:szCs w:val="24"/>
                <w:highlight w:val="none"/>
                <w:vertAlign w:val="baseline"/>
                <w:lang w:val="en-US" w:eastAsia="zh-CN"/>
              </w:rPr>
              <w:t>计划工期：</w:t>
            </w:r>
            <w:r>
              <w:rPr>
                <w:rFonts w:hint="eastAsia" w:ascii="宋体" w:hAnsi="宋体" w:eastAsia="宋体" w:cs="宋体"/>
                <w:sz w:val="24"/>
                <w:szCs w:val="24"/>
                <w:highlight w:val="none"/>
                <w:vertAlign w:val="baseline"/>
                <w:lang w:val="en-US" w:eastAsia="zh-CN"/>
              </w:rPr>
              <w:t>102</w:t>
            </w:r>
            <w:r>
              <w:rPr>
                <w:rFonts w:hint="default" w:ascii="宋体" w:hAnsi="宋体" w:eastAsia="宋体" w:cs="宋体"/>
                <w:sz w:val="24"/>
                <w:szCs w:val="24"/>
                <w:highlight w:val="none"/>
                <w:vertAlign w:val="baseline"/>
                <w:lang w:val="en-US" w:eastAsia="zh-CN"/>
              </w:rPr>
              <w:t>日历天</w:t>
            </w:r>
            <w:r>
              <w:rPr>
                <w:rFonts w:hint="eastAsia" w:ascii="宋体" w:hAnsi="宋体" w:eastAsia="宋体" w:cs="宋体"/>
                <w:sz w:val="24"/>
                <w:szCs w:val="24"/>
                <w:highlight w:val="none"/>
                <w:vertAlign w:val="baseline"/>
                <w:lang w:val="en-US" w:eastAsia="zh-CN"/>
              </w:rPr>
              <w:t>（</w:t>
            </w:r>
            <w:r>
              <w:rPr>
                <w:rFonts w:hint="default" w:ascii="宋体" w:hAnsi="宋体" w:eastAsia="宋体" w:cs="宋体"/>
                <w:sz w:val="24"/>
                <w:szCs w:val="24"/>
                <w:highlight w:val="none"/>
                <w:vertAlign w:val="baseline"/>
                <w:lang w:val="en-US" w:eastAsia="zh-CN"/>
              </w:rPr>
              <w:t>具体以合同约定为准）；</w:t>
            </w:r>
          </w:p>
          <w:p w14:paraId="00F4AD86">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highlight w:val="none"/>
                <w:vertAlign w:val="baseline"/>
                <w:lang w:val="en-US" w:eastAsia="zh-CN"/>
              </w:rPr>
            </w:pPr>
            <w:r>
              <w:rPr>
                <w:rFonts w:hint="default" w:ascii="宋体" w:hAnsi="宋体" w:eastAsia="宋体" w:cs="宋体"/>
                <w:sz w:val="24"/>
                <w:szCs w:val="24"/>
                <w:highlight w:val="none"/>
                <w:vertAlign w:val="baseline"/>
                <w:lang w:val="en-US" w:eastAsia="zh-CN"/>
              </w:rPr>
              <w:t>计划开工日期：2025年07月21日</w:t>
            </w:r>
          </w:p>
          <w:p w14:paraId="081D4C41">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highlight w:val="none"/>
                <w:vertAlign w:val="baseline"/>
                <w:lang w:val="en-US" w:eastAsia="zh-CN"/>
              </w:rPr>
            </w:pPr>
            <w:r>
              <w:rPr>
                <w:rFonts w:hint="default" w:ascii="宋体" w:hAnsi="宋体" w:eastAsia="宋体" w:cs="宋体"/>
                <w:sz w:val="24"/>
                <w:szCs w:val="24"/>
                <w:highlight w:val="none"/>
                <w:vertAlign w:val="baseline"/>
                <w:lang w:val="en-US" w:eastAsia="zh-CN"/>
              </w:rPr>
              <w:t>计划竣工日期：2025年</w:t>
            </w:r>
            <w:r>
              <w:rPr>
                <w:rFonts w:hint="eastAsia" w:ascii="宋体" w:hAnsi="宋体" w:eastAsia="宋体" w:cs="宋体"/>
                <w:sz w:val="24"/>
                <w:szCs w:val="24"/>
                <w:highlight w:val="none"/>
                <w:vertAlign w:val="baseline"/>
                <w:lang w:val="en-US" w:eastAsia="zh-CN"/>
              </w:rPr>
              <w:t>10</w:t>
            </w:r>
            <w:r>
              <w:rPr>
                <w:rFonts w:hint="default" w:ascii="宋体" w:hAnsi="宋体" w:eastAsia="宋体" w:cs="宋体"/>
                <w:sz w:val="24"/>
                <w:szCs w:val="24"/>
                <w:highlight w:val="none"/>
                <w:vertAlign w:val="baseline"/>
                <w:lang w:val="en-US" w:eastAsia="zh-CN"/>
              </w:rPr>
              <w:t>月</w:t>
            </w:r>
            <w:r>
              <w:rPr>
                <w:rFonts w:hint="eastAsia" w:ascii="宋体" w:hAnsi="宋体" w:eastAsia="宋体" w:cs="宋体"/>
                <w:sz w:val="24"/>
                <w:szCs w:val="24"/>
                <w:highlight w:val="none"/>
                <w:vertAlign w:val="baseline"/>
                <w:lang w:val="en-US" w:eastAsia="zh-CN"/>
              </w:rPr>
              <w:t>31</w:t>
            </w:r>
            <w:r>
              <w:rPr>
                <w:rFonts w:hint="default" w:ascii="宋体" w:hAnsi="宋体" w:eastAsia="宋体" w:cs="宋体"/>
                <w:sz w:val="24"/>
                <w:szCs w:val="24"/>
                <w:highlight w:val="none"/>
                <w:vertAlign w:val="baseline"/>
                <w:lang w:val="en-US" w:eastAsia="zh-CN"/>
              </w:rPr>
              <w:t>日</w:t>
            </w:r>
          </w:p>
        </w:tc>
      </w:tr>
      <w:tr w14:paraId="21C0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0DE45E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0" w:type="auto"/>
            <w:vAlign w:val="center"/>
          </w:tcPr>
          <w:p w14:paraId="403BE73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供应商资格条件</w:t>
            </w:r>
          </w:p>
        </w:tc>
        <w:tc>
          <w:tcPr>
            <w:tcW w:w="0" w:type="auto"/>
            <w:vAlign w:val="center"/>
          </w:tcPr>
          <w:p w14:paraId="1DDC9CC6">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1.满足《中华人民共和国政府采购法》第二十二条规定：</w:t>
            </w:r>
          </w:p>
          <w:p w14:paraId="5D2786B8">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（1）具有独立承担民事责任的能力；</w:t>
            </w:r>
          </w:p>
          <w:p w14:paraId="6CCB3EC7">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（2）具有健全的财务会计制度；</w:t>
            </w:r>
          </w:p>
          <w:p w14:paraId="4085AA67">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（3）具有履行合同所必需的设备和专业技术能力；</w:t>
            </w:r>
          </w:p>
          <w:p w14:paraId="3785F8CE">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（4）有依法缴纳税收和社会保障资金的良好记录；</w:t>
            </w:r>
          </w:p>
          <w:p w14:paraId="26B425C6">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（5）参加政府采购活动前三年内，在经营活动中没有重大违法记录；</w:t>
            </w:r>
          </w:p>
          <w:p w14:paraId="09DE0C5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（6）法律、行政法规规定的其他条件。</w:t>
            </w:r>
          </w:p>
          <w:p w14:paraId="2A5E36CF">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2.落实政府采购政策需满足的资格要求：本项目专门面向中小企业</w:t>
            </w:r>
          </w:p>
          <w:p w14:paraId="3A6F875D">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3.本项目的特定资格要求：</w:t>
            </w:r>
          </w:p>
          <w:p w14:paraId="01000151">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（1）[供应商]</w:t>
            </w:r>
            <w:r>
              <w:rPr>
                <w:rFonts w:hint="eastAsia" w:ascii="宋体" w:hAnsi="宋体" w:eastAsia="宋体" w:cs="宋体"/>
                <w:sz w:val="24"/>
                <w:szCs w:val="24"/>
                <w:vertAlign w:val="baseline"/>
                <w:lang w:val="en-US" w:eastAsia="zh-CN"/>
              </w:rPr>
              <w:t>具备水利水电工程施工总承包贰级（含）及以上资质</w:t>
            </w:r>
            <w:r>
              <w:rPr>
                <w:rFonts w:hint="default" w:ascii="宋体" w:hAnsi="宋体" w:eastAsia="宋体" w:cs="宋体"/>
                <w:sz w:val="24"/>
                <w:szCs w:val="24"/>
                <w:vertAlign w:val="baseline"/>
                <w:lang w:val="en-US" w:eastAsia="zh-CN"/>
              </w:rPr>
              <w:t>，有效期内的安全生产许可证；</w:t>
            </w:r>
          </w:p>
          <w:p w14:paraId="760B754F">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（2）[项目负责人]具备水利水电工程专业二级（含）及以上注册建造师执业资格，有效的安全生产考核合格证书（B证），</w:t>
            </w:r>
            <w:r>
              <w:rPr>
                <w:rFonts w:hint="eastAsia" w:ascii="宋体" w:hAnsi="宋体" w:eastAsia="宋体" w:cs="宋体"/>
                <w:sz w:val="24"/>
                <w:szCs w:val="24"/>
                <w:vertAlign w:val="baseline"/>
                <w:lang w:val="en-US" w:eastAsia="zh-CN"/>
              </w:rPr>
              <w:t>同时具有水利工程相关专业中级及以上职称</w:t>
            </w:r>
            <w:r>
              <w:rPr>
                <w:rFonts w:hint="default" w:ascii="宋体" w:hAnsi="宋体" w:eastAsia="宋体" w:cs="宋体"/>
                <w:sz w:val="24"/>
                <w:szCs w:val="24"/>
                <w:vertAlign w:val="baseline"/>
                <w:lang w:val="en-US" w:eastAsia="zh-CN"/>
              </w:rPr>
              <w:t>，且未担任其他在施建设工程项目的项目负责人、项目经理；</w:t>
            </w:r>
          </w:p>
          <w:p w14:paraId="3ADE8BED">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（3）单位负责人为同一人或者存在控股、管理关系的不同供应商，不得参加同一标段投标或者未划分标段的同一招标项目投标。</w:t>
            </w:r>
          </w:p>
          <w:p w14:paraId="5AEBDF71">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说明：</w:t>
            </w:r>
            <w:r>
              <w:rPr>
                <w:rFonts w:hint="default" w:ascii="宋体" w:hAnsi="宋体" w:eastAsia="宋体" w:cs="宋体"/>
                <w:sz w:val="24"/>
                <w:szCs w:val="24"/>
                <w:vertAlign w:val="baseline"/>
                <w:lang w:val="en-US" w:eastAsia="zh-CN"/>
              </w:rPr>
              <w:t>本项目专门面向中小</w:t>
            </w:r>
            <w:r>
              <w:rPr>
                <w:rFonts w:hint="eastAsia" w:ascii="宋体" w:hAnsi="宋体" w:eastAsia="宋体" w:cs="宋体"/>
                <w:sz w:val="24"/>
                <w:szCs w:val="24"/>
                <w:vertAlign w:val="baseline"/>
                <w:lang w:val="en-US" w:eastAsia="zh-CN"/>
              </w:rPr>
              <w:t>微</w:t>
            </w:r>
            <w:r>
              <w:rPr>
                <w:rFonts w:hint="default" w:ascii="宋体" w:hAnsi="宋体" w:eastAsia="宋体" w:cs="宋体"/>
                <w:sz w:val="24"/>
                <w:szCs w:val="24"/>
                <w:vertAlign w:val="baseline"/>
                <w:lang w:val="en-US" w:eastAsia="zh-CN"/>
              </w:rPr>
              <w:t>企业采购，大型企业不允许参加此项目投标。供应商应根据工信部等部委发布的《关于印发中小企业划型标准规定的通知》（工信部联企业〔2011〕300号），自行确认企业类型。本次采购项目所属行业为“建筑业”，符合要求的供应商须提供《中小企业声明函》。监狱企业、残疾人福利性单位，视同为小型和微型企业，须提供《声明函》。</w:t>
            </w:r>
          </w:p>
          <w:p w14:paraId="526FCD2C">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注：</w:t>
            </w:r>
            <w:r>
              <w:rPr>
                <w:rFonts w:hint="default" w:ascii="宋体" w:hAnsi="宋体" w:eastAsia="宋体" w:cs="宋体"/>
                <w:sz w:val="24"/>
                <w:szCs w:val="24"/>
                <w:vertAlign w:val="baseline"/>
                <w:lang w:val="en-US" w:eastAsia="zh-CN"/>
              </w:rPr>
              <w:t>本项目属性“工程”。</w:t>
            </w:r>
          </w:p>
        </w:tc>
      </w:tr>
      <w:tr w14:paraId="288A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06BFBB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0" w:type="auto"/>
            <w:vAlign w:val="center"/>
          </w:tcPr>
          <w:p w14:paraId="2F33320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联合体投标</w:t>
            </w:r>
          </w:p>
        </w:tc>
        <w:tc>
          <w:tcPr>
            <w:tcW w:w="0" w:type="auto"/>
            <w:vAlign w:val="center"/>
          </w:tcPr>
          <w:p w14:paraId="7CDAEC64">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☑不接受</w:t>
            </w:r>
          </w:p>
          <w:p w14:paraId="7D040629">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□接受</w:t>
            </w:r>
          </w:p>
        </w:tc>
      </w:tr>
      <w:tr w14:paraId="6251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96CEC3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0" w:type="auto"/>
            <w:vAlign w:val="center"/>
          </w:tcPr>
          <w:p w14:paraId="7A114AC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备选方案</w:t>
            </w:r>
          </w:p>
        </w:tc>
        <w:tc>
          <w:tcPr>
            <w:tcW w:w="0" w:type="auto"/>
            <w:vAlign w:val="center"/>
          </w:tcPr>
          <w:p w14:paraId="701C8A76">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☑不接受</w:t>
            </w:r>
          </w:p>
          <w:p w14:paraId="6D71AB54">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□接受</w:t>
            </w:r>
          </w:p>
        </w:tc>
      </w:tr>
      <w:tr w14:paraId="21E8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180B19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0" w:type="auto"/>
            <w:vAlign w:val="center"/>
          </w:tcPr>
          <w:p w14:paraId="613E1CF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预算金额（或最高限价）</w:t>
            </w:r>
          </w:p>
        </w:tc>
        <w:tc>
          <w:tcPr>
            <w:tcW w:w="0" w:type="auto"/>
            <w:vAlign w:val="center"/>
          </w:tcPr>
          <w:p w14:paraId="35023907">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1965195.14元</w:t>
            </w:r>
          </w:p>
        </w:tc>
      </w:tr>
      <w:tr w14:paraId="54CD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6C90A3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0" w:type="auto"/>
            <w:vAlign w:val="center"/>
          </w:tcPr>
          <w:p w14:paraId="1251D05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评审方法</w:t>
            </w:r>
          </w:p>
          <w:p w14:paraId="6608AB3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成交原则</w:t>
            </w:r>
          </w:p>
        </w:tc>
        <w:tc>
          <w:tcPr>
            <w:tcW w:w="0" w:type="auto"/>
            <w:vAlign w:val="center"/>
          </w:tcPr>
          <w:p w14:paraId="00431B11">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评审方法：综合评分法，响应文件满足磋商文件全部实质性要求且按评审因素的量化指标评审得分最高的供应商为成交候选供应商的评审方法。</w:t>
            </w:r>
          </w:p>
          <w:p w14:paraId="07A55D8C">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成交原则：依据提交最后报价的供应商，由磋商小组采用综合评分法对提交最后报价的供应商的磋商响应文件和最后报价进行综合评分。</w:t>
            </w:r>
          </w:p>
        </w:tc>
      </w:tr>
      <w:tr w14:paraId="75CB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263CDD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0" w:type="auto"/>
            <w:vAlign w:val="center"/>
          </w:tcPr>
          <w:p w14:paraId="0397089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采购方式</w:t>
            </w:r>
          </w:p>
        </w:tc>
        <w:tc>
          <w:tcPr>
            <w:tcW w:w="0" w:type="auto"/>
            <w:vAlign w:val="center"/>
          </w:tcPr>
          <w:p w14:paraId="3101D983">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竞争性磋商</w:t>
            </w:r>
          </w:p>
        </w:tc>
      </w:tr>
      <w:tr w14:paraId="3FC5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363C90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w:t>
            </w:r>
          </w:p>
        </w:tc>
        <w:tc>
          <w:tcPr>
            <w:tcW w:w="0" w:type="auto"/>
            <w:vAlign w:val="center"/>
          </w:tcPr>
          <w:p w14:paraId="3422BA0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响应文件递交截止时间</w:t>
            </w:r>
          </w:p>
        </w:tc>
        <w:tc>
          <w:tcPr>
            <w:tcW w:w="0" w:type="auto"/>
            <w:vAlign w:val="center"/>
          </w:tcPr>
          <w:p w14:paraId="408BB1A1">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eastAsia="zh-CN"/>
              </w:rPr>
              <w:t>2025年07月18日</w:t>
            </w:r>
            <w:r>
              <w:rPr>
                <w:rFonts w:hint="eastAsia" w:ascii="宋体" w:hAnsi="宋体" w:eastAsia="宋体" w:cs="宋体"/>
                <w:sz w:val="24"/>
                <w:szCs w:val="24"/>
                <w:u w:val="none"/>
                <w:vertAlign w:val="baseline"/>
                <w:lang w:val="en-US" w:eastAsia="zh-CN"/>
              </w:rPr>
              <w:t>11</w:t>
            </w:r>
            <w:r>
              <w:rPr>
                <w:rFonts w:hint="eastAsia" w:ascii="宋体" w:hAnsi="宋体" w:eastAsia="宋体" w:cs="宋体"/>
                <w:sz w:val="24"/>
                <w:szCs w:val="24"/>
                <w:u w:val="none"/>
                <w:vertAlign w:val="baseline"/>
                <w:lang w:eastAsia="zh-CN"/>
              </w:rPr>
              <w:t>：</w:t>
            </w:r>
            <w:r>
              <w:rPr>
                <w:rFonts w:hint="eastAsia" w:ascii="宋体" w:hAnsi="宋体" w:eastAsia="宋体" w:cs="宋体"/>
                <w:sz w:val="24"/>
                <w:szCs w:val="24"/>
                <w:u w:val="none"/>
                <w:vertAlign w:val="baseline"/>
                <w:lang w:val="en-US" w:eastAsia="zh-CN"/>
              </w:rPr>
              <w:t>0</w:t>
            </w:r>
            <w:r>
              <w:rPr>
                <w:rFonts w:hint="eastAsia" w:ascii="宋体" w:hAnsi="宋体" w:eastAsia="宋体" w:cs="宋体"/>
                <w:sz w:val="24"/>
                <w:szCs w:val="24"/>
                <w:u w:val="none"/>
                <w:vertAlign w:val="baseline"/>
                <w:lang w:eastAsia="zh-CN"/>
              </w:rPr>
              <w:t>0（北京时间）</w:t>
            </w:r>
          </w:p>
        </w:tc>
      </w:tr>
      <w:tr w14:paraId="56D5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AEFB2A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w:t>
            </w:r>
          </w:p>
        </w:tc>
        <w:tc>
          <w:tcPr>
            <w:tcW w:w="0" w:type="auto"/>
            <w:vAlign w:val="center"/>
          </w:tcPr>
          <w:p w14:paraId="0E7490E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磋商保证金</w:t>
            </w:r>
          </w:p>
        </w:tc>
        <w:tc>
          <w:tcPr>
            <w:tcW w:w="0" w:type="auto"/>
            <w:vAlign w:val="center"/>
          </w:tcPr>
          <w:p w14:paraId="29EB296E">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保证金金额：20000.00元，供应商自主选择以采用电汇、网银、保函等非现金形式缴纳，具体缴纳方式如下：</w:t>
            </w:r>
          </w:p>
          <w:p w14:paraId="78EC33F1">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账户名称：新疆科辰工程项目管理有限公司</w:t>
            </w:r>
          </w:p>
          <w:p w14:paraId="793B17CD">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开户银行：兴业银行股份有限公司乌鲁木齐高新区支行</w:t>
            </w:r>
          </w:p>
          <w:p w14:paraId="1B09908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账号：512040100100849784</w:t>
            </w:r>
          </w:p>
          <w:p w14:paraId="3CBBF7A0">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行号：309881002044</w:t>
            </w:r>
          </w:p>
          <w:p w14:paraId="1927F5D6">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递交时间：响应文件递交截止时间前</w:t>
            </w:r>
          </w:p>
          <w:p w14:paraId="5EFFB316">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递交方式：保证金必须从企业基本帐户缴纳至采购代理机构给定的账户。以个人、企业的办事处、分公司、子公司名义或从他人帐户、投标人企业的其他账户缴纳的保证金无效。打款时需注明所投项目名称（可简写）及项目编号，递交磋商保证金应充分考虑相关时间。</w:t>
            </w:r>
          </w:p>
          <w:p w14:paraId="7BA75E2B">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注：磋商保证金到账时间以采购代理机构账户实际到账时间为准，如未在磋商文件规定的时间内到账，视为响应文件递交无效，自行承担责任。为简化手续，优化流程，采用电子支付方式提交保证金的，在退还时，按原路退回，收取时不开具收据，退还时也不要求提交收据。</w:t>
            </w:r>
          </w:p>
          <w:p w14:paraId="56BF3E85">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采用电子保函形式应按以下要求办理：</w:t>
            </w:r>
          </w:p>
          <w:p w14:paraId="39E80613">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（1）电子保函按照“一标项一保函”的原则。</w:t>
            </w:r>
          </w:p>
          <w:p w14:paraId="589857AC">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（2）电子保函须在磋商文件规定的投标截止时间前办理完成。</w:t>
            </w:r>
          </w:p>
          <w:p w14:paraId="1C383E90">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具体办理流程详见新疆政府采购网《新疆政府采购电子保函操作流程》。投标人以保函形式缴纳投标保证金的，应通过“新疆政府采购信用融资服务平台”，使用其企业CA证书申请购买电子投标保函。将电子投标保单作为电子投标文件组成部分在投标时一并提交。</w:t>
            </w:r>
          </w:p>
          <w:p w14:paraId="2C4B029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如采用电子保函形式缴纳的，在投标截止日之前须从新疆电子保函服务管理平台中确认是否生效。电子保函服务管理平台技术人员联系方式：95763。鼓励及提倡投标单位使用新疆政府采购电子保函进行投标。</w:t>
            </w:r>
          </w:p>
          <w:p w14:paraId="7A583F05">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若供应商未按上述规定缴纳磋商保证金，将导致投标（响应）无效。</w:t>
            </w:r>
          </w:p>
        </w:tc>
      </w:tr>
      <w:tr w14:paraId="70E7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BD458E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w:t>
            </w:r>
          </w:p>
        </w:tc>
        <w:tc>
          <w:tcPr>
            <w:tcW w:w="0" w:type="auto"/>
            <w:vAlign w:val="center"/>
          </w:tcPr>
          <w:p w14:paraId="789005A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磋商响应有效期</w:t>
            </w:r>
          </w:p>
        </w:tc>
        <w:tc>
          <w:tcPr>
            <w:tcW w:w="0" w:type="auto"/>
            <w:vAlign w:val="center"/>
          </w:tcPr>
          <w:p w14:paraId="5BFC9358">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90日（日历日）</w:t>
            </w:r>
          </w:p>
        </w:tc>
      </w:tr>
      <w:tr w14:paraId="5C51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F94244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w:t>
            </w:r>
          </w:p>
        </w:tc>
        <w:tc>
          <w:tcPr>
            <w:tcW w:w="0" w:type="auto"/>
            <w:vAlign w:val="center"/>
          </w:tcPr>
          <w:p w14:paraId="41B5B82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报价说明</w:t>
            </w:r>
          </w:p>
        </w:tc>
        <w:tc>
          <w:tcPr>
            <w:tcW w:w="0" w:type="auto"/>
            <w:vAlign w:val="center"/>
          </w:tcPr>
          <w:p w14:paraId="0812D599">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次响应报价实行两轮报价（含首轮不公开），原则上第二轮报价为最终报价。超过二轮报价的由磋商小组现场集体决定是否继续报价，否则磋商小组有权据此确定为无效报价，参与磋商的供应商少于三家的予以废标（除法定情形外）。</w:t>
            </w:r>
          </w:p>
          <w:p w14:paraId="678F760A">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注：①如多轮报价在上一轮报价的基础上有下浮，线上报价时需上传附件（下浮后的工程量清单报价表）②也可采用等比下浮的方式报价，供应商多轮报价须在前一次报价的基础上等比下浮，线上报价时需上传附件阐明下浮率（预留金除外），即供应商的所有分项报价均为在前一次的基础上乘以同一下浮率，合计后得出总价进行报价（四舍五入，保留两位小数）。</w:t>
            </w:r>
          </w:p>
        </w:tc>
      </w:tr>
      <w:tr w14:paraId="6CB9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AE3DD8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0" w:type="auto"/>
            <w:vAlign w:val="center"/>
          </w:tcPr>
          <w:p w14:paraId="75D053A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报价方式</w:t>
            </w:r>
          </w:p>
        </w:tc>
        <w:tc>
          <w:tcPr>
            <w:tcW w:w="0" w:type="auto"/>
            <w:vAlign w:val="center"/>
          </w:tcPr>
          <w:p w14:paraId="7E640A73">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直接报价（按清单报价）</w:t>
            </w:r>
          </w:p>
        </w:tc>
      </w:tr>
      <w:tr w14:paraId="2864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3FA0F5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w:t>
            </w:r>
          </w:p>
        </w:tc>
        <w:tc>
          <w:tcPr>
            <w:tcW w:w="0" w:type="auto"/>
            <w:vAlign w:val="center"/>
          </w:tcPr>
          <w:p w14:paraId="258ECB1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是否专门面向中小企业</w:t>
            </w:r>
          </w:p>
        </w:tc>
        <w:tc>
          <w:tcPr>
            <w:tcW w:w="0" w:type="auto"/>
            <w:vAlign w:val="center"/>
          </w:tcPr>
          <w:p w14:paraId="6DE962C3">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是（本项目专门面向中小企业，供应商需出具《中小企业声明函》）</w:t>
            </w:r>
          </w:p>
        </w:tc>
      </w:tr>
      <w:tr w14:paraId="4A91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7FD9BA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22</w:t>
            </w:r>
          </w:p>
        </w:tc>
        <w:tc>
          <w:tcPr>
            <w:tcW w:w="0" w:type="auto"/>
            <w:vAlign w:val="center"/>
          </w:tcPr>
          <w:p w14:paraId="32A1047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分包</w:t>
            </w:r>
          </w:p>
        </w:tc>
        <w:tc>
          <w:tcPr>
            <w:tcW w:w="0" w:type="auto"/>
            <w:vAlign w:val="center"/>
          </w:tcPr>
          <w:p w14:paraId="304552C1">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允许（注：供应商根据磋商文件的规定和采购项目的实际情况，拟在成交后将成交项目的工作分包的，须在响应文件中载明分包承担主体，分包承担主体应当具备相应资质条件且不得再次分包；成交后不允许分包）（具体见磋商须知前附表、磋商须知关于分包的要求和规定）</w:t>
            </w:r>
          </w:p>
          <w:p w14:paraId="47D0873E">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☑不允许</w:t>
            </w:r>
          </w:p>
        </w:tc>
      </w:tr>
      <w:tr w14:paraId="655D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224136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22</w:t>
            </w:r>
          </w:p>
        </w:tc>
        <w:tc>
          <w:tcPr>
            <w:tcW w:w="0" w:type="auto"/>
            <w:vAlign w:val="center"/>
          </w:tcPr>
          <w:p w14:paraId="4A01BAD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磋商小组的组成</w:t>
            </w:r>
          </w:p>
        </w:tc>
        <w:tc>
          <w:tcPr>
            <w:tcW w:w="0" w:type="auto"/>
            <w:vAlign w:val="center"/>
          </w:tcPr>
          <w:p w14:paraId="5DF1E5AA">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评审专家人数：</w:t>
            </w:r>
            <w:r>
              <w:rPr>
                <w:rFonts w:hint="eastAsia" w:ascii="宋体" w:hAnsi="宋体" w:eastAsia="宋体" w:cs="宋体"/>
                <w:sz w:val="24"/>
                <w:szCs w:val="24"/>
                <w:u w:val="single"/>
                <w:vertAlign w:val="baseline"/>
                <w:lang w:val="en-US" w:eastAsia="zh-CN"/>
              </w:rPr>
              <w:t xml:space="preserve"> 3 </w:t>
            </w:r>
            <w:r>
              <w:rPr>
                <w:rFonts w:hint="eastAsia" w:ascii="宋体" w:hAnsi="宋体" w:eastAsia="宋体" w:cs="宋体"/>
                <w:sz w:val="24"/>
                <w:szCs w:val="24"/>
                <w:vertAlign w:val="baseline"/>
                <w:lang w:val="en-US" w:eastAsia="zh-CN"/>
              </w:rPr>
              <w:t>人，其中采购人代表</w:t>
            </w:r>
            <w:r>
              <w:rPr>
                <w:rFonts w:hint="eastAsia" w:ascii="宋体" w:hAnsi="宋体" w:eastAsia="宋体" w:cs="宋体"/>
                <w:sz w:val="24"/>
                <w:szCs w:val="24"/>
                <w:u w:val="single"/>
                <w:vertAlign w:val="baseline"/>
                <w:lang w:val="en-US" w:eastAsia="zh-CN"/>
              </w:rPr>
              <w:t xml:space="preserve"> 0 </w:t>
            </w:r>
            <w:r>
              <w:rPr>
                <w:rFonts w:hint="eastAsia" w:ascii="宋体" w:hAnsi="宋体" w:eastAsia="宋体" w:cs="宋体"/>
                <w:sz w:val="24"/>
                <w:szCs w:val="24"/>
                <w:vertAlign w:val="baseline"/>
                <w:lang w:val="en-US" w:eastAsia="zh-CN"/>
              </w:rPr>
              <w:t>人，专家</w:t>
            </w:r>
            <w:r>
              <w:rPr>
                <w:rFonts w:hint="eastAsia" w:ascii="宋体" w:hAnsi="宋体" w:eastAsia="宋体" w:cs="宋体"/>
                <w:sz w:val="24"/>
                <w:szCs w:val="24"/>
                <w:u w:val="single"/>
                <w:vertAlign w:val="baseline"/>
                <w:lang w:val="en-US" w:eastAsia="zh-CN"/>
              </w:rPr>
              <w:t xml:space="preserve"> 3 </w:t>
            </w:r>
            <w:r>
              <w:rPr>
                <w:rFonts w:hint="eastAsia" w:ascii="宋体" w:hAnsi="宋体" w:eastAsia="宋体" w:cs="宋体"/>
                <w:sz w:val="24"/>
                <w:szCs w:val="24"/>
                <w:vertAlign w:val="baseline"/>
                <w:lang w:val="en-US" w:eastAsia="zh-CN"/>
              </w:rPr>
              <w:t>人。</w:t>
            </w:r>
          </w:p>
          <w:p w14:paraId="605B38AD">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评审专家确定方式：评标专家库中随机抽取确定。</w:t>
            </w:r>
          </w:p>
        </w:tc>
      </w:tr>
      <w:tr w14:paraId="101C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68898B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23</w:t>
            </w:r>
          </w:p>
        </w:tc>
        <w:tc>
          <w:tcPr>
            <w:tcW w:w="0" w:type="auto"/>
            <w:vAlign w:val="center"/>
          </w:tcPr>
          <w:p w14:paraId="2ADF936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组织集中踏勘或者召磋商前答疑会</w:t>
            </w:r>
          </w:p>
        </w:tc>
        <w:tc>
          <w:tcPr>
            <w:tcW w:w="0" w:type="auto"/>
            <w:vAlign w:val="center"/>
          </w:tcPr>
          <w:p w14:paraId="5C2BAF99">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□组织</w:t>
            </w:r>
          </w:p>
          <w:p w14:paraId="4690FF7D">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☑不组织</w:t>
            </w:r>
          </w:p>
        </w:tc>
      </w:tr>
      <w:tr w14:paraId="01F6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A0768B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24</w:t>
            </w:r>
          </w:p>
        </w:tc>
        <w:tc>
          <w:tcPr>
            <w:tcW w:w="0" w:type="auto"/>
            <w:vAlign w:val="center"/>
          </w:tcPr>
          <w:p w14:paraId="5648757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履约保证金</w:t>
            </w:r>
          </w:p>
        </w:tc>
        <w:tc>
          <w:tcPr>
            <w:tcW w:w="0" w:type="auto"/>
            <w:vAlign w:val="center"/>
          </w:tcPr>
          <w:p w14:paraId="17FA7B3C">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履约担保的金额：合同价的10%（具体以合同签订为准）。</w:t>
            </w:r>
          </w:p>
          <w:p w14:paraId="16A82213">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履约担保形式：银行转账或银行保函或保险保函（银行转账应从供应商基本账户足额缴纳至采购人指定账户，银行保函应为企业基本户开具）。</w:t>
            </w:r>
          </w:p>
          <w:p w14:paraId="6054D907">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履约保证金递交时间：签订合同前（以双方约定为准）</w:t>
            </w:r>
          </w:p>
          <w:p w14:paraId="7F11070F">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履约保证金退还时间：（1）履约保证金的有效期为该项目履约期期满时止。（2）供应商在履约期期满前未发生违约行为，采购人七个工作日内予以退还。（如乙方未能履行合同规定的义务，甲方有权从履约保证金中取得补偿；履约保证金扣除甲方应得的补偿后的余额在有效期满后七工作日内无息退还给乙方。）</w:t>
            </w:r>
          </w:p>
        </w:tc>
      </w:tr>
      <w:tr w14:paraId="6F14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9E0A7F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w:t>
            </w:r>
          </w:p>
        </w:tc>
        <w:tc>
          <w:tcPr>
            <w:tcW w:w="0" w:type="auto"/>
            <w:vAlign w:val="center"/>
          </w:tcPr>
          <w:p w14:paraId="1913481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付款方式</w:t>
            </w:r>
          </w:p>
        </w:tc>
        <w:tc>
          <w:tcPr>
            <w:tcW w:w="0" w:type="auto"/>
            <w:vAlign w:val="center"/>
          </w:tcPr>
          <w:p w14:paraId="16CF6E3E">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vertAlign w:val="baseline"/>
                <w:lang w:val="en-US" w:eastAsia="zh-CN"/>
              </w:rPr>
              <w:t>甲乙双方签订的合同为准</w:t>
            </w:r>
          </w:p>
        </w:tc>
      </w:tr>
      <w:tr w14:paraId="78242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AB5CEE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26</w:t>
            </w:r>
          </w:p>
        </w:tc>
        <w:tc>
          <w:tcPr>
            <w:tcW w:w="0" w:type="auto"/>
            <w:vAlign w:val="center"/>
          </w:tcPr>
          <w:p w14:paraId="224A2E7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其他要求</w:t>
            </w:r>
          </w:p>
        </w:tc>
        <w:tc>
          <w:tcPr>
            <w:tcW w:w="0" w:type="auto"/>
            <w:vAlign w:val="center"/>
          </w:tcPr>
          <w:p w14:paraId="5ECA061D">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14:paraId="42B40F15">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2.本项目实行网上投标，采用电子投标文件（供应商须使用CA加密设备通过政采云电子投标客户端制作投标文件）。若供应商参与投标，自行承担投标一切费用。</w:t>
            </w:r>
          </w:p>
          <w:p w14:paraId="76DA4C7D">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51856CA9">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3A267750">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5.供应商在开标时须使用制作加密电子投标文件所使用的CA锁及电脑，电脑须提前配置好浏览器（建议使用360浏览器或谷歌浏览器），以便开标时解锁。</w:t>
            </w:r>
          </w:p>
          <w:p w14:paraId="156D6F63">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6.投标保证金缴纳及确认时间：凡拟参加本次招标项目的供应商，必须在开标前将投标保证金汇入指定账户。否则，届时其投标将被拒绝。</w:t>
            </w:r>
          </w:p>
          <w:p w14:paraId="1F75657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4016AFA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5FDAB0F9">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评标结束后，成交供应商须在一周内按要求将纸质版响应文件递交至采购代理机构处（所产生的的费用由成交供应商自理）。纸质版响应文件可通过加密电子版响应文件打印生成，应当与电子版响应文件一致。【1、份数要求：纸质版贰份，电子标壹份（U盘）。2、装订要求：响应文件的装订必须采用死页胶粘本。】</w:t>
            </w:r>
          </w:p>
          <w:p w14:paraId="55240676">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竞争性磋商文件中所有偏离表，若有偏离,请将具体偏离条款在“商务偏离”、“技术偏离”一栏中详细说明；若无偏离，请在“商务偏离”、“技术偏离”一栏中标注“无”字样。如不填写将视为不响应竞争性磋商文件要求。</w:t>
            </w:r>
          </w:p>
          <w:p w14:paraId="7525781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11.本次磋商各供应商磋商响应时以人民币报价。</w:t>
            </w:r>
          </w:p>
          <w:p w14:paraId="303EBF5F">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注：响应文件解密时长为30分钟，若供应商在规定时间内未按时解密的，视为响应文件撤回。磋商小组开启第二轮报价环节后，各投标人应尽快在政采云系统提交各自的二轮报价，超过30分钟（自磋商小组开启第二轮报价环节起计算）未提交二轮报价的视为放弃投标。敬请注意！！！整个开标环节需要投标人在系统确认的报价等信息最长时限均为30分钟。敬请注意！！！</w:t>
            </w:r>
          </w:p>
        </w:tc>
      </w:tr>
      <w:tr w14:paraId="0D17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43F053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27</w:t>
            </w:r>
          </w:p>
        </w:tc>
        <w:tc>
          <w:tcPr>
            <w:tcW w:w="0" w:type="auto"/>
            <w:vAlign w:val="center"/>
          </w:tcPr>
          <w:p w14:paraId="42DF04E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低价不正当竞争预防措施</w:t>
            </w:r>
          </w:p>
        </w:tc>
        <w:tc>
          <w:tcPr>
            <w:tcW w:w="0" w:type="auto"/>
            <w:vAlign w:val="center"/>
          </w:tcPr>
          <w:p w14:paraId="6BFFBBE8">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低价不正当竞争预防措施（实质性要求）：根据“财政部87号令《政府采购货物服务招标投标管理办法》”第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评标委员会应当结合采购项目采购需求、专业实际情况、供应商财务状况报告、与其他供应商比较情况等就供应商书面说明进行审查评价。</w:t>
            </w:r>
          </w:p>
          <w:p w14:paraId="343AA2D3">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供应商拒绝或者变相拒绝提供有效书面说明或者书面说明不能证明其报价合理性的或未在规定时间内递交有效书面说明书的，评标委员会应当将其投标文件作为无效处理。</w:t>
            </w:r>
          </w:p>
        </w:tc>
      </w:tr>
      <w:tr w14:paraId="3A52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E49DF8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28</w:t>
            </w:r>
          </w:p>
        </w:tc>
        <w:tc>
          <w:tcPr>
            <w:tcW w:w="0" w:type="auto"/>
            <w:vAlign w:val="center"/>
          </w:tcPr>
          <w:p w14:paraId="2C09D30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签字</w:t>
            </w:r>
            <w:r>
              <w:rPr>
                <w:rFonts w:hint="eastAsia" w:ascii="宋体" w:hAnsi="宋体" w:eastAsia="宋体" w:cs="宋体"/>
                <w:sz w:val="24"/>
                <w:szCs w:val="24"/>
                <w:vertAlign w:val="baseline"/>
                <w:lang w:val="en-US" w:eastAsia="zh-CN"/>
              </w:rPr>
              <w:t>和</w:t>
            </w:r>
            <w:r>
              <w:rPr>
                <w:rFonts w:hint="default" w:ascii="宋体" w:hAnsi="宋体" w:eastAsia="宋体" w:cs="宋体"/>
                <w:sz w:val="24"/>
                <w:szCs w:val="24"/>
                <w:vertAlign w:val="baseline"/>
                <w:lang w:val="en-US" w:eastAsia="zh-CN"/>
              </w:rPr>
              <w:t>盖章要求</w:t>
            </w:r>
          </w:p>
        </w:tc>
        <w:tc>
          <w:tcPr>
            <w:tcW w:w="0" w:type="auto"/>
            <w:vAlign w:val="center"/>
          </w:tcPr>
          <w:p w14:paraId="6B54E2BC">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响应文件要求盖单位公章和签字的指定位置，投标人应使用CA数字证书加盖企业电子章或加盖实体章均可和法定代表人的电子章或（法定代表人或委托代理人亲笔签名或加盖实体章均可）。</w:t>
            </w:r>
          </w:p>
        </w:tc>
      </w:tr>
      <w:tr w14:paraId="2E44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00AF2D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29</w:t>
            </w:r>
          </w:p>
        </w:tc>
        <w:tc>
          <w:tcPr>
            <w:tcW w:w="0" w:type="auto"/>
            <w:vAlign w:val="center"/>
          </w:tcPr>
          <w:p w14:paraId="44A4C9C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实质性要求和条件</w:t>
            </w:r>
          </w:p>
        </w:tc>
        <w:tc>
          <w:tcPr>
            <w:tcW w:w="0" w:type="auto"/>
            <w:vAlign w:val="center"/>
          </w:tcPr>
          <w:p w14:paraId="12B451DE">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除法律、法规和规章规定外，采购文件中用“拒绝”、“不接受”、“无效”、“不得”等文字规定或采购文件初步审查表中的内容以及标注“★”符号的条款为实质性要求条款（即重要条款），对其中任何一条的偏离，在评标时将其视为无效投标。</w:t>
            </w:r>
          </w:p>
        </w:tc>
      </w:tr>
      <w:tr w14:paraId="7EEC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5A6F1C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c>
          <w:tcPr>
            <w:tcW w:w="0" w:type="auto"/>
            <w:vAlign w:val="center"/>
          </w:tcPr>
          <w:p w14:paraId="6161F4D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中小企业有关政策</w:t>
            </w:r>
          </w:p>
        </w:tc>
        <w:tc>
          <w:tcPr>
            <w:tcW w:w="0" w:type="auto"/>
            <w:vAlign w:val="center"/>
          </w:tcPr>
          <w:p w14:paraId="28EEBAC1">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根据财政部、工业和信息化部发布的关于印发《政府采购促进中小企业发展管理办法》的通知，财库[2020]46号）规定执行。</w:t>
            </w:r>
          </w:p>
        </w:tc>
      </w:tr>
      <w:tr w14:paraId="17B87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323598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31</w:t>
            </w:r>
          </w:p>
        </w:tc>
        <w:tc>
          <w:tcPr>
            <w:tcW w:w="0" w:type="auto"/>
            <w:vAlign w:val="center"/>
          </w:tcPr>
          <w:p w14:paraId="006C605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其他政府采购政策</w:t>
            </w:r>
          </w:p>
        </w:tc>
        <w:tc>
          <w:tcPr>
            <w:tcW w:w="0" w:type="auto"/>
            <w:vAlign w:val="center"/>
          </w:tcPr>
          <w:p w14:paraId="11202C9D">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财政部、国家发展改革委、生态环境部、市场监管总局《关于调整优化节能产品、环境标志产品政府采购执行机制的通知》（财库[2019]9号文）；（2）财政部、生态环境部《关于印发环境标志产品政府采购品目清单的通知》（财库[2019]18号文）；（3）财政部、发展改革委《关于印发节能产品政府采购品目清单的通知》（财库[2019]19号文）；（4）市场监管总局《市场监管总局关于发布参与实施政府采购节能产品、环境标志产品认证机构名录的公告》（2019年第16号）；（5）财政部、工业和信息化部《政府采购促进中小企业发展管理办法》（财库〔2020〕46号）及《关于进一步加大政府采购支持中小企业力度的通知》（财库〔2022〕19号）；（6）财政部、民政部、中国残疾人联合会《关于促进残疾人就业政府采购政策的通知（财库[2017]141号）；（7）财政部、司法部《关于政府采购支持监狱企业发展有关问题的通知》（财库[2014]68号文）。</w:t>
            </w:r>
          </w:p>
        </w:tc>
      </w:tr>
      <w:tr w14:paraId="06AB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F3B4CD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32</w:t>
            </w:r>
          </w:p>
        </w:tc>
        <w:tc>
          <w:tcPr>
            <w:tcW w:w="0" w:type="auto"/>
            <w:vAlign w:val="center"/>
          </w:tcPr>
          <w:p w14:paraId="1FE7323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解释权</w:t>
            </w:r>
          </w:p>
        </w:tc>
        <w:tc>
          <w:tcPr>
            <w:tcW w:w="0" w:type="auto"/>
            <w:vAlign w:val="center"/>
          </w:tcPr>
          <w:p w14:paraId="44AE1EDE">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构成磋商文件的各个组成文件应互为解释，互为说明；除磋商文件中有特别规定外，按磋商文件的先后顺序解释；同一组成文件中就同一事项的规定或约定不一致的，以编排顺序在后者为准；按本款前述规定仍不能形成结论的，由采购代理机构和采购人负责解释。</w:t>
            </w:r>
          </w:p>
        </w:tc>
      </w:tr>
      <w:tr w14:paraId="4BA6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248509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33</w:t>
            </w:r>
          </w:p>
        </w:tc>
        <w:tc>
          <w:tcPr>
            <w:tcW w:w="0" w:type="auto"/>
            <w:vAlign w:val="center"/>
          </w:tcPr>
          <w:p w14:paraId="463D7CC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特别提示</w:t>
            </w:r>
          </w:p>
        </w:tc>
        <w:tc>
          <w:tcPr>
            <w:tcW w:w="0" w:type="auto"/>
            <w:vAlign w:val="center"/>
          </w:tcPr>
          <w:p w14:paraId="215C1B1D">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1、各供应商在网上及时查询本项目的澄清、修改和补充等内容，如未及时查询相关内容，造成后果自行承担。</w:t>
            </w:r>
          </w:p>
          <w:p w14:paraId="6B1FC957">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在磋商过程直至签订合同前的任何时间，如经证实发现供应商提供虚假响应资料（包括技术支持资料）或信息骗取中标的，或者未按本磋商文件要求提交履约保证金的（如有要求），将取消其中标资格，没收其磋商保证金，并报主管部门备案。</w:t>
            </w:r>
          </w:p>
          <w:p w14:paraId="7A6CB7B5">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无论何种原因，在磋商文件中未提供相应材料的，评审小组将视同其未提供，如磋商文件中规定需要提供说明或者承诺等证明材料，磋商文件中未给与格式的其格式自拟，并做入响应文件中，未放入视为无效投标。</w:t>
            </w:r>
          </w:p>
          <w:p w14:paraId="31ED8C5E">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4、如磋商文件出现前后不一致时，以供应商须知前附表为准。</w:t>
            </w:r>
          </w:p>
          <w:p w14:paraId="4B062D78">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5、如果投标人电子投标文件无法制作或无法导入及导出等问题，可拨打政采云服务热线进行咨询联系。</w:t>
            </w:r>
          </w:p>
          <w:p w14:paraId="29C7E5F7">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联系人：政采云客户服务热线</w:t>
            </w:r>
          </w:p>
          <w:p w14:paraId="5221DE44">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联系电话：400-881-7190</w:t>
            </w:r>
          </w:p>
        </w:tc>
      </w:tr>
      <w:tr w14:paraId="6C7F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75AED6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34</w:t>
            </w:r>
          </w:p>
        </w:tc>
        <w:tc>
          <w:tcPr>
            <w:tcW w:w="0" w:type="auto"/>
            <w:vAlign w:val="center"/>
          </w:tcPr>
          <w:p w14:paraId="4C01FC7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特殊说明</w:t>
            </w:r>
          </w:p>
        </w:tc>
        <w:tc>
          <w:tcPr>
            <w:tcW w:w="0" w:type="auto"/>
            <w:vAlign w:val="center"/>
          </w:tcPr>
          <w:p w14:paraId="3A9B94B1">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应商应充分考虑所有可能影响到报价的价格及政策等风险因素，一旦成交，报价将包定，一律不予调整。供应商报价除包含采购文件中列明的项目外还应包括缺陷责任期内后续维保服务费用，对采购需求和服务理解不一致的以采购人解释为准。供应商的任何错漏、优惠、竞争性报价不得作为减轻责任、减少服务、增加收费、降低质量的理由。</w:t>
            </w:r>
          </w:p>
        </w:tc>
      </w:tr>
      <w:tr w14:paraId="2672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AA8A90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35</w:t>
            </w:r>
          </w:p>
        </w:tc>
        <w:tc>
          <w:tcPr>
            <w:tcW w:w="0" w:type="auto"/>
            <w:vAlign w:val="center"/>
          </w:tcPr>
          <w:p w14:paraId="47E04B6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代理服务费</w:t>
            </w:r>
          </w:p>
        </w:tc>
        <w:tc>
          <w:tcPr>
            <w:tcW w:w="0" w:type="auto"/>
            <w:vAlign w:val="center"/>
          </w:tcPr>
          <w:p w14:paraId="3332D994">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是否由成交供应商缴纳代理服务费：</w:t>
            </w:r>
            <w:r>
              <w:rPr>
                <w:rFonts w:hint="eastAsia" w:ascii="宋体" w:hAnsi="宋体" w:eastAsia="宋体" w:cs="宋体"/>
                <w:sz w:val="24"/>
                <w:szCs w:val="24"/>
                <w:u w:val="single"/>
                <w:vertAlign w:val="baseline"/>
                <w:lang w:val="en-US" w:eastAsia="zh-CN"/>
              </w:rPr>
              <w:t>是</w:t>
            </w:r>
          </w:p>
          <w:p w14:paraId="34D215CD">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参照原国家计委计价格【2002】1980号文和国家发改委发改办价格【2003】857号文的计算方法收取。</w:t>
            </w:r>
          </w:p>
          <w:p w14:paraId="7D996D47">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支付形式：对公转账</w:t>
            </w:r>
          </w:p>
          <w:p w14:paraId="0074AB79">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支付时间：领取中标（成交）通知书时由中标（成交）方一次性支付</w:t>
            </w:r>
          </w:p>
        </w:tc>
      </w:tr>
      <w:tr w14:paraId="6035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96789F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w:t>
            </w:r>
          </w:p>
        </w:tc>
        <w:tc>
          <w:tcPr>
            <w:tcW w:w="0" w:type="auto"/>
            <w:vAlign w:val="center"/>
          </w:tcPr>
          <w:p w14:paraId="27466FD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信用情况</w:t>
            </w:r>
          </w:p>
        </w:tc>
        <w:tc>
          <w:tcPr>
            <w:tcW w:w="0" w:type="auto"/>
            <w:vAlign w:val="center"/>
          </w:tcPr>
          <w:p w14:paraId="5AF3B481">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信用记录审查：</w:t>
            </w:r>
          </w:p>
          <w:p w14:paraId="290D3DAD">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根据《财政部关于在政府采购活动中查询及使用信用记录有关问题的通知》（财库〔2016〕125号）规定，投标截止时间后，采购人或采购代理机构将通过“信用中国”网站（www.creditchina.gov.cn）、中国政府采购网（www.ccgp.gov.cn），对投标人截止到投标截止时间的信用记录进行审查，对列入失信被执行人、重大税收违法失信主体、政府采购严重违法失信行为记录名单及其他不符合《中华人民共和国政府采购法》第二十二条规定条件的供应商，其投标将被拒绝。</w:t>
            </w:r>
          </w:p>
        </w:tc>
      </w:tr>
    </w:tbl>
    <w:p w14:paraId="7725B5A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2CA100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一、说明</w:t>
      </w:r>
    </w:p>
    <w:p w14:paraId="58DE69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1.项目概况</w:t>
      </w:r>
    </w:p>
    <w:p w14:paraId="01FEDA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1.1项目名称：详见供应商须知前附表；</w:t>
      </w:r>
    </w:p>
    <w:p w14:paraId="355D90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1.2采购方式：详见供应商须知前附表；</w:t>
      </w:r>
    </w:p>
    <w:p w14:paraId="39857A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1.3采购内容：详见供应商须知前附表；</w:t>
      </w:r>
    </w:p>
    <w:p w14:paraId="09FFBE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1.4资金来源：详见供应商须知前附表；</w:t>
      </w:r>
    </w:p>
    <w:p w14:paraId="15B818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1.5建设地点：详见供应商须知前附表；</w:t>
      </w:r>
    </w:p>
    <w:p w14:paraId="3481E3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1.6工期：详见供应商须知前附表。</w:t>
      </w:r>
    </w:p>
    <w:p w14:paraId="75798D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2.定义</w:t>
      </w:r>
    </w:p>
    <w:p w14:paraId="42014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下述术语和缩写的定义为：</w:t>
      </w:r>
    </w:p>
    <w:p w14:paraId="4BE3E0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2.1“采购人”系指依法进行政府采购的国家机关、事业单位、团体组织。本次政府采购的采购人名称、地址、联系人、电话详见供应商须知前附表。</w:t>
      </w:r>
    </w:p>
    <w:p w14:paraId="43F2DE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2.2“采购代理机构”系指接受采购人委托，代理采购项目的采购代理机构。本次政府采购的采购代理机构名称、地址、联系人、电话详见供应商须知前附表。</w:t>
      </w:r>
    </w:p>
    <w:p w14:paraId="33732A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2.3“供应商”、系指向采购人提供货物、工程或者服务的法人、其他组织或者自然人。</w:t>
      </w:r>
    </w:p>
    <w:p w14:paraId="54619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2.4“货物”系指各种形态和种类的物品，包括原材料、设备、产品等。</w:t>
      </w:r>
    </w:p>
    <w:p w14:paraId="004CFA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2.5“工程”系指建设工程，包括建筑物和构筑物的新建、改建、扩建，装修、拆除，修缮等。</w:t>
      </w:r>
    </w:p>
    <w:p w14:paraId="528F0E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2.6“服务”系指除货物和工程以外的其他政府采购对象。</w:t>
      </w:r>
    </w:p>
    <w:p w14:paraId="57C2E4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2.7“进口产品”系指通过中国海关报关验收进入中国境内且产自境外的产品。详见《关于政府采购进口产品管理有关问题的通知》（财库［2007］119号）。</w:t>
      </w:r>
    </w:p>
    <w:p w14:paraId="7F1650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2.8偏离</w:t>
      </w:r>
    </w:p>
    <w:p w14:paraId="0E2D7A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2.8.1本条所称偏离为响应文件对竞争性磋商文件的偏离，即不满足、或不响应竞争性磋商文件的要求。偏离分为对竞争性磋商文件的实质性要求条款偏离和对竞争性磋商文件的一般商务和技术条款偏离。</w:t>
      </w:r>
    </w:p>
    <w:p w14:paraId="17B5DE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2.8.2除法律、法规和规章规定外。竞争性磋商文件中加下划线、“拒绝”“不接受”“无效”“不得”“投标被否决”等文字规定或标注“★”符号的条款为关键要求条款（即重要条款）。未用上述文字规定或符号标注的条款为非实质性要求条款（即一般条款）。着重提醒各供应商注意，并认真查看竞争性磋商文件中的每一个条款及要求，因误读竞争性磋商文件而造成的后果，采购人概不负责。</w:t>
      </w:r>
    </w:p>
    <w:p w14:paraId="268E8B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2.9特别说明</w:t>
      </w:r>
    </w:p>
    <w:p w14:paraId="7A9909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2.9.1供应商所使用的资格、信誉、荣誉、业绩与企业认证等必须为供应商所拥有。</w:t>
      </w:r>
    </w:p>
    <w:p w14:paraId="09E1AB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2.9.2供应商应仔细阅读竞争性磋商文件中的所有内容，按照竞争性磋商文件的要求编制、提交响应文件，并对其所提供的全部资料的真实性承担法律责任。</w:t>
      </w:r>
    </w:p>
    <w:p w14:paraId="4D11EE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2.9.3竞争性磋商文件所提供的资料，是采购人现有的能被供应商利用的资料，采购人对供应商做出的任何推论、理解和结论均不负任何责任。</w:t>
      </w:r>
    </w:p>
    <w:p w14:paraId="027BE8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3.供应商资格</w:t>
      </w:r>
    </w:p>
    <w:p w14:paraId="776F2D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3.1供应商资格：详见供应商须知前附表。</w:t>
      </w:r>
    </w:p>
    <w:p w14:paraId="71E25D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3.2供应商应遵守中华人民共和国法律、法规和行政规章。</w:t>
      </w:r>
    </w:p>
    <w:p w14:paraId="6714CE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3.3供应商不得存在下列情形之一：</w:t>
      </w:r>
    </w:p>
    <w:p w14:paraId="19BC4C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（1）与采购人、代理机构存在利害关系。</w:t>
      </w:r>
    </w:p>
    <w:p w14:paraId="258A99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（2）单位负责人为同一人或者存在直接控股、管理关系的不同供应商，不得参加同一合同项下的政府采购活动。</w:t>
      </w:r>
    </w:p>
    <w:p w14:paraId="54DF53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4.投标费用</w:t>
      </w:r>
    </w:p>
    <w:p w14:paraId="5130A2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4.1无论投标过程中的做法和结果如何，供应商将自行承担所有与参加投标有关的费用。</w:t>
      </w:r>
    </w:p>
    <w:p w14:paraId="5BB920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5.联合体形式</w:t>
      </w:r>
    </w:p>
    <w:p w14:paraId="1EF272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5.1除供应商须知前附表中另有规定，本次招标不接受为联合体形式的供应商。</w:t>
      </w:r>
    </w:p>
    <w:p w14:paraId="40A91E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5.2供应商为联合体形式的，除应符合本章第3条规定外，还应遵守以下规定：</w:t>
      </w:r>
    </w:p>
    <w:p w14:paraId="6E5672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（1）联合体各方必须签订联合体协议书，明确联合体牵头人和各方的义务、工作、合同工作量比例；</w:t>
      </w:r>
    </w:p>
    <w:p w14:paraId="55875C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（2）联合体各方均应当符合本章第3.1款规定的供应商基本资格条件；</w:t>
      </w:r>
    </w:p>
    <w:p w14:paraId="3D4DDF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（3）除供应商须知前附表中另有规定，联合体各方中至少有一方应当符合本章第3.1款规定的供应商特定资格条件；</w:t>
      </w:r>
    </w:p>
    <w:p w14:paraId="7999A6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（4）联合体各方不得再单独或与其他供应商组成新的联合体参加同一项目的采购活动。</w:t>
      </w:r>
    </w:p>
    <w:p w14:paraId="4510F1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6．现场勘察</w:t>
      </w:r>
    </w:p>
    <w:p w14:paraId="5A4E44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6.1供应商应按供应商须知前附表中规定对采购项目现场和周围环境进行考察。</w:t>
      </w:r>
    </w:p>
    <w:p w14:paraId="613286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6.2勘察现场的费用由供应商自己承担，勘察期间所发生的人身伤害及财产损失由供应商自己负责。</w:t>
      </w:r>
    </w:p>
    <w:p w14:paraId="2A7A2B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6.3采购人不对供应商据此而做出的推论、理解和结论负责。一旦成交，供应商不得以任何借口，而提出额外补偿，或延长合同期限的要求。</w:t>
      </w:r>
    </w:p>
    <w:p w14:paraId="60ECA6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7.采购进口产品</w:t>
      </w:r>
    </w:p>
    <w:p w14:paraId="4E962F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7.1除供应商须知前附表另有规定外，本项目不接受进口产品参加采购活动。</w:t>
      </w:r>
    </w:p>
    <w:p w14:paraId="0550FF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8.政府采购政策的支持</w:t>
      </w:r>
    </w:p>
    <w:p w14:paraId="2656EB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8.1落实的政策如下：</w:t>
      </w:r>
    </w:p>
    <w:p w14:paraId="562968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（1）《政府采购促进中小企业发展管理办法》（财库〔2020〕46号）；</w:t>
      </w:r>
    </w:p>
    <w:p w14:paraId="18F92C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（2）财库〔2022〕19号关于进一步加大政府采购支持中小企业力度的通知；</w:t>
      </w:r>
    </w:p>
    <w:p w14:paraId="2732F4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（3）《财政部、司法部关于政府采购支持监狱企业发展有关问题的通知》（财库〔2014〕68号）；</w:t>
      </w:r>
    </w:p>
    <w:p w14:paraId="5365A0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（4）《财政部民政部中国残疾人联合会关于促进残疾人就业政府采购政策的通知》财库〔2017〕141号。</w:t>
      </w:r>
    </w:p>
    <w:p w14:paraId="36845A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本项目专门面向中小企业采购，不再进行价格部分的优惠扣除。</w:t>
      </w:r>
    </w:p>
    <w:p w14:paraId="4A0282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8.2依据品目清单和认证证书实施政府优先采购和强制采购。</w:t>
      </w:r>
    </w:p>
    <w:p w14:paraId="451037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8.3供应商在签署相关承诺、提供相关信息前，应当认真阅读财政部门的相关政策规定。符合本章第8.1-8.2款规定的，应当提供相关的证明材料。</w:t>
      </w:r>
    </w:p>
    <w:p w14:paraId="50525F6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二、磋商文件</w:t>
      </w:r>
    </w:p>
    <w:p w14:paraId="1A3527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9.竞争性磋商文件的构成</w:t>
      </w:r>
    </w:p>
    <w:p w14:paraId="612E99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9.1竞争性磋商文件由下述部分组成：</w:t>
      </w:r>
    </w:p>
    <w:p w14:paraId="5E254D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●竞争性磋商公告；</w:t>
      </w:r>
    </w:p>
    <w:p w14:paraId="38CF58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●供应商须知；</w:t>
      </w:r>
    </w:p>
    <w:p w14:paraId="37598D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●采购需求；</w:t>
      </w:r>
    </w:p>
    <w:p w14:paraId="065A99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●评审方法；</w:t>
      </w:r>
    </w:p>
    <w:p w14:paraId="7F0AAE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●合同文本；</w:t>
      </w:r>
    </w:p>
    <w:p w14:paraId="279BAE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●响应文件格式；</w:t>
      </w:r>
    </w:p>
    <w:p w14:paraId="60E8FE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●在磋商过程中由采购单位发出的澄清和补充文件等。</w:t>
      </w:r>
    </w:p>
    <w:p w14:paraId="5DBB76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9.2竞争性磋商文件以中文书写。</w:t>
      </w:r>
    </w:p>
    <w:p w14:paraId="014CA6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9.3供应商被视为熟悉本招标项目的各种情况以及与履行合同有关的一切其他情况。</w:t>
      </w:r>
    </w:p>
    <w:p w14:paraId="719BF3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9.4供应商获取竞争性磋商文件后，应仔细检查竞争性磋商文件的所有内容，如有残缺应在领到竞争性磋商文件后1日内向采购人提出，否则，由此引起的投标损失自负；供应商同时应认真审阅竞争性磋商文件中所有的事项、格式、条款和规范要求等，如果供应商编制的响应文件，没有按照竞争性磋商文件要求提交全部资料或者没有对竞争性磋商文件做出实质性响应，其风险应由供应商自行承担，并根据有关条款规定，其投标有可能被拒绝。</w:t>
      </w:r>
    </w:p>
    <w:p w14:paraId="297E31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10.竞争性磋商文件的澄清、标前会议</w:t>
      </w:r>
    </w:p>
    <w:p w14:paraId="212902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供应商对竞争性磋商文件如有疑点，可在磋商截止期5日前按竞争性磋商文件中载明的地址以书面形式（包括信函、电报或传真，下同）通知采购人要求澄清。采购人将视情况确定采用适当方式予以澄清或以书面形式予以答复。采购人认为有必要时，可将答复内容（包括原提出问题，但不包括问题的来源）分发给所有供应商。</w:t>
      </w:r>
    </w:p>
    <w:p w14:paraId="61AF25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11.竞争性磋商文件的修改或补充</w:t>
      </w:r>
    </w:p>
    <w:p w14:paraId="68A85A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11.1在磋商截止期5日前的任何时间，采购人可主动或依据供应商要求澄清的问题而修改或补充竞争性磋商文件，并以书面形式通知所有供应商，供应商在收到该通知后应立即以电报或传真的形式予以确认。</w:t>
      </w:r>
    </w:p>
    <w:p w14:paraId="0045B4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11.2为使供应商在准备投标时有适当的时间考虑响应文件的修改，采购人有权决定推迟磋商截止日期和开标日期，并将此变更通知所有的供应商。</w:t>
      </w:r>
    </w:p>
    <w:p w14:paraId="06CE7E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11.3竞争性磋商文件的修改书和补充文件将构成竞争性磋商文件的一部分，并且比竞争性磋商文件对供应商具有优先的约束力。</w:t>
      </w:r>
    </w:p>
    <w:p w14:paraId="2ABC41E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三、响应文件的编写</w:t>
      </w:r>
    </w:p>
    <w:p w14:paraId="1F8C44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12.要求</w:t>
      </w:r>
    </w:p>
    <w:p w14:paraId="10736F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供应商应详细阅读竞争性磋商文件中的条款、格式、表示、条件和规范等所有内容，按竞争性磋商文件的要求份数提供响应文件，并保证所提供的全部材料的真实性，以使其投标对竞争性磋商文件做出实质性响应。否则，其投标可能被拒绝。</w:t>
      </w:r>
    </w:p>
    <w:p w14:paraId="1C6A28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13.响应文件语言和度量单位</w:t>
      </w:r>
    </w:p>
    <w:p w14:paraId="181DBD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13.1响应文件及供应商和采购人就招标、投标交换的文件和往来信件，须以中文书写。供应商可提交其他语言的资料，但应附中文注释，在有差异时，以中文为主。</w:t>
      </w:r>
    </w:p>
    <w:p w14:paraId="58242F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13.2除在竞争性磋商文件的技术规格中另有规定外，计量单位应使用中华人民共和国法定计量单位（国际单位制和国家选定的其它计量单位）。</w:t>
      </w:r>
    </w:p>
    <w:p w14:paraId="4EDC56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14.响应文件的组成</w:t>
      </w:r>
    </w:p>
    <w:p w14:paraId="439AC2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14.1响应文件包括（但不仅限于）下列内容：</w:t>
      </w:r>
    </w:p>
    <w:p w14:paraId="7095D2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一、资格证明文件</w:t>
      </w:r>
    </w:p>
    <w:p w14:paraId="703945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二、商务、技术文件</w:t>
      </w:r>
    </w:p>
    <w:p w14:paraId="53B6B6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三、报价文件</w:t>
      </w:r>
    </w:p>
    <w:p w14:paraId="15B986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响应文件包括但不仅限于上述内容，如有不足，请自行补充提供。</w:t>
      </w:r>
    </w:p>
    <w:p w14:paraId="36447F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14.2所有资格证明文件必须满足竞争性磋商文件的要求，否则将导致投标被否决。</w:t>
      </w:r>
    </w:p>
    <w:p w14:paraId="2DA5AF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14.3供应商可按竞争性磋商文件的范本格式中提供的响应文件格式填写响应文件；如提供的范本格式有不完善之处，请自行补充完善。</w:t>
      </w:r>
    </w:p>
    <w:p w14:paraId="3C3B68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15.供应商符合竞争性磋商文件规定的证明文件</w:t>
      </w:r>
    </w:p>
    <w:p w14:paraId="1D48AA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15.1供应商提供的资格证明材料，须满足供应商须知前附表的要求。</w:t>
      </w:r>
    </w:p>
    <w:p w14:paraId="53D8FE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15.2供应商为联合体形式的，则应提交联合体各方的资格文件，否则将视为未实质性响应条款而被拒绝。</w:t>
      </w:r>
    </w:p>
    <w:p w14:paraId="22EE66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15.3供应商确保所提供服务，其质量满足中华人民共和国国家相关标准，使用的原辅材料要符合质量要求，拟投入的设备完好率足以胜任本项目的工作。</w:t>
      </w:r>
    </w:p>
    <w:p w14:paraId="75D130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15.4供应商须提交证明拟供货物（或服务）符合竞争性磋商文件规定的技术响应文件，作为响应文件的一部分。</w:t>
      </w:r>
    </w:p>
    <w:p w14:paraId="07A288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15.5提供的货物（或服务）符合规定的相应技术标准、环保及节能标准等。</w:t>
      </w:r>
    </w:p>
    <w:p w14:paraId="5795E8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15.6对照采购人的采购内容及技术要求，逐条确定，指出所提供的货物（或服务）是否实质性响应竞争性磋商文件的要求，如有偏离，须填报偏离表（见附件）。</w:t>
      </w:r>
    </w:p>
    <w:p w14:paraId="76E349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15.7供应商应当提交符合竞争性磋商文件规定的业绩证明文件，该证明文件作为响应文件的一部分，业绩证明文件的要求详见供应商须知前附表</w:t>
      </w:r>
    </w:p>
    <w:p w14:paraId="3B4EF4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没有按要求提供资料或提供资料不完全，其风险由供应商自行承担。</w:t>
      </w:r>
    </w:p>
    <w:p w14:paraId="208CCF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16.投标报价</w:t>
      </w:r>
    </w:p>
    <w:p w14:paraId="43285F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16.1供应商应在投标报价表中标明其提供的所有服务及其完成本项目相关工作范围内所有费用的总价，采购人不接受有任何选择性报价。供应商漏报的单价或单价中漏报、少报的费用，均视为此项费用已隐含在其他报价中，中标后不予调整。</w:t>
      </w:r>
    </w:p>
    <w:p w14:paraId="6BD7C4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16.2其报价须保证在投标有效期及服务期内固定不变。采购人不接受有任何选择性报价。</w:t>
      </w:r>
    </w:p>
    <w:p w14:paraId="432690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16.3为了防止本次招标的投标报价过高，超出采购人为本次采购项目的资金支付能力，采购人依据主管部门的批复为本次招标项目的设定了最高投标限价（即采购预算），如果供应商的投标报价高于本项目的最高投标限价，其响应文件将被拒绝；如果所有供应商的投标报价均超出最高投标限价，采购人有权重新组织招标。</w:t>
      </w:r>
    </w:p>
    <w:p w14:paraId="721D81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16.4投标报价货币单位：人民币。</w:t>
      </w:r>
    </w:p>
    <w:p w14:paraId="78AC4E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17.投标有效期</w:t>
      </w:r>
    </w:p>
    <w:p w14:paraId="2CF885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17.1投标有效期详见供应商须知前附表，如不满足其投标将被否决。</w:t>
      </w:r>
    </w:p>
    <w:p w14:paraId="6C9019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17.2特殊情况下，采购人可于投标有效期期满之前，要求供应商同意延长投标有效期。供应商可以拒绝或同意上述要求，但要求与答复均须是书面文件。对于同意该要求的供应商，采购人既不要求也不允许其修改响应文件。</w:t>
      </w:r>
    </w:p>
    <w:p w14:paraId="462628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18．磋商保证金</w:t>
      </w:r>
    </w:p>
    <w:p w14:paraId="4274FC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18.1供应商必须以人民币为计量单位提交磋商文件规定数额的磋商保证金，并作为其报价的一部分。</w:t>
      </w:r>
    </w:p>
    <w:p w14:paraId="377AB6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18.2未按磋商文件要求在规定时间前交纳规定数额磋商保证金的响应文件无效。</w:t>
      </w:r>
    </w:p>
    <w:p w14:paraId="320764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18.3供应商所交纳的磋商保证金不计利息。</w:t>
      </w:r>
    </w:p>
    <w:p w14:paraId="43D7B2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18.4未成交供应商的磋商保证金，将在成交通知书发出后五个工作日内全额退还。成交供应商的磋商保证金，在合同签订生效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14:paraId="49CBFB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18.5发生下列情形之一的，采购代理机构将不予退还磋商保证金：</w:t>
      </w:r>
    </w:p>
    <w:p w14:paraId="75585B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（一）在磋商文件规定的递交响应文件截止时间后撤回响应文件的；</w:t>
      </w:r>
    </w:p>
    <w:p w14:paraId="602DEB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（二）在采购人确定成交供应商之前放弃成交候选资格的；</w:t>
      </w:r>
    </w:p>
    <w:p w14:paraId="15CA3A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（三）成交后放弃、不领取或者不接收成交通知书的；</w:t>
      </w:r>
    </w:p>
    <w:p w14:paraId="77CE89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（四）由于成交供应商的原因未能按照磋商文件的规定与采购人签订合同的；</w:t>
      </w:r>
    </w:p>
    <w:p w14:paraId="6A3889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（五）由于成交供应商的原因未能按照磋商文件的规定交纳履约保证金的；</w:t>
      </w:r>
    </w:p>
    <w:p w14:paraId="63A54A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（六）供应商在政府采购活动中提供虚假材料的；</w:t>
      </w:r>
    </w:p>
    <w:p w14:paraId="0BEE03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（七）报价有效期内，供应商在政府采购活动中有违法、违规、违纪行为。</w:t>
      </w:r>
    </w:p>
    <w:p w14:paraId="7EF94A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19.响应文件的签署及规定</w:t>
      </w:r>
    </w:p>
    <w:p w14:paraId="66144F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19.1响应文件应清楚工整，修改处应由响应单位法定代表人或授权代理人签章。</w:t>
      </w:r>
    </w:p>
    <w:p w14:paraId="66A328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19.2供应商的法定代表人或授权代理人在凡规定签章处逐一签署并加盖单位公章。</w:t>
      </w:r>
    </w:p>
    <w:p w14:paraId="36F84F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19.3电报、电话、传真形式的投标概不接受。</w:t>
      </w:r>
    </w:p>
    <w:p w14:paraId="6CDE73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19.4所有已进入评审程序的响应文件，采购人及采购代理机构有权不予退还响应单位递交的响应文件。</w:t>
      </w:r>
    </w:p>
    <w:p w14:paraId="5AED640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四、响应文件的递交</w:t>
      </w:r>
    </w:p>
    <w:p w14:paraId="77675C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20.响应性文件的密封与标记（电子标不适用）</w:t>
      </w:r>
    </w:p>
    <w:p w14:paraId="5672C8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20.1响应文件的密封：详见供应商须知前附表。</w:t>
      </w:r>
    </w:p>
    <w:p w14:paraId="6290F9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20.2如果供应商未按上述要求对响应文件密封及加写标记，采购代理机构对由此造成的文件的误投或过早启封概不负责，采购代理机构有权予以拒绝，并退回供应商。</w:t>
      </w:r>
    </w:p>
    <w:p w14:paraId="353D93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20.3由于不可抗拒的原因或无法控制的事件而导致丢失或损坏投标包装体内的响应文件，采购人将不负责任。</w:t>
      </w:r>
    </w:p>
    <w:p w14:paraId="04F829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21.响应文件递交截止时间（电子标不适用）</w:t>
      </w:r>
    </w:p>
    <w:p w14:paraId="5C30FB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响应文件的递交截止时间为竞争性磋商公告所规定的时间。响应文件以密封形式递交至指定的投标地点，采购人或者采购代理机构收到响应文件后，应当如实记载响应文件的送达时间和密封情况，签收保存，并向供应商出具签收回执。任何单位和个人不得在开标前开启响应文件。</w:t>
      </w:r>
    </w:p>
    <w:p w14:paraId="121C34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逾期送达或者未按照竞争性磋商文件要求密封的响应文件，采购人、采购代理机构应当拒收。</w:t>
      </w:r>
    </w:p>
    <w:p w14:paraId="0E26DF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21.2出现因竞争性磋商文件的修改推迟磋商截止时间时，则按采购人修改通知规定的时间递交。</w:t>
      </w:r>
    </w:p>
    <w:p w14:paraId="17E5AF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22.响应文件的修改和撤回</w:t>
      </w:r>
    </w:p>
    <w:p w14:paraId="47E1EF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供应商在提交响应文件后可对其响应文件进行修改或撤回，但该修改或撤回的书面通知须在递交截止时间之前递交，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15A1EE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22.2供应商不得在递交截止时间起至响应文件有效期期满前撤销其响应文件。否则其磋商保证金将按“本章18.磋商保证金”的相关规定被没收。</w:t>
      </w:r>
    </w:p>
    <w:p w14:paraId="78910B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22.3响应文件中报价如果出现下列不一致的，可按以下原则进行修改：</w:t>
      </w:r>
    </w:p>
    <w:p w14:paraId="57D398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（一）大写金额和小写金额不一致的，以大写金额为准，但大写金额文字存在错误的，应当先对大写金额的文字错误进行澄清、说明或者更正，再行修正。</w:t>
      </w:r>
    </w:p>
    <w:p w14:paraId="1C7B26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（二）总价金额与按单价汇总金额不一致的，以单价金额计算结果为准，但单价或者单价汇总金额存在数字或者文字错误的，应当先对数字或者文字错误进行澄清、说明或者更正，再行修正。</w:t>
      </w:r>
    </w:p>
    <w:p w14:paraId="0D1D84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（三）单价金额小数点或者百分比有明显错位的，以总价为准，修正单价。</w:t>
      </w:r>
    </w:p>
    <w:p w14:paraId="526053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同时出现两种以上不一致的，按照上述规定的顺序修正。修正后的报价经供应商确认后产生约束力，供应商不确认的，其响应文件作为无效处理。</w:t>
      </w:r>
    </w:p>
    <w:p w14:paraId="320BEA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22.5供应商对其提交的响应文件的真实性、合法性承担法律责任。</w:t>
      </w:r>
    </w:p>
    <w:p w14:paraId="23AB0D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23.电子标响应文件的递交</w:t>
      </w:r>
    </w:p>
    <w:p w14:paraId="213FE9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23.1供应商应在磋商文件规定的响应文件递交截止时间前将电子响应文件上传到新疆政府采购网（http：//www.ccgp-xinjiang.gov.cn）的指定栏目。未在响应文件递交截止时间前完成上传的电子响应文件视为逾期送达。逾期上传或未按规定方式上传的电子响应文件，采购代理机构不予受理。</w:t>
      </w:r>
    </w:p>
    <w:p w14:paraId="3CCFF4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23.2采用不见面开标，只需将电子投标文件在投标截止时间前通过新疆政府采购网（http：//www.ccgp-xinjiang.gov.cn）加密上传完成。逾期上传的或者未上传到平台的投标文件，采购人不予受理。</w:t>
      </w:r>
    </w:p>
    <w:p w14:paraId="4B28F37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五、竞争性磋商程序</w:t>
      </w:r>
    </w:p>
    <w:p w14:paraId="353DD1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24.评审小组</w:t>
      </w:r>
    </w:p>
    <w:p w14:paraId="430483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24.1采购人将根据《中华人民共和国政府采购法》及相关的法律、法规等，依法组建本次招标的评审小组，负责本次招标的评审、评标等活动。评审小组负责向采购人推荐成交候选人或者根据采购人的授权直接确定中标人。</w:t>
      </w:r>
    </w:p>
    <w:p w14:paraId="129ED4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24.2评审小组成员名单在评标结果公告前应当保密。</w:t>
      </w:r>
    </w:p>
    <w:p w14:paraId="46BCD2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24.3评审小组由采购人代表和评审专家组成，成员人数应当为3人或以上单数，其中评审专家不得少于成员总数的三分之二。</w:t>
      </w:r>
    </w:p>
    <w:p w14:paraId="4C86A2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24.4采购人或者采购代理机构应当从省级以上财政部门设立的政府采购评审专家库中，通过随机方式抽取评审专家。</w:t>
      </w:r>
    </w:p>
    <w:p w14:paraId="054859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对技术复杂、专业性强的采购项目，通过随机方式难以确定合适评审专家的，经主管预算单位同意，采购人可以自行选定相应专业领域的评审专家。</w:t>
      </w:r>
    </w:p>
    <w:p w14:paraId="2550C5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24.5评标中因评审成员缺席、回避或者健康等特殊原因导致评审小组组成不符合相关规定的，采购人或者采购代理机构应当依法补足后继续评标。被更换的评审小组成员所作出的评标意见无效。</w:t>
      </w:r>
    </w:p>
    <w:p w14:paraId="1EFB01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无法及时补足评审小组成员的，采购人或者采购代理机构应当停止评标活动，封存所有响应文件和开标、评标资料，依法重新组建评审小组进行评标。原评审小组所作出的评标意见无效。</w:t>
      </w:r>
    </w:p>
    <w:p w14:paraId="049093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采购人或者采购代理机构应当将变更、重新组建评审小组的情况予以记录，并随采购文件一并存档。</w:t>
      </w:r>
    </w:p>
    <w:p w14:paraId="759448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24.6评标专家应符合下列条件：</w:t>
      </w:r>
    </w:p>
    <w:p w14:paraId="06C885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24.6.1具有良好的职业道德，廉洁自律，遵纪守法，无行贿、受贿、欺诈等不良信用记录；</w:t>
      </w:r>
    </w:p>
    <w:p w14:paraId="085DC3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24.6.2具有中级专业技术职称或同等专业水平且从事相关领域工作满8年，或者具有高级专业技术职称或同等专业水平；</w:t>
      </w:r>
    </w:p>
    <w:p w14:paraId="50EE13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24.6.3熟悉政府采购相关政策法规；</w:t>
      </w:r>
    </w:p>
    <w:p w14:paraId="602B06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24.6.4承诺以独立身份参加评审工作，依法履行评审专家工作职责并承担相应法律责任的中国公民；</w:t>
      </w:r>
    </w:p>
    <w:p w14:paraId="6EB6EE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24.6.5身体健康，能够承担评审工作；</w:t>
      </w:r>
    </w:p>
    <w:p w14:paraId="0829A5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24.6.6申请成为评审专家前三年内，无《政府采购评审专家管理办法》中规定的不良行为记录。</w:t>
      </w:r>
    </w:p>
    <w:p w14:paraId="6875E7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有下列情形之一的，不得担任评审小组成员：</w:t>
      </w:r>
    </w:p>
    <w:p w14:paraId="2816B7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（1）参加采购活动前三年内，与供应商存在劳动关系，或者担任过供应商的董事、监事,或者是供应商的控股股东或实际控制人；</w:t>
      </w:r>
    </w:p>
    <w:p w14:paraId="46816E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（2）与供应商的法定代表人或者负责人有夫妻、直系血亲、三代以内旁系血亲或者近姻亲关系；</w:t>
      </w:r>
    </w:p>
    <w:p w14:paraId="130846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（3）与供应商有其他可能影响政府采购活动公平、公正进行的关系。</w:t>
      </w:r>
    </w:p>
    <w:p w14:paraId="147802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24.7评审小组负责具体评标事务，并独立履行下列职责：</w:t>
      </w:r>
    </w:p>
    <w:p w14:paraId="4B80C0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（1）审查、评价响应文件是否符合竞争性磋商文件的商务、技术等实质性要求；</w:t>
      </w:r>
    </w:p>
    <w:p w14:paraId="24ECD7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（2）要求供应商对响应文件的有关事项作出澄清或者说明；</w:t>
      </w:r>
    </w:p>
    <w:p w14:paraId="47474D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（3）对响应文件进行比较和评价；</w:t>
      </w:r>
    </w:p>
    <w:p w14:paraId="38E608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（4）确定成交候选人名单，以及根据采购人委托直接确定中标人；</w:t>
      </w:r>
    </w:p>
    <w:p w14:paraId="17C813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（5）向采购人、采购代理机构或者有关部门报告评标中发现的违法行为。</w:t>
      </w:r>
    </w:p>
    <w:p w14:paraId="631ED4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24.8评审小组及其成员不得有下列行为：</w:t>
      </w:r>
    </w:p>
    <w:p w14:paraId="794145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（1）确定参与评标至评标结束前私自接触供应商；</w:t>
      </w:r>
    </w:p>
    <w:p w14:paraId="587EB5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（2）接受供应商提出的与响应文件不一致的澄清或者说明，本竞争性磋商文件第27.1款规定的情形除外；</w:t>
      </w:r>
    </w:p>
    <w:p w14:paraId="14A977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（3）违反评标纪律发表倾向性意见或者征询采购人的倾向性意见；</w:t>
      </w:r>
    </w:p>
    <w:p w14:paraId="42830D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（4）对需要专业判断的主观评审因素协商评分；</w:t>
      </w:r>
    </w:p>
    <w:p w14:paraId="09B4F4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（5）在评标过程中擅离职守，影响评标程序正常进行的；</w:t>
      </w:r>
    </w:p>
    <w:p w14:paraId="551799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（6）记录、复制或者带走任何评标资料；</w:t>
      </w:r>
    </w:p>
    <w:p w14:paraId="01F449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（7）其他不遵守评标纪律的行为。</w:t>
      </w:r>
    </w:p>
    <w:p w14:paraId="026D33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评审小组成员有前款第（1）至（5）项行为之一的，其评审意见无效，并不得获取评审劳务报酬和报销异地评审差旅费。</w:t>
      </w:r>
    </w:p>
    <w:p w14:paraId="221EF0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25.评审过程的保密性</w:t>
      </w:r>
    </w:p>
    <w:p w14:paraId="48C1BE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25.1采购人、采购代理机构应当采取必要措施，保证评审在严格保密的情况下进行。除采购人代表、评审现场组织人员外，采购人的其他工作人员以及与评审工作无关的人员不得进入评审现场。</w:t>
      </w:r>
    </w:p>
    <w:p w14:paraId="63E8DC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25.2开标后，直到授予中标人合同为止，凡属于对响应文件的审查、澄清、评价和比较的有关资料以及成交候选人的推荐情况和授标建议等内容、与评标有关的其他任何情况均应严格保密；评审小组成员及参与评标的有关工作人员均不得向供应商或其他无关的人员透露，违者给予警告、取消担任评审小组成员的资格。</w:t>
      </w:r>
    </w:p>
    <w:p w14:paraId="24EF45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25.3投标供应商在评审过程中，所进行的力图影响评审结果的、不符合《中华人民共和国政府采购法》及其相关法律、法规的、以及不符合本次招标的有关规定的活动，将被取消其中标资格。</w:t>
      </w:r>
    </w:p>
    <w:p w14:paraId="3D5233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26.评审依据及评标办法</w:t>
      </w:r>
    </w:p>
    <w:p w14:paraId="3AB5EC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26.1评审的依据：竞争性磋商文件。</w:t>
      </w:r>
    </w:p>
    <w:p w14:paraId="25F86D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26.2评标办法：综合评分法</w:t>
      </w:r>
    </w:p>
    <w:p w14:paraId="0CB56C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综合评分法，是指响应文件满足竞争性磋商文件全部实质性要求，且按照评审因素的量化指标评审得分最高的供应商为成交候选人的评标方法。</w:t>
      </w:r>
    </w:p>
    <w:p w14:paraId="0E5C40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26.3评审程序：</w:t>
      </w:r>
      <w:r>
        <w:rPr>
          <w:rFonts w:hint="eastAsia" w:ascii="宋体" w:hAnsi="宋体" w:eastAsia="宋体" w:cs="宋体"/>
          <w:sz w:val="24"/>
          <w:szCs w:val="24"/>
          <w:lang w:val="en-US" w:eastAsia="zh-CN"/>
        </w:rPr>
        <w:tab/>
      </w:r>
    </w:p>
    <w:p w14:paraId="32E9B7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成立评标委员会→初步评审（资格审查、符合性审查）→错误性修正→详细评审（商务、技术部分评审，报价得分（二次报价）计算）→推荐成交候选人→完成评标报告</w:t>
      </w:r>
    </w:p>
    <w:p w14:paraId="151C7F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通过初步评审的响应文件，方可进入下一环节的评审。</w:t>
      </w:r>
    </w:p>
    <w:p w14:paraId="696BDA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27.初步评审</w:t>
      </w:r>
    </w:p>
    <w:p w14:paraId="3D2731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27.1评审小组对响应文件的有效性、完整性和响应程度进行审查时，应当以书面方式要求供应商对响应文件中含义不明确、对同类问题表述不一致或者有明显文字和计算错误的内容作必要的澄清、说明或补正。</w:t>
      </w:r>
    </w:p>
    <w:p w14:paraId="1409BE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供应商的澄清、说明或补正应以书面方式进行，并加盖公章，或者由法定代表人或其授权的代表签字。供应商的澄清、说明或者补正不得超出响应文件的范围或者改变竞争性磋商文件的实质性内容。</w:t>
      </w:r>
    </w:p>
    <w:p w14:paraId="1B6368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按上述规定，经供应商确认后，对供应商起约束作用。如果供应商不确认的，则其投标无效。</w:t>
      </w:r>
    </w:p>
    <w:p w14:paraId="01DAA3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27.2采购方不接受不符合国家有关部门相关规定的投标报价或优惠方案。</w:t>
      </w:r>
    </w:p>
    <w:p w14:paraId="5D327B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27.3在评审过程中，评审小组发现供应商以他人名义投标、串通投标、以行贿手段谋取中标或者以其他弄虚作假方式投标的，该供应商的投标将被否决。</w:t>
      </w:r>
    </w:p>
    <w:p w14:paraId="5B9B20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27.4有下列情形之一的，视为供应商串通投标，其投标无效：</w:t>
      </w:r>
    </w:p>
    <w:p w14:paraId="45F67F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（1）不同供应商的响应文件由同一单位或者个人编制；</w:t>
      </w:r>
    </w:p>
    <w:p w14:paraId="68A8EF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（2）不同供应商委托同一单位或者个人办理投标事宜；</w:t>
      </w:r>
    </w:p>
    <w:p w14:paraId="1687FB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（3）不同供应商的响应文件载明的项目管理成员或者联系人员为同一人；</w:t>
      </w:r>
    </w:p>
    <w:p w14:paraId="4B1019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（4）不同供应商的响应文件异常一致或者投标报价呈规律性差异；</w:t>
      </w:r>
    </w:p>
    <w:p w14:paraId="1D8624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（5）不同供应商的响应文件相互混装；</w:t>
      </w:r>
    </w:p>
    <w:p w14:paraId="7CB348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（6）不同供应商的磋商保证金从同一单位或者个人的账户转出。</w:t>
      </w:r>
    </w:p>
    <w:p w14:paraId="4E9AB0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27.5供应商存在下列情况之一的，投标无效：</w:t>
      </w:r>
    </w:p>
    <w:p w14:paraId="3E9D0A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（1）未按照竞争性磋商文件的规定提交磋商保证金的；</w:t>
      </w:r>
    </w:p>
    <w:p w14:paraId="7B0C76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（2）响应文件未按竞争性磋商文件要求签署、盖章的；</w:t>
      </w:r>
    </w:p>
    <w:p w14:paraId="4F7F72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（3）不具备竞争性磋商文件中规定的资格要求的；</w:t>
      </w:r>
    </w:p>
    <w:p w14:paraId="7F9E62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（4）报价超过竞争性磋商文件中规定的预算金额或者最高限价的；</w:t>
      </w:r>
    </w:p>
    <w:p w14:paraId="3F356F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（5）响应文件含有采购人不能接受的附加条件的；</w:t>
      </w:r>
    </w:p>
    <w:p w14:paraId="74E8E5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（6）法律、法规和竞争性磋商文件规定的其他无效情形。</w:t>
      </w:r>
    </w:p>
    <w:p w14:paraId="021B81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27.6评审小组应当审查每一响应文件是否对竞争性磋商文件提出的所有实质性要求和条件做出响应。未能在实质上响应的投标，其投标将被否决。</w:t>
      </w:r>
    </w:p>
    <w:p w14:paraId="32C0EC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27.7供应商不得误导、干扰采购方的评审活动，否则将废除其投标。</w:t>
      </w:r>
    </w:p>
    <w:p w14:paraId="203B08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27.8评审小组根据上述规定否决不合格投标，因有效投标不足本次评审办法规定数量而使得投标明显缺乏竞争性时，根据《中华人民共和国政府采购法》的相关规定，将作流标处理。</w:t>
      </w:r>
    </w:p>
    <w:p w14:paraId="41A46A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28.响应文件计算错误的修正</w:t>
      </w:r>
    </w:p>
    <w:p w14:paraId="4C4ADD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28.1响应文件中报价出现前后不一致的，评审小组按以下原则对投标报价进行修正：</w:t>
      </w:r>
    </w:p>
    <w:p w14:paraId="35C165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a.响应文件中报价一览表（报价表）内容与响应文件中相应内容不一致的，以报价一览表（报价表）为准；</w:t>
      </w:r>
    </w:p>
    <w:p w14:paraId="06D41B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b.大写金额和小写金额不一致的，以大写金额为准；</w:t>
      </w:r>
    </w:p>
    <w:p w14:paraId="6F3281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c.单价金额小数点或者百分比有明显错位的，以报价一览表的总价为准，并修改单价；</w:t>
      </w:r>
    </w:p>
    <w:p w14:paraId="15A3CD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d.总价金额与按单价汇总金额不一致的，以单价金额计算结果为准。</w:t>
      </w:r>
    </w:p>
    <w:p w14:paraId="4DA49D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同时出现两种以上不一致的，按照前款规定的顺序修正。</w:t>
      </w:r>
    </w:p>
    <w:p w14:paraId="7BEE65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28.2修正后的最终投标报价若超过最高投标限价（如有），评审小组应当否决其投标。</w:t>
      </w:r>
    </w:p>
    <w:p w14:paraId="6D0986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28.3按上述修正错误的原则及方法调整或修正响应文件的投标报价，经供应商确认后，对供应商起约束作用。如果供应商不确认的，则其投标无效。</w:t>
      </w:r>
    </w:p>
    <w:p w14:paraId="544297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29.详细评审</w:t>
      </w:r>
    </w:p>
    <w:p w14:paraId="161FDD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29.1经符合性审查合格的响应文件，评审小组应当根据竞争性磋商文件确定的评审标准和方法，确定最终采购需求和提交最后报价的供应商后，由评审小组采用综合评分法对提交最后报价的供应商的响应文件进行综合评分。</w:t>
      </w:r>
    </w:p>
    <w:p w14:paraId="4F8EFE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29.2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93CB7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29.3磋商小组所有成员应当集中与单一供应商分别进行磋商，并给予所有参加磋商的供应商平等的磋商机会。</w:t>
      </w:r>
    </w:p>
    <w:p w14:paraId="11B066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29.4根据综合评分法完成评审工作后，评审小组应当向采购人递交书面评审报告。</w:t>
      </w:r>
    </w:p>
    <w:p w14:paraId="4EE685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29.5评审和定标一般应当在开标后7个工作日内完成，项目金额较大、技术较为复杂等特殊项目的评审工作应当在30个工作日内完成。不能在开标后30个工作日内完成评审和定标的，采购人应当提前3天通知所有投标供应商延长投标有效期。同意延长投标有效期的投标供应商应当相应延长投标保证金的有效期，但不得修改响应文件的实质性内容。</w:t>
      </w:r>
    </w:p>
    <w:p w14:paraId="27C6FB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29.6评审因素及标准（详见评分细则）</w:t>
      </w:r>
    </w:p>
    <w:p w14:paraId="524726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评审因素：与供应商所提供货物服务的质量相关，包括投标报价、技术或者服务水平、履约能力、售后服务等。</w:t>
      </w:r>
    </w:p>
    <w:p w14:paraId="2A65E0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计算各项分值时，按四舍五入的原则，保留小数点后二位。</w:t>
      </w:r>
    </w:p>
    <w:p w14:paraId="37BEA3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29.7报价</w:t>
      </w:r>
    </w:p>
    <w:p w14:paraId="6AD8B1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29.7.1本次采购方式为竞争性磋商，待评审小组与供应商对采购标的的技术、服务等磋商结束后，评审小组要求所有实质性响应的供应商，在规定的时间内提交最后报价。</w:t>
      </w:r>
    </w:p>
    <w:p w14:paraId="6FFC48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29.7.2经磋商确定最终采购需求和提交最后报价的供应商后，由评审小组采用综合评分法对提交最后报价的供应商的价格得分进行计算。</w:t>
      </w:r>
    </w:p>
    <w:p w14:paraId="138DB9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29.7.3供应商的标报价得分计算说明：</w:t>
      </w:r>
    </w:p>
    <w:p w14:paraId="49C863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价格分统一采用低价优先法计算，即满足磋商文件要求且最后报价最低的供应商的价格为磋商基准价，其价格分为满分。其他供应商的价格分统一按照下列公式计算：</w:t>
      </w:r>
    </w:p>
    <w:p w14:paraId="574B52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磋商报价得分=（磋商基准价/最后磋商报价）×价格权值×100</w:t>
      </w:r>
    </w:p>
    <w:p w14:paraId="479E2A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项目评审过程中，不得去掉最终报价中的最高报价和最低报价。</w:t>
      </w:r>
    </w:p>
    <w:p w14:paraId="1667CC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本项目采购标的所属行业：建筑业。</w:t>
      </w:r>
    </w:p>
    <w:p w14:paraId="5B227E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29.7.4评审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小组应当将其作为无效投标处理。</w:t>
      </w:r>
    </w:p>
    <w:p w14:paraId="7A5793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29.8综合得分</w:t>
      </w:r>
    </w:p>
    <w:p w14:paraId="320C7C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综合得分=商务技术部分得分+投标报价部分得分。</w:t>
      </w:r>
    </w:p>
    <w:p w14:paraId="155178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30．定标原则</w:t>
      </w:r>
    </w:p>
    <w:p w14:paraId="50AB2D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30.1评审小组应当根据综合评分情况，按照供应商综合得分由高到低的顺序排列，依次推荐3名成交候选人，并编写评审报告。供应商综合得分相同的，按照投标报价由低到高的顺序排列。供应商综合得分相同且投标报价也相同的并列，评审小组将按照技术指标优劣顺序推荐。</w:t>
      </w:r>
    </w:p>
    <w:p w14:paraId="677C97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30.2采购代理机构应当在评标结束后2个工作日内将评审报告送采购人。</w:t>
      </w:r>
    </w:p>
    <w:p w14:paraId="7179C2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采购人应当自收到评审报告之日起5个工作日内，在评审报告确定的成交候选人名单中按顺序确定中标人。</w:t>
      </w:r>
    </w:p>
    <w:p w14:paraId="603974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30.3采购人根据评审报告，应当确定排名第一的成交候选人为中标人。排名第一的成交候选人放弃中标、因不可抗力不能履行合同、不按照竞争性磋商文件要求提交履约保证金（如有）的，或者被查实存在影响中标结果的违法行为等情形，不符合中标条件的，采购人可以按照评审小组提出的成交候选人名单排序依次确定其他成交候选人为中标人，也可以重新采购。</w:t>
      </w:r>
    </w:p>
    <w:p w14:paraId="74A3A3F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六、授予合同</w:t>
      </w:r>
    </w:p>
    <w:p w14:paraId="547D61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31.合同授予标准</w:t>
      </w:r>
    </w:p>
    <w:p w14:paraId="048A27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31.1合同将授予被确定为实质上响应竞争性磋商文件要求，评标认为具备履行合同义务条件、报价合理、技术和商务条件都符合条件基础上对买方最为有利的供应商。</w:t>
      </w:r>
    </w:p>
    <w:p w14:paraId="72CD73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31.2最低投标价不一定是被授予合同的保证。</w:t>
      </w:r>
    </w:p>
    <w:p w14:paraId="658BBD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31.3如果确定该供应商不能无条件圆满履行合同，采购人将对下一个可能中标的供应商资格做出类似的审查。</w:t>
      </w:r>
    </w:p>
    <w:p w14:paraId="08AD72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32.接受和拒绝任何投标的权力</w:t>
      </w:r>
    </w:p>
    <w:p w14:paraId="51D96A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32.1为维护国家利益，采购人在授予合同之前仍有选择或拒绝任何投标的权力。</w:t>
      </w:r>
    </w:p>
    <w:p w14:paraId="4E7EE3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33.中标（成交）通知书</w:t>
      </w:r>
    </w:p>
    <w:p w14:paraId="1C6CF8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33.1中标结果经公示结束，采购人将以书面形式发出《中标（成交）通知书》，《中标（成交）通知书》一经发出即发生法律效力。</w:t>
      </w:r>
    </w:p>
    <w:p w14:paraId="384FE4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33.2《中标（成交）通知书》将作为签订合同的依据。</w:t>
      </w:r>
    </w:p>
    <w:p w14:paraId="6C35DD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34.履约担保</w:t>
      </w:r>
    </w:p>
    <w:p w14:paraId="159DBC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34.1履约保证金：详见供应商须知前附表。</w:t>
      </w:r>
    </w:p>
    <w:p w14:paraId="056449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34.2中标或成交供应商合同主要义务履行完毕，采购人按合同约定及时退还。</w:t>
      </w:r>
    </w:p>
    <w:p w14:paraId="3240AA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34.3如成交候选人不能提供则取消其中标资格。</w:t>
      </w:r>
    </w:p>
    <w:p w14:paraId="116FA6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35．签订合同</w:t>
      </w:r>
    </w:p>
    <w:p w14:paraId="731748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35.1成交候选人在收到招标方的《中标（成交）通知书》后，须及时按照竞争性磋商文件和其所提供的响应文件中的约定与采购单位签订书面合同，所签订的合同不得对竞争性磋商文件和中标方的响应文件作实质性修改。</w:t>
      </w:r>
    </w:p>
    <w:p w14:paraId="1F87DA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35.2竞争性磋商文件、中标方的响应文件及其澄清文件等，均为签订合同的依据。</w:t>
      </w:r>
    </w:p>
    <w:p w14:paraId="7A3A3C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35.3如果中标人不能按本须知第35.1款的规定执行，采购人将有充分的理由废除其中标资格，并没收其磋商保证金，给采购人造成的损失超过磋商保证金数额的，还应当对超过部分予以赔偿，同时依法承担相应法律责任；同时，采购人有权将标授予另一个候选中标人或重新招标。</w:t>
      </w:r>
    </w:p>
    <w:p w14:paraId="205E96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35.4不允许中标人将中标项目分包或转交他人承担。特殊情况下，中标人必须与招标方协商后共同决定将合同标的中的部分由第三方承担供货和服务责任，但中标方必须对合同标的的全部内容向招标方负责，并保证第三方提供的供货和服务符合竞争性磋商文件的约定和响应文件的承诺及相关约定。</w:t>
      </w:r>
    </w:p>
    <w:p w14:paraId="6FB1E6C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14:paraId="4DB468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36.需要补充的其他内容</w:t>
      </w:r>
    </w:p>
    <w:p w14:paraId="16658F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36.1需要补充的其他内容详见供应商须知前附表。</w:t>
      </w:r>
    </w:p>
    <w:p w14:paraId="4146763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八、质疑和投诉</w:t>
      </w:r>
    </w:p>
    <w:p w14:paraId="68BC65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政府采购供应商（以下简称供应商）提出质疑和投诉应当坚持依法依规、诚实信用原则。</w:t>
      </w:r>
    </w:p>
    <w:p w14:paraId="710CD1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37.质疑的提出</w:t>
      </w:r>
    </w:p>
    <w:p w14:paraId="43209F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37.1供应商认为采购文件、采购过程、中标或者成交结果使自己的权益受到损害的，可以在知道或者应知其权益受到损害之日起七个工作日内，以书面形式向采购人、采购代理机构提出质疑。</w:t>
      </w:r>
    </w:p>
    <w:p w14:paraId="01F440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供应商在法定质疑期内应当一次性提出针对同一采购程序环节的质疑。</w:t>
      </w:r>
    </w:p>
    <w:p w14:paraId="286843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应知其权益受到损害之日，是指：（1）对可以质疑的采购文件提出质疑的，为收到采购文件之日或者采购文件公告期限届满之日。（2）对采购过程提出质疑的，为各采购程序环节结束之日。（3）对中标或者成交结果提出质疑的，为中标或者成交结果公告期限届满之日。</w:t>
      </w:r>
    </w:p>
    <w:p w14:paraId="41422A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37.2提出质疑的供应商（以下简称质疑供应商）应当是参与所质疑项目采购活动的供应商。</w:t>
      </w:r>
    </w:p>
    <w:p w14:paraId="77DEBD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潜在供应商已依法获取其可质疑的采购文件的，可以对该文件提出质疑。对采购文件提出质疑的，应当在获取采购文件或者采购文件公告期限届满之日起7个工作日内提出。</w:t>
      </w:r>
    </w:p>
    <w:p w14:paraId="223610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37.3供应商提出质疑应当提交质疑函和必要的证明材料。质疑函应当包括下列内容：</w:t>
      </w:r>
    </w:p>
    <w:p w14:paraId="4D0647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（1）供应商的姓名或者名称、地址、邮编、联系人及联系电话；</w:t>
      </w:r>
    </w:p>
    <w:p w14:paraId="159970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（2）质疑项目的名称、编号；</w:t>
      </w:r>
    </w:p>
    <w:p w14:paraId="4BE1C4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（3）具体、明确的质疑事项和与质疑事项相关的请求；</w:t>
      </w:r>
    </w:p>
    <w:p w14:paraId="21B7C7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（4）事实依据；</w:t>
      </w:r>
    </w:p>
    <w:p w14:paraId="777002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（5）必要的法律依据；</w:t>
      </w:r>
    </w:p>
    <w:p w14:paraId="4A82D9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（6）提出质疑的日期。</w:t>
      </w:r>
    </w:p>
    <w:p w14:paraId="30911F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供应商为自然人的，应当由本人签字；供应商为法人或者其他组织的，应当由法定代表人、主要负责人，或者其授权代表签字或者盖章，并加盖公章。</w:t>
      </w:r>
    </w:p>
    <w:p w14:paraId="200CBA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提出质疑时，必须按照“实事求是”、“谁主张，谁举证”的原则，提供相关证明材料，不能主观臆测。</w:t>
      </w:r>
    </w:p>
    <w:p w14:paraId="15DDA7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37.4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94054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代理人提出质疑和投诉，应当提交供应商签署的授权委托书。</w:t>
      </w:r>
    </w:p>
    <w:p w14:paraId="5EAF6E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37.5以联合体形式参加政府采购活动的，其投诉应当由组成联合体的所有供应商共同提出。</w:t>
      </w:r>
    </w:p>
    <w:p w14:paraId="2B36FD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37.6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21C221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37.7证明材料要具备客观性、关联性、合法性，无法查实的（如宣传册、媒体报道、猜测、推理等）不能作为证明材料。</w:t>
      </w:r>
    </w:p>
    <w:p w14:paraId="0BF170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37.8对不能提供相关证明材料的、涉及商业秘密的、非书面形式送达的、匿名的质疑将不予受理。</w:t>
      </w:r>
    </w:p>
    <w:p w14:paraId="1CEAAA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38.受理和处理</w:t>
      </w:r>
    </w:p>
    <w:p w14:paraId="34AA89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38.1《质疑函》必须由质疑方的法定代表人或参与本次投标的被授权人以书面的形式送达招标方或采购单位。</w:t>
      </w:r>
    </w:p>
    <w:p w14:paraId="26A162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38.2采购人、采购代理机构不得拒收质疑供应商在法定质疑期内发出的质疑函，应当在收到质疑函后7个工作日内作出答复，并以书面形式通知质疑供应商和其他有关供应商。</w:t>
      </w:r>
    </w:p>
    <w:p w14:paraId="228AD2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38.3质疑答复的内容不得涉及商业秘密。</w:t>
      </w:r>
    </w:p>
    <w:p w14:paraId="722CC0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38.4对于不符合上述37项所述的相关条款要求的质疑，招标方将不予受理。</w:t>
      </w:r>
    </w:p>
    <w:p w14:paraId="0EF9B8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38.5在处理过程中，发现需要质疑人进一步补充相关佐证材料的，要求质疑人在规定时间内提供。质疑人不能按照要求提供相关佐证材料的，视同放弃质疑。</w:t>
      </w:r>
    </w:p>
    <w:p w14:paraId="3BC7F4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38.6招标方或采购单位负责对质疑的回复工作，将质疑人的质疑材料提供给相关专家或评审小组，并将处理意见回复质疑人。</w:t>
      </w:r>
    </w:p>
    <w:p w14:paraId="3A38BF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38.7采购人、采购代理机构认为供应商质疑不成立，或者成立但未对中标、成交结果构成影响的，继续开展采购活动；认为供应商质疑成立且影响或者可能影响中标、成交结果的，按照下列情况处理：</w:t>
      </w:r>
    </w:p>
    <w:p w14:paraId="5E8833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（1）对采购文件提出的质疑，依法通过澄清或者修改可以继续开展采购活动的，澄清或者修改采购文件后继续开展采购活动；否则应当修改采购文件后重新开展采购活动。</w:t>
      </w:r>
    </w:p>
    <w:p w14:paraId="721E5B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采购过程、中标或者成交结果提出的质疑，合格供应商符合法定数量时，可以从合格的中标或者成交候选人中另行确定中标、成交供应商的，应当依法另行确定中标、成交供应商；否则应当重新开展采购活动。</w:t>
      </w:r>
    </w:p>
    <w:p w14:paraId="4E9A49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质疑答复导致中标、成交结果改变的，采购人或者采购代理机构应当将有关情况书面报告本级财政部门。</w:t>
      </w:r>
    </w:p>
    <w:p w14:paraId="48E529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39.质疑无效的处理</w:t>
      </w:r>
    </w:p>
    <w:p w14:paraId="2CF682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39.1质疑人提供的相关佐证材料不能证明质疑成立的，招标方可要求质疑人补充相关佐证材料，如补充材料仍不能证明质疑成立的，将不予受理。</w:t>
      </w:r>
    </w:p>
    <w:p w14:paraId="791C4E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39.2对于质疑人在质疑期间不配合进行质疑调查处理的，视为自动放弃质疑。</w:t>
      </w:r>
    </w:p>
    <w:p w14:paraId="4C47E0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39.3质疑人提出的质疑，经评标专家审定后驳回的，列为无效质疑。</w:t>
      </w:r>
    </w:p>
    <w:p w14:paraId="7F7B93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39.4对于质疑中使用虚假材料或恶意方式质疑的，按无效质疑处理，并列入不良记录供应商名单。</w:t>
      </w:r>
    </w:p>
    <w:p w14:paraId="455091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39.5质疑人进行质疑后，招标方在法定时间内对质疑进行回复，质疑人认为回复不满意的，可向相关的采购管理部门进行投诉。</w:t>
      </w:r>
    </w:p>
    <w:p w14:paraId="54DAB3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40.其他</w:t>
      </w:r>
    </w:p>
    <w:p w14:paraId="6F56E8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40.1质疑函和投诉书应当使用中文。质疑函和投诉书的范本，由财政部制定。</w:t>
      </w:r>
    </w:p>
    <w:p w14:paraId="6A9DDA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40.2对在质疑答复和投诉处理过程中知悉的国家秘密、商业秘密、个人隐私和依法不予公开的信息，财政部门、采购人、采购代理机构等相关知情人应当保密。</w:t>
      </w:r>
    </w:p>
    <w:p w14:paraId="47EFCC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40.3质疑函制作说明：</w:t>
      </w:r>
    </w:p>
    <w:p w14:paraId="53E3DC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1.供应商提出质疑时，应提交质疑函和必要的证明材料。</w:t>
      </w:r>
    </w:p>
    <w:p w14:paraId="0823BE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09FC2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3.质疑供应商若对项目的某一分包进行质疑，质疑函中应列明具体分标项。</w:t>
      </w:r>
    </w:p>
    <w:p w14:paraId="0463D9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4.质疑函的质疑事项应具体、明确，并有必要的事实依据和法律依据。</w:t>
      </w:r>
    </w:p>
    <w:p w14:paraId="52F5C9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5.质疑函的质疑请求应与质疑事项相关。</w:t>
      </w:r>
    </w:p>
    <w:p w14:paraId="394931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6.质疑供应商为自然人的，质疑函应由本人签字；质疑供应商为法人或者其他组织的，质疑函应由法定代表人、主要负责人，或者其授权代表签字或者盖章，并加盖公章。</w:t>
      </w:r>
    </w:p>
    <w:p w14:paraId="56F451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九、适用法律</w:t>
      </w:r>
    </w:p>
    <w:p w14:paraId="4F6362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招标采购单位和供应商的一切招标投标活动均适用于《政府采购法》、《政府采购实施条例》、《政府采购竞争性磋商采购方式管理办法》等相关规定。</w:t>
      </w:r>
    </w:p>
    <w:p w14:paraId="166F9C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十、磋商文件的解释权</w:t>
      </w:r>
    </w:p>
    <w:p w14:paraId="514FCE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本项目磋商文件的最终解释权为采购代理机构所有。</w:t>
      </w:r>
    </w:p>
    <w:p w14:paraId="111555C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十一、其他注意事项</w:t>
      </w:r>
    </w:p>
    <w:p w14:paraId="28BABA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单位负责人为同一人或者存在直接控股、管理关系的不同供应商，不得参加同一合同项下的政府采购活动。</w:t>
      </w:r>
    </w:p>
    <w:p w14:paraId="638475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供应商为采购项目提供整体设计、规范编制或者项目管理、监理、检测等服务的供应商，不得再参加该采购项目的其他采购活动。</w:t>
      </w:r>
    </w:p>
    <w:p w14:paraId="75CA34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政府采购法第二十二条第一款第五项所称重大违法记录，是指供应商因违法经营受到刑事处罚或者责令停产停业、吊销许可证或者执照、较大数额罚款等行政处罚。</w:t>
      </w:r>
    </w:p>
    <w:p w14:paraId="5FE2BB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按照财政部《关于规范政府采购行政处罚有关问题的通知》的规定，各级人民政府财政部门依法对参加政府采购活动的供应商作出的禁止参加政府采购活动等行政处罚决定在全国范围内生效。</w:t>
      </w:r>
    </w:p>
    <w:p w14:paraId="3535EB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供应商在参加政府采购活动前3年内因违法经营被禁止在一定期限内参加政府采购活动，期限届满的，可以参加政府采购活动。</w:t>
      </w:r>
    </w:p>
    <w:p w14:paraId="55556DC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661D394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sz w:val="28"/>
          <w:szCs w:val="28"/>
          <w:lang w:val="en-US" w:eastAsia="zh-CN"/>
        </w:rPr>
      </w:pPr>
      <w:bookmarkStart w:id="4" w:name="_Toc3428"/>
      <w:bookmarkStart w:id="5" w:name="_Toc31029"/>
      <w:r>
        <w:rPr>
          <w:rFonts w:hint="eastAsia" w:ascii="宋体" w:hAnsi="宋体" w:eastAsia="宋体" w:cs="宋体"/>
          <w:sz w:val="28"/>
          <w:szCs w:val="28"/>
          <w:lang w:val="en-US" w:eastAsia="zh-CN"/>
        </w:rPr>
        <w:t xml:space="preserve">第三章  </w:t>
      </w:r>
      <w:bookmarkEnd w:id="4"/>
      <w:r>
        <w:rPr>
          <w:rFonts w:hint="eastAsia" w:ascii="宋体" w:hAnsi="宋体" w:eastAsia="宋体" w:cs="宋体"/>
          <w:sz w:val="28"/>
          <w:szCs w:val="28"/>
          <w:lang w:val="en-US" w:eastAsia="zh-CN"/>
        </w:rPr>
        <w:t>采购需求</w:t>
      </w:r>
      <w:bookmarkEnd w:id="5"/>
    </w:p>
    <w:p w14:paraId="10E734F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bookmarkStart w:id="6" w:name="_Toc19890"/>
      <w:r>
        <w:rPr>
          <w:rFonts w:hint="eastAsia" w:ascii="宋体" w:hAnsi="宋体" w:eastAsia="宋体" w:cs="宋体"/>
          <w:sz w:val="24"/>
          <w:szCs w:val="24"/>
          <w:lang w:val="en-US" w:eastAsia="zh-CN"/>
        </w:rPr>
        <w:t>注：磋商内容及技术要求中标注“★部分”条款为实质性条款，供应商如在任何一条负偏离则导致响应无效。</w:t>
      </w:r>
    </w:p>
    <w:p w14:paraId="31B2881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I商务要求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746"/>
        <w:gridCol w:w="8702"/>
      </w:tblGrid>
      <w:tr w14:paraId="6965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E62306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0" w:type="auto"/>
            <w:vAlign w:val="center"/>
          </w:tcPr>
          <w:p w14:paraId="33D9F9F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条款名称</w:t>
            </w:r>
          </w:p>
        </w:tc>
        <w:tc>
          <w:tcPr>
            <w:tcW w:w="0" w:type="auto"/>
            <w:vAlign w:val="center"/>
          </w:tcPr>
          <w:p w14:paraId="1139DF6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说明</w:t>
            </w:r>
          </w:p>
        </w:tc>
      </w:tr>
      <w:tr w14:paraId="6F6E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28C72D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0" w:type="auto"/>
            <w:vAlign w:val="center"/>
          </w:tcPr>
          <w:p w14:paraId="002296C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工程概况</w:t>
            </w:r>
          </w:p>
        </w:tc>
        <w:tc>
          <w:tcPr>
            <w:tcW w:w="0" w:type="auto"/>
            <w:vAlign w:val="center"/>
          </w:tcPr>
          <w:p w14:paraId="501DEA5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新建大白杨沟吐葫芦乡大石头村左侧防洪护岸1.07km（桩号37+300-37+609，38+330-39+091），治理河长1.7km。护岸沿左岸河床布置，设计护岸型式采用坡式护岸，护面材料选用厚0.3m格宾石笼。</w:t>
            </w:r>
          </w:p>
        </w:tc>
      </w:tr>
      <w:tr w14:paraId="7064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78AF07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0" w:type="auto"/>
            <w:vAlign w:val="center"/>
          </w:tcPr>
          <w:p w14:paraId="22377FF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采购范围</w:t>
            </w:r>
          </w:p>
        </w:tc>
        <w:tc>
          <w:tcPr>
            <w:tcW w:w="0" w:type="auto"/>
            <w:vAlign w:val="center"/>
          </w:tcPr>
          <w:p w14:paraId="11EAC8D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施工图纸设计范围内及工程量清单的全部内容</w:t>
            </w:r>
          </w:p>
        </w:tc>
      </w:tr>
      <w:tr w14:paraId="3396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B93EE4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0" w:type="auto"/>
            <w:vAlign w:val="center"/>
          </w:tcPr>
          <w:p w14:paraId="5877211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★工期</w:t>
            </w:r>
          </w:p>
        </w:tc>
        <w:tc>
          <w:tcPr>
            <w:tcW w:w="0" w:type="auto"/>
            <w:vAlign w:val="center"/>
          </w:tcPr>
          <w:p w14:paraId="2C37324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合同签订生效后102日历日内完成竣工验收。（具体情况由成交供应商和采购人在合同中约定）</w:t>
            </w:r>
          </w:p>
        </w:tc>
      </w:tr>
      <w:tr w14:paraId="54E6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9EFA50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0" w:type="auto"/>
            <w:vAlign w:val="center"/>
          </w:tcPr>
          <w:p w14:paraId="554CDD2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0" w:type="auto"/>
            <w:vAlign w:val="center"/>
          </w:tcPr>
          <w:p w14:paraId="7AD01E6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符合国家规定</w:t>
            </w:r>
          </w:p>
        </w:tc>
      </w:tr>
      <w:tr w14:paraId="0794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BA6E25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0" w:type="auto"/>
            <w:vAlign w:val="center"/>
          </w:tcPr>
          <w:p w14:paraId="235BD84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报价要求</w:t>
            </w:r>
          </w:p>
        </w:tc>
        <w:tc>
          <w:tcPr>
            <w:tcW w:w="0" w:type="auto"/>
            <w:vAlign w:val="center"/>
          </w:tcPr>
          <w:p w14:paraId="0BCE1D4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1、本项目的报价和结算支付均以人民币为货币单位。</w:t>
            </w:r>
          </w:p>
          <w:p w14:paraId="16F8EF4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2、供应商报价应包括设计、采购、运输、安装、相关部门验收及保修期内的维护保养等所有含税费用，以及供应商认为必要的其他货物、材料、工程、服务。</w:t>
            </w:r>
          </w:p>
          <w:p w14:paraId="2697A68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3、如出现任何遗漏内容需产生额外费用，均由成交供应商自行承担，采购人将不再另支付任何费用。</w:t>
            </w:r>
          </w:p>
          <w:p w14:paraId="3CFFBDA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4、供应商的报价文件应包括单价和总价，总价是对采购的所有内容所计算的总价，为合同总价；其填报的明细单价则应是供应商对本采购项目</w:t>
            </w:r>
          </w:p>
          <w:p w14:paraId="08B2762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所包含的具体的服务进行详细列示的计算单价。</w:t>
            </w:r>
          </w:p>
          <w:p w14:paraId="241429A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5、供应商应被认为在填报报价之前，已经仔细阅读了本磋商文件的所有有关章节以及审查了所有相关资料，已确保本次磋商的所有磋商范围内的各种价格风险均已包含在磋商的报价内。</w:t>
            </w:r>
          </w:p>
        </w:tc>
      </w:tr>
      <w:tr w14:paraId="7772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241161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0" w:type="auto"/>
            <w:vAlign w:val="center"/>
          </w:tcPr>
          <w:p w14:paraId="5DEA6AD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质量要求和质</w:t>
            </w:r>
          </w:p>
          <w:p w14:paraId="3FC767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量保修期</w:t>
            </w:r>
          </w:p>
        </w:tc>
        <w:tc>
          <w:tcPr>
            <w:tcW w:w="0" w:type="auto"/>
            <w:vAlign w:val="center"/>
          </w:tcPr>
          <w:p w14:paraId="351885A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1、质量要求：符合国家有关施工质量验收标准的合格工程或合同约定。工程规范以现行的或承担具体施工任务期间国家和行业新颁布施行的规范、规程为准。</w:t>
            </w:r>
          </w:p>
          <w:p w14:paraId="509BA0C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2、材料、设备、施工须达到现行中华人民共和国以及省、自治区、直辖市或行业的工程建设标准、规范的要求及验收标准及有关规范为质量评定验收标准。</w:t>
            </w:r>
          </w:p>
          <w:p w14:paraId="1B6CAB9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3、质量保修期：按国务院《建设工程质量管理条例》第四十条相关规定执行。</w:t>
            </w:r>
          </w:p>
          <w:p w14:paraId="28C91E1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质量保修响应时间：属于保修范围的项目，应在接到采购人通知后的24小时内内派人保修。如未能在规定时间内派人保修的，采购人可自行或委托第三方保修，费用由成交供应商支付。发生紧急抢修事故的，成交供应商在接到通知后，应立即到达事故现场抢修。</w:t>
            </w:r>
          </w:p>
        </w:tc>
      </w:tr>
      <w:tr w14:paraId="3EAC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090068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0" w:type="auto"/>
            <w:vAlign w:val="center"/>
          </w:tcPr>
          <w:p w14:paraId="790994B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验收</w:t>
            </w:r>
          </w:p>
        </w:tc>
        <w:tc>
          <w:tcPr>
            <w:tcW w:w="0" w:type="auto"/>
            <w:vAlign w:val="center"/>
          </w:tcPr>
          <w:p w14:paraId="13232C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1、采购人在收到成交供应商提交的竣工报告后组织验收，并在验收后14天内予以认可或提出修改意见。验收不合格，成交供应商应按要求修改后再次提请采购人验收，并承担因自身原因造成修改的费用。</w:t>
            </w:r>
          </w:p>
          <w:p w14:paraId="6597CA0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2、采购人在收到成交供应商提交的竣工报告后不组织验收，或验收后不提出修改意见，视为竣工报告已被认可。</w:t>
            </w:r>
          </w:p>
          <w:p w14:paraId="50A6351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验收时如发现所交付的设备有短装、次品、损坏或其它不符合竞价文件规定之情形者，采购人应做出详尽的现场记录，或由用户和成交供应商双方签署备忘录。此现场记录或备忘录可用作补充、缺失和更换损坏部件的有效证据。由此产生的有关费用由成交供应商承担。</w:t>
            </w:r>
          </w:p>
          <w:p w14:paraId="5C1BB83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4、竣工报告被认可，则表明已完成合同工程，并视为通过竣工验收，采购人应向成交供应商颁发工程竣工验收证书。</w:t>
            </w:r>
          </w:p>
        </w:tc>
      </w:tr>
      <w:tr w14:paraId="7DFC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6D4FAE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0" w:type="auto"/>
            <w:vAlign w:val="center"/>
          </w:tcPr>
          <w:p w14:paraId="6C4E62A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付款方式</w:t>
            </w:r>
          </w:p>
        </w:tc>
        <w:tc>
          <w:tcPr>
            <w:tcW w:w="0" w:type="auto"/>
            <w:vAlign w:val="center"/>
          </w:tcPr>
          <w:p w14:paraId="14EEF13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甲乙双方签订的合同为准</w:t>
            </w:r>
          </w:p>
        </w:tc>
      </w:tr>
      <w:tr w14:paraId="3733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EEB078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0" w:type="auto"/>
            <w:vAlign w:val="center"/>
          </w:tcPr>
          <w:p w14:paraId="2464362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项目要求</w:t>
            </w:r>
          </w:p>
        </w:tc>
        <w:tc>
          <w:tcPr>
            <w:tcW w:w="0" w:type="auto"/>
            <w:vAlign w:val="center"/>
          </w:tcPr>
          <w:p w14:paraId="4F22AF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1、成交供应商必须遵照采购人的管理及安排，按采购人的内容、质量、时间要求制作,所有的服务必须达到采购人的要求。</w:t>
            </w:r>
          </w:p>
          <w:p w14:paraId="5DF65D6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2、项目建设工作完成后应按要求及时清理现场工作。</w:t>
            </w:r>
          </w:p>
          <w:p w14:paraId="3B52139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3、★成交供应商必须在施工过程中注意自身及周边安全，负责施工过程中的所有事故处理和费用。</w:t>
            </w:r>
          </w:p>
          <w:p w14:paraId="403E2DE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为便于与采购人就活动细节等方面进行适时沟通联系、及时处理和反馈,并使项目按质、按量、按时、有序实施，成交人应保证有固定专人负责联络工作。本项目必须有一个完善且固定的策划和组织管理团队，供应商须在响应文件中详细列出参与本项目的人员名单。</w:t>
            </w:r>
          </w:p>
        </w:tc>
      </w:tr>
      <w:tr w14:paraId="771E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C3632C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0" w:type="auto"/>
            <w:vAlign w:val="center"/>
          </w:tcPr>
          <w:p w14:paraId="3C00F04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其它要求</w:t>
            </w:r>
          </w:p>
        </w:tc>
        <w:tc>
          <w:tcPr>
            <w:tcW w:w="0" w:type="auto"/>
            <w:vAlign w:val="center"/>
          </w:tcPr>
          <w:p w14:paraId="1BD693E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1、成交供应商施工前后，需负责原有地面拆旧，杂物清理及外运；</w:t>
            </w:r>
          </w:p>
          <w:p w14:paraId="062C4FC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2、成交供应商需严格按照采购人需求及设计效果图保质保量施工，不得偷工减料；</w:t>
            </w:r>
          </w:p>
          <w:p w14:paraId="21B82E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3、施工中使用的原材料必须为原厂全新材料，不得翻旧利旧，保证设计效果质量。</w:t>
            </w:r>
          </w:p>
        </w:tc>
      </w:tr>
    </w:tbl>
    <w:p w14:paraId="45BC4A75">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0D62E8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II技术要求</w:t>
      </w:r>
    </w:p>
    <w:p w14:paraId="103BEE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1.工程量清单说明</w:t>
      </w:r>
    </w:p>
    <w:p w14:paraId="653B87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1.1工程量清单应与招标文件中的投标人须知、通用合同条款、专用合同条款、技术标准和要求（合同技术条款）、图纸及《水利工程工程量清单计价规范》（GB50501-2007）等一起阅读和理解。</w:t>
      </w:r>
    </w:p>
    <w:p w14:paraId="6C8DC2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工程量清单仅是投标人投标报价的共同基础。除另有约定外，工程量清单中的工程量是根据招标设计图纸按《水利工程工程量清单计价规范》（GB50501—2007）计算规则计算的用于投标报价的估算工程量，不作为最终结算工程量。最终结算工程量是承包人实际完成并符合技术标准和要求（合同技术条款）和《水利工程工程量清单计价规范》（GB50501—2007）计算规则等规定，按施工图纸计算的有效工程量。</w:t>
      </w:r>
    </w:p>
    <w:p w14:paraId="309502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1.3工程量清单中各项目的工作内容和要求应符合相关技术标准和要求（合同技术条款）以及《水利工程工程量清单计价规范》（GB50501—2007）的规定。</w:t>
      </w:r>
    </w:p>
    <w:p w14:paraId="3FA386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1.4工程价款的支付遵循合同条款的约定。</w:t>
      </w:r>
    </w:p>
    <w:p w14:paraId="40AB3C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除合同另有规定外，在投标截止日前28天当时所依据的国家法律、行政法规、国务院有关部门（包括水行政部门）的规章以及工程所在地的省、自治区、直辖市的地方法规和规章中规定应由承包人缴纳的税金和其他费用均应计入单价、合价和总报价中。</w:t>
      </w:r>
    </w:p>
    <w:p w14:paraId="392BF6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1.6工程量清单中的“单价”和“合价”栏均应由投标人填报， 投标人还应填报投标报价汇总表，并在其结尾处填写投标总报价。报价货币为人民币。若投标人对某些项目未填报单价和合价，则应认为已包括在其他项目的单价和合价以及投标总报价内。</w:t>
      </w:r>
    </w:p>
    <w:p w14:paraId="12D423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1.7除合同另有规定外，本标投标人报价时应考虑合同实施期间人工费及自购的材料和设备物价变化风险，合同实施期间不因物价波动而调整合同价格。</w:t>
      </w:r>
    </w:p>
    <w:p w14:paraId="33061D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1.8工程量清单中的各项目的工作内容和要求及其计量和支付的规定详见《技术条款》有关部分及本《商务文件》有关条款。</w:t>
      </w:r>
    </w:p>
    <w:p w14:paraId="116C64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1.9环境保护要求：满足当地政府对环境保护的相关要求和规定。</w:t>
      </w:r>
    </w:p>
    <w:p w14:paraId="61D32A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1.10本工程投标报价按相关法律条文、规范规定及要求，使用表格及格式按按照招标文件、相关规范要求执行，有更正的以勘误和解释为准。</w:t>
      </w:r>
    </w:p>
    <w:p w14:paraId="183895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工程量清单中每一个项目，都需填入综合单价及合价，对于没有填入综合单价及合价的项目，不同单项及单位工程中的分部分项工程量清单中相同项目（项目特征及工作内容相同）的报价应统一，如有差异，发生工程变更时，按最低一个报价进行结算。</w:t>
      </w:r>
    </w:p>
    <w:p w14:paraId="3B26CB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1.12工程量清单及其计价格式中的任何内容不得随意删除或涂改，若有错误，在招标答疑时及时提出，以“补遗”资料为准。</w:t>
      </w:r>
    </w:p>
    <w:p w14:paraId="3EF927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1.13分部分项工程量清单中对工程项目的项目特征及具体做法只进行重点描述，详细情况见施工图设计、技术说明及相关标准图集。组价时应结合投标人现场勘查情况包括完成所有工序工作内容的全部费用。</w:t>
      </w:r>
    </w:p>
    <w:p w14:paraId="5593A0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2.编制依据</w:t>
      </w:r>
    </w:p>
    <w:p w14:paraId="504279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2.1水利工程工程量清单计价规范GB50501-2007。</w:t>
      </w:r>
    </w:p>
    <w:p w14:paraId="3A3486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2.2水利部水总[2024]323号文颁发的《水利工程设计概（估）算编制规定》。</w:t>
      </w:r>
    </w:p>
    <w:p w14:paraId="346254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2.6新交建管〔2024〕64号关于印发《新疆维吾尔自治区公路工程建设项目估概预算编制办法补充规定》的通知。。</w:t>
      </w:r>
    </w:p>
    <w:p w14:paraId="6BFE12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2.7国家或省级、地、州、市建设主管部门颁发的现行计价依据、计价办法。</w:t>
      </w:r>
    </w:p>
    <w:p w14:paraId="6F5CFF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3.其他说明</w:t>
      </w:r>
    </w:p>
    <w:p w14:paraId="295723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3.1投标人可自行到工地踏勘以充分了解工地位置、情况、道路、装卸限制等任何影响报价的情况，任何因忽视或误解工地情况而导致的索赔将不被批准。</w:t>
      </w:r>
    </w:p>
    <w:p w14:paraId="5BEF27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3.2如有弃料废渣等，拉至弃渣场整平，后期将弃渣倒运至指定土料场料坑回填，运距自行考虑，费用均已全部含在土石方开挖清单中，不因运距的变化或与清单中不一致而调整工程价款，请投标人报价时注意。</w:t>
      </w:r>
    </w:p>
    <w:p w14:paraId="0F6A63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3.3填方如需调运，运距自行考虑，费用含在回填清单中，不因运距的变化与清单中不一致而调整工程价款，请投标人报价时注意。</w:t>
      </w:r>
    </w:p>
    <w:p w14:paraId="7FA9B2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工程量清单中的土方工程、混凝土工程等工程内容所有单价均为综合单价，投标人应充分考虑到受施工条件制约，土方开挖、填筑、砼浇筑、材料运输等不能全部采用机械作业的这一因素，存在需用人工作业或存在二次或多次倒运，其费用在施工过程中，发包人不进行单独或重新计量，也不再另行支付。混凝土无论采用商品砼或者采用自拌砼，均不得调整价格。</w:t>
      </w:r>
    </w:p>
    <w:p w14:paraId="0D7D58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3.5投标人应根据企业自身情况考虑材料和设备损耗率，在投标报价时将材料和设备损耗综合考虑在所报综合单价内，最终结算工程量不再计算损耗。</w:t>
      </w:r>
    </w:p>
    <w:p w14:paraId="27980F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3.6投标人在自采材料时应综合考虑招拍挂费用、资源税（费）、资源使用费、料场剥离费和施工完成后的恢复费用、材料生产费用、材料运杂费、材料采购保管费、材料损耗费等相关所有费用。</w:t>
      </w:r>
    </w:p>
    <w:p w14:paraId="454F29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本招标文件中的运距仅供参考，不得做为投标报价的依据。本工程所需的料场（填方）、砼骨料、砂砾石料、天然建筑材料、外购材料等均由投标人自行进行现场踏勘，运距由投标人根据现场踏勘情况自行确定，自主报价，但必须满足设计要求，结算时不予调整运距及单价。</w:t>
      </w:r>
    </w:p>
    <w:p w14:paraId="225A1A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措施费用:按总价承包。招标人给出了一些通用的措施项目，投标人应根据本次投标的施工组织设计,现场实际情况、企业自身情况等进行报价,招标人未列的措施项目，可计入措施项目中的其他措施费用中，若招标人未列或招标人给出但投标人未报价的项目，招标人视为该项目措施费用均已包含在投标总价中，不再单独计价。</w:t>
      </w:r>
    </w:p>
    <w:p w14:paraId="11DA67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3.9保险：工程一切险和第三者责任险由承包人负责投保。人身意外伤害险和进场的施工设备、材料等险由承包人负责投保。投保的费用包含在工程总价内，发包人不另行单独支付。</w:t>
      </w:r>
    </w:p>
    <w:p w14:paraId="761D1B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3.10本标段暂列金为50000.00元，不得浮动。</w:t>
      </w:r>
    </w:p>
    <w:p w14:paraId="21DCD5D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3A5796D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4.工程量清单</w:t>
      </w:r>
    </w:p>
    <w:p w14:paraId="72D782E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响应总价单</w:t>
      </w:r>
    </w:p>
    <w:p w14:paraId="4ABD0311">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1680" w:firstLineChars="7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r>
        <w:rPr>
          <w:rFonts w:hint="eastAsia" w:ascii="宋体" w:hAnsi="宋体" w:eastAsia="宋体" w:cs="宋体"/>
          <w:sz w:val="24"/>
          <w:szCs w:val="24"/>
          <w:u w:val="single"/>
          <w:lang w:val="en-US" w:eastAsia="zh-CN"/>
        </w:rPr>
        <w:t xml:space="preserve">                                     </w:t>
      </w:r>
    </w:p>
    <w:p w14:paraId="27DD2225">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1680" w:firstLineChars="700"/>
        <w:jc w:val="both"/>
        <w:textAlignment w:val="auto"/>
        <w:rPr>
          <w:rFonts w:hint="eastAsia" w:ascii="宋体" w:hAnsi="宋体" w:eastAsia="宋体" w:cs="宋体"/>
          <w:sz w:val="24"/>
          <w:szCs w:val="24"/>
          <w:lang w:val="en-US" w:eastAsia="zh-CN"/>
        </w:rPr>
      </w:pPr>
    </w:p>
    <w:p w14:paraId="1A964968">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1680" w:firstLineChars="7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响应总价：</w:t>
      </w:r>
      <w:r>
        <w:rPr>
          <w:rFonts w:hint="eastAsia" w:ascii="宋体" w:hAnsi="宋体" w:eastAsia="宋体" w:cs="宋体"/>
          <w:sz w:val="24"/>
          <w:szCs w:val="24"/>
          <w:u w:val="single"/>
          <w:lang w:val="en-US" w:eastAsia="zh-CN"/>
        </w:rPr>
        <w:t xml:space="preserve">                                     </w:t>
      </w:r>
    </w:p>
    <w:p w14:paraId="69A3DCA0">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1680" w:firstLineChars="700"/>
        <w:jc w:val="both"/>
        <w:textAlignment w:val="auto"/>
        <w:rPr>
          <w:rFonts w:hint="eastAsia" w:ascii="宋体" w:hAnsi="宋体" w:eastAsia="宋体" w:cs="宋体"/>
          <w:sz w:val="24"/>
          <w:szCs w:val="24"/>
          <w:lang w:val="en-US" w:eastAsia="zh-CN"/>
        </w:rPr>
      </w:pPr>
    </w:p>
    <w:p w14:paraId="1C006A84">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1680" w:firstLineChars="7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（盖单位公章）</w:t>
      </w:r>
    </w:p>
    <w:p w14:paraId="1447DA81">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1680" w:firstLineChars="700"/>
        <w:jc w:val="both"/>
        <w:textAlignment w:val="auto"/>
        <w:rPr>
          <w:rFonts w:hint="eastAsia" w:ascii="宋体" w:hAnsi="宋体" w:eastAsia="宋体" w:cs="宋体"/>
          <w:sz w:val="24"/>
          <w:szCs w:val="24"/>
          <w:lang w:val="en-US" w:eastAsia="zh-CN"/>
        </w:rPr>
      </w:pPr>
    </w:p>
    <w:p w14:paraId="7B722E75">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1680" w:firstLineChars="700"/>
        <w:jc w:val="both"/>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法定代表人（或其授权代表）：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（签字或盖章）</w:t>
      </w:r>
    </w:p>
    <w:p w14:paraId="5B5C4ABD">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1680" w:firstLineChars="700"/>
        <w:jc w:val="both"/>
        <w:textAlignment w:val="auto"/>
        <w:rPr>
          <w:rFonts w:hint="eastAsia" w:ascii="宋体" w:hAnsi="宋体" w:eastAsia="宋体" w:cs="宋体"/>
          <w:sz w:val="24"/>
          <w:szCs w:val="24"/>
          <w:lang w:val="en-US" w:eastAsia="zh-CN"/>
        </w:rPr>
      </w:pPr>
    </w:p>
    <w:p w14:paraId="125A024E">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1680" w:firstLineChars="7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编制人：</w:t>
      </w:r>
      <w:r>
        <w:rPr>
          <w:rFonts w:hint="eastAsia" w:ascii="宋体" w:hAnsi="宋体" w:eastAsia="宋体" w:cs="宋体"/>
          <w:sz w:val="24"/>
          <w:szCs w:val="24"/>
          <w:u w:val="single"/>
          <w:lang w:val="en-US" w:eastAsia="zh-CN"/>
        </w:rPr>
        <w:t xml:space="preserve">                                     </w:t>
      </w:r>
    </w:p>
    <w:p w14:paraId="7CE08794">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1680" w:firstLineChars="700"/>
        <w:jc w:val="both"/>
        <w:textAlignment w:val="auto"/>
        <w:rPr>
          <w:rFonts w:hint="eastAsia" w:ascii="宋体" w:hAnsi="宋体" w:eastAsia="宋体" w:cs="宋体"/>
          <w:sz w:val="24"/>
          <w:szCs w:val="24"/>
          <w:lang w:val="en-US" w:eastAsia="zh-CN"/>
        </w:rPr>
      </w:pPr>
    </w:p>
    <w:p w14:paraId="6FAF4F6D">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1680" w:firstLineChars="7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w:t>
      </w:r>
    </w:p>
    <w:p w14:paraId="2B14BFD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w:t>
      </w:r>
    </w:p>
    <w:p w14:paraId="792F39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1.此表为《报价一览表（首次报价表）》的报价明细表，需放在报价一览表后，具体内容及所需的表格，以磋商文件的“工程量清单”为准。</w:t>
      </w:r>
    </w:p>
    <w:p w14:paraId="5D15A1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2.本项目磋商文件中响应总价单必须由供应商注册的造价工程师签字并加盖执业印章。</w:t>
      </w:r>
    </w:p>
    <w:p w14:paraId="51135BB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36306CC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工程项目总价表</w:t>
      </w:r>
    </w:p>
    <w:p w14:paraId="6515F125">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合同编号：</w:t>
      </w:r>
    </w:p>
    <w:p w14:paraId="778C07B6">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工程名称：哈密市伊吾县大白杨沟中小河流治理工程</w:t>
      </w:r>
    </w:p>
    <w:tbl>
      <w:tblPr>
        <w:tblStyle w:val="9"/>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5518"/>
        <w:gridCol w:w="2736"/>
      </w:tblGrid>
      <w:tr w14:paraId="6CC3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0" w:type="auto"/>
            <w:vAlign w:val="center"/>
          </w:tcPr>
          <w:p w14:paraId="03F7F55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0" w:type="auto"/>
            <w:vAlign w:val="center"/>
          </w:tcPr>
          <w:p w14:paraId="1978F8C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工程项目名称</w:t>
            </w:r>
          </w:p>
        </w:tc>
        <w:tc>
          <w:tcPr>
            <w:tcW w:w="0" w:type="auto"/>
            <w:vAlign w:val="center"/>
          </w:tcPr>
          <w:p w14:paraId="23F543C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金额（元）</w:t>
            </w:r>
          </w:p>
        </w:tc>
      </w:tr>
      <w:tr w14:paraId="2DE3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0" w:type="auto"/>
            <w:vAlign w:val="center"/>
          </w:tcPr>
          <w:p w14:paraId="20009A7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一</w:t>
            </w:r>
          </w:p>
        </w:tc>
        <w:tc>
          <w:tcPr>
            <w:tcW w:w="5518" w:type="dxa"/>
            <w:vAlign w:val="center"/>
          </w:tcPr>
          <w:p w14:paraId="317EA658">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分类分项工程量清单项目</w:t>
            </w:r>
          </w:p>
        </w:tc>
        <w:tc>
          <w:tcPr>
            <w:tcW w:w="0" w:type="auto"/>
            <w:vAlign w:val="center"/>
          </w:tcPr>
          <w:p w14:paraId="2B849427">
            <w:pPr>
              <w:jc w:val="center"/>
              <w:rPr>
                <w:rFonts w:hint="eastAsia" w:ascii="宋体" w:hAnsi="宋体" w:eastAsia="宋体" w:cs="宋体"/>
                <w:sz w:val="24"/>
                <w:szCs w:val="24"/>
                <w:vertAlign w:val="baseline"/>
                <w:lang w:val="en-US" w:eastAsia="zh-CN"/>
              </w:rPr>
            </w:pPr>
          </w:p>
        </w:tc>
      </w:tr>
      <w:tr w14:paraId="2F1A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0" w:type="auto"/>
            <w:vAlign w:val="center"/>
          </w:tcPr>
          <w:p w14:paraId="653A969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5518" w:type="dxa"/>
            <w:vAlign w:val="center"/>
          </w:tcPr>
          <w:p w14:paraId="3C741C49">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建筑工程</w:t>
            </w:r>
          </w:p>
        </w:tc>
        <w:tc>
          <w:tcPr>
            <w:tcW w:w="0" w:type="auto"/>
            <w:vAlign w:val="center"/>
          </w:tcPr>
          <w:p w14:paraId="48E98FE8">
            <w:pPr>
              <w:jc w:val="center"/>
              <w:rPr>
                <w:rFonts w:hint="eastAsia" w:ascii="宋体" w:hAnsi="宋体" w:eastAsia="宋体" w:cs="宋体"/>
                <w:sz w:val="24"/>
                <w:szCs w:val="24"/>
                <w:vertAlign w:val="baseline"/>
                <w:lang w:val="en-US" w:eastAsia="zh-CN"/>
              </w:rPr>
            </w:pPr>
          </w:p>
        </w:tc>
      </w:tr>
      <w:tr w14:paraId="206B1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0" w:type="auto"/>
            <w:vAlign w:val="center"/>
          </w:tcPr>
          <w:p w14:paraId="39F6B00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二</w:t>
            </w:r>
          </w:p>
        </w:tc>
        <w:tc>
          <w:tcPr>
            <w:tcW w:w="5518" w:type="dxa"/>
            <w:vAlign w:val="center"/>
          </w:tcPr>
          <w:p w14:paraId="5B3AB6DE">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措施项目</w:t>
            </w:r>
          </w:p>
        </w:tc>
        <w:tc>
          <w:tcPr>
            <w:tcW w:w="0" w:type="auto"/>
            <w:vAlign w:val="center"/>
          </w:tcPr>
          <w:p w14:paraId="10AE1A4B">
            <w:pPr>
              <w:jc w:val="center"/>
              <w:rPr>
                <w:rFonts w:hint="eastAsia" w:ascii="宋体" w:hAnsi="宋体" w:eastAsia="宋体" w:cs="宋体"/>
                <w:sz w:val="24"/>
                <w:szCs w:val="24"/>
                <w:vertAlign w:val="baseline"/>
                <w:lang w:val="en-US" w:eastAsia="zh-CN"/>
              </w:rPr>
            </w:pPr>
          </w:p>
        </w:tc>
      </w:tr>
      <w:tr w14:paraId="666A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0" w:type="auto"/>
            <w:vAlign w:val="center"/>
          </w:tcPr>
          <w:p w14:paraId="4C370B6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5518" w:type="dxa"/>
            <w:vAlign w:val="center"/>
          </w:tcPr>
          <w:p w14:paraId="41244766">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临时工程（总价承包）</w:t>
            </w:r>
          </w:p>
        </w:tc>
        <w:tc>
          <w:tcPr>
            <w:tcW w:w="0" w:type="auto"/>
            <w:vAlign w:val="center"/>
          </w:tcPr>
          <w:p w14:paraId="728F0181">
            <w:pPr>
              <w:jc w:val="center"/>
              <w:rPr>
                <w:rFonts w:hint="eastAsia" w:ascii="宋体" w:hAnsi="宋体" w:eastAsia="宋体" w:cs="宋体"/>
                <w:sz w:val="24"/>
                <w:szCs w:val="24"/>
                <w:vertAlign w:val="baseline"/>
                <w:lang w:val="en-US" w:eastAsia="zh-CN"/>
              </w:rPr>
            </w:pPr>
          </w:p>
        </w:tc>
      </w:tr>
      <w:tr w14:paraId="1DC9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0" w:type="auto"/>
            <w:vAlign w:val="center"/>
          </w:tcPr>
          <w:p w14:paraId="02692A4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三</w:t>
            </w:r>
          </w:p>
        </w:tc>
        <w:tc>
          <w:tcPr>
            <w:tcW w:w="5518" w:type="dxa"/>
            <w:vAlign w:val="center"/>
          </w:tcPr>
          <w:p w14:paraId="738429B0">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其他项目</w:t>
            </w:r>
          </w:p>
        </w:tc>
        <w:tc>
          <w:tcPr>
            <w:tcW w:w="0" w:type="auto"/>
            <w:vAlign w:val="center"/>
          </w:tcPr>
          <w:p w14:paraId="2FCD4AC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50000.00</w:t>
            </w:r>
          </w:p>
        </w:tc>
      </w:tr>
      <w:tr w14:paraId="5E22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0" w:type="auto"/>
            <w:vAlign w:val="center"/>
          </w:tcPr>
          <w:p w14:paraId="4E9FAEF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四</w:t>
            </w:r>
          </w:p>
        </w:tc>
        <w:tc>
          <w:tcPr>
            <w:tcW w:w="5518" w:type="dxa"/>
            <w:vAlign w:val="center"/>
          </w:tcPr>
          <w:p w14:paraId="1488CBB3">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零星工作</w:t>
            </w:r>
          </w:p>
        </w:tc>
        <w:tc>
          <w:tcPr>
            <w:tcW w:w="0" w:type="auto"/>
            <w:vAlign w:val="center"/>
          </w:tcPr>
          <w:p w14:paraId="1279A10D">
            <w:pPr>
              <w:jc w:val="center"/>
              <w:rPr>
                <w:rFonts w:hint="eastAsia" w:ascii="宋体" w:hAnsi="宋体" w:eastAsia="宋体" w:cs="宋体"/>
                <w:sz w:val="24"/>
                <w:szCs w:val="24"/>
                <w:vertAlign w:val="baseline"/>
                <w:lang w:val="en-US" w:eastAsia="zh-CN"/>
              </w:rPr>
            </w:pPr>
          </w:p>
        </w:tc>
      </w:tr>
      <w:tr w14:paraId="4972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0" w:type="auto"/>
            <w:vAlign w:val="center"/>
          </w:tcPr>
          <w:p w14:paraId="5B28C756">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p>
        </w:tc>
        <w:tc>
          <w:tcPr>
            <w:tcW w:w="0" w:type="auto"/>
            <w:vAlign w:val="center"/>
          </w:tcPr>
          <w:p w14:paraId="439DB42C">
            <w:pPr>
              <w:jc w:val="center"/>
              <w:rPr>
                <w:rFonts w:hint="eastAsia" w:ascii="宋体" w:hAnsi="宋体" w:eastAsia="宋体" w:cs="宋体"/>
                <w:sz w:val="24"/>
                <w:szCs w:val="24"/>
                <w:vertAlign w:val="baseline"/>
                <w:lang w:val="en-US" w:eastAsia="zh-CN"/>
              </w:rPr>
            </w:pPr>
          </w:p>
        </w:tc>
        <w:tc>
          <w:tcPr>
            <w:tcW w:w="0" w:type="auto"/>
            <w:vAlign w:val="center"/>
          </w:tcPr>
          <w:p w14:paraId="2DE37D11">
            <w:pPr>
              <w:jc w:val="center"/>
              <w:rPr>
                <w:rFonts w:hint="eastAsia" w:ascii="宋体" w:hAnsi="宋体" w:eastAsia="宋体" w:cs="宋体"/>
                <w:sz w:val="24"/>
                <w:szCs w:val="24"/>
                <w:vertAlign w:val="baseline"/>
                <w:lang w:val="en-US" w:eastAsia="zh-CN"/>
              </w:rPr>
            </w:pPr>
          </w:p>
        </w:tc>
      </w:tr>
      <w:tr w14:paraId="0537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0" w:type="auto"/>
            <w:vAlign w:val="center"/>
          </w:tcPr>
          <w:p w14:paraId="4F9CFEB4">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p>
        </w:tc>
        <w:tc>
          <w:tcPr>
            <w:tcW w:w="0" w:type="auto"/>
            <w:vAlign w:val="center"/>
          </w:tcPr>
          <w:p w14:paraId="455EB702">
            <w:pPr>
              <w:jc w:val="center"/>
              <w:rPr>
                <w:rFonts w:hint="eastAsia" w:ascii="宋体" w:hAnsi="宋体" w:eastAsia="宋体" w:cs="宋体"/>
                <w:sz w:val="24"/>
                <w:szCs w:val="24"/>
                <w:vertAlign w:val="baseline"/>
                <w:lang w:val="en-US" w:eastAsia="zh-CN"/>
              </w:rPr>
            </w:pPr>
          </w:p>
        </w:tc>
        <w:tc>
          <w:tcPr>
            <w:tcW w:w="0" w:type="auto"/>
            <w:vAlign w:val="center"/>
          </w:tcPr>
          <w:p w14:paraId="167E4C3A">
            <w:pPr>
              <w:jc w:val="center"/>
              <w:rPr>
                <w:rFonts w:hint="eastAsia" w:ascii="宋体" w:hAnsi="宋体" w:eastAsia="宋体" w:cs="宋体"/>
                <w:sz w:val="24"/>
                <w:szCs w:val="24"/>
                <w:vertAlign w:val="baseline"/>
                <w:lang w:val="en-US" w:eastAsia="zh-CN"/>
              </w:rPr>
            </w:pPr>
          </w:p>
        </w:tc>
      </w:tr>
      <w:tr w14:paraId="1364B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0" w:type="auto"/>
            <w:vAlign w:val="center"/>
          </w:tcPr>
          <w:p w14:paraId="5680CCF4">
            <w:pPr>
              <w:jc w:val="center"/>
              <w:rPr>
                <w:rFonts w:hint="eastAsia" w:ascii="宋体" w:hAnsi="宋体" w:eastAsia="宋体" w:cs="宋体"/>
                <w:sz w:val="24"/>
                <w:szCs w:val="24"/>
                <w:vertAlign w:val="baseline"/>
                <w:lang w:val="en-US" w:eastAsia="zh-CN"/>
              </w:rPr>
            </w:pPr>
          </w:p>
        </w:tc>
        <w:tc>
          <w:tcPr>
            <w:tcW w:w="0" w:type="auto"/>
            <w:vAlign w:val="center"/>
          </w:tcPr>
          <w:p w14:paraId="184DAC35">
            <w:pPr>
              <w:jc w:val="center"/>
              <w:rPr>
                <w:rFonts w:hint="eastAsia" w:ascii="宋体" w:hAnsi="宋体" w:eastAsia="宋体" w:cs="宋体"/>
                <w:sz w:val="24"/>
                <w:szCs w:val="24"/>
                <w:vertAlign w:val="baseline"/>
                <w:lang w:val="en-US" w:eastAsia="zh-CN"/>
              </w:rPr>
            </w:pPr>
          </w:p>
        </w:tc>
        <w:tc>
          <w:tcPr>
            <w:tcW w:w="0" w:type="auto"/>
            <w:vAlign w:val="center"/>
          </w:tcPr>
          <w:p w14:paraId="7DFBCAA8">
            <w:pPr>
              <w:jc w:val="center"/>
              <w:rPr>
                <w:rFonts w:hint="eastAsia" w:ascii="宋体" w:hAnsi="宋体" w:eastAsia="宋体" w:cs="宋体"/>
                <w:sz w:val="24"/>
                <w:szCs w:val="24"/>
                <w:vertAlign w:val="baseline"/>
                <w:lang w:val="en-US" w:eastAsia="zh-CN"/>
              </w:rPr>
            </w:pPr>
          </w:p>
        </w:tc>
      </w:tr>
    </w:tbl>
    <w:p w14:paraId="548B1148">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75E83C3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分类分项工程量清单</w:t>
      </w:r>
    </w:p>
    <w:p w14:paraId="292E8752">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合同编号：</w:t>
      </w:r>
    </w:p>
    <w:p w14:paraId="1821AC7B">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工程名称：哈密市伊吾县大白杨沟中小河流治理工程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656"/>
        <w:gridCol w:w="1549"/>
        <w:gridCol w:w="1792"/>
        <w:gridCol w:w="523"/>
        <w:gridCol w:w="1067"/>
        <w:gridCol w:w="980"/>
        <w:gridCol w:w="980"/>
        <w:gridCol w:w="479"/>
      </w:tblGrid>
      <w:tr w14:paraId="699A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9D44B3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0" w:type="auto"/>
            <w:vAlign w:val="center"/>
          </w:tcPr>
          <w:p w14:paraId="0BA7391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项目编码</w:t>
            </w:r>
          </w:p>
        </w:tc>
        <w:tc>
          <w:tcPr>
            <w:tcW w:w="0" w:type="auto"/>
            <w:vAlign w:val="center"/>
          </w:tcPr>
          <w:p w14:paraId="0D4B532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0" w:type="auto"/>
            <w:vAlign w:val="center"/>
          </w:tcPr>
          <w:p w14:paraId="2838543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清单特征</w:t>
            </w:r>
          </w:p>
        </w:tc>
        <w:tc>
          <w:tcPr>
            <w:tcW w:w="0" w:type="auto"/>
            <w:vAlign w:val="center"/>
          </w:tcPr>
          <w:p w14:paraId="0E91182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计量单位</w:t>
            </w:r>
          </w:p>
        </w:tc>
        <w:tc>
          <w:tcPr>
            <w:tcW w:w="0" w:type="auto"/>
            <w:vAlign w:val="center"/>
          </w:tcPr>
          <w:p w14:paraId="551BBCF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工程数量</w:t>
            </w:r>
          </w:p>
        </w:tc>
        <w:tc>
          <w:tcPr>
            <w:tcW w:w="0" w:type="auto"/>
            <w:vAlign w:val="center"/>
          </w:tcPr>
          <w:p w14:paraId="3727C5C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单价（元）</w:t>
            </w:r>
          </w:p>
        </w:tc>
        <w:tc>
          <w:tcPr>
            <w:tcW w:w="0" w:type="auto"/>
            <w:vAlign w:val="center"/>
          </w:tcPr>
          <w:p w14:paraId="3DBE5DF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合价（元）</w:t>
            </w:r>
          </w:p>
        </w:tc>
        <w:tc>
          <w:tcPr>
            <w:tcW w:w="0" w:type="auto"/>
            <w:vAlign w:val="center"/>
          </w:tcPr>
          <w:p w14:paraId="5BBE000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6CAB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05B4B8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0" w:type="auto"/>
            <w:vAlign w:val="center"/>
          </w:tcPr>
          <w:p w14:paraId="097164E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500100001</w:t>
            </w:r>
          </w:p>
        </w:tc>
        <w:tc>
          <w:tcPr>
            <w:tcW w:w="0" w:type="auto"/>
            <w:vAlign w:val="center"/>
          </w:tcPr>
          <w:p w14:paraId="3B38537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建筑工程</w:t>
            </w:r>
          </w:p>
        </w:tc>
        <w:tc>
          <w:tcPr>
            <w:tcW w:w="0" w:type="auto"/>
            <w:vAlign w:val="center"/>
          </w:tcPr>
          <w:p w14:paraId="4F7C412A">
            <w:pPr>
              <w:jc w:val="center"/>
              <w:rPr>
                <w:rFonts w:hint="eastAsia" w:ascii="宋体" w:hAnsi="宋体" w:eastAsia="宋体" w:cs="宋体"/>
                <w:sz w:val="24"/>
                <w:szCs w:val="24"/>
                <w:vertAlign w:val="baseline"/>
                <w:lang w:val="en-US" w:eastAsia="zh-CN"/>
              </w:rPr>
            </w:pPr>
          </w:p>
        </w:tc>
        <w:tc>
          <w:tcPr>
            <w:tcW w:w="0" w:type="auto"/>
            <w:vAlign w:val="center"/>
          </w:tcPr>
          <w:p w14:paraId="753130D4">
            <w:pPr>
              <w:jc w:val="center"/>
              <w:rPr>
                <w:rFonts w:hint="eastAsia" w:ascii="宋体" w:hAnsi="宋体" w:eastAsia="宋体" w:cs="宋体"/>
                <w:sz w:val="24"/>
                <w:szCs w:val="24"/>
                <w:vertAlign w:val="baseline"/>
                <w:lang w:val="en-US" w:eastAsia="zh-CN"/>
              </w:rPr>
            </w:pPr>
          </w:p>
        </w:tc>
        <w:tc>
          <w:tcPr>
            <w:tcW w:w="0" w:type="auto"/>
            <w:vAlign w:val="center"/>
          </w:tcPr>
          <w:p w14:paraId="286E8772">
            <w:pPr>
              <w:jc w:val="center"/>
              <w:rPr>
                <w:rFonts w:hint="eastAsia" w:ascii="宋体" w:hAnsi="宋体" w:eastAsia="宋体" w:cs="宋体"/>
                <w:sz w:val="24"/>
                <w:szCs w:val="24"/>
                <w:vertAlign w:val="baseline"/>
                <w:lang w:val="en-US" w:eastAsia="zh-CN"/>
              </w:rPr>
            </w:pPr>
          </w:p>
        </w:tc>
        <w:tc>
          <w:tcPr>
            <w:tcW w:w="0" w:type="auto"/>
            <w:vAlign w:val="center"/>
          </w:tcPr>
          <w:p w14:paraId="6382DA4C">
            <w:pPr>
              <w:jc w:val="center"/>
              <w:rPr>
                <w:rFonts w:hint="eastAsia" w:ascii="宋体" w:hAnsi="宋体" w:eastAsia="宋体" w:cs="宋体"/>
                <w:sz w:val="24"/>
                <w:szCs w:val="24"/>
                <w:vertAlign w:val="baseline"/>
                <w:lang w:val="en-US" w:eastAsia="zh-CN"/>
              </w:rPr>
            </w:pPr>
          </w:p>
        </w:tc>
        <w:tc>
          <w:tcPr>
            <w:tcW w:w="0" w:type="auto"/>
            <w:vAlign w:val="center"/>
          </w:tcPr>
          <w:p w14:paraId="7347957D">
            <w:pPr>
              <w:jc w:val="center"/>
              <w:rPr>
                <w:rFonts w:hint="eastAsia" w:ascii="宋体" w:hAnsi="宋体" w:eastAsia="宋体" w:cs="宋体"/>
                <w:sz w:val="24"/>
                <w:szCs w:val="24"/>
                <w:vertAlign w:val="baseline"/>
                <w:lang w:val="en-US" w:eastAsia="zh-CN"/>
              </w:rPr>
            </w:pPr>
          </w:p>
        </w:tc>
        <w:tc>
          <w:tcPr>
            <w:tcW w:w="0" w:type="auto"/>
            <w:vAlign w:val="center"/>
          </w:tcPr>
          <w:p w14:paraId="599A1710">
            <w:pPr>
              <w:jc w:val="center"/>
              <w:rPr>
                <w:rFonts w:hint="eastAsia" w:ascii="宋体" w:hAnsi="宋体" w:eastAsia="宋体" w:cs="宋体"/>
                <w:sz w:val="24"/>
                <w:szCs w:val="24"/>
                <w:vertAlign w:val="baseline"/>
                <w:lang w:val="en-US" w:eastAsia="zh-CN"/>
              </w:rPr>
            </w:pPr>
          </w:p>
        </w:tc>
      </w:tr>
      <w:tr w14:paraId="38C2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6DDDB2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0" w:type="auto"/>
            <w:vAlign w:val="center"/>
          </w:tcPr>
          <w:p w14:paraId="2CA5C4B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500100002</w:t>
            </w:r>
          </w:p>
        </w:tc>
        <w:tc>
          <w:tcPr>
            <w:tcW w:w="0" w:type="auto"/>
            <w:vAlign w:val="center"/>
          </w:tcPr>
          <w:p w14:paraId="1A07D77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大白杨沟护岸（1.07km）</w:t>
            </w:r>
          </w:p>
        </w:tc>
        <w:tc>
          <w:tcPr>
            <w:tcW w:w="0" w:type="auto"/>
            <w:vAlign w:val="center"/>
          </w:tcPr>
          <w:p w14:paraId="3D7DF455">
            <w:pPr>
              <w:jc w:val="center"/>
              <w:rPr>
                <w:rFonts w:hint="eastAsia" w:ascii="宋体" w:hAnsi="宋体" w:eastAsia="宋体" w:cs="宋体"/>
                <w:sz w:val="24"/>
                <w:szCs w:val="24"/>
                <w:vertAlign w:val="baseline"/>
                <w:lang w:val="en-US" w:eastAsia="zh-CN"/>
              </w:rPr>
            </w:pPr>
          </w:p>
        </w:tc>
        <w:tc>
          <w:tcPr>
            <w:tcW w:w="0" w:type="auto"/>
            <w:vAlign w:val="center"/>
          </w:tcPr>
          <w:p w14:paraId="64A99315">
            <w:pPr>
              <w:jc w:val="center"/>
              <w:rPr>
                <w:rFonts w:hint="eastAsia" w:ascii="宋体" w:hAnsi="宋体" w:eastAsia="宋体" w:cs="宋体"/>
                <w:sz w:val="24"/>
                <w:szCs w:val="24"/>
                <w:vertAlign w:val="baseline"/>
                <w:lang w:val="en-US" w:eastAsia="zh-CN"/>
              </w:rPr>
            </w:pPr>
          </w:p>
        </w:tc>
        <w:tc>
          <w:tcPr>
            <w:tcW w:w="0" w:type="auto"/>
            <w:vAlign w:val="center"/>
          </w:tcPr>
          <w:p w14:paraId="64D949D4">
            <w:pPr>
              <w:jc w:val="center"/>
              <w:rPr>
                <w:rFonts w:hint="eastAsia" w:ascii="宋体" w:hAnsi="宋体" w:eastAsia="宋体" w:cs="宋体"/>
                <w:sz w:val="24"/>
                <w:szCs w:val="24"/>
                <w:vertAlign w:val="baseline"/>
                <w:lang w:val="en-US" w:eastAsia="zh-CN"/>
              </w:rPr>
            </w:pPr>
          </w:p>
        </w:tc>
        <w:tc>
          <w:tcPr>
            <w:tcW w:w="0" w:type="auto"/>
            <w:vAlign w:val="center"/>
          </w:tcPr>
          <w:p w14:paraId="3A62E1EE">
            <w:pPr>
              <w:jc w:val="center"/>
              <w:rPr>
                <w:rFonts w:hint="eastAsia" w:ascii="宋体" w:hAnsi="宋体" w:eastAsia="宋体" w:cs="宋体"/>
                <w:sz w:val="24"/>
                <w:szCs w:val="24"/>
                <w:vertAlign w:val="baseline"/>
                <w:lang w:val="en-US" w:eastAsia="zh-CN"/>
              </w:rPr>
            </w:pPr>
          </w:p>
        </w:tc>
        <w:tc>
          <w:tcPr>
            <w:tcW w:w="0" w:type="auto"/>
            <w:vAlign w:val="center"/>
          </w:tcPr>
          <w:p w14:paraId="1C67EF4C">
            <w:pPr>
              <w:jc w:val="center"/>
              <w:rPr>
                <w:rFonts w:hint="eastAsia" w:ascii="宋体" w:hAnsi="宋体" w:eastAsia="宋体" w:cs="宋体"/>
                <w:sz w:val="24"/>
                <w:szCs w:val="24"/>
                <w:vertAlign w:val="baseline"/>
                <w:lang w:val="en-US" w:eastAsia="zh-CN"/>
              </w:rPr>
            </w:pPr>
          </w:p>
        </w:tc>
        <w:tc>
          <w:tcPr>
            <w:tcW w:w="0" w:type="auto"/>
            <w:vAlign w:val="center"/>
          </w:tcPr>
          <w:p w14:paraId="1C4AA14D">
            <w:pPr>
              <w:jc w:val="center"/>
              <w:rPr>
                <w:rFonts w:hint="eastAsia" w:ascii="宋体" w:hAnsi="宋体" w:eastAsia="宋体" w:cs="宋体"/>
                <w:sz w:val="24"/>
                <w:szCs w:val="24"/>
                <w:vertAlign w:val="baseline"/>
                <w:lang w:val="en-US" w:eastAsia="zh-CN"/>
              </w:rPr>
            </w:pPr>
          </w:p>
        </w:tc>
      </w:tr>
      <w:tr w14:paraId="6D1D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92581C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1.1.1</w:t>
            </w:r>
          </w:p>
        </w:tc>
        <w:tc>
          <w:tcPr>
            <w:tcW w:w="0" w:type="auto"/>
            <w:vAlign w:val="center"/>
          </w:tcPr>
          <w:p w14:paraId="10B98EC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500100002001</w:t>
            </w:r>
          </w:p>
        </w:tc>
        <w:tc>
          <w:tcPr>
            <w:tcW w:w="0" w:type="auto"/>
            <w:vAlign w:val="center"/>
          </w:tcPr>
          <w:p w14:paraId="22EF396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土方清废</w:t>
            </w:r>
          </w:p>
        </w:tc>
        <w:tc>
          <w:tcPr>
            <w:tcW w:w="0" w:type="auto"/>
            <w:vAlign w:val="center"/>
          </w:tcPr>
          <w:p w14:paraId="79AFD04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Ⅳ类土</w:t>
            </w:r>
          </w:p>
        </w:tc>
        <w:tc>
          <w:tcPr>
            <w:tcW w:w="0" w:type="auto"/>
            <w:vAlign w:val="center"/>
          </w:tcPr>
          <w:p w14:paraId="07C9065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m³</w:t>
            </w:r>
          </w:p>
        </w:tc>
        <w:tc>
          <w:tcPr>
            <w:tcW w:w="0" w:type="auto"/>
            <w:vAlign w:val="center"/>
          </w:tcPr>
          <w:p w14:paraId="228EB395">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4226.00</w:t>
            </w:r>
          </w:p>
        </w:tc>
        <w:tc>
          <w:tcPr>
            <w:tcW w:w="0" w:type="auto"/>
            <w:vAlign w:val="center"/>
          </w:tcPr>
          <w:p w14:paraId="747EC3F1">
            <w:pPr>
              <w:jc w:val="center"/>
              <w:rPr>
                <w:rFonts w:hint="eastAsia" w:ascii="宋体" w:hAnsi="宋体" w:eastAsia="宋体" w:cs="宋体"/>
                <w:sz w:val="24"/>
                <w:szCs w:val="24"/>
                <w:vertAlign w:val="baseline"/>
                <w:lang w:val="en-US" w:eastAsia="zh-CN"/>
              </w:rPr>
            </w:pPr>
          </w:p>
        </w:tc>
        <w:tc>
          <w:tcPr>
            <w:tcW w:w="0" w:type="auto"/>
            <w:vAlign w:val="center"/>
          </w:tcPr>
          <w:p w14:paraId="0197DC3A">
            <w:pPr>
              <w:jc w:val="center"/>
              <w:rPr>
                <w:rFonts w:hint="eastAsia" w:ascii="宋体" w:hAnsi="宋体" w:eastAsia="宋体" w:cs="宋体"/>
                <w:sz w:val="24"/>
                <w:szCs w:val="24"/>
                <w:vertAlign w:val="baseline"/>
                <w:lang w:val="en-US" w:eastAsia="zh-CN"/>
              </w:rPr>
            </w:pPr>
          </w:p>
        </w:tc>
        <w:tc>
          <w:tcPr>
            <w:tcW w:w="0" w:type="auto"/>
            <w:vAlign w:val="center"/>
          </w:tcPr>
          <w:p w14:paraId="20E672B9">
            <w:pPr>
              <w:jc w:val="center"/>
              <w:rPr>
                <w:rFonts w:hint="eastAsia" w:ascii="宋体" w:hAnsi="宋体" w:eastAsia="宋体" w:cs="宋体"/>
                <w:sz w:val="24"/>
                <w:szCs w:val="24"/>
                <w:vertAlign w:val="baseline"/>
                <w:lang w:val="en-US" w:eastAsia="zh-CN"/>
              </w:rPr>
            </w:pPr>
          </w:p>
        </w:tc>
      </w:tr>
      <w:tr w14:paraId="081F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759B1E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1.1.2</w:t>
            </w:r>
          </w:p>
        </w:tc>
        <w:tc>
          <w:tcPr>
            <w:tcW w:w="0" w:type="auto"/>
            <w:vAlign w:val="center"/>
          </w:tcPr>
          <w:p w14:paraId="3B11C93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500100002002</w:t>
            </w:r>
          </w:p>
        </w:tc>
        <w:tc>
          <w:tcPr>
            <w:tcW w:w="0" w:type="auto"/>
            <w:vAlign w:val="center"/>
          </w:tcPr>
          <w:p w14:paraId="25227F2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土方开挖</w:t>
            </w:r>
          </w:p>
        </w:tc>
        <w:tc>
          <w:tcPr>
            <w:tcW w:w="0" w:type="auto"/>
            <w:vAlign w:val="center"/>
          </w:tcPr>
          <w:p w14:paraId="7C11698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Ⅳ类土</w:t>
            </w:r>
          </w:p>
        </w:tc>
        <w:tc>
          <w:tcPr>
            <w:tcW w:w="0" w:type="auto"/>
            <w:vAlign w:val="center"/>
          </w:tcPr>
          <w:p w14:paraId="40A6A60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m³</w:t>
            </w:r>
          </w:p>
        </w:tc>
        <w:tc>
          <w:tcPr>
            <w:tcW w:w="0" w:type="auto"/>
            <w:vAlign w:val="center"/>
          </w:tcPr>
          <w:p w14:paraId="4B18AA38">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7429.00</w:t>
            </w:r>
          </w:p>
        </w:tc>
        <w:tc>
          <w:tcPr>
            <w:tcW w:w="0" w:type="auto"/>
            <w:vAlign w:val="center"/>
          </w:tcPr>
          <w:p w14:paraId="0176B115">
            <w:pPr>
              <w:jc w:val="center"/>
              <w:rPr>
                <w:rFonts w:hint="eastAsia" w:ascii="宋体" w:hAnsi="宋体" w:eastAsia="宋体" w:cs="宋体"/>
                <w:sz w:val="24"/>
                <w:szCs w:val="24"/>
                <w:vertAlign w:val="baseline"/>
                <w:lang w:val="en-US" w:eastAsia="zh-CN"/>
              </w:rPr>
            </w:pPr>
          </w:p>
        </w:tc>
        <w:tc>
          <w:tcPr>
            <w:tcW w:w="0" w:type="auto"/>
            <w:vAlign w:val="center"/>
          </w:tcPr>
          <w:p w14:paraId="56AAF122">
            <w:pPr>
              <w:jc w:val="center"/>
              <w:rPr>
                <w:rFonts w:hint="eastAsia" w:ascii="宋体" w:hAnsi="宋体" w:eastAsia="宋体" w:cs="宋体"/>
                <w:sz w:val="24"/>
                <w:szCs w:val="24"/>
                <w:vertAlign w:val="baseline"/>
                <w:lang w:val="en-US" w:eastAsia="zh-CN"/>
              </w:rPr>
            </w:pPr>
          </w:p>
        </w:tc>
        <w:tc>
          <w:tcPr>
            <w:tcW w:w="0" w:type="auto"/>
            <w:vAlign w:val="center"/>
          </w:tcPr>
          <w:p w14:paraId="741EA564">
            <w:pPr>
              <w:jc w:val="center"/>
              <w:rPr>
                <w:rFonts w:hint="eastAsia" w:ascii="宋体" w:hAnsi="宋体" w:eastAsia="宋体" w:cs="宋体"/>
                <w:sz w:val="24"/>
                <w:szCs w:val="24"/>
                <w:vertAlign w:val="baseline"/>
                <w:lang w:val="en-US" w:eastAsia="zh-CN"/>
              </w:rPr>
            </w:pPr>
          </w:p>
        </w:tc>
      </w:tr>
      <w:tr w14:paraId="622E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6F566E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1.1.3</w:t>
            </w:r>
          </w:p>
        </w:tc>
        <w:tc>
          <w:tcPr>
            <w:tcW w:w="0" w:type="auto"/>
            <w:vAlign w:val="center"/>
          </w:tcPr>
          <w:p w14:paraId="4E5D29E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500100002003</w:t>
            </w:r>
          </w:p>
        </w:tc>
        <w:tc>
          <w:tcPr>
            <w:tcW w:w="0" w:type="auto"/>
            <w:vAlign w:val="center"/>
          </w:tcPr>
          <w:p w14:paraId="4B978E2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堤身填筑</w:t>
            </w:r>
          </w:p>
        </w:tc>
        <w:tc>
          <w:tcPr>
            <w:tcW w:w="0" w:type="auto"/>
            <w:vAlign w:val="center"/>
          </w:tcPr>
          <w:p w14:paraId="70CBBBD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夯填，相对密度≥0.75</w:t>
            </w:r>
          </w:p>
        </w:tc>
        <w:tc>
          <w:tcPr>
            <w:tcW w:w="0" w:type="auto"/>
            <w:vAlign w:val="center"/>
          </w:tcPr>
          <w:p w14:paraId="5F57C4D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m³</w:t>
            </w:r>
          </w:p>
        </w:tc>
        <w:tc>
          <w:tcPr>
            <w:tcW w:w="0" w:type="auto"/>
            <w:vAlign w:val="center"/>
          </w:tcPr>
          <w:p w14:paraId="67E2AA25">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4248.00</w:t>
            </w:r>
          </w:p>
        </w:tc>
        <w:tc>
          <w:tcPr>
            <w:tcW w:w="0" w:type="auto"/>
            <w:vAlign w:val="center"/>
          </w:tcPr>
          <w:p w14:paraId="0BC83C39">
            <w:pPr>
              <w:jc w:val="center"/>
              <w:rPr>
                <w:rFonts w:hint="eastAsia" w:ascii="宋体" w:hAnsi="宋体" w:eastAsia="宋体" w:cs="宋体"/>
                <w:sz w:val="24"/>
                <w:szCs w:val="24"/>
                <w:vertAlign w:val="baseline"/>
                <w:lang w:val="en-US" w:eastAsia="zh-CN"/>
              </w:rPr>
            </w:pPr>
          </w:p>
        </w:tc>
        <w:tc>
          <w:tcPr>
            <w:tcW w:w="0" w:type="auto"/>
            <w:vAlign w:val="center"/>
          </w:tcPr>
          <w:p w14:paraId="078A99CB">
            <w:pPr>
              <w:jc w:val="center"/>
              <w:rPr>
                <w:rFonts w:hint="eastAsia" w:ascii="宋体" w:hAnsi="宋体" w:eastAsia="宋体" w:cs="宋体"/>
                <w:sz w:val="24"/>
                <w:szCs w:val="24"/>
                <w:vertAlign w:val="baseline"/>
                <w:lang w:val="en-US" w:eastAsia="zh-CN"/>
              </w:rPr>
            </w:pPr>
          </w:p>
        </w:tc>
        <w:tc>
          <w:tcPr>
            <w:tcW w:w="0" w:type="auto"/>
            <w:vAlign w:val="center"/>
          </w:tcPr>
          <w:p w14:paraId="76A048D9">
            <w:pPr>
              <w:jc w:val="center"/>
              <w:rPr>
                <w:rFonts w:hint="eastAsia" w:ascii="宋体" w:hAnsi="宋体" w:eastAsia="宋体" w:cs="宋体"/>
                <w:sz w:val="24"/>
                <w:szCs w:val="24"/>
                <w:vertAlign w:val="baseline"/>
                <w:lang w:val="en-US" w:eastAsia="zh-CN"/>
              </w:rPr>
            </w:pPr>
          </w:p>
        </w:tc>
      </w:tr>
      <w:tr w14:paraId="7A73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83CD82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1.1.4</w:t>
            </w:r>
          </w:p>
        </w:tc>
        <w:tc>
          <w:tcPr>
            <w:tcW w:w="0" w:type="auto"/>
            <w:vAlign w:val="center"/>
          </w:tcPr>
          <w:p w14:paraId="5CEBC82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500100002004</w:t>
            </w:r>
          </w:p>
        </w:tc>
        <w:tc>
          <w:tcPr>
            <w:tcW w:w="0" w:type="auto"/>
            <w:vAlign w:val="center"/>
          </w:tcPr>
          <w:p w14:paraId="45502BB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堤身填筑</w:t>
            </w:r>
          </w:p>
        </w:tc>
        <w:tc>
          <w:tcPr>
            <w:tcW w:w="0" w:type="auto"/>
            <w:vAlign w:val="center"/>
          </w:tcPr>
          <w:p w14:paraId="66B8E2F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夯填，相对密度≥0.75，平均运距8km</w:t>
            </w:r>
          </w:p>
        </w:tc>
        <w:tc>
          <w:tcPr>
            <w:tcW w:w="0" w:type="auto"/>
            <w:vAlign w:val="center"/>
          </w:tcPr>
          <w:p w14:paraId="1DE77EB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m³</w:t>
            </w:r>
          </w:p>
        </w:tc>
        <w:tc>
          <w:tcPr>
            <w:tcW w:w="0" w:type="auto"/>
            <w:vAlign w:val="center"/>
          </w:tcPr>
          <w:p w14:paraId="202AF796">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3381.00</w:t>
            </w:r>
          </w:p>
        </w:tc>
        <w:tc>
          <w:tcPr>
            <w:tcW w:w="0" w:type="auto"/>
            <w:vAlign w:val="center"/>
          </w:tcPr>
          <w:p w14:paraId="56B7809D">
            <w:pPr>
              <w:jc w:val="center"/>
              <w:rPr>
                <w:rFonts w:hint="eastAsia" w:ascii="宋体" w:hAnsi="宋体" w:eastAsia="宋体" w:cs="宋体"/>
                <w:sz w:val="24"/>
                <w:szCs w:val="24"/>
                <w:vertAlign w:val="baseline"/>
                <w:lang w:val="en-US" w:eastAsia="zh-CN"/>
              </w:rPr>
            </w:pPr>
          </w:p>
        </w:tc>
        <w:tc>
          <w:tcPr>
            <w:tcW w:w="0" w:type="auto"/>
            <w:vAlign w:val="center"/>
          </w:tcPr>
          <w:p w14:paraId="38C651DF">
            <w:pPr>
              <w:jc w:val="center"/>
              <w:rPr>
                <w:rFonts w:hint="eastAsia" w:ascii="宋体" w:hAnsi="宋体" w:eastAsia="宋体" w:cs="宋体"/>
                <w:sz w:val="24"/>
                <w:szCs w:val="24"/>
                <w:vertAlign w:val="baseline"/>
                <w:lang w:val="en-US" w:eastAsia="zh-CN"/>
              </w:rPr>
            </w:pPr>
          </w:p>
        </w:tc>
        <w:tc>
          <w:tcPr>
            <w:tcW w:w="0" w:type="auto"/>
            <w:vAlign w:val="center"/>
          </w:tcPr>
          <w:p w14:paraId="7C22B5A5">
            <w:pPr>
              <w:jc w:val="center"/>
              <w:rPr>
                <w:rFonts w:hint="eastAsia" w:ascii="宋体" w:hAnsi="宋体" w:eastAsia="宋体" w:cs="宋体"/>
                <w:sz w:val="24"/>
                <w:szCs w:val="24"/>
                <w:vertAlign w:val="baseline"/>
                <w:lang w:val="en-US" w:eastAsia="zh-CN"/>
              </w:rPr>
            </w:pPr>
          </w:p>
        </w:tc>
      </w:tr>
      <w:tr w14:paraId="0B2E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B2E0EC1">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1.1.5</w:t>
            </w:r>
          </w:p>
        </w:tc>
        <w:tc>
          <w:tcPr>
            <w:tcW w:w="0" w:type="auto"/>
            <w:vAlign w:val="center"/>
          </w:tcPr>
          <w:p w14:paraId="0376C90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500100002005</w:t>
            </w:r>
          </w:p>
        </w:tc>
        <w:tc>
          <w:tcPr>
            <w:tcW w:w="0" w:type="auto"/>
            <w:vAlign w:val="center"/>
          </w:tcPr>
          <w:p w14:paraId="45155EF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冲刷坑回填</w:t>
            </w:r>
          </w:p>
        </w:tc>
        <w:tc>
          <w:tcPr>
            <w:tcW w:w="0" w:type="auto"/>
            <w:vAlign w:val="center"/>
          </w:tcPr>
          <w:p w14:paraId="261660F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夯填，相对密度≥0.7</w:t>
            </w:r>
          </w:p>
        </w:tc>
        <w:tc>
          <w:tcPr>
            <w:tcW w:w="0" w:type="auto"/>
            <w:vAlign w:val="center"/>
          </w:tcPr>
          <w:p w14:paraId="3815E51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m³</w:t>
            </w:r>
          </w:p>
        </w:tc>
        <w:tc>
          <w:tcPr>
            <w:tcW w:w="0" w:type="auto"/>
            <w:vAlign w:val="center"/>
          </w:tcPr>
          <w:p w14:paraId="1123866B">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7406.00</w:t>
            </w:r>
          </w:p>
        </w:tc>
        <w:tc>
          <w:tcPr>
            <w:tcW w:w="0" w:type="auto"/>
            <w:vAlign w:val="center"/>
          </w:tcPr>
          <w:p w14:paraId="1E8874C1">
            <w:pPr>
              <w:jc w:val="center"/>
              <w:rPr>
                <w:rFonts w:hint="eastAsia" w:ascii="宋体" w:hAnsi="宋体" w:eastAsia="宋体" w:cs="宋体"/>
                <w:sz w:val="24"/>
                <w:szCs w:val="24"/>
                <w:vertAlign w:val="baseline"/>
                <w:lang w:val="en-US" w:eastAsia="zh-CN"/>
              </w:rPr>
            </w:pPr>
          </w:p>
        </w:tc>
        <w:tc>
          <w:tcPr>
            <w:tcW w:w="0" w:type="auto"/>
            <w:vAlign w:val="center"/>
          </w:tcPr>
          <w:p w14:paraId="57247442">
            <w:pPr>
              <w:jc w:val="center"/>
              <w:rPr>
                <w:rFonts w:hint="eastAsia" w:ascii="宋体" w:hAnsi="宋体" w:eastAsia="宋体" w:cs="宋体"/>
                <w:sz w:val="24"/>
                <w:szCs w:val="24"/>
                <w:vertAlign w:val="baseline"/>
                <w:lang w:val="en-US" w:eastAsia="zh-CN"/>
              </w:rPr>
            </w:pPr>
          </w:p>
        </w:tc>
        <w:tc>
          <w:tcPr>
            <w:tcW w:w="0" w:type="auto"/>
            <w:vAlign w:val="center"/>
          </w:tcPr>
          <w:p w14:paraId="58024673">
            <w:pPr>
              <w:jc w:val="center"/>
              <w:rPr>
                <w:rFonts w:hint="eastAsia" w:ascii="宋体" w:hAnsi="宋体" w:eastAsia="宋体" w:cs="宋体"/>
                <w:sz w:val="24"/>
                <w:szCs w:val="24"/>
                <w:vertAlign w:val="baseline"/>
                <w:lang w:val="en-US" w:eastAsia="zh-CN"/>
              </w:rPr>
            </w:pPr>
          </w:p>
        </w:tc>
      </w:tr>
      <w:tr w14:paraId="1434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9D0CC8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1.1.6</w:t>
            </w:r>
          </w:p>
        </w:tc>
        <w:tc>
          <w:tcPr>
            <w:tcW w:w="0" w:type="auto"/>
            <w:vAlign w:val="center"/>
          </w:tcPr>
          <w:p w14:paraId="5FB1429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500100002006</w:t>
            </w:r>
          </w:p>
        </w:tc>
        <w:tc>
          <w:tcPr>
            <w:tcW w:w="0" w:type="auto"/>
            <w:vAlign w:val="center"/>
          </w:tcPr>
          <w:p w14:paraId="364BA35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河道清淤整治土方开挖</w:t>
            </w:r>
          </w:p>
        </w:tc>
        <w:tc>
          <w:tcPr>
            <w:tcW w:w="0" w:type="auto"/>
            <w:vAlign w:val="center"/>
          </w:tcPr>
          <w:p w14:paraId="6336D3A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Ⅳ类土</w:t>
            </w:r>
          </w:p>
        </w:tc>
        <w:tc>
          <w:tcPr>
            <w:tcW w:w="0" w:type="auto"/>
            <w:vAlign w:val="center"/>
          </w:tcPr>
          <w:p w14:paraId="0E4E717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m³</w:t>
            </w:r>
          </w:p>
        </w:tc>
        <w:tc>
          <w:tcPr>
            <w:tcW w:w="0" w:type="auto"/>
            <w:vAlign w:val="center"/>
          </w:tcPr>
          <w:p w14:paraId="4F3FF5CA">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8025.00</w:t>
            </w:r>
          </w:p>
        </w:tc>
        <w:tc>
          <w:tcPr>
            <w:tcW w:w="0" w:type="auto"/>
            <w:vAlign w:val="center"/>
          </w:tcPr>
          <w:p w14:paraId="2F944292">
            <w:pPr>
              <w:jc w:val="center"/>
              <w:rPr>
                <w:rFonts w:hint="eastAsia" w:ascii="宋体" w:hAnsi="宋体" w:eastAsia="宋体" w:cs="宋体"/>
                <w:sz w:val="24"/>
                <w:szCs w:val="24"/>
                <w:vertAlign w:val="baseline"/>
                <w:lang w:val="en-US" w:eastAsia="zh-CN"/>
              </w:rPr>
            </w:pPr>
          </w:p>
        </w:tc>
        <w:tc>
          <w:tcPr>
            <w:tcW w:w="0" w:type="auto"/>
            <w:vAlign w:val="center"/>
          </w:tcPr>
          <w:p w14:paraId="12D9BB09">
            <w:pPr>
              <w:jc w:val="center"/>
              <w:rPr>
                <w:rFonts w:hint="eastAsia" w:ascii="宋体" w:hAnsi="宋体" w:eastAsia="宋体" w:cs="宋体"/>
                <w:sz w:val="24"/>
                <w:szCs w:val="24"/>
                <w:vertAlign w:val="baseline"/>
                <w:lang w:val="en-US" w:eastAsia="zh-CN"/>
              </w:rPr>
            </w:pPr>
          </w:p>
        </w:tc>
        <w:tc>
          <w:tcPr>
            <w:tcW w:w="0" w:type="auto"/>
            <w:vAlign w:val="center"/>
          </w:tcPr>
          <w:p w14:paraId="417D6DF7">
            <w:pPr>
              <w:jc w:val="center"/>
              <w:rPr>
                <w:rFonts w:hint="eastAsia" w:ascii="宋体" w:hAnsi="宋体" w:eastAsia="宋体" w:cs="宋体"/>
                <w:sz w:val="24"/>
                <w:szCs w:val="24"/>
                <w:vertAlign w:val="baseline"/>
                <w:lang w:val="en-US" w:eastAsia="zh-CN"/>
              </w:rPr>
            </w:pPr>
          </w:p>
        </w:tc>
      </w:tr>
      <w:tr w14:paraId="76FDD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F999828">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1.1.7</w:t>
            </w:r>
          </w:p>
        </w:tc>
        <w:tc>
          <w:tcPr>
            <w:tcW w:w="0" w:type="auto"/>
            <w:vAlign w:val="center"/>
          </w:tcPr>
          <w:p w14:paraId="5576D54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500100002007</w:t>
            </w:r>
          </w:p>
        </w:tc>
        <w:tc>
          <w:tcPr>
            <w:tcW w:w="0" w:type="auto"/>
            <w:vAlign w:val="center"/>
          </w:tcPr>
          <w:p w14:paraId="257A841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河道清淤整治土方回填</w:t>
            </w:r>
          </w:p>
        </w:tc>
        <w:tc>
          <w:tcPr>
            <w:tcW w:w="0" w:type="auto"/>
            <w:vAlign w:val="center"/>
          </w:tcPr>
          <w:p w14:paraId="368AA04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Ⅳ类土，平均运距100m</w:t>
            </w:r>
          </w:p>
        </w:tc>
        <w:tc>
          <w:tcPr>
            <w:tcW w:w="0" w:type="auto"/>
            <w:vAlign w:val="center"/>
          </w:tcPr>
          <w:p w14:paraId="653BE44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m³</w:t>
            </w:r>
          </w:p>
        </w:tc>
        <w:tc>
          <w:tcPr>
            <w:tcW w:w="0" w:type="auto"/>
            <w:vAlign w:val="center"/>
          </w:tcPr>
          <w:p w14:paraId="74833C32">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2006.00</w:t>
            </w:r>
          </w:p>
        </w:tc>
        <w:tc>
          <w:tcPr>
            <w:tcW w:w="0" w:type="auto"/>
            <w:vAlign w:val="center"/>
          </w:tcPr>
          <w:p w14:paraId="636A8FD6">
            <w:pPr>
              <w:jc w:val="center"/>
              <w:rPr>
                <w:rFonts w:hint="eastAsia" w:ascii="宋体" w:hAnsi="宋体" w:eastAsia="宋体" w:cs="宋体"/>
                <w:sz w:val="24"/>
                <w:szCs w:val="24"/>
                <w:vertAlign w:val="baseline"/>
                <w:lang w:val="en-US" w:eastAsia="zh-CN"/>
              </w:rPr>
            </w:pPr>
          </w:p>
        </w:tc>
        <w:tc>
          <w:tcPr>
            <w:tcW w:w="0" w:type="auto"/>
            <w:vAlign w:val="center"/>
          </w:tcPr>
          <w:p w14:paraId="2BDA63B4">
            <w:pPr>
              <w:jc w:val="center"/>
              <w:rPr>
                <w:rFonts w:hint="eastAsia" w:ascii="宋体" w:hAnsi="宋体" w:eastAsia="宋体" w:cs="宋体"/>
                <w:sz w:val="24"/>
                <w:szCs w:val="24"/>
                <w:vertAlign w:val="baseline"/>
                <w:lang w:val="en-US" w:eastAsia="zh-CN"/>
              </w:rPr>
            </w:pPr>
          </w:p>
        </w:tc>
        <w:tc>
          <w:tcPr>
            <w:tcW w:w="0" w:type="auto"/>
            <w:vAlign w:val="center"/>
          </w:tcPr>
          <w:p w14:paraId="37BCEB57">
            <w:pPr>
              <w:jc w:val="center"/>
              <w:rPr>
                <w:rFonts w:hint="eastAsia" w:ascii="宋体" w:hAnsi="宋体" w:eastAsia="宋体" w:cs="宋体"/>
                <w:sz w:val="24"/>
                <w:szCs w:val="24"/>
                <w:vertAlign w:val="baseline"/>
                <w:lang w:val="en-US" w:eastAsia="zh-CN"/>
              </w:rPr>
            </w:pPr>
          </w:p>
        </w:tc>
      </w:tr>
      <w:tr w14:paraId="7AAC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5AFA057">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1.1.8</w:t>
            </w:r>
          </w:p>
        </w:tc>
        <w:tc>
          <w:tcPr>
            <w:tcW w:w="0" w:type="auto"/>
            <w:vAlign w:val="center"/>
          </w:tcPr>
          <w:p w14:paraId="266EABD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500100002008</w:t>
            </w:r>
          </w:p>
        </w:tc>
        <w:tc>
          <w:tcPr>
            <w:tcW w:w="0" w:type="auto"/>
            <w:vAlign w:val="center"/>
          </w:tcPr>
          <w:p w14:paraId="6EFEABB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格宾石笼护坡</w:t>
            </w:r>
          </w:p>
        </w:tc>
        <w:tc>
          <w:tcPr>
            <w:tcW w:w="0" w:type="auto"/>
            <w:vAlign w:val="center"/>
          </w:tcPr>
          <w:p w14:paraId="64A9C84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30cm厚，格宾网孔型号80×100（mm）</w:t>
            </w:r>
          </w:p>
        </w:tc>
        <w:tc>
          <w:tcPr>
            <w:tcW w:w="0" w:type="auto"/>
            <w:vAlign w:val="center"/>
          </w:tcPr>
          <w:p w14:paraId="253A1A9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m³</w:t>
            </w:r>
          </w:p>
        </w:tc>
        <w:tc>
          <w:tcPr>
            <w:tcW w:w="0" w:type="auto"/>
            <w:vAlign w:val="center"/>
          </w:tcPr>
          <w:p w14:paraId="5990F23F">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2607.00</w:t>
            </w:r>
          </w:p>
        </w:tc>
        <w:tc>
          <w:tcPr>
            <w:tcW w:w="0" w:type="auto"/>
            <w:vAlign w:val="center"/>
          </w:tcPr>
          <w:p w14:paraId="10555431">
            <w:pPr>
              <w:jc w:val="center"/>
              <w:rPr>
                <w:rFonts w:hint="eastAsia" w:ascii="宋体" w:hAnsi="宋体" w:eastAsia="宋体" w:cs="宋体"/>
                <w:sz w:val="24"/>
                <w:szCs w:val="24"/>
                <w:vertAlign w:val="baseline"/>
                <w:lang w:val="en-US" w:eastAsia="zh-CN"/>
              </w:rPr>
            </w:pPr>
          </w:p>
        </w:tc>
        <w:tc>
          <w:tcPr>
            <w:tcW w:w="0" w:type="auto"/>
            <w:vAlign w:val="center"/>
          </w:tcPr>
          <w:p w14:paraId="0DB9BA7B">
            <w:pPr>
              <w:jc w:val="center"/>
              <w:rPr>
                <w:rFonts w:hint="eastAsia" w:ascii="宋体" w:hAnsi="宋体" w:eastAsia="宋体" w:cs="宋体"/>
                <w:sz w:val="24"/>
                <w:szCs w:val="24"/>
                <w:vertAlign w:val="baseline"/>
                <w:lang w:val="en-US" w:eastAsia="zh-CN"/>
              </w:rPr>
            </w:pPr>
          </w:p>
        </w:tc>
        <w:tc>
          <w:tcPr>
            <w:tcW w:w="0" w:type="auto"/>
            <w:vAlign w:val="center"/>
          </w:tcPr>
          <w:p w14:paraId="594DDA50">
            <w:pPr>
              <w:jc w:val="center"/>
              <w:rPr>
                <w:rFonts w:hint="eastAsia" w:ascii="宋体" w:hAnsi="宋体" w:eastAsia="宋体" w:cs="宋体"/>
                <w:sz w:val="24"/>
                <w:szCs w:val="24"/>
                <w:vertAlign w:val="baseline"/>
                <w:lang w:val="en-US" w:eastAsia="zh-CN"/>
              </w:rPr>
            </w:pPr>
          </w:p>
        </w:tc>
      </w:tr>
      <w:tr w14:paraId="0F9E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9A0879D">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1.1.9</w:t>
            </w:r>
          </w:p>
        </w:tc>
        <w:tc>
          <w:tcPr>
            <w:tcW w:w="0" w:type="auto"/>
            <w:vAlign w:val="center"/>
          </w:tcPr>
          <w:p w14:paraId="3DD2957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500100002009</w:t>
            </w:r>
          </w:p>
        </w:tc>
        <w:tc>
          <w:tcPr>
            <w:tcW w:w="0" w:type="auto"/>
            <w:vAlign w:val="center"/>
          </w:tcPr>
          <w:p w14:paraId="59040DE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格宾石笼阻滑墙</w:t>
            </w:r>
          </w:p>
        </w:tc>
        <w:tc>
          <w:tcPr>
            <w:tcW w:w="0" w:type="auto"/>
            <w:vAlign w:val="center"/>
          </w:tcPr>
          <w:p w14:paraId="7DBF41B3">
            <w:pPr>
              <w:jc w:val="center"/>
              <w:rPr>
                <w:rFonts w:hint="eastAsia" w:ascii="宋体" w:hAnsi="宋体" w:eastAsia="宋体" w:cs="宋体"/>
                <w:sz w:val="24"/>
                <w:szCs w:val="24"/>
                <w:vertAlign w:val="baseline"/>
                <w:lang w:val="en-US" w:eastAsia="zh-CN"/>
              </w:rPr>
            </w:pPr>
          </w:p>
        </w:tc>
        <w:tc>
          <w:tcPr>
            <w:tcW w:w="0" w:type="auto"/>
            <w:vAlign w:val="center"/>
          </w:tcPr>
          <w:p w14:paraId="5FAA328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m³</w:t>
            </w:r>
          </w:p>
        </w:tc>
        <w:tc>
          <w:tcPr>
            <w:tcW w:w="0" w:type="auto"/>
            <w:vAlign w:val="center"/>
          </w:tcPr>
          <w:p w14:paraId="306F1CF9">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268.00</w:t>
            </w:r>
          </w:p>
        </w:tc>
        <w:tc>
          <w:tcPr>
            <w:tcW w:w="0" w:type="auto"/>
            <w:vAlign w:val="center"/>
          </w:tcPr>
          <w:p w14:paraId="75FFEA0D">
            <w:pPr>
              <w:jc w:val="center"/>
              <w:rPr>
                <w:rFonts w:hint="eastAsia" w:ascii="宋体" w:hAnsi="宋体" w:eastAsia="宋体" w:cs="宋体"/>
                <w:sz w:val="24"/>
                <w:szCs w:val="24"/>
                <w:vertAlign w:val="baseline"/>
                <w:lang w:val="en-US" w:eastAsia="zh-CN"/>
              </w:rPr>
            </w:pPr>
          </w:p>
        </w:tc>
        <w:tc>
          <w:tcPr>
            <w:tcW w:w="0" w:type="auto"/>
            <w:vAlign w:val="center"/>
          </w:tcPr>
          <w:p w14:paraId="671F972F">
            <w:pPr>
              <w:jc w:val="center"/>
              <w:rPr>
                <w:rFonts w:hint="eastAsia" w:ascii="宋体" w:hAnsi="宋体" w:eastAsia="宋体" w:cs="宋体"/>
                <w:sz w:val="24"/>
                <w:szCs w:val="24"/>
                <w:vertAlign w:val="baseline"/>
                <w:lang w:val="en-US" w:eastAsia="zh-CN"/>
              </w:rPr>
            </w:pPr>
          </w:p>
        </w:tc>
        <w:tc>
          <w:tcPr>
            <w:tcW w:w="0" w:type="auto"/>
            <w:vAlign w:val="center"/>
          </w:tcPr>
          <w:p w14:paraId="1596F8FD">
            <w:pPr>
              <w:jc w:val="center"/>
              <w:rPr>
                <w:rFonts w:hint="eastAsia" w:ascii="宋体" w:hAnsi="宋体" w:eastAsia="宋体" w:cs="宋体"/>
                <w:sz w:val="24"/>
                <w:szCs w:val="24"/>
                <w:vertAlign w:val="baseline"/>
                <w:lang w:val="en-US" w:eastAsia="zh-CN"/>
              </w:rPr>
            </w:pPr>
          </w:p>
        </w:tc>
      </w:tr>
      <w:tr w14:paraId="019D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6B4643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1.1.10</w:t>
            </w:r>
          </w:p>
        </w:tc>
        <w:tc>
          <w:tcPr>
            <w:tcW w:w="0" w:type="auto"/>
            <w:vAlign w:val="center"/>
          </w:tcPr>
          <w:p w14:paraId="61ADA32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500100002010</w:t>
            </w:r>
          </w:p>
        </w:tc>
        <w:tc>
          <w:tcPr>
            <w:tcW w:w="0" w:type="auto"/>
            <w:vAlign w:val="center"/>
          </w:tcPr>
          <w:p w14:paraId="282CC1C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混凝土横隔墙</w:t>
            </w:r>
          </w:p>
        </w:tc>
        <w:tc>
          <w:tcPr>
            <w:tcW w:w="0" w:type="auto"/>
            <w:vAlign w:val="center"/>
          </w:tcPr>
          <w:p w14:paraId="5A90F58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C30F200W6、二级配</w:t>
            </w:r>
          </w:p>
        </w:tc>
        <w:tc>
          <w:tcPr>
            <w:tcW w:w="0" w:type="auto"/>
            <w:vAlign w:val="center"/>
          </w:tcPr>
          <w:p w14:paraId="3C7CFE4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m³</w:t>
            </w:r>
          </w:p>
        </w:tc>
        <w:tc>
          <w:tcPr>
            <w:tcW w:w="0" w:type="auto"/>
            <w:vAlign w:val="center"/>
          </w:tcPr>
          <w:p w14:paraId="4B7AD0AE">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64.00</w:t>
            </w:r>
          </w:p>
        </w:tc>
        <w:tc>
          <w:tcPr>
            <w:tcW w:w="0" w:type="auto"/>
            <w:vAlign w:val="center"/>
          </w:tcPr>
          <w:p w14:paraId="4E8523F1">
            <w:pPr>
              <w:jc w:val="center"/>
              <w:rPr>
                <w:rFonts w:hint="eastAsia" w:ascii="宋体" w:hAnsi="宋体" w:eastAsia="宋体" w:cs="宋体"/>
                <w:sz w:val="24"/>
                <w:szCs w:val="24"/>
                <w:vertAlign w:val="baseline"/>
                <w:lang w:val="en-US" w:eastAsia="zh-CN"/>
              </w:rPr>
            </w:pPr>
          </w:p>
        </w:tc>
        <w:tc>
          <w:tcPr>
            <w:tcW w:w="0" w:type="auto"/>
            <w:vAlign w:val="center"/>
          </w:tcPr>
          <w:p w14:paraId="6516FBB9">
            <w:pPr>
              <w:jc w:val="center"/>
              <w:rPr>
                <w:rFonts w:hint="eastAsia" w:ascii="宋体" w:hAnsi="宋体" w:eastAsia="宋体" w:cs="宋体"/>
                <w:sz w:val="24"/>
                <w:szCs w:val="24"/>
                <w:vertAlign w:val="baseline"/>
                <w:lang w:val="en-US" w:eastAsia="zh-CN"/>
              </w:rPr>
            </w:pPr>
          </w:p>
        </w:tc>
        <w:tc>
          <w:tcPr>
            <w:tcW w:w="0" w:type="auto"/>
            <w:vAlign w:val="center"/>
          </w:tcPr>
          <w:p w14:paraId="3EC67164">
            <w:pPr>
              <w:jc w:val="center"/>
              <w:rPr>
                <w:rFonts w:hint="eastAsia" w:ascii="宋体" w:hAnsi="宋体" w:eastAsia="宋体" w:cs="宋体"/>
                <w:sz w:val="24"/>
                <w:szCs w:val="24"/>
                <w:vertAlign w:val="baseline"/>
                <w:lang w:val="en-US" w:eastAsia="zh-CN"/>
              </w:rPr>
            </w:pPr>
          </w:p>
        </w:tc>
      </w:tr>
      <w:tr w14:paraId="61F7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AC46F7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1.1.11</w:t>
            </w:r>
          </w:p>
        </w:tc>
        <w:tc>
          <w:tcPr>
            <w:tcW w:w="0" w:type="auto"/>
            <w:vAlign w:val="center"/>
          </w:tcPr>
          <w:p w14:paraId="0E51253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500100002011</w:t>
            </w:r>
          </w:p>
        </w:tc>
        <w:tc>
          <w:tcPr>
            <w:tcW w:w="0" w:type="auto"/>
            <w:vAlign w:val="center"/>
          </w:tcPr>
          <w:p w14:paraId="29357C1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格宾石笼缝隙回填土</w:t>
            </w:r>
          </w:p>
        </w:tc>
        <w:tc>
          <w:tcPr>
            <w:tcW w:w="0" w:type="auto"/>
            <w:vAlign w:val="center"/>
          </w:tcPr>
          <w:p w14:paraId="64EC68D5">
            <w:pPr>
              <w:jc w:val="center"/>
              <w:rPr>
                <w:rFonts w:hint="eastAsia" w:ascii="宋体" w:hAnsi="宋体" w:eastAsia="宋体" w:cs="宋体"/>
                <w:sz w:val="24"/>
                <w:szCs w:val="24"/>
                <w:vertAlign w:val="baseline"/>
                <w:lang w:val="en-US" w:eastAsia="zh-CN"/>
              </w:rPr>
            </w:pPr>
          </w:p>
        </w:tc>
        <w:tc>
          <w:tcPr>
            <w:tcW w:w="0" w:type="auto"/>
            <w:vAlign w:val="center"/>
          </w:tcPr>
          <w:p w14:paraId="2456D75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m³</w:t>
            </w:r>
          </w:p>
        </w:tc>
        <w:tc>
          <w:tcPr>
            <w:tcW w:w="0" w:type="auto"/>
            <w:vAlign w:val="center"/>
          </w:tcPr>
          <w:p w14:paraId="2FBF37B2">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1127.00</w:t>
            </w:r>
          </w:p>
        </w:tc>
        <w:tc>
          <w:tcPr>
            <w:tcW w:w="0" w:type="auto"/>
            <w:vAlign w:val="center"/>
          </w:tcPr>
          <w:p w14:paraId="3D429CAC">
            <w:pPr>
              <w:jc w:val="center"/>
              <w:rPr>
                <w:rFonts w:hint="eastAsia" w:ascii="宋体" w:hAnsi="宋体" w:eastAsia="宋体" w:cs="宋体"/>
                <w:sz w:val="24"/>
                <w:szCs w:val="24"/>
                <w:vertAlign w:val="baseline"/>
                <w:lang w:val="en-US" w:eastAsia="zh-CN"/>
              </w:rPr>
            </w:pPr>
          </w:p>
        </w:tc>
        <w:tc>
          <w:tcPr>
            <w:tcW w:w="0" w:type="auto"/>
            <w:vAlign w:val="center"/>
          </w:tcPr>
          <w:p w14:paraId="49FF7F4E">
            <w:pPr>
              <w:jc w:val="center"/>
              <w:rPr>
                <w:rFonts w:hint="eastAsia" w:ascii="宋体" w:hAnsi="宋体" w:eastAsia="宋体" w:cs="宋体"/>
                <w:sz w:val="24"/>
                <w:szCs w:val="24"/>
                <w:vertAlign w:val="baseline"/>
                <w:lang w:val="en-US" w:eastAsia="zh-CN"/>
              </w:rPr>
            </w:pPr>
          </w:p>
        </w:tc>
        <w:tc>
          <w:tcPr>
            <w:tcW w:w="0" w:type="auto"/>
            <w:vAlign w:val="center"/>
          </w:tcPr>
          <w:p w14:paraId="1D6FB857">
            <w:pPr>
              <w:jc w:val="center"/>
              <w:rPr>
                <w:rFonts w:hint="eastAsia" w:ascii="宋体" w:hAnsi="宋体" w:eastAsia="宋体" w:cs="宋体"/>
                <w:sz w:val="24"/>
                <w:szCs w:val="24"/>
                <w:vertAlign w:val="baseline"/>
                <w:lang w:val="en-US" w:eastAsia="zh-CN"/>
              </w:rPr>
            </w:pPr>
          </w:p>
        </w:tc>
      </w:tr>
      <w:tr w14:paraId="5689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27C941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1.1.12</w:t>
            </w:r>
          </w:p>
        </w:tc>
        <w:tc>
          <w:tcPr>
            <w:tcW w:w="0" w:type="auto"/>
            <w:vAlign w:val="center"/>
          </w:tcPr>
          <w:p w14:paraId="03DD816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500100002012</w:t>
            </w:r>
          </w:p>
        </w:tc>
        <w:tc>
          <w:tcPr>
            <w:tcW w:w="0" w:type="auto"/>
            <w:vAlign w:val="center"/>
          </w:tcPr>
          <w:p w14:paraId="63D291D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无纺土工布</w:t>
            </w:r>
          </w:p>
        </w:tc>
        <w:tc>
          <w:tcPr>
            <w:tcW w:w="0" w:type="auto"/>
            <w:vAlign w:val="center"/>
          </w:tcPr>
          <w:p w14:paraId="58FA126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规格300g/m2</w:t>
            </w:r>
          </w:p>
        </w:tc>
        <w:tc>
          <w:tcPr>
            <w:tcW w:w="0" w:type="auto"/>
            <w:vAlign w:val="center"/>
          </w:tcPr>
          <w:p w14:paraId="71B8440B">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0" w:type="auto"/>
            <w:vAlign w:val="center"/>
          </w:tcPr>
          <w:p w14:paraId="275A1C1A">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8276.00</w:t>
            </w:r>
          </w:p>
        </w:tc>
        <w:tc>
          <w:tcPr>
            <w:tcW w:w="0" w:type="auto"/>
            <w:vAlign w:val="center"/>
          </w:tcPr>
          <w:p w14:paraId="532E662F">
            <w:pPr>
              <w:jc w:val="center"/>
              <w:rPr>
                <w:rFonts w:hint="eastAsia" w:ascii="宋体" w:hAnsi="宋体" w:eastAsia="宋体" w:cs="宋体"/>
                <w:sz w:val="24"/>
                <w:szCs w:val="24"/>
                <w:vertAlign w:val="baseline"/>
                <w:lang w:val="en-US" w:eastAsia="zh-CN"/>
              </w:rPr>
            </w:pPr>
          </w:p>
        </w:tc>
        <w:tc>
          <w:tcPr>
            <w:tcW w:w="0" w:type="auto"/>
            <w:vAlign w:val="center"/>
          </w:tcPr>
          <w:p w14:paraId="7475D28A">
            <w:pPr>
              <w:jc w:val="center"/>
              <w:rPr>
                <w:rFonts w:hint="eastAsia" w:ascii="宋体" w:hAnsi="宋体" w:eastAsia="宋体" w:cs="宋体"/>
                <w:sz w:val="24"/>
                <w:szCs w:val="24"/>
                <w:vertAlign w:val="baseline"/>
                <w:lang w:val="en-US" w:eastAsia="zh-CN"/>
              </w:rPr>
            </w:pPr>
          </w:p>
        </w:tc>
        <w:tc>
          <w:tcPr>
            <w:tcW w:w="0" w:type="auto"/>
            <w:vAlign w:val="center"/>
          </w:tcPr>
          <w:p w14:paraId="1ABDE732">
            <w:pPr>
              <w:jc w:val="center"/>
              <w:rPr>
                <w:rFonts w:hint="eastAsia" w:ascii="宋体" w:hAnsi="宋体" w:eastAsia="宋体" w:cs="宋体"/>
                <w:sz w:val="24"/>
                <w:szCs w:val="24"/>
                <w:vertAlign w:val="baseline"/>
                <w:lang w:val="en-US" w:eastAsia="zh-CN"/>
              </w:rPr>
            </w:pPr>
          </w:p>
        </w:tc>
      </w:tr>
      <w:tr w14:paraId="1AC1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7E7755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1.1.13</w:t>
            </w:r>
          </w:p>
        </w:tc>
        <w:tc>
          <w:tcPr>
            <w:tcW w:w="0" w:type="auto"/>
            <w:vAlign w:val="center"/>
          </w:tcPr>
          <w:p w14:paraId="6A0A3F8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500100002013</w:t>
            </w:r>
          </w:p>
        </w:tc>
        <w:tc>
          <w:tcPr>
            <w:tcW w:w="0" w:type="auto"/>
            <w:vAlign w:val="center"/>
          </w:tcPr>
          <w:p w14:paraId="342C86E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模板制安</w:t>
            </w:r>
          </w:p>
        </w:tc>
        <w:tc>
          <w:tcPr>
            <w:tcW w:w="0" w:type="auto"/>
            <w:vAlign w:val="center"/>
          </w:tcPr>
          <w:p w14:paraId="1CC428C8">
            <w:pPr>
              <w:jc w:val="center"/>
              <w:rPr>
                <w:rFonts w:hint="eastAsia" w:ascii="宋体" w:hAnsi="宋体" w:eastAsia="宋体" w:cs="宋体"/>
                <w:sz w:val="24"/>
                <w:szCs w:val="24"/>
                <w:vertAlign w:val="baseline"/>
                <w:lang w:val="en-US" w:eastAsia="zh-CN"/>
              </w:rPr>
            </w:pPr>
          </w:p>
        </w:tc>
        <w:tc>
          <w:tcPr>
            <w:tcW w:w="0" w:type="auto"/>
            <w:vAlign w:val="center"/>
          </w:tcPr>
          <w:p w14:paraId="252E635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0" w:type="auto"/>
            <w:vAlign w:val="center"/>
          </w:tcPr>
          <w:p w14:paraId="0062D96B">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22.00</w:t>
            </w:r>
          </w:p>
        </w:tc>
        <w:tc>
          <w:tcPr>
            <w:tcW w:w="0" w:type="auto"/>
            <w:vAlign w:val="center"/>
          </w:tcPr>
          <w:p w14:paraId="1654B638">
            <w:pPr>
              <w:jc w:val="center"/>
              <w:rPr>
                <w:rFonts w:hint="eastAsia" w:ascii="宋体" w:hAnsi="宋体" w:eastAsia="宋体" w:cs="宋体"/>
                <w:sz w:val="24"/>
                <w:szCs w:val="24"/>
                <w:vertAlign w:val="baseline"/>
                <w:lang w:val="en-US" w:eastAsia="zh-CN"/>
              </w:rPr>
            </w:pPr>
          </w:p>
        </w:tc>
        <w:tc>
          <w:tcPr>
            <w:tcW w:w="0" w:type="auto"/>
            <w:vAlign w:val="center"/>
          </w:tcPr>
          <w:p w14:paraId="181557DC">
            <w:pPr>
              <w:jc w:val="center"/>
              <w:rPr>
                <w:rFonts w:hint="eastAsia" w:ascii="宋体" w:hAnsi="宋体" w:eastAsia="宋体" w:cs="宋体"/>
                <w:sz w:val="24"/>
                <w:szCs w:val="24"/>
                <w:vertAlign w:val="baseline"/>
                <w:lang w:val="en-US" w:eastAsia="zh-CN"/>
              </w:rPr>
            </w:pPr>
          </w:p>
        </w:tc>
        <w:tc>
          <w:tcPr>
            <w:tcW w:w="0" w:type="auto"/>
            <w:vAlign w:val="center"/>
          </w:tcPr>
          <w:p w14:paraId="3C509D90">
            <w:pPr>
              <w:jc w:val="center"/>
              <w:rPr>
                <w:rFonts w:hint="eastAsia" w:ascii="宋体" w:hAnsi="宋体" w:eastAsia="宋体" w:cs="宋体"/>
                <w:sz w:val="24"/>
                <w:szCs w:val="24"/>
                <w:vertAlign w:val="baseline"/>
                <w:lang w:val="en-US" w:eastAsia="zh-CN"/>
              </w:rPr>
            </w:pPr>
          </w:p>
        </w:tc>
      </w:tr>
    </w:tbl>
    <w:p w14:paraId="358C6010">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277EC61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措施项目清单</w:t>
      </w:r>
    </w:p>
    <w:p w14:paraId="4F08D395">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合同编号：</w:t>
      </w:r>
    </w:p>
    <w:p w14:paraId="67830C92">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工程名称：哈密市伊吾县大白杨沟中小河流治理工程</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3043"/>
        <w:gridCol w:w="751"/>
        <w:gridCol w:w="1296"/>
        <w:gridCol w:w="1610"/>
        <w:gridCol w:w="1611"/>
        <w:gridCol w:w="752"/>
      </w:tblGrid>
      <w:tr w14:paraId="0437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357F37E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566" w:type="pct"/>
            <w:vAlign w:val="center"/>
          </w:tcPr>
          <w:p w14:paraId="45B3B11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416" w:type="pct"/>
            <w:vAlign w:val="center"/>
          </w:tcPr>
          <w:p w14:paraId="7A78AE0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416" w:type="pct"/>
            <w:vAlign w:val="center"/>
          </w:tcPr>
          <w:p w14:paraId="25954BD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847" w:type="pct"/>
            <w:vAlign w:val="center"/>
          </w:tcPr>
          <w:p w14:paraId="5029BE3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单价（元）</w:t>
            </w:r>
          </w:p>
        </w:tc>
        <w:tc>
          <w:tcPr>
            <w:tcW w:w="847" w:type="pct"/>
            <w:vAlign w:val="center"/>
          </w:tcPr>
          <w:p w14:paraId="72B61CD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合价（元）</w:t>
            </w:r>
          </w:p>
        </w:tc>
        <w:tc>
          <w:tcPr>
            <w:tcW w:w="416" w:type="pct"/>
            <w:vAlign w:val="center"/>
          </w:tcPr>
          <w:p w14:paraId="521F306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5469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2BBD3FA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566" w:type="pct"/>
            <w:vAlign w:val="center"/>
          </w:tcPr>
          <w:p w14:paraId="33AF6DF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临时工程（总价承包）</w:t>
            </w:r>
          </w:p>
        </w:tc>
        <w:tc>
          <w:tcPr>
            <w:tcW w:w="416" w:type="pct"/>
            <w:vAlign w:val="center"/>
          </w:tcPr>
          <w:p w14:paraId="18E97472">
            <w:pPr>
              <w:jc w:val="center"/>
              <w:rPr>
                <w:rFonts w:hint="default" w:ascii="宋体" w:hAnsi="宋体" w:eastAsia="宋体" w:cs="宋体"/>
                <w:sz w:val="24"/>
                <w:szCs w:val="24"/>
                <w:vertAlign w:val="baseline"/>
                <w:lang w:val="en-US" w:eastAsia="zh-CN"/>
              </w:rPr>
            </w:pPr>
          </w:p>
        </w:tc>
        <w:tc>
          <w:tcPr>
            <w:tcW w:w="416" w:type="pct"/>
            <w:vAlign w:val="center"/>
          </w:tcPr>
          <w:p w14:paraId="642CC628">
            <w:pPr>
              <w:jc w:val="center"/>
              <w:rPr>
                <w:rFonts w:hint="default" w:ascii="宋体" w:hAnsi="宋体" w:eastAsia="宋体" w:cs="宋体"/>
                <w:sz w:val="24"/>
                <w:szCs w:val="24"/>
                <w:vertAlign w:val="baseline"/>
                <w:lang w:val="en-US" w:eastAsia="zh-CN"/>
              </w:rPr>
            </w:pPr>
          </w:p>
        </w:tc>
        <w:tc>
          <w:tcPr>
            <w:tcW w:w="847" w:type="pct"/>
            <w:vAlign w:val="center"/>
          </w:tcPr>
          <w:p w14:paraId="49D06C3E">
            <w:pPr>
              <w:jc w:val="center"/>
              <w:rPr>
                <w:rFonts w:hint="eastAsia" w:ascii="宋体" w:hAnsi="宋体" w:eastAsia="宋体" w:cs="宋体"/>
                <w:sz w:val="24"/>
                <w:szCs w:val="24"/>
                <w:vertAlign w:val="baseline"/>
                <w:lang w:val="en-US" w:eastAsia="zh-CN"/>
              </w:rPr>
            </w:pPr>
          </w:p>
        </w:tc>
        <w:tc>
          <w:tcPr>
            <w:tcW w:w="847" w:type="pct"/>
            <w:vAlign w:val="center"/>
          </w:tcPr>
          <w:p w14:paraId="43C1F8C7">
            <w:pPr>
              <w:jc w:val="center"/>
              <w:rPr>
                <w:rFonts w:hint="eastAsia" w:ascii="宋体" w:hAnsi="宋体" w:eastAsia="宋体" w:cs="宋体"/>
                <w:sz w:val="24"/>
                <w:szCs w:val="24"/>
                <w:vertAlign w:val="baseline"/>
                <w:lang w:val="en-US" w:eastAsia="zh-CN"/>
              </w:rPr>
            </w:pPr>
          </w:p>
        </w:tc>
        <w:tc>
          <w:tcPr>
            <w:tcW w:w="416" w:type="pct"/>
            <w:vAlign w:val="center"/>
          </w:tcPr>
          <w:p w14:paraId="1D4220BC">
            <w:pPr>
              <w:jc w:val="center"/>
              <w:rPr>
                <w:rFonts w:hint="eastAsia" w:ascii="宋体" w:hAnsi="宋体" w:eastAsia="宋体" w:cs="宋体"/>
                <w:sz w:val="24"/>
                <w:szCs w:val="24"/>
                <w:vertAlign w:val="baseline"/>
                <w:lang w:val="en-US" w:eastAsia="zh-CN"/>
              </w:rPr>
            </w:pPr>
          </w:p>
        </w:tc>
      </w:tr>
      <w:tr w14:paraId="4C13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3EB1161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1566" w:type="pct"/>
            <w:vAlign w:val="center"/>
          </w:tcPr>
          <w:p w14:paraId="41A7B03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导流工程</w:t>
            </w:r>
          </w:p>
        </w:tc>
        <w:tc>
          <w:tcPr>
            <w:tcW w:w="416" w:type="pct"/>
            <w:vAlign w:val="center"/>
          </w:tcPr>
          <w:p w14:paraId="33A20015">
            <w:pPr>
              <w:jc w:val="center"/>
              <w:rPr>
                <w:rFonts w:hint="eastAsia" w:ascii="宋体" w:hAnsi="宋体" w:eastAsia="宋体" w:cs="宋体"/>
                <w:sz w:val="24"/>
                <w:szCs w:val="24"/>
                <w:vertAlign w:val="baseline"/>
                <w:lang w:val="en-US" w:eastAsia="zh-CN"/>
              </w:rPr>
            </w:pPr>
          </w:p>
        </w:tc>
        <w:tc>
          <w:tcPr>
            <w:tcW w:w="416" w:type="pct"/>
            <w:vAlign w:val="center"/>
          </w:tcPr>
          <w:p w14:paraId="7303AB34">
            <w:pPr>
              <w:jc w:val="center"/>
              <w:rPr>
                <w:rFonts w:hint="eastAsia" w:ascii="宋体" w:hAnsi="宋体" w:eastAsia="宋体" w:cs="宋体"/>
                <w:sz w:val="24"/>
                <w:szCs w:val="24"/>
                <w:vertAlign w:val="baseline"/>
                <w:lang w:val="en-US" w:eastAsia="zh-CN"/>
              </w:rPr>
            </w:pPr>
          </w:p>
        </w:tc>
        <w:tc>
          <w:tcPr>
            <w:tcW w:w="847" w:type="pct"/>
            <w:vAlign w:val="center"/>
          </w:tcPr>
          <w:p w14:paraId="2834130A">
            <w:pPr>
              <w:jc w:val="center"/>
              <w:rPr>
                <w:rFonts w:hint="eastAsia" w:ascii="宋体" w:hAnsi="宋体" w:eastAsia="宋体" w:cs="宋体"/>
                <w:sz w:val="24"/>
                <w:szCs w:val="24"/>
                <w:vertAlign w:val="baseline"/>
                <w:lang w:val="en-US" w:eastAsia="zh-CN"/>
              </w:rPr>
            </w:pPr>
          </w:p>
        </w:tc>
        <w:tc>
          <w:tcPr>
            <w:tcW w:w="847" w:type="pct"/>
            <w:vAlign w:val="center"/>
          </w:tcPr>
          <w:p w14:paraId="5427758E">
            <w:pPr>
              <w:jc w:val="center"/>
              <w:rPr>
                <w:rFonts w:hint="eastAsia" w:ascii="宋体" w:hAnsi="宋体" w:eastAsia="宋体" w:cs="宋体"/>
                <w:sz w:val="24"/>
                <w:szCs w:val="24"/>
                <w:vertAlign w:val="baseline"/>
                <w:lang w:val="en-US" w:eastAsia="zh-CN"/>
              </w:rPr>
            </w:pPr>
          </w:p>
        </w:tc>
        <w:tc>
          <w:tcPr>
            <w:tcW w:w="416" w:type="pct"/>
            <w:vAlign w:val="center"/>
          </w:tcPr>
          <w:p w14:paraId="3BAE9013">
            <w:pPr>
              <w:jc w:val="center"/>
              <w:rPr>
                <w:rFonts w:hint="eastAsia" w:ascii="宋体" w:hAnsi="宋体" w:eastAsia="宋体" w:cs="宋体"/>
                <w:sz w:val="24"/>
                <w:szCs w:val="24"/>
                <w:vertAlign w:val="baseline"/>
                <w:lang w:val="en-US" w:eastAsia="zh-CN"/>
              </w:rPr>
            </w:pPr>
          </w:p>
        </w:tc>
      </w:tr>
      <w:tr w14:paraId="3512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4BFCA1A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1.1.1</w:t>
            </w:r>
          </w:p>
        </w:tc>
        <w:tc>
          <w:tcPr>
            <w:tcW w:w="1566" w:type="pct"/>
            <w:vAlign w:val="center"/>
          </w:tcPr>
          <w:p w14:paraId="1E8F865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排水沟土方开挖</w:t>
            </w:r>
          </w:p>
        </w:tc>
        <w:tc>
          <w:tcPr>
            <w:tcW w:w="416" w:type="pct"/>
            <w:vAlign w:val="center"/>
          </w:tcPr>
          <w:p w14:paraId="398C3EA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m³</w:t>
            </w:r>
          </w:p>
        </w:tc>
        <w:tc>
          <w:tcPr>
            <w:tcW w:w="416" w:type="pct"/>
            <w:vAlign w:val="center"/>
          </w:tcPr>
          <w:p w14:paraId="4DC30AC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16852.500</w:t>
            </w:r>
          </w:p>
        </w:tc>
        <w:tc>
          <w:tcPr>
            <w:tcW w:w="847" w:type="pct"/>
            <w:vAlign w:val="center"/>
          </w:tcPr>
          <w:p w14:paraId="0DDCACB3">
            <w:pPr>
              <w:jc w:val="center"/>
              <w:rPr>
                <w:rFonts w:hint="eastAsia" w:ascii="宋体" w:hAnsi="宋体" w:eastAsia="宋体" w:cs="宋体"/>
                <w:sz w:val="24"/>
                <w:szCs w:val="24"/>
                <w:vertAlign w:val="baseline"/>
                <w:lang w:val="en-US" w:eastAsia="zh-CN"/>
              </w:rPr>
            </w:pPr>
          </w:p>
        </w:tc>
        <w:tc>
          <w:tcPr>
            <w:tcW w:w="847" w:type="pct"/>
            <w:vAlign w:val="center"/>
          </w:tcPr>
          <w:p w14:paraId="1E50BC45">
            <w:pPr>
              <w:jc w:val="center"/>
              <w:rPr>
                <w:rFonts w:hint="eastAsia" w:ascii="宋体" w:hAnsi="宋体" w:eastAsia="宋体" w:cs="宋体"/>
                <w:sz w:val="24"/>
                <w:szCs w:val="24"/>
                <w:vertAlign w:val="baseline"/>
                <w:lang w:val="en-US" w:eastAsia="zh-CN"/>
              </w:rPr>
            </w:pPr>
          </w:p>
        </w:tc>
        <w:tc>
          <w:tcPr>
            <w:tcW w:w="416" w:type="pct"/>
            <w:vAlign w:val="center"/>
          </w:tcPr>
          <w:p w14:paraId="2A1990D8">
            <w:pPr>
              <w:jc w:val="center"/>
              <w:rPr>
                <w:rFonts w:hint="eastAsia" w:ascii="宋体" w:hAnsi="宋体" w:eastAsia="宋体" w:cs="宋体"/>
                <w:sz w:val="24"/>
                <w:szCs w:val="24"/>
                <w:vertAlign w:val="baseline"/>
                <w:lang w:val="en-US" w:eastAsia="zh-CN"/>
              </w:rPr>
            </w:pPr>
          </w:p>
        </w:tc>
      </w:tr>
      <w:tr w14:paraId="2FD0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7797133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1.1.2</w:t>
            </w:r>
          </w:p>
        </w:tc>
        <w:tc>
          <w:tcPr>
            <w:tcW w:w="1566" w:type="pct"/>
            <w:vAlign w:val="center"/>
          </w:tcPr>
          <w:p w14:paraId="35140FA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集水坑土方开挖</w:t>
            </w:r>
          </w:p>
        </w:tc>
        <w:tc>
          <w:tcPr>
            <w:tcW w:w="416" w:type="pct"/>
            <w:vAlign w:val="center"/>
          </w:tcPr>
          <w:p w14:paraId="775EB8F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m³</w:t>
            </w:r>
          </w:p>
        </w:tc>
        <w:tc>
          <w:tcPr>
            <w:tcW w:w="416" w:type="pct"/>
            <w:vAlign w:val="center"/>
          </w:tcPr>
          <w:p w14:paraId="0D9771B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1890.000</w:t>
            </w:r>
          </w:p>
        </w:tc>
        <w:tc>
          <w:tcPr>
            <w:tcW w:w="847" w:type="pct"/>
            <w:vAlign w:val="center"/>
          </w:tcPr>
          <w:p w14:paraId="24361DDF">
            <w:pPr>
              <w:jc w:val="center"/>
              <w:rPr>
                <w:rFonts w:hint="eastAsia" w:ascii="宋体" w:hAnsi="宋体" w:eastAsia="宋体" w:cs="宋体"/>
                <w:sz w:val="24"/>
                <w:szCs w:val="24"/>
                <w:vertAlign w:val="baseline"/>
                <w:lang w:val="en-US" w:eastAsia="zh-CN"/>
              </w:rPr>
            </w:pPr>
          </w:p>
        </w:tc>
        <w:tc>
          <w:tcPr>
            <w:tcW w:w="847" w:type="pct"/>
            <w:vAlign w:val="center"/>
          </w:tcPr>
          <w:p w14:paraId="176A46C5">
            <w:pPr>
              <w:jc w:val="center"/>
              <w:rPr>
                <w:rFonts w:hint="eastAsia" w:ascii="宋体" w:hAnsi="宋体" w:eastAsia="宋体" w:cs="宋体"/>
                <w:sz w:val="24"/>
                <w:szCs w:val="24"/>
                <w:vertAlign w:val="baseline"/>
                <w:lang w:val="en-US" w:eastAsia="zh-CN"/>
              </w:rPr>
            </w:pPr>
          </w:p>
        </w:tc>
        <w:tc>
          <w:tcPr>
            <w:tcW w:w="416" w:type="pct"/>
            <w:vAlign w:val="center"/>
          </w:tcPr>
          <w:p w14:paraId="76201FD9">
            <w:pPr>
              <w:jc w:val="center"/>
              <w:rPr>
                <w:rFonts w:hint="eastAsia" w:ascii="宋体" w:hAnsi="宋体" w:eastAsia="宋体" w:cs="宋体"/>
                <w:sz w:val="24"/>
                <w:szCs w:val="24"/>
                <w:vertAlign w:val="baseline"/>
                <w:lang w:val="en-US" w:eastAsia="zh-CN"/>
              </w:rPr>
            </w:pPr>
          </w:p>
        </w:tc>
      </w:tr>
      <w:tr w14:paraId="6006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7D1AA5D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1.1.3</w:t>
            </w:r>
          </w:p>
        </w:tc>
        <w:tc>
          <w:tcPr>
            <w:tcW w:w="1566" w:type="pct"/>
            <w:vAlign w:val="center"/>
          </w:tcPr>
          <w:p w14:paraId="0503080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排水沟、集水坑土方回填</w:t>
            </w:r>
          </w:p>
        </w:tc>
        <w:tc>
          <w:tcPr>
            <w:tcW w:w="416" w:type="pct"/>
            <w:vAlign w:val="center"/>
          </w:tcPr>
          <w:p w14:paraId="671C768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m³</w:t>
            </w:r>
          </w:p>
        </w:tc>
        <w:tc>
          <w:tcPr>
            <w:tcW w:w="416" w:type="pct"/>
            <w:vAlign w:val="center"/>
          </w:tcPr>
          <w:p w14:paraId="02947E3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18742.500</w:t>
            </w:r>
          </w:p>
        </w:tc>
        <w:tc>
          <w:tcPr>
            <w:tcW w:w="847" w:type="pct"/>
            <w:vAlign w:val="center"/>
          </w:tcPr>
          <w:p w14:paraId="7DDEF07D">
            <w:pPr>
              <w:jc w:val="center"/>
              <w:rPr>
                <w:rFonts w:hint="eastAsia" w:ascii="宋体" w:hAnsi="宋体" w:eastAsia="宋体" w:cs="宋体"/>
                <w:sz w:val="24"/>
                <w:szCs w:val="24"/>
                <w:vertAlign w:val="baseline"/>
                <w:lang w:val="en-US" w:eastAsia="zh-CN"/>
              </w:rPr>
            </w:pPr>
          </w:p>
        </w:tc>
        <w:tc>
          <w:tcPr>
            <w:tcW w:w="847" w:type="pct"/>
            <w:vAlign w:val="center"/>
          </w:tcPr>
          <w:p w14:paraId="7951E2FA">
            <w:pPr>
              <w:jc w:val="center"/>
              <w:rPr>
                <w:rFonts w:hint="eastAsia" w:ascii="宋体" w:hAnsi="宋体" w:eastAsia="宋体" w:cs="宋体"/>
                <w:sz w:val="24"/>
                <w:szCs w:val="24"/>
                <w:vertAlign w:val="baseline"/>
                <w:lang w:val="en-US" w:eastAsia="zh-CN"/>
              </w:rPr>
            </w:pPr>
          </w:p>
        </w:tc>
        <w:tc>
          <w:tcPr>
            <w:tcW w:w="416" w:type="pct"/>
            <w:vAlign w:val="center"/>
          </w:tcPr>
          <w:p w14:paraId="29168971">
            <w:pPr>
              <w:jc w:val="center"/>
              <w:rPr>
                <w:rFonts w:hint="eastAsia" w:ascii="宋体" w:hAnsi="宋体" w:eastAsia="宋体" w:cs="宋体"/>
                <w:sz w:val="24"/>
                <w:szCs w:val="24"/>
                <w:vertAlign w:val="baseline"/>
                <w:lang w:val="en-US" w:eastAsia="zh-CN"/>
              </w:rPr>
            </w:pPr>
          </w:p>
        </w:tc>
      </w:tr>
      <w:tr w14:paraId="422F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7592CF8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1566" w:type="pct"/>
            <w:vAlign w:val="center"/>
          </w:tcPr>
          <w:p w14:paraId="5F681CE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排水工程</w:t>
            </w:r>
          </w:p>
        </w:tc>
        <w:tc>
          <w:tcPr>
            <w:tcW w:w="416" w:type="pct"/>
            <w:vAlign w:val="center"/>
          </w:tcPr>
          <w:p w14:paraId="0DFB4C04">
            <w:pPr>
              <w:jc w:val="center"/>
              <w:rPr>
                <w:rFonts w:hint="eastAsia" w:ascii="宋体" w:hAnsi="宋体" w:eastAsia="宋体" w:cs="宋体"/>
                <w:sz w:val="24"/>
                <w:szCs w:val="24"/>
                <w:vertAlign w:val="baseline"/>
                <w:lang w:val="en-US" w:eastAsia="zh-CN"/>
              </w:rPr>
            </w:pPr>
          </w:p>
        </w:tc>
        <w:tc>
          <w:tcPr>
            <w:tcW w:w="416" w:type="pct"/>
            <w:vAlign w:val="center"/>
          </w:tcPr>
          <w:p w14:paraId="3D259C26">
            <w:pPr>
              <w:jc w:val="center"/>
              <w:rPr>
                <w:rFonts w:hint="eastAsia" w:ascii="宋体" w:hAnsi="宋体" w:eastAsia="宋体" w:cs="宋体"/>
                <w:sz w:val="24"/>
                <w:szCs w:val="24"/>
                <w:vertAlign w:val="baseline"/>
                <w:lang w:val="en-US" w:eastAsia="zh-CN"/>
              </w:rPr>
            </w:pPr>
          </w:p>
        </w:tc>
        <w:tc>
          <w:tcPr>
            <w:tcW w:w="847" w:type="pct"/>
            <w:vAlign w:val="center"/>
          </w:tcPr>
          <w:p w14:paraId="6100539A">
            <w:pPr>
              <w:jc w:val="center"/>
              <w:rPr>
                <w:rFonts w:hint="eastAsia" w:ascii="宋体" w:hAnsi="宋体" w:eastAsia="宋体" w:cs="宋体"/>
                <w:sz w:val="24"/>
                <w:szCs w:val="24"/>
                <w:vertAlign w:val="baseline"/>
                <w:lang w:val="en-US" w:eastAsia="zh-CN"/>
              </w:rPr>
            </w:pPr>
          </w:p>
        </w:tc>
        <w:tc>
          <w:tcPr>
            <w:tcW w:w="847" w:type="pct"/>
            <w:vAlign w:val="center"/>
          </w:tcPr>
          <w:p w14:paraId="3AAAFA4B">
            <w:pPr>
              <w:jc w:val="center"/>
              <w:rPr>
                <w:rFonts w:hint="eastAsia" w:ascii="宋体" w:hAnsi="宋体" w:eastAsia="宋体" w:cs="宋体"/>
                <w:sz w:val="24"/>
                <w:szCs w:val="24"/>
                <w:vertAlign w:val="baseline"/>
                <w:lang w:val="en-US" w:eastAsia="zh-CN"/>
              </w:rPr>
            </w:pPr>
          </w:p>
        </w:tc>
        <w:tc>
          <w:tcPr>
            <w:tcW w:w="416" w:type="pct"/>
            <w:vAlign w:val="center"/>
          </w:tcPr>
          <w:p w14:paraId="12819AB9">
            <w:pPr>
              <w:jc w:val="center"/>
              <w:rPr>
                <w:rFonts w:hint="eastAsia" w:ascii="宋体" w:hAnsi="宋体" w:eastAsia="宋体" w:cs="宋体"/>
                <w:sz w:val="24"/>
                <w:szCs w:val="24"/>
                <w:vertAlign w:val="baseline"/>
                <w:lang w:val="en-US" w:eastAsia="zh-CN"/>
              </w:rPr>
            </w:pPr>
          </w:p>
        </w:tc>
      </w:tr>
      <w:tr w14:paraId="19D3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6B8B394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1.2.1</w:t>
            </w:r>
          </w:p>
        </w:tc>
        <w:tc>
          <w:tcPr>
            <w:tcW w:w="1566" w:type="pct"/>
            <w:vAlign w:val="center"/>
          </w:tcPr>
          <w:p w14:paraId="590202E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水泵（SW108-13-7.5kw）</w:t>
            </w:r>
          </w:p>
        </w:tc>
        <w:tc>
          <w:tcPr>
            <w:tcW w:w="416" w:type="pct"/>
            <w:vAlign w:val="center"/>
          </w:tcPr>
          <w:p w14:paraId="50A2F89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台时</w:t>
            </w:r>
          </w:p>
        </w:tc>
        <w:tc>
          <w:tcPr>
            <w:tcW w:w="416" w:type="pct"/>
            <w:vAlign w:val="center"/>
          </w:tcPr>
          <w:p w14:paraId="4005733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1760.000</w:t>
            </w:r>
          </w:p>
        </w:tc>
        <w:tc>
          <w:tcPr>
            <w:tcW w:w="847" w:type="pct"/>
            <w:vAlign w:val="center"/>
          </w:tcPr>
          <w:p w14:paraId="484DBDE8">
            <w:pPr>
              <w:jc w:val="center"/>
              <w:rPr>
                <w:rFonts w:hint="eastAsia" w:ascii="宋体" w:hAnsi="宋体" w:eastAsia="宋体" w:cs="宋体"/>
                <w:sz w:val="24"/>
                <w:szCs w:val="24"/>
                <w:vertAlign w:val="baseline"/>
                <w:lang w:val="en-US" w:eastAsia="zh-CN"/>
              </w:rPr>
            </w:pPr>
          </w:p>
        </w:tc>
        <w:tc>
          <w:tcPr>
            <w:tcW w:w="847" w:type="pct"/>
            <w:vAlign w:val="center"/>
          </w:tcPr>
          <w:p w14:paraId="2CD4A575">
            <w:pPr>
              <w:jc w:val="center"/>
              <w:rPr>
                <w:rFonts w:hint="eastAsia" w:ascii="宋体" w:hAnsi="宋体" w:eastAsia="宋体" w:cs="宋体"/>
                <w:sz w:val="24"/>
                <w:szCs w:val="24"/>
                <w:vertAlign w:val="baseline"/>
                <w:lang w:val="en-US" w:eastAsia="zh-CN"/>
              </w:rPr>
            </w:pPr>
          </w:p>
        </w:tc>
        <w:tc>
          <w:tcPr>
            <w:tcW w:w="416" w:type="pct"/>
            <w:vAlign w:val="center"/>
          </w:tcPr>
          <w:p w14:paraId="7D7C137A">
            <w:pPr>
              <w:jc w:val="center"/>
              <w:rPr>
                <w:rFonts w:hint="eastAsia" w:ascii="宋体" w:hAnsi="宋体" w:eastAsia="宋体" w:cs="宋体"/>
                <w:sz w:val="24"/>
                <w:szCs w:val="24"/>
                <w:vertAlign w:val="baseline"/>
                <w:lang w:val="en-US" w:eastAsia="zh-CN"/>
              </w:rPr>
            </w:pPr>
          </w:p>
        </w:tc>
      </w:tr>
      <w:tr w14:paraId="12E1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3739F5C5">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1566" w:type="pct"/>
            <w:vAlign w:val="center"/>
          </w:tcPr>
          <w:p w14:paraId="43DC3B3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施工临时道路</w:t>
            </w:r>
          </w:p>
        </w:tc>
        <w:tc>
          <w:tcPr>
            <w:tcW w:w="416" w:type="pct"/>
            <w:vAlign w:val="center"/>
          </w:tcPr>
          <w:p w14:paraId="5B775683">
            <w:pPr>
              <w:jc w:val="center"/>
              <w:rPr>
                <w:rFonts w:hint="eastAsia" w:ascii="宋体" w:hAnsi="宋体" w:eastAsia="宋体" w:cs="宋体"/>
                <w:sz w:val="24"/>
                <w:szCs w:val="24"/>
                <w:vertAlign w:val="baseline"/>
                <w:lang w:val="en-US" w:eastAsia="zh-CN"/>
              </w:rPr>
            </w:pPr>
          </w:p>
        </w:tc>
        <w:tc>
          <w:tcPr>
            <w:tcW w:w="416" w:type="pct"/>
            <w:vAlign w:val="center"/>
          </w:tcPr>
          <w:p w14:paraId="1BBCD793">
            <w:pPr>
              <w:jc w:val="center"/>
              <w:rPr>
                <w:rFonts w:hint="eastAsia" w:ascii="宋体" w:hAnsi="宋体" w:eastAsia="宋体" w:cs="宋体"/>
                <w:sz w:val="24"/>
                <w:szCs w:val="24"/>
                <w:vertAlign w:val="baseline"/>
                <w:lang w:val="en-US" w:eastAsia="zh-CN"/>
              </w:rPr>
            </w:pPr>
          </w:p>
        </w:tc>
        <w:tc>
          <w:tcPr>
            <w:tcW w:w="847" w:type="pct"/>
            <w:vAlign w:val="center"/>
          </w:tcPr>
          <w:p w14:paraId="47D247E5">
            <w:pPr>
              <w:jc w:val="center"/>
              <w:rPr>
                <w:rFonts w:hint="eastAsia" w:ascii="宋体" w:hAnsi="宋体" w:eastAsia="宋体" w:cs="宋体"/>
                <w:sz w:val="24"/>
                <w:szCs w:val="24"/>
                <w:vertAlign w:val="baseline"/>
                <w:lang w:val="en-US" w:eastAsia="zh-CN"/>
              </w:rPr>
            </w:pPr>
          </w:p>
        </w:tc>
        <w:tc>
          <w:tcPr>
            <w:tcW w:w="847" w:type="pct"/>
            <w:vAlign w:val="center"/>
          </w:tcPr>
          <w:p w14:paraId="2BE0B4E6">
            <w:pPr>
              <w:jc w:val="center"/>
              <w:rPr>
                <w:rFonts w:hint="eastAsia" w:ascii="宋体" w:hAnsi="宋体" w:eastAsia="宋体" w:cs="宋体"/>
                <w:sz w:val="24"/>
                <w:szCs w:val="24"/>
                <w:vertAlign w:val="baseline"/>
                <w:lang w:val="en-US" w:eastAsia="zh-CN"/>
              </w:rPr>
            </w:pPr>
          </w:p>
        </w:tc>
        <w:tc>
          <w:tcPr>
            <w:tcW w:w="416" w:type="pct"/>
            <w:vAlign w:val="center"/>
          </w:tcPr>
          <w:p w14:paraId="2C36DC37">
            <w:pPr>
              <w:jc w:val="center"/>
              <w:rPr>
                <w:rFonts w:hint="eastAsia" w:ascii="宋体" w:hAnsi="宋体" w:eastAsia="宋体" w:cs="宋体"/>
                <w:sz w:val="24"/>
                <w:szCs w:val="24"/>
                <w:vertAlign w:val="baseline"/>
                <w:lang w:val="en-US" w:eastAsia="zh-CN"/>
              </w:rPr>
            </w:pPr>
          </w:p>
        </w:tc>
      </w:tr>
      <w:tr w14:paraId="2901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6761116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1.3.1</w:t>
            </w:r>
          </w:p>
        </w:tc>
        <w:tc>
          <w:tcPr>
            <w:tcW w:w="1566" w:type="pct"/>
            <w:vAlign w:val="center"/>
          </w:tcPr>
          <w:p w14:paraId="6EF5211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砂砾石路面厚0.3m</w:t>
            </w:r>
          </w:p>
        </w:tc>
        <w:tc>
          <w:tcPr>
            <w:tcW w:w="416" w:type="pct"/>
            <w:vAlign w:val="center"/>
          </w:tcPr>
          <w:p w14:paraId="1141768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m³</w:t>
            </w:r>
          </w:p>
        </w:tc>
        <w:tc>
          <w:tcPr>
            <w:tcW w:w="416" w:type="pct"/>
            <w:vAlign w:val="center"/>
          </w:tcPr>
          <w:p w14:paraId="0968226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2355.000</w:t>
            </w:r>
          </w:p>
        </w:tc>
        <w:tc>
          <w:tcPr>
            <w:tcW w:w="847" w:type="pct"/>
            <w:vAlign w:val="center"/>
          </w:tcPr>
          <w:p w14:paraId="3CCDEF32">
            <w:pPr>
              <w:jc w:val="center"/>
              <w:rPr>
                <w:rFonts w:hint="eastAsia" w:ascii="宋体" w:hAnsi="宋体" w:eastAsia="宋体" w:cs="宋体"/>
                <w:sz w:val="24"/>
                <w:szCs w:val="24"/>
                <w:vertAlign w:val="baseline"/>
                <w:lang w:val="en-US" w:eastAsia="zh-CN"/>
              </w:rPr>
            </w:pPr>
          </w:p>
        </w:tc>
        <w:tc>
          <w:tcPr>
            <w:tcW w:w="847" w:type="pct"/>
            <w:vAlign w:val="center"/>
          </w:tcPr>
          <w:p w14:paraId="0B2A7762">
            <w:pPr>
              <w:jc w:val="center"/>
              <w:rPr>
                <w:rFonts w:hint="eastAsia" w:ascii="宋体" w:hAnsi="宋体" w:eastAsia="宋体" w:cs="宋体"/>
                <w:sz w:val="24"/>
                <w:szCs w:val="24"/>
                <w:vertAlign w:val="baseline"/>
                <w:lang w:val="en-US" w:eastAsia="zh-CN"/>
              </w:rPr>
            </w:pPr>
          </w:p>
        </w:tc>
        <w:tc>
          <w:tcPr>
            <w:tcW w:w="416" w:type="pct"/>
            <w:vAlign w:val="center"/>
          </w:tcPr>
          <w:p w14:paraId="28964A33">
            <w:pPr>
              <w:jc w:val="center"/>
              <w:rPr>
                <w:rFonts w:hint="eastAsia" w:ascii="宋体" w:hAnsi="宋体" w:eastAsia="宋体" w:cs="宋体"/>
                <w:sz w:val="24"/>
                <w:szCs w:val="24"/>
                <w:vertAlign w:val="baseline"/>
                <w:lang w:val="en-US" w:eastAsia="zh-CN"/>
              </w:rPr>
            </w:pPr>
          </w:p>
        </w:tc>
      </w:tr>
      <w:tr w14:paraId="7354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4EB92F88">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1566" w:type="pct"/>
            <w:vAlign w:val="center"/>
          </w:tcPr>
          <w:p w14:paraId="5B2BE9B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施工房屋建筑工程</w:t>
            </w:r>
          </w:p>
        </w:tc>
        <w:tc>
          <w:tcPr>
            <w:tcW w:w="416" w:type="pct"/>
            <w:vAlign w:val="center"/>
          </w:tcPr>
          <w:p w14:paraId="632294C8">
            <w:pPr>
              <w:jc w:val="center"/>
              <w:rPr>
                <w:rFonts w:hint="eastAsia" w:ascii="宋体" w:hAnsi="宋体" w:eastAsia="宋体" w:cs="宋体"/>
                <w:sz w:val="24"/>
                <w:szCs w:val="24"/>
                <w:vertAlign w:val="baseline"/>
                <w:lang w:val="en-US" w:eastAsia="zh-CN"/>
              </w:rPr>
            </w:pPr>
          </w:p>
        </w:tc>
        <w:tc>
          <w:tcPr>
            <w:tcW w:w="416" w:type="pct"/>
            <w:vAlign w:val="center"/>
          </w:tcPr>
          <w:p w14:paraId="704EC9FE">
            <w:pPr>
              <w:jc w:val="center"/>
              <w:rPr>
                <w:rFonts w:hint="eastAsia" w:ascii="宋体" w:hAnsi="宋体" w:eastAsia="宋体" w:cs="宋体"/>
                <w:sz w:val="24"/>
                <w:szCs w:val="24"/>
                <w:vertAlign w:val="baseline"/>
                <w:lang w:val="en-US" w:eastAsia="zh-CN"/>
              </w:rPr>
            </w:pPr>
          </w:p>
        </w:tc>
        <w:tc>
          <w:tcPr>
            <w:tcW w:w="847" w:type="pct"/>
            <w:vAlign w:val="center"/>
          </w:tcPr>
          <w:p w14:paraId="76D2B922">
            <w:pPr>
              <w:jc w:val="center"/>
              <w:rPr>
                <w:rFonts w:hint="eastAsia" w:ascii="宋体" w:hAnsi="宋体" w:eastAsia="宋体" w:cs="宋体"/>
                <w:sz w:val="24"/>
                <w:szCs w:val="24"/>
                <w:vertAlign w:val="baseline"/>
                <w:lang w:val="en-US" w:eastAsia="zh-CN"/>
              </w:rPr>
            </w:pPr>
          </w:p>
        </w:tc>
        <w:tc>
          <w:tcPr>
            <w:tcW w:w="847" w:type="pct"/>
            <w:vAlign w:val="center"/>
          </w:tcPr>
          <w:p w14:paraId="259D03B9">
            <w:pPr>
              <w:jc w:val="center"/>
              <w:rPr>
                <w:rFonts w:hint="eastAsia" w:ascii="宋体" w:hAnsi="宋体" w:eastAsia="宋体" w:cs="宋体"/>
                <w:sz w:val="24"/>
                <w:szCs w:val="24"/>
                <w:vertAlign w:val="baseline"/>
                <w:lang w:val="en-US" w:eastAsia="zh-CN"/>
              </w:rPr>
            </w:pPr>
          </w:p>
        </w:tc>
        <w:tc>
          <w:tcPr>
            <w:tcW w:w="416" w:type="pct"/>
            <w:vAlign w:val="center"/>
          </w:tcPr>
          <w:p w14:paraId="2CF092E7">
            <w:pPr>
              <w:jc w:val="center"/>
              <w:rPr>
                <w:rFonts w:hint="eastAsia" w:ascii="宋体" w:hAnsi="宋体" w:eastAsia="宋体" w:cs="宋体"/>
                <w:sz w:val="24"/>
                <w:szCs w:val="24"/>
                <w:vertAlign w:val="baseline"/>
                <w:lang w:val="en-US" w:eastAsia="zh-CN"/>
              </w:rPr>
            </w:pPr>
          </w:p>
        </w:tc>
      </w:tr>
      <w:tr w14:paraId="74A3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18FA099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1.4.1</w:t>
            </w:r>
          </w:p>
        </w:tc>
        <w:tc>
          <w:tcPr>
            <w:tcW w:w="1566" w:type="pct"/>
            <w:vAlign w:val="center"/>
          </w:tcPr>
          <w:p w14:paraId="43065DA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施工仓库</w:t>
            </w:r>
          </w:p>
        </w:tc>
        <w:tc>
          <w:tcPr>
            <w:tcW w:w="416" w:type="pct"/>
            <w:vAlign w:val="center"/>
          </w:tcPr>
          <w:p w14:paraId="0CA0670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416" w:type="pct"/>
            <w:vAlign w:val="center"/>
          </w:tcPr>
          <w:p w14:paraId="63B19924">
            <w:pPr>
              <w:jc w:val="cente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130.000</w:t>
            </w:r>
          </w:p>
        </w:tc>
        <w:tc>
          <w:tcPr>
            <w:tcW w:w="847" w:type="pct"/>
            <w:vAlign w:val="center"/>
          </w:tcPr>
          <w:p w14:paraId="2968D4BE">
            <w:pPr>
              <w:jc w:val="center"/>
              <w:rPr>
                <w:rFonts w:hint="eastAsia" w:ascii="宋体" w:hAnsi="宋体" w:eastAsia="宋体" w:cs="宋体"/>
                <w:sz w:val="24"/>
                <w:szCs w:val="24"/>
                <w:vertAlign w:val="baseline"/>
                <w:lang w:val="en-US" w:eastAsia="zh-CN"/>
              </w:rPr>
            </w:pPr>
          </w:p>
        </w:tc>
        <w:tc>
          <w:tcPr>
            <w:tcW w:w="847" w:type="pct"/>
            <w:vAlign w:val="center"/>
          </w:tcPr>
          <w:p w14:paraId="0DBC8813">
            <w:pPr>
              <w:jc w:val="center"/>
              <w:rPr>
                <w:rFonts w:hint="eastAsia" w:ascii="宋体" w:hAnsi="宋体" w:eastAsia="宋体" w:cs="宋体"/>
                <w:sz w:val="24"/>
                <w:szCs w:val="24"/>
                <w:vertAlign w:val="baseline"/>
                <w:lang w:val="en-US" w:eastAsia="zh-CN"/>
              </w:rPr>
            </w:pPr>
          </w:p>
        </w:tc>
        <w:tc>
          <w:tcPr>
            <w:tcW w:w="416" w:type="pct"/>
            <w:vAlign w:val="center"/>
          </w:tcPr>
          <w:p w14:paraId="553AEA3D">
            <w:pPr>
              <w:jc w:val="center"/>
              <w:rPr>
                <w:rFonts w:hint="eastAsia" w:ascii="宋体" w:hAnsi="宋体" w:eastAsia="宋体" w:cs="宋体"/>
                <w:sz w:val="24"/>
                <w:szCs w:val="24"/>
                <w:vertAlign w:val="baseline"/>
                <w:lang w:val="en-US" w:eastAsia="zh-CN"/>
              </w:rPr>
            </w:pPr>
          </w:p>
        </w:tc>
      </w:tr>
      <w:tr w14:paraId="2157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64DD8C0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1.4.2</w:t>
            </w:r>
          </w:p>
        </w:tc>
        <w:tc>
          <w:tcPr>
            <w:tcW w:w="1566" w:type="pct"/>
            <w:vAlign w:val="center"/>
          </w:tcPr>
          <w:p w14:paraId="6F9B2A7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办公、生活及文化福利建筑</w:t>
            </w:r>
          </w:p>
        </w:tc>
        <w:tc>
          <w:tcPr>
            <w:tcW w:w="416" w:type="pct"/>
            <w:vAlign w:val="center"/>
          </w:tcPr>
          <w:p w14:paraId="3FF8AEF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416" w:type="pct"/>
            <w:vAlign w:val="center"/>
          </w:tcPr>
          <w:p w14:paraId="1CC8FB27">
            <w:pPr>
              <w:jc w:val="cente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200.000</w:t>
            </w:r>
          </w:p>
        </w:tc>
        <w:tc>
          <w:tcPr>
            <w:tcW w:w="847" w:type="pct"/>
            <w:vAlign w:val="center"/>
          </w:tcPr>
          <w:p w14:paraId="1003EBCE">
            <w:pPr>
              <w:jc w:val="center"/>
              <w:rPr>
                <w:rFonts w:hint="eastAsia" w:ascii="宋体" w:hAnsi="宋体" w:eastAsia="宋体" w:cs="宋体"/>
                <w:sz w:val="24"/>
                <w:szCs w:val="24"/>
                <w:vertAlign w:val="baseline"/>
                <w:lang w:val="en-US" w:eastAsia="zh-CN"/>
              </w:rPr>
            </w:pPr>
          </w:p>
        </w:tc>
        <w:tc>
          <w:tcPr>
            <w:tcW w:w="847" w:type="pct"/>
            <w:vAlign w:val="center"/>
          </w:tcPr>
          <w:p w14:paraId="3A7932EB">
            <w:pPr>
              <w:jc w:val="center"/>
              <w:rPr>
                <w:rFonts w:hint="eastAsia" w:ascii="宋体" w:hAnsi="宋体" w:eastAsia="宋体" w:cs="宋体"/>
                <w:sz w:val="24"/>
                <w:szCs w:val="24"/>
                <w:vertAlign w:val="baseline"/>
                <w:lang w:val="en-US" w:eastAsia="zh-CN"/>
              </w:rPr>
            </w:pPr>
          </w:p>
        </w:tc>
        <w:tc>
          <w:tcPr>
            <w:tcW w:w="416" w:type="pct"/>
            <w:vAlign w:val="center"/>
          </w:tcPr>
          <w:p w14:paraId="2BAC9B21">
            <w:pPr>
              <w:jc w:val="center"/>
              <w:rPr>
                <w:rFonts w:hint="eastAsia" w:ascii="宋体" w:hAnsi="宋体" w:eastAsia="宋体" w:cs="宋体"/>
                <w:sz w:val="24"/>
                <w:szCs w:val="24"/>
                <w:vertAlign w:val="baseline"/>
                <w:lang w:val="en-US" w:eastAsia="zh-CN"/>
              </w:rPr>
            </w:pPr>
          </w:p>
        </w:tc>
      </w:tr>
    </w:tbl>
    <w:p w14:paraId="049130DA">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35C6407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其他项目清单</w:t>
      </w:r>
    </w:p>
    <w:p w14:paraId="579DC8B0">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合同编号：</w:t>
      </w:r>
    </w:p>
    <w:p w14:paraId="31BDEE9D">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工程名称：哈密市伊吾县大白杨沟中小河流治理工程</w:t>
      </w:r>
    </w:p>
    <w:tbl>
      <w:tblPr>
        <w:tblStyle w:val="9"/>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5504"/>
        <w:gridCol w:w="1464"/>
        <w:gridCol w:w="1000"/>
      </w:tblGrid>
      <w:tr w14:paraId="0976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0" w:type="auto"/>
            <w:vAlign w:val="center"/>
          </w:tcPr>
          <w:p w14:paraId="07626A7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0" w:type="auto"/>
            <w:vAlign w:val="center"/>
          </w:tcPr>
          <w:p w14:paraId="6BF24E1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0" w:type="auto"/>
            <w:vAlign w:val="center"/>
          </w:tcPr>
          <w:p w14:paraId="2090828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金额</w:t>
            </w:r>
          </w:p>
        </w:tc>
        <w:tc>
          <w:tcPr>
            <w:tcW w:w="0" w:type="auto"/>
            <w:vAlign w:val="center"/>
          </w:tcPr>
          <w:p w14:paraId="469640D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73A9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690" w:type="dxa"/>
            <w:vAlign w:val="center"/>
          </w:tcPr>
          <w:p w14:paraId="5659A10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5504" w:type="dxa"/>
            <w:vAlign w:val="center"/>
          </w:tcPr>
          <w:p w14:paraId="6E4D624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预留金</w:t>
            </w:r>
          </w:p>
        </w:tc>
        <w:tc>
          <w:tcPr>
            <w:tcW w:w="1464" w:type="dxa"/>
            <w:vAlign w:val="center"/>
          </w:tcPr>
          <w:p w14:paraId="6FD3F4B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50000.00</w:t>
            </w:r>
          </w:p>
        </w:tc>
        <w:tc>
          <w:tcPr>
            <w:tcW w:w="0" w:type="auto"/>
            <w:vAlign w:val="center"/>
          </w:tcPr>
          <w:p w14:paraId="278A02BE">
            <w:pPr>
              <w:jc w:val="center"/>
              <w:rPr>
                <w:rFonts w:hint="eastAsia" w:ascii="宋体" w:hAnsi="宋体" w:eastAsia="宋体" w:cs="宋体"/>
                <w:sz w:val="24"/>
                <w:szCs w:val="24"/>
                <w:vertAlign w:val="baseline"/>
                <w:lang w:val="en-US" w:eastAsia="zh-CN"/>
              </w:rPr>
            </w:pPr>
          </w:p>
        </w:tc>
      </w:tr>
      <w:tr w14:paraId="11532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690" w:type="dxa"/>
            <w:vAlign w:val="center"/>
          </w:tcPr>
          <w:p w14:paraId="5E5E9E7D">
            <w:pPr>
              <w:jc w:val="center"/>
              <w:rPr>
                <w:rFonts w:hint="default" w:ascii="宋体" w:hAnsi="宋体" w:eastAsia="宋体" w:cs="宋体"/>
                <w:sz w:val="24"/>
                <w:szCs w:val="24"/>
                <w:vertAlign w:val="baseline"/>
                <w:lang w:val="en-US" w:eastAsia="zh-CN"/>
              </w:rPr>
            </w:pPr>
          </w:p>
        </w:tc>
        <w:tc>
          <w:tcPr>
            <w:tcW w:w="5504" w:type="dxa"/>
            <w:vAlign w:val="center"/>
          </w:tcPr>
          <w:p w14:paraId="05FCB537">
            <w:pPr>
              <w:jc w:val="both"/>
              <w:rPr>
                <w:rFonts w:hint="eastAsia" w:ascii="宋体" w:hAnsi="宋体" w:eastAsia="宋体" w:cs="宋体"/>
                <w:sz w:val="24"/>
                <w:szCs w:val="24"/>
                <w:vertAlign w:val="baseline"/>
                <w:lang w:val="en-US" w:eastAsia="zh-CN"/>
              </w:rPr>
            </w:pPr>
          </w:p>
        </w:tc>
        <w:tc>
          <w:tcPr>
            <w:tcW w:w="1464" w:type="dxa"/>
            <w:vAlign w:val="center"/>
          </w:tcPr>
          <w:p w14:paraId="38F191AB">
            <w:pPr>
              <w:jc w:val="center"/>
              <w:rPr>
                <w:rFonts w:hint="eastAsia" w:ascii="宋体" w:hAnsi="宋体" w:eastAsia="宋体" w:cs="宋体"/>
                <w:sz w:val="24"/>
                <w:szCs w:val="24"/>
                <w:vertAlign w:val="baseline"/>
                <w:lang w:val="en-US" w:eastAsia="zh-CN"/>
              </w:rPr>
            </w:pPr>
          </w:p>
        </w:tc>
        <w:tc>
          <w:tcPr>
            <w:tcW w:w="0" w:type="auto"/>
            <w:vAlign w:val="center"/>
          </w:tcPr>
          <w:p w14:paraId="703F02C2">
            <w:pPr>
              <w:jc w:val="center"/>
              <w:rPr>
                <w:rFonts w:hint="eastAsia" w:ascii="宋体" w:hAnsi="宋体" w:eastAsia="宋体" w:cs="宋体"/>
                <w:sz w:val="24"/>
                <w:szCs w:val="24"/>
                <w:vertAlign w:val="baseline"/>
                <w:lang w:val="en-US" w:eastAsia="zh-CN"/>
              </w:rPr>
            </w:pPr>
          </w:p>
        </w:tc>
      </w:tr>
      <w:tr w14:paraId="2216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690" w:type="dxa"/>
            <w:vAlign w:val="center"/>
          </w:tcPr>
          <w:p w14:paraId="1EE61B01">
            <w:pPr>
              <w:jc w:val="center"/>
              <w:rPr>
                <w:rFonts w:hint="eastAsia" w:ascii="宋体" w:hAnsi="宋体" w:eastAsia="宋体" w:cs="宋体"/>
                <w:sz w:val="24"/>
                <w:szCs w:val="24"/>
                <w:vertAlign w:val="baseline"/>
                <w:lang w:val="en-US" w:eastAsia="zh-CN"/>
              </w:rPr>
            </w:pPr>
          </w:p>
        </w:tc>
        <w:tc>
          <w:tcPr>
            <w:tcW w:w="5504" w:type="dxa"/>
            <w:vAlign w:val="center"/>
          </w:tcPr>
          <w:p w14:paraId="5A7A128D">
            <w:pPr>
              <w:jc w:val="both"/>
              <w:rPr>
                <w:rFonts w:hint="eastAsia" w:ascii="宋体" w:hAnsi="宋体" w:eastAsia="宋体" w:cs="宋体"/>
                <w:sz w:val="24"/>
                <w:szCs w:val="24"/>
                <w:vertAlign w:val="baseline"/>
                <w:lang w:val="en-US" w:eastAsia="zh-CN"/>
              </w:rPr>
            </w:pPr>
          </w:p>
        </w:tc>
        <w:tc>
          <w:tcPr>
            <w:tcW w:w="1464" w:type="dxa"/>
            <w:vAlign w:val="center"/>
          </w:tcPr>
          <w:p w14:paraId="5FB4216B">
            <w:pPr>
              <w:jc w:val="center"/>
              <w:rPr>
                <w:rFonts w:hint="eastAsia" w:ascii="宋体" w:hAnsi="宋体" w:eastAsia="宋体" w:cs="宋体"/>
                <w:sz w:val="24"/>
                <w:szCs w:val="24"/>
                <w:vertAlign w:val="baseline"/>
                <w:lang w:val="en-US" w:eastAsia="zh-CN"/>
              </w:rPr>
            </w:pPr>
          </w:p>
        </w:tc>
        <w:tc>
          <w:tcPr>
            <w:tcW w:w="0" w:type="auto"/>
            <w:vAlign w:val="center"/>
          </w:tcPr>
          <w:p w14:paraId="7C7F463C">
            <w:pPr>
              <w:jc w:val="center"/>
              <w:rPr>
                <w:rFonts w:hint="eastAsia" w:ascii="宋体" w:hAnsi="宋体" w:eastAsia="宋体" w:cs="宋体"/>
                <w:sz w:val="24"/>
                <w:szCs w:val="24"/>
                <w:vertAlign w:val="baseline"/>
                <w:lang w:val="en-US" w:eastAsia="zh-CN"/>
              </w:rPr>
            </w:pPr>
          </w:p>
        </w:tc>
      </w:tr>
      <w:tr w14:paraId="57FE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690" w:type="dxa"/>
            <w:vAlign w:val="center"/>
          </w:tcPr>
          <w:p w14:paraId="5A9B81D9">
            <w:pPr>
              <w:jc w:val="center"/>
              <w:rPr>
                <w:rFonts w:hint="eastAsia" w:ascii="宋体" w:hAnsi="宋体" w:eastAsia="宋体" w:cs="宋体"/>
                <w:sz w:val="24"/>
                <w:szCs w:val="24"/>
                <w:vertAlign w:val="baseline"/>
                <w:lang w:val="en-US" w:eastAsia="zh-CN"/>
              </w:rPr>
            </w:pPr>
          </w:p>
        </w:tc>
        <w:tc>
          <w:tcPr>
            <w:tcW w:w="5504" w:type="dxa"/>
            <w:vAlign w:val="center"/>
          </w:tcPr>
          <w:p w14:paraId="3E99829D">
            <w:pPr>
              <w:jc w:val="both"/>
              <w:rPr>
                <w:rFonts w:hint="eastAsia" w:ascii="宋体" w:hAnsi="宋体" w:eastAsia="宋体" w:cs="宋体"/>
                <w:sz w:val="24"/>
                <w:szCs w:val="24"/>
                <w:vertAlign w:val="baseline"/>
                <w:lang w:val="en-US" w:eastAsia="zh-CN"/>
              </w:rPr>
            </w:pPr>
          </w:p>
        </w:tc>
        <w:tc>
          <w:tcPr>
            <w:tcW w:w="1464" w:type="dxa"/>
            <w:vAlign w:val="center"/>
          </w:tcPr>
          <w:p w14:paraId="671509B4">
            <w:pPr>
              <w:jc w:val="center"/>
              <w:rPr>
                <w:rFonts w:hint="eastAsia" w:ascii="宋体" w:hAnsi="宋体" w:eastAsia="宋体" w:cs="宋体"/>
                <w:sz w:val="24"/>
                <w:szCs w:val="24"/>
                <w:vertAlign w:val="baseline"/>
                <w:lang w:val="en-US" w:eastAsia="zh-CN"/>
              </w:rPr>
            </w:pPr>
          </w:p>
        </w:tc>
        <w:tc>
          <w:tcPr>
            <w:tcW w:w="0" w:type="auto"/>
            <w:vAlign w:val="center"/>
          </w:tcPr>
          <w:p w14:paraId="4B7279E9">
            <w:pPr>
              <w:jc w:val="center"/>
              <w:rPr>
                <w:rFonts w:hint="eastAsia" w:ascii="宋体" w:hAnsi="宋体" w:eastAsia="宋体" w:cs="宋体"/>
                <w:sz w:val="24"/>
                <w:szCs w:val="24"/>
                <w:vertAlign w:val="baseline"/>
                <w:lang w:val="en-US" w:eastAsia="zh-CN"/>
              </w:rPr>
            </w:pPr>
          </w:p>
        </w:tc>
      </w:tr>
      <w:tr w14:paraId="2DD4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690" w:type="dxa"/>
            <w:vAlign w:val="center"/>
          </w:tcPr>
          <w:p w14:paraId="1DA164A0">
            <w:pPr>
              <w:jc w:val="center"/>
              <w:rPr>
                <w:rFonts w:hint="eastAsia" w:ascii="宋体" w:hAnsi="宋体" w:eastAsia="宋体" w:cs="宋体"/>
                <w:sz w:val="24"/>
                <w:szCs w:val="24"/>
                <w:vertAlign w:val="baseline"/>
                <w:lang w:val="en-US" w:eastAsia="zh-CN"/>
              </w:rPr>
            </w:pPr>
          </w:p>
        </w:tc>
        <w:tc>
          <w:tcPr>
            <w:tcW w:w="5504" w:type="dxa"/>
            <w:vAlign w:val="center"/>
          </w:tcPr>
          <w:p w14:paraId="0FA47FD7">
            <w:pPr>
              <w:jc w:val="both"/>
              <w:rPr>
                <w:rFonts w:hint="eastAsia" w:ascii="宋体" w:hAnsi="宋体" w:eastAsia="宋体" w:cs="宋体"/>
                <w:sz w:val="24"/>
                <w:szCs w:val="24"/>
                <w:vertAlign w:val="baseline"/>
                <w:lang w:val="en-US" w:eastAsia="zh-CN"/>
              </w:rPr>
            </w:pPr>
          </w:p>
        </w:tc>
        <w:tc>
          <w:tcPr>
            <w:tcW w:w="1464" w:type="dxa"/>
            <w:vAlign w:val="center"/>
          </w:tcPr>
          <w:p w14:paraId="6F2F6D13">
            <w:pPr>
              <w:jc w:val="center"/>
              <w:rPr>
                <w:rFonts w:hint="eastAsia" w:ascii="宋体" w:hAnsi="宋体" w:eastAsia="宋体" w:cs="宋体"/>
                <w:sz w:val="24"/>
                <w:szCs w:val="24"/>
                <w:vertAlign w:val="baseline"/>
                <w:lang w:val="en-US" w:eastAsia="zh-CN"/>
              </w:rPr>
            </w:pPr>
          </w:p>
        </w:tc>
        <w:tc>
          <w:tcPr>
            <w:tcW w:w="0" w:type="auto"/>
            <w:vAlign w:val="center"/>
          </w:tcPr>
          <w:p w14:paraId="25B30EE7">
            <w:pPr>
              <w:jc w:val="center"/>
              <w:rPr>
                <w:rFonts w:hint="eastAsia" w:ascii="宋体" w:hAnsi="宋体" w:eastAsia="宋体" w:cs="宋体"/>
                <w:sz w:val="24"/>
                <w:szCs w:val="24"/>
                <w:vertAlign w:val="baseline"/>
                <w:lang w:val="en-US" w:eastAsia="zh-CN"/>
              </w:rPr>
            </w:pPr>
          </w:p>
        </w:tc>
      </w:tr>
      <w:tr w14:paraId="6797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690" w:type="dxa"/>
            <w:vAlign w:val="center"/>
          </w:tcPr>
          <w:p w14:paraId="7FDCD206">
            <w:pPr>
              <w:jc w:val="center"/>
              <w:rPr>
                <w:rFonts w:hint="eastAsia" w:ascii="宋体" w:hAnsi="宋体" w:eastAsia="宋体" w:cs="宋体"/>
                <w:sz w:val="24"/>
                <w:szCs w:val="24"/>
                <w:vertAlign w:val="baseline"/>
                <w:lang w:val="en-US" w:eastAsia="zh-CN"/>
              </w:rPr>
            </w:pPr>
          </w:p>
        </w:tc>
        <w:tc>
          <w:tcPr>
            <w:tcW w:w="5504" w:type="dxa"/>
            <w:vAlign w:val="center"/>
          </w:tcPr>
          <w:p w14:paraId="43EB54E1">
            <w:pPr>
              <w:jc w:val="both"/>
              <w:rPr>
                <w:rFonts w:hint="eastAsia" w:ascii="宋体" w:hAnsi="宋体" w:eastAsia="宋体" w:cs="宋体"/>
                <w:sz w:val="24"/>
                <w:szCs w:val="24"/>
                <w:vertAlign w:val="baseline"/>
                <w:lang w:val="en-US" w:eastAsia="zh-CN"/>
              </w:rPr>
            </w:pPr>
          </w:p>
        </w:tc>
        <w:tc>
          <w:tcPr>
            <w:tcW w:w="1464" w:type="dxa"/>
            <w:vAlign w:val="center"/>
          </w:tcPr>
          <w:p w14:paraId="36D50E06">
            <w:pPr>
              <w:jc w:val="center"/>
              <w:rPr>
                <w:rFonts w:hint="eastAsia" w:ascii="宋体" w:hAnsi="宋体" w:eastAsia="宋体" w:cs="宋体"/>
                <w:sz w:val="24"/>
                <w:szCs w:val="24"/>
                <w:vertAlign w:val="baseline"/>
                <w:lang w:val="en-US" w:eastAsia="zh-CN"/>
              </w:rPr>
            </w:pPr>
          </w:p>
        </w:tc>
        <w:tc>
          <w:tcPr>
            <w:tcW w:w="0" w:type="auto"/>
            <w:vAlign w:val="center"/>
          </w:tcPr>
          <w:p w14:paraId="19528A53">
            <w:pPr>
              <w:jc w:val="center"/>
              <w:rPr>
                <w:rFonts w:hint="eastAsia" w:ascii="宋体" w:hAnsi="宋体" w:eastAsia="宋体" w:cs="宋体"/>
                <w:sz w:val="24"/>
                <w:szCs w:val="24"/>
                <w:vertAlign w:val="baseline"/>
                <w:lang w:val="en-US" w:eastAsia="zh-CN"/>
              </w:rPr>
            </w:pPr>
          </w:p>
        </w:tc>
      </w:tr>
      <w:tr w14:paraId="0E5A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690" w:type="dxa"/>
            <w:vAlign w:val="center"/>
          </w:tcPr>
          <w:p w14:paraId="237C3946">
            <w:pPr>
              <w:jc w:val="center"/>
              <w:rPr>
                <w:rFonts w:hint="eastAsia" w:ascii="宋体" w:hAnsi="宋体" w:eastAsia="宋体" w:cs="宋体"/>
                <w:sz w:val="24"/>
                <w:szCs w:val="24"/>
                <w:vertAlign w:val="baseline"/>
                <w:lang w:val="en-US" w:eastAsia="zh-CN"/>
              </w:rPr>
            </w:pPr>
          </w:p>
        </w:tc>
        <w:tc>
          <w:tcPr>
            <w:tcW w:w="5504" w:type="dxa"/>
            <w:vAlign w:val="center"/>
          </w:tcPr>
          <w:p w14:paraId="2E2D22FB">
            <w:pPr>
              <w:jc w:val="both"/>
              <w:rPr>
                <w:rFonts w:hint="eastAsia" w:ascii="宋体" w:hAnsi="宋体" w:eastAsia="宋体" w:cs="宋体"/>
                <w:sz w:val="24"/>
                <w:szCs w:val="24"/>
                <w:vertAlign w:val="baseline"/>
                <w:lang w:val="en-US" w:eastAsia="zh-CN"/>
              </w:rPr>
            </w:pPr>
          </w:p>
        </w:tc>
        <w:tc>
          <w:tcPr>
            <w:tcW w:w="1464" w:type="dxa"/>
            <w:vAlign w:val="center"/>
          </w:tcPr>
          <w:p w14:paraId="73E808E9">
            <w:pPr>
              <w:jc w:val="center"/>
              <w:rPr>
                <w:rFonts w:hint="eastAsia" w:ascii="宋体" w:hAnsi="宋体" w:eastAsia="宋体" w:cs="宋体"/>
                <w:sz w:val="24"/>
                <w:szCs w:val="24"/>
                <w:vertAlign w:val="baseline"/>
                <w:lang w:val="en-US" w:eastAsia="zh-CN"/>
              </w:rPr>
            </w:pPr>
          </w:p>
        </w:tc>
        <w:tc>
          <w:tcPr>
            <w:tcW w:w="0" w:type="auto"/>
            <w:vAlign w:val="center"/>
          </w:tcPr>
          <w:p w14:paraId="467336CF">
            <w:pPr>
              <w:jc w:val="center"/>
              <w:rPr>
                <w:rFonts w:hint="eastAsia" w:ascii="宋体" w:hAnsi="宋体" w:eastAsia="宋体" w:cs="宋体"/>
                <w:sz w:val="24"/>
                <w:szCs w:val="24"/>
                <w:vertAlign w:val="baseline"/>
                <w:lang w:val="en-US" w:eastAsia="zh-CN"/>
              </w:rPr>
            </w:pPr>
          </w:p>
        </w:tc>
      </w:tr>
      <w:tr w14:paraId="0BAE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690" w:type="dxa"/>
            <w:vAlign w:val="center"/>
          </w:tcPr>
          <w:p w14:paraId="66048ADA">
            <w:pPr>
              <w:jc w:val="center"/>
              <w:rPr>
                <w:rFonts w:hint="eastAsia" w:ascii="宋体" w:hAnsi="宋体" w:eastAsia="宋体" w:cs="宋体"/>
                <w:sz w:val="24"/>
                <w:szCs w:val="24"/>
                <w:vertAlign w:val="baseline"/>
                <w:lang w:val="en-US" w:eastAsia="zh-CN"/>
              </w:rPr>
            </w:pPr>
          </w:p>
        </w:tc>
        <w:tc>
          <w:tcPr>
            <w:tcW w:w="5504" w:type="dxa"/>
            <w:vAlign w:val="center"/>
          </w:tcPr>
          <w:p w14:paraId="18F97FBA">
            <w:pPr>
              <w:jc w:val="both"/>
              <w:rPr>
                <w:rFonts w:hint="eastAsia" w:ascii="宋体" w:hAnsi="宋体" w:eastAsia="宋体" w:cs="宋体"/>
                <w:sz w:val="24"/>
                <w:szCs w:val="24"/>
                <w:vertAlign w:val="baseline"/>
                <w:lang w:val="en-US" w:eastAsia="zh-CN"/>
              </w:rPr>
            </w:pPr>
          </w:p>
        </w:tc>
        <w:tc>
          <w:tcPr>
            <w:tcW w:w="1464" w:type="dxa"/>
            <w:vAlign w:val="center"/>
          </w:tcPr>
          <w:p w14:paraId="55224DC0">
            <w:pPr>
              <w:jc w:val="center"/>
              <w:rPr>
                <w:rFonts w:hint="eastAsia" w:ascii="宋体" w:hAnsi="宋体" w:eastAsia="宋体" w:cs="宋体"/>
                <w:sz w:val="24"/>
                <w:szCs w:val="24"/>
                <w:vertAlign w:val="baseline"/>
                <w:lang w:val="en-US" w:eastAsia="zh-CN"/>
              </w:rPr>
            </w:pPr>
          </w:p>
        </w:tc>
        <w:tc>
          <w:tcPr>
            <w:tcW w:w="0" w:type="auto"/>
            <w:vAlign w:val="center"/>
          </w:tcPr>
          <w:p w14:paraId="4F2CB311">
            <w:pPr>
              <w:jc w:val="center"/>
              <w:rPr>
                <w:rFonts w:hint="eastAsia" w:ascii="宋体" w:hAnsi="宋体" w:eastAsia="宋体" w:cs="宋体"/>
                <w:sz w:val="24"/>
                <w:szCs w:val="24"/>
                <w:vertAlign w:val="baseline"/>
                <w:lang w:val="en-US" w:eastAsia="zh-CN"/>
              </w:rPr>
            </w:pPr>
          </w:p>
        </w:tc>
      </w:tr>
      <w:tr w14:paraId="35BC2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690" w:type="dxa"/>
            <w:vAlign w:val="center"/>
          </w:tcPr>
          <w:p w14:paraId="38EAB2A8">
            <w:pPr>
              <w:jc w:val="center"/>
              <w:rPr>
                <w:rFonts w:hint="eastAsia" w:ascii="宋体" w:hAnsi="宋体" w:eastAsia="宋体" w:cs="宋体"/>
                <w:sz w:val="24"/>
                <w:szCs w:val="24"/>
                <w:vertAlign w:val="baseline"/>
                <w:lang w:val="en-US" w:eastAsia="zh-CN"/>
              </w:rPr>
            </w:pPr>
          </w:p>
        </w:tc>
        <w:tc>
          <w:tcPr>
            <w:tcW w:w="5504" w:type="dxa"/>
            <w:vAlign w:val="center"/>
          </w:tcPr>
          <w:p w14:paraId="4FC645A5">
            <w:pPr>
              <w:jc w:val="both"/>
              <w:rPr>
                <w:rFonts w:hint="eastAsia" w:ascii="宋体" w:hAnsi="宋体" w:eastAsia="宋体" w:cs="宋体"/>
                <w:sz w:val="24"/>
                <w:szCs w:val="24"/>
                <w:vertAlign w:val="baseline"/>
                <w:lang w:val="en-US" w:eastAsia="zh-CN"/>
              </w:rPr>
            </w:pPr>
          </w:p>
        </w:tc>
        <w:tc>
          <w:tcPr>
            <w:tcW w:w="1464" w:type="dxa"/>
            <w:vAlign w:val="center"/>
          </w:tcPr>
          <w:p w14:paraId="43A15BB2">
            <w:pPr>
              <w:jc w:val="center"/>
              <w:rPr>
                <w:rFonts w:hint="eastAsia" w:ascii="宋体" w:hAnsi="宋体" w:eastAsia="宋体" w:cs="宋体"/>
                <w:sz w:val="24"/>
                <w:szCs w:val="24"/>
                <w:vertAlign w:val="baseline"/>
                <w:lang w:val="en-US" w:eastAsia="zh-CN"/>
              </w:rPr>
            </w:pPr>
          </w:p>
        </w:tc>
        <w:tc>
          <w:tcPr>
            <w:tcW w:w="0" w:type="auto"/>
            <w:vAlign w:val="center"/>
          </w:tcPr>
          <w:p w14:paraId="2113A554">
            <w:pPr>
              <w:jc w:val="center"/>
              <w:rPr>
                <w:rFonts w:hint="eastAsia" w:ascii="宋体" w:hAnsi="宋体" w:eastAsia="宋体" w:cs="宋体"/>
                <w:sz w:val="24"/>
                <w:szCs w:val="24"/>
                <w:vertAlign w:val="baseline"/>
                <w:lang w:val="en-US" w:eastAsia="zh-CN"/>
              </w:rPr>
            </w:pPr>
          </w:p>
        </w:tc>
      </w:tr>
      <w:tr w14:paraId="1D8D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690" w:type="dxa"/>
            <w:vAlign w:val="center"/>
          </w:tcPr>
          <w:p w14:paraId="73131423">
            <w:pPr>
              <w:jc w:val="center"/>
              <w:rPr>
                <w:rFonts w:hint="eastAsia" w:ascii="宋体" w:hAnsi="宋体" w:eastAsia="宋体" w:cs="宋体"/>
                <w:sz w:val="24"/>
                <w:szCs w:val="24"/>
                <w:vertAlign w:val="baseline"/>
                <w:lang w:val="en-US" w:eastAsia="zh-CN"/>
              </w:rPr>
            </w:pPr>
          </w:p>
        </w:tc>
        <w:tc>
          <w:tcPr>
            <w:tcW w:w="5504" w:type="dxa"/>
            <w:vAlign w:val="center"/>
          </w:tcPr>
          <w:p w14:paraId="43C9CDDD">
            <w:pPr>
              <w:jc w:val="both"/>
              <w:rPr>
                <w:rFonts w:hint="eastAsia" w:ascii="宋体" w:hAnsi="宋体" w:eastAsia="宋体" w:cs="宋体"/>
                <w:sz w:val="24"/>
                <w:szCs w:val="24"/>
                <w:vertAlign w:val="baseline"/>
                <w:lang w:val="en-US" w:eastAsia="zh-CN"/>
              </w:rPr>
            </w:pPr>
          </w:p>
        </w:tc>
        <w:tc>
          <w:tcPr>
            <w:tcW w:w="1464" w:type="dxa"/>
            <w:vAlign w:val="center"/>
          </w:tcPr>
          <w:p w14:paraId="0F412918">
            <w:pPr>
              <w:jc w:val="center"/>
              <w:rPr>
                <w:rFonts w:hint="eastAsia" w:ascii="宋体" w:hAnsi="宋体" w:eastAsia="宋体" w:cs="宋体"/>
                <w:sz w:val="24"/>
                <w:szCs w:val="24"/>
                <w:vertAlign w:val="baseline"/>
                <w:lang w:val="en-US" w:eastAsia="zh-CN"/>
              </w:rPr>
            </w:pPr>
          </w:p>
        </w:tc>
        <w:tc>
          <w:tcPr>
            <w:tcW w:w="0" w:type="auto"/>
            <w:vAlign w:val="center"/>
          </w:tcPr>
          <w:p w14:paraId="1E3C3BF0">
            <w:pPr>
              <w:jc w:val="center"/>
              <w:rPr>
                <w:rFonts w:hint="eastAsia" w:ascii="宋体" w:hAnsi="宋体" w:eastAsia="宋体" w:cs="宋体"/>
                <w:sz w:val="24"/>
                <w:szCs w:val="24"/>
                <w:vertAlign w:val="baseline"/>
                <w:lang w:val="en-US" w:eastAsia="zh-CN"/>
              </w:rPr>
            </w:pPr>
          </w:p>
        </w:tc>
      </w:tr>
      <w:tr w14:paraId="66BB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690" w:type="dxa"/>
            <w:vAlign w:val="center"/>
          </w:tcPr>
          <w:p w14:paraId="5600BA34">
            <w:pPr>
              <w:jc w:val="center"/>
              <w:rPr>
                <w:rFonts w:hint="eastAsia" w:ascii="宋体" w:hAnsi="宋体" w:eastAsia="宋体" w:cs="宋体"/>
                <w:sz w:val="24"/>
                <w:szCs w:val="24"/>
                <w:vertAlign w:val="baseline"/>
                <w:lang w:val="en-US" w:eastAsia="zh-CN"/>
              </w:rPr>
            </w:pPr>
          </w:p>
        </w:tc>
        <w:tc>
          <w:tcPr>
            <w:tcW w:w="5504" w:type="dxa"/>
            <w:vAlign w:val="center"/>
          </w:tcPr>
          <w:p w14:paraId="571321A0">
            <w:pPr>
              <w:jc w:val="both"/>
              <w:rPr>
                <w:rFonts w:hint="eastAsia" w:ascii="宋体" w:hAnsi="宋体" w:eastAsia="宋体" w:cs="宋体"/>
                <w:sz w:val="24"/>
                <w:szCs w:val="24"/>
                <w:vertAlign w:val="baseline"/>
                <w:lang w:val="en-US" w:eastAsia="zh-CN"/>
              </w:rPr>
            </w:pPr>
          </w:p>
        </w:tc>
        <w:tc>
          <w:tcPr>
            <w:tcW w:w="1464" w:type="dxa"/>
            <w:vAlign w:val="center"/>
          </w:tcPr>
          <w:p w14:paraId="4C8B06E1">
            <w:pPr>
              <w:jc w:val="center"/>
              <w:rPr>
                <w:rFonts w:hint="eastAsia" w:ascii="宋体" w:hAnsi="宋体" w:eastAsia="宋体" w:cs="宋体"/>
                <w:sz w:val="24"/>
                <w:szCs w:val="24"/>
                <w:vertAlign w:val="baseline"/>
                <w:lang w:val="en-US" w:eastAsia="zh-CN"/>
              </w:rPr>
            </w:pPr>
          </w:p>
        </w:tc>
        <w:tc>
          <w:tcPr>
            <w:tcW w:w="0" w:type="auto"/>
            <w:vAlign w:val="center"/>
          </w:tcPr>
          <w:p w14:paraId="5AC4995F">
            <w:pPr>
              <w:jc w:val="center"/>
              <w:rPr>
                <w:rFonts w:hint="eastAsia" w:ascii="宋体" w:hAnsi="宋体" w:eastAsia="宋体" w:cs="宋体"/>
                <w:sz w:val="24"/>
                <w:szCs w:val="24"/>
                <w:vertAlign w:val="baseline"/>
                <w:lang w:val="en-US" w:eastAsia="zh-CN"/>
              </w:rPr>
            </w:pPr>
          </w:p>
        </w:tc>
      </w:tr>
      <w:tr w14:paraId="6612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690" w:type="dxa"/>
            <w:vAlign w:val="center"/>
          </w:tcPr>
          <w:p w14:paraId="6866B1AF">
            <w:pPr>
              <w:jc w:val="center"/>
              <w:rPr>
                <w:rFonts w:hint="eastAsia" w:ascii="宋体" w:hAnsi="宋体" w:eastAsia="宋体" w:cs="宋体"/>
                <w:sz w:val="24"/>
                <w:szCs w:val="24"/>
                <w:vertAlign w:val="baseline"/>
                <w:lang w:val="en-US" w:eastAsia="zh-CN"/>
              </w:rPr>
            </w:pPr>
          </w:p>
        </w:tc>
        <w:tc>
          <w:tcPr>
            <w:tcW w:w="5504" w:type="dxa"/>
            <w:vAlign w:val="center"/>
          </w:tcPr>
          <w:p w14:paraId="768F19D8">
            <w:pPr>
              <w:jc w:val="both"/>
              <w:rPr>
                <w:rFonts w:hint="eastAsia" w:ascii="宋体" w:hAnsi="宋体" w:eastAsia="宋体" w:cs="宋体"/>
                <w:sz w:val="24"/>
                <w:szCs w:val="24"/>
                <w:vertAlign w:val="baseline"/>
                <w:lang w:val="en-US" w:eastAsia="zh-CN"/>
              </w:rPr>
            </w:pPr>
          </w:p>
        </w:tc>
        <w:tc>
          <w:tcPr>
            <w:tcW w:w="1464" w:type="dxa"/>
            <w:vAlign w:val="center"/>
          </w:tcPr>
          <w:p w14:paraId="06B22FFF">
            <w:pPr>
              <w:jc w:val="center"/>
              <w:rPr>
                <w:rFonts w:hint="eastAsia" w:ascii="宋体" w:hAnsi="宋体" w:eastAsia="宋体" w:cs="宋体"/>
                <w:sz w:val="24"/>
                <w:szCs w:val="24"/>
                <w:vertAlign w:val="baseline"/>
                <w:lang w:val="en-US" w:eastAsia="zh-CN"/>
              </w:rPr>
            </w:pPr>
          </w:p>
        </w:tc>
        <w:tc>
          <w:tcPr>
            <w:tcW w:w="0" w:type="auto"/>
            <w:vAlign w:val="center"/>
          </w:tcPr>
          <w:p w14:paraId="155652E0">
            <w:pPr>
              <w:jc w:val="center"/>
              <w:rPr>
                <w:rFonts w:hint="eastAsia" w:ascii="宋体" w:hAnsi="宋体" w:eastAsia="宋体" w:cs="宋体"/>
                <w:sz w:val="24"/>
                <w:szCs w:val="24"/>
                <w:vertAlign w:val="baseline"/>
                <w:lang w:val="en-US" w:eastAsia="zh-CN"/>
              </w:rPr>
            </w:pPr>
          </w:p>
        </w:tc>
      </w:tr>
    </w:tbl>
    <w:p w14:paraId="09783666">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61B016E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8"/>
          <w:szCs w:val="28"/>
          <w:lang w:val="en-US" w:eastAsia="zh-CN"/>
        </w:rPr>
      </w:pPr>
      <w:bookmarkStart w:id="7" w:name="_Toc16980"/>
      <w:r>
        <w:rPr>
          <w:rFonts w:hint="eastAsia" w:ascii="宋体" w:hAnsi="宋体" w:eastAsia="宋体" w:cs="宋体"/>
          <w:sz w:val="28"/>
          <w:szCs w:val="28"/>
          <w:lang w:val="en-US" w:eastAsia="zh-CN"/>
        </w:rPr>
        <w:t>第四章</w:t>
      </w:r>
      <w:r>
        <w:rPr>
          <w:rFonts w:hint="default" w:ascii="宋体" w:hAnsi="宋体" w:eastAsia="宋体" w:cs="宋体"/>
          <w:sz w:val="28"/>
          <w:szCs w:val="28"/>
          <w:lang w:val="en-US" w:eastAsia="zh-CN"/>
        </w:rPr>
        <w:t xml:space="preserve">  </w:t>
      </w:r>
      <w:r>
        <w:rPr>
          <w:rFonts w:hint="eastAsia" w:ascii="宋体" w:hAnsi="宋体" w:eastAsia="宋体" w:cs="宋体"/>
          <w:sz w:val="28"/>
          <w:szCs w:val="28"/>
          <w:lang w:val="en-US" w:eastAsia="zh-CN"/>
        </w:rPr>
        <w:t>评审方法</w:t>
      </w:r>
      <w:bookmarkEnd w:id="7"/>
    </w:p>
    <w:p w14:paraId="32FE9FE1">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一、综合评分</w:t>
      </w:r>
    </w:p>
    <w:p w14:paraId="7A39C140">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1.经磋商确定最终采购需求和提交最后报价的供应商后，由磋商小组采用综合评分法对提交最后报价的供应商的响应文件和最后报价进行综合评分。</w:t>
      </w:r>
    </w:p>
    <w:p w14:paraId="1E4B1093">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综合评分法，是指响应文件满足磋商文件全部实质性要求且按评审因素的量化指标评审得分最高的供应商为成交候选供应商的评审方法。</w:t>
      </w:r>
    </w:p>
    <w:p w14:paraId="6E481B97">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2.评审时，磋商小组各成员应当独立对每个有效响应的文件进行评价、打分，然后汇总每个供应商每项评分因素的得分。</w:t>
      </w:r>
    </w:p>
    <w:p w14:paraId="0102CCCF">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1E00071C">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4.本项目为专门面向小微企业采购项目，供应商应按要求提供中小企业声明函或监狱企业声明函或残疾人福利企业声明函。</w:t>
      </w:r>
    </w:p>
    <w:p w14:paraId="24184516">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二、综合评分细则表</w:t>
      </w:r>
    </w:p>
    <w:p w14:paraId="5AA7A1A2">
      <w:pPr>
        <w:autoSpaceDE w:val="0"/>
        <w:autoSpaceDN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初步审查表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25"/>
        <w:gridCol w:w="3612"/>
        <w:gridCol w:w="4612"/>
        <w:gridCol w:w="457"/>
      </w:tblGrid>
      <w:tr w14:paraId="6841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673F28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0" w:type="auto"/>
            <w:vAlign w:val="center"/>
          </w:tcPr>
          <w:p w14:paraId="3BD353A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w:t>
            </w:r>
          </w:p>
        </w:tc>
        <w:tc>
          <w:tcPr>
            <w:tcW w:w="0" w:type="auto"/>
            <w:vAlign w:val="center"/>
          </w:tcPr>
          <w:p w14:paraId="467C4FD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评审因素</w:t>
            </w:r>
          </w:p>
        </w:tc>
        <w:tc>
          <w:tcPr>
            <w:tcW w:w="0" w:type="auto"/>
            <w:vAlign w:val="center"/>
          </w:tcPr>
          <w:p w14:paraId="02BA87B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评审标准</w:t>
            </w:r>
          </w:p>
        </w:tc>
        <w:tc>
          <w:tcPr>
            <w:tcW w:w="0" w:type="auto"/>
            <w:vAlign w:val="center"/>
          </w:tcPr>
          <w:p w14:paraId="433FC2A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是否符合</w:t>
            </w:r>
          </w:p>
        </w:tc>
      </w:tr>
      <w:tr w14:paraId="2E0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EB86B0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456" w:type="dxa"/>
            <w:vMerge w:val="restart"/>
            <w:vAlign w:val="center"/>
          </w:tcPr>
          <w:p w14:paraId="60EF635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资格性审查</w:t>
            </w:r>
          </w:p>
        </w:tc>
        <w:tc>
          <w:tcPr>
            <w:tcW w:w="0" w:type="auto"/>
            <w:vAlign w:val="center"/>
          </w:tcPr>
          <w:p w14:paraId="6A5A3C7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法定代表人身份证明和法定代表人授权委托书</w:t>
            </w:r>
          </w:p>
        </w:tc>
        <w:tc>
          <w:tcPr>
            <w:tcW w:w="0" w:type="auto"/>
            <w:vAlign w:val="center"/>
          </w:tcPr>
          <w:p w14:paraId="5527C98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0" w:type="auto"/>
            <w:vAlign w:val="center"/>
          </w:tcPr>
          <w:p w14:paraId="5766E78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352C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504932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456" w:type="dxa"/>
            <w:vMerge w:val="continue"/>
            <w:vAlign w:val="center"/>
          </w:tcPr>
          <w:p w14:paraId="644E344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6D7CF63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具有独立承担民事责任的能力</w:t>
            </w:r>
          </w:p>
        </w:tc>
        <w:tc>
          <w:tcPr>
            <w:tcW w:w="0" w:type="auto"/>
            <w:vAlign w:val="center"/>
          </w:tcPr>
          <w:p w14:paraId="4E782CE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提供在中华人民共和国境内注册的法人或其他组织或自然人的营业执照或事业法人登记证或执业许可证或身份证等相关证明材料。</w:t>
            </w:r>
          </w:p>
        </w:tc>
        <w:tc>
          <w:tcPr>
            <w:tcW w:w="0" w:type="auto"/>
            <w:vAlign w:val="center"/>
          </w:tcPr>
          <w:p w14:paraId="6C89618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0BE9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77CDA5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456" w:type="dxa"/>
            <w:vMerge w:val="continue"/>
            <w:vAlign w:val="center"/>
          </w:tcPr>
          <w:p w14:paraId="2068BE0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267B35D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具有良好的商业信誉和健全的财务会计制度</w:t>
            </w:r>
          </w:p>
        </w:tc>
        <w:tc>
          <w:tcPr>
            <w:tcW w:w="0" w:type="auto"/>
            <w:vAlign w:val="center"/>
          </w:tcPr>
          <w:p w14:paraId="13CD9D9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供2024年度由会计师事务所出具的财务审计报告[审计报告须包括资产负债表、利润表、现金流量表、所有者权益变动（如有）及其附注]或提供投标截止日前半年内任意一个月或季度由本单位出具的财务报表[至少包括资产负债表、利润表、现金流量表及财务报表附注]及财务会计制度文件（新成立公司提供开标前三个月内任意一个月有效银行资信证明）。</w:t>
            </w:r>
          </w:p>
        </w:tc>
        <w:tc>
          <w:tcPr>
            <w:tcW w:w="0" w:type="auto"/>
            <w:vAlign w:val="center"/>
          </w:tcPr>
          <w:p w14:paraId="1ED19C2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25DA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15ECC6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456" w:type="dxa"/>
            <w:vMerge w:val="continue"/>
            <w:vAlign w:val="center"/>
          </w:tcPr>
          <w:p w14:paraId="67368FB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7EA51AF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具有履行合同所必需的设备和专业技术能力</w:t>
            </w:r>
          </w:p>
        </w:tc>
        <w:tc>
          <w:tcPr>
            <w:tcW w:w="0" w:type="auto"/>
            <w:vAlign w:val="center"/>
          </w:tcPr>
          <w:p w14:paraId="47BA77A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提供加盖单位公章的承诺函（格式自拟）。</w:t>
            </w:r>
          </w:p>
        </w:tc>
        <w:tc>
          <w:tcPr>
            <w:tcW w:w="0" w:type="auto"/>
            <w:vAlign w:val="center"/>
          </w:tcPr>
          <w:p w14:paraId="20718BB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1F84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931481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456" w:type="dxa"/>
            <w:vMerge w:val="continue"/>
            <w:vAlign w:val="center"/>
          </w:tcPr>
          <w:p w14:paraId="67BAF47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49C05B1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有依法缴纳税收和社会保障资金的良好记录</w:t>
            </w:r>
          </w:p>
        </w:tc>
        <w:tc>
          <w:tcPr>
            <w:tcW w:w="0" w:type="auto"/>
            <w:vAlign w:val="center"/>
          </w:tcPr>
          <w:p w14:paraId="100A970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①提供近六月内任意一月由税务部门出具的完税证明，当月新成立公司无需提供；无需纳税或免税的也需提供相应证明材料②提供近六月内任意一月由社保机构出具的社保缴纳证明，当月新成立公司无需提供。</w:t>
            </w:r>
          </w:p>
        </w:tc>
        <w:tc>
          <w:tcPr>
            <w:tcW w:w="0" w:type="auto"/>
            <w:vAlign w:val="center"/>
          </w:tcPr>
          <w:p w14:paraId="74B1AD0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0755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F1DACB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456" w:type="dxa"/>
            <w:vMerge w:val="continue"/>
            <w:vAlign w:val="center"/>
          </w:tcPr>
          <w:p w14:paraId="5B47F3E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2DAE762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参加政府采购活动前三年内，在经营活动中没有重大违法记录</w:t>
            </w:r>
          </w:p>
        </w:tc>
        <w:tc>
          <w:tcPr>
            <w:tcW w:w="0" w:type="auto"/>
            <w:vAlign w:val="center"/>
          </w:tcPr>
          <w:p w14:paraId="7FEEB46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提供加盖单位公章的承诺函（格式自拟）。</w:t>
            </w:r>
          </w:p>
        </w:tc>
        <w:tc>
          <w:tcPr>
            <w:tcW w:w="0" w:type="auto"/>
            <w:vAlign w:val="center"/>
          </w:tcPr>
          <w:p w14:paraId="60E56C0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66FB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89A7EA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456" w:type="dxa"/>
            <w:vMerge w:val="continue"/>
            <w:vAlign w:val="center"/>
          </w:tcPr>
          <w:p w14:paraId="263EBA2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59A5D19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未被“信用中国”网站（www.creditchina.gov.cn）、“中国政府采购网”（www.ccgp.gov.cn）列入失信被执行人、重大税收违法失信主体、政府采购严重违法失信行为记录名单</w:t>
            </w:r>
          </w:p>
        </w:tc>
        <w:tc>
          <w:tcPr>
            <w:tcW w:w="0" w:type="auto"/>
            <w:vAlign w:val="center"/>
          </w:tcPr>
          <w:p w14:paraId="42A72D6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提供加盖单位公章的承诺函（格式自拟）。</w:t>
            </w:r>
          </w:p>
        </w:tc>
        <w:tc>
          <w:tcPr>
            <w:tcW w:w="0" w:type="auto"/>
            <w:vAlign w:val="center"/>
          </w:tcPr>
          <w:p w14:paraId="01E6540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7D5A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9FB969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456" w:type="dxa"/>
            <w:vMerge w:val="continue"/>
            <w:vAlign w:val="center"/>
          </w:tcPr>
          <w:p w14:paraId="73BE400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69FF19E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特定资格要求</w:t>
            </w:r>
          </w:p>
        </w:tc>
        <w:tc>
          <w:tcPr>
            <w:tcW w:w="0" w:type="auto"/>
            <w:vAlign w:val="center"/>
          </w:tcPr>
          <w:p w14:paraId="617AFE7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（1）[供应商]具备水利水电工程施工总承包贰级（含）及以上资质，有效期内的安全生产许可证（提供相应的证书或证明文件）；</w:t>
            </w:r>
          </w:p>
          <w:p w14:paraId="44ACDA4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项目负责人]具备水利水电工程专业二级（含）及以上注册建造师执业资格，有效的安全生产考核合格证书（B证），同时具有水利工程相关专业中级及以上职称，且未担任其他在施建设工程项目的项目负责人、项目经理（提供相应的证书或证明文件以及加盖单位公章的项目负责人无在建承诺函[格式自拟]）；</w:t>
            </w:r>
          </w:p>
          <w:p w14:paraId="2698CDE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（3）单位负责人为同一人或者存在控股、管理关系的不同供应商，不得参加同一标段投标或者未划分标段的同一招标项目投标（提供加盖单位公章的承诺函[格式自拟]）。</w:t>
            </w:r>
          </w:p>
        </w:tc>
        <w:tc>
          <w:tcPr>
            <w:tcW w:w="0" w:type="auto"/>
            <w:vAlign w:val="center"/>
          </w:tcPr>
          <w:p w14:paraId="53F314E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27C6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81BAAD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456" w:type="dxa"/>
            <w:vMerge w:val="continue"/>
            <w:vAlign w:val="center"/>
          </w:tcPr>
          <w:p w14:paraId="034ECD5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227350C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磋商保证金</w:t>
            </w:r>
          </w:p>
        </w:tc>
        <w:tc>
          <w:tcPr>
            <w:tcW w:w="0" w:type="auto"/>
            <w:vAlign w:val="center"/>
          </w:tcPr>
          <w:p w14:paraId="396F4D9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提供基本帐户证明材料及保证金汇款凭证或电子保函的证明材料。</w:t>
            </w:r>
          </w:p>
        </w:tc>
        <w:tc>
          <w:tcPr>
            <w:tcW w:w="0" w:type="auto"/>
            <w:vAlign w:val="center"/>
          </w:tcPr>
          <w:p w14:paraId="221E355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2413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E595A7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10</w:t>
            </w:r>
          </w:p>
        </w:tc>
        <w:tc>
          <w:tcPr>
            <w:tcW w:w="456" w:type="dxa"/>
            <w:vMerge w:val="continue"/>
            <w:vAlign w:val="center"/>
          </w:tcPr>
          <w:p w14:paraId="1FC2623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val="en-US" w:eastAsia="zh-CN"/>
              </w:rPr>
            </w:pPr>
          </w:p>
        </w:tc>
        <w:tc>
          <w:tcPr>
            <w:tcW w:w="3670" w:type="dxa"/>
            <w:vAlign w:val="center"/>
          </w:tcPr>
          <w:p w14:paraId="0CD3E35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中小企业声明函</w:t>
            </w:r>
          </w:p>
        </w:tc>
        <w:tc>
          <w:tcPr>
            <w:tcW w:w="4924" w:type="dxa"/>
            <w:vAlign w:val="center"/>
          </w:tcPr>
          <w:p w14:paraId="64EFDCB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请根据要求单独上传《中小企业声明函》。格式以采购文件要求为准。</w:t>
            </w:r>
          </w:p>
        </w:tc>
        <w:tc>
          <w:tcPr>
            <w:tcW w:w="0" w:type="auto"/>
            <w:vAlign w:val="center"/>
          </w:tcPr>
          <w:p w14:paraId="7D85D1B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3A4A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4E679B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0" w:type="auto"/>
            <w:vMerge w:val="restart"/>
            <w:vAlign w:val="center"/>
          </w:tcPr>
          <w:p w14:paraId="3AA22DC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符合性审查</w:t>
            </w:r>
          </w:p>
        </w:tc>
        <w:tc>
          <w:tcPr>
            <w:tcW w:w="0" w:type="auto"/>
            <w:vAlign w:val="center"/>
          </w:tcPr>
          <w:p w14:paraId="13CF789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响应文件格式</w:t>
            </w:r>
          </w:p>
        </w:tc>
        <w:tc>
          <w:tcPr>
            <w:tcW w:w="0" w:type="auto"/>
            <w:vAlign w:val="center"/>
          </w:tcPr>
          <w:p w14:paraId="3F18F52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响应文件字迹清晰可辨。</w:t>
            </w:r>
          </w:p>
        </w:tc>
        <w:tc>
          <w:tcPr>
            <w:tcW w:w="0" w:type="auto"/>
            <w:vAlign w:val="center"/>
          </w:tcPr>
          <w:p w14:paraId="3EC64AF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7A4B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D5B46A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0" w:type="auto"/>
            <w:vMerge w:val="continue"/>
            <w:vAlign w:val="center"/>
          </w:tcPr>
          <w:p w14:paraId="4FAF5A6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67C4D64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签字盖章</w:t>
            </w:r>
          </w:p>
        </w:tc>
        <w:tc>
          <w:tcPr>
            <w:tcW w:w="0" w:type="auto"/>
            <w:vAlign w:val="center"/>
          </w:tcPr>
          <w:p w14:paraId="01FEFC5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响应文件上法定代表人或其授权代理人的签字、供应商的单位章齐全符合竞争性磋商文件规定。</w:t>
            </w:r>
          </w:p>
        </w:tc>
        <w:tc>
          <w:tcPr>
            <w:tcW w:w="0" w:type="auto"/>
            <w:vAlign w:val="center"/>
          </w:tcPr>
          <w:p w14:paraId="56B16C0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5A0AE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7760E4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0" w:type="auto"/>
            <w:vMerge w:val="continue"/>
            <w:vAlign w:val="center"/>
          </w:tcPr>
          <w:p w14:paraId="5182D5C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47C46E0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权利与义务</w:t>
            </w:r>
          </w:p>
        </w:tc>
        <w:tc>
          <w:tcPr>
            <w:tcW w:w="0" w:type="auto"/>
            <w:vAlign w:val="center"/>
          </w:tcPr>
          <w:p w14:paraId="03E63D2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响应文件未附有采购人不能接受的条件或不符合竞争性磋商文件的其他要求。</w:t>
            </w:r>
          </w:p>
        </w:tc>
        <w:tc>
          <w:tcPr>
            <w:tcW w:w="0" w:type="auto"/>
            <w:vAlign w:val="center"/>
          </w:tcPr>
          <w:p w14:paraId="7AACBB7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0735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741A21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0" w:type="auto"/>
            <w:vMerge w:val="continue"/>
            <w:vAlign w:val="center"/>
          </w:tcPr>
          <w:p w14:paraId="15ABAEF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6FC650B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报价唯一</w:t>
            </w:r>
          </w:p>
        </w:tc>
        <w:tc>
          <w:tcPr>
            <w:tcW w:w="0" w:type="auto"/>
            <w:vAlign w:val="center"/>
          </w:tcPr>
          <w:p w14:paraId="576EC04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报价唯一且不超过控制价。</w:t>
            </w:r>
          </w:p>
        </w:tc>
        <w:tc>
          <w:tcPr>
            <w:tcW w:w="0" w:type="auto"/>
            <w:vAlign w:val="center"/>
          </w:tcPr>
          <w:p w14:paraId="1CE0372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1235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3485C7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0" w:type="auto"/>
            <w:vMerge w:val="continue"/>
            <w:vAlign w:val="center"/>
          </w:tcPr>
          <w:p w14:paraId="17EC22B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6B7D806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磋商响应有效期</w:t>
            </w:r>
          </w:p>
        </w:tc>
        <w:tc>
          <w:tcPr>
            <w:tcW w:w="0" w:type="auto"/>
            <w:vAlign w:val="center"/>
          </w:tcPr>
          <w:p w14:paraId="08F4100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磋商响应有效期满足竞争性磋商文件要求。</w:t>
            </w:r>
          </w:p>
        </w:tc>
        <w:tc>
          <w:tcPr>
            <w:tcW w:w="0" w:type="auto"/>
            <w:vAlign w:val="center"/>
          </w:tcPr>
          <w:p w14:paraId="616B8A2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07D5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D855FD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0" w:type="auto"/>
            <w:vMerge w:val="continue"/>
            <w:vAlign w:val="center"/>
          </w:tcPr>
          <w:p w14:paraId="7574384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1021D48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w:t>
            </w:r>
          </w:p>
        </w:tc>
        <w:tc>
          <w:tcPr>
            <w:tcW w:w="0" w:type="auto"/>
            <w:vAlign w:val="center"/>
          </w:tcPr>
          <w:p w14:paraId="0A4A755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符合法律、法规的规定。</w:t>
            </w:r>
          </w:p>
        </w:tc>
        <w:tc>
          <w:tcPr>
            <w:tcW w:w="0" w:type="auto"/>
            <w:vAlign w:val="center"/>
          </w:tcPr>
          <w:p w14:paraId="2FF5E51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bl>
    <w:p w14:paraId="00821DC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p w14:paraId="099E4AF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资格性审查</w:t>
      </w:r>
    </w:p>
    <w:p w14:paraId="4F1C23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依据法律法规和磋商文件的规定，对响应文件中的资格证明等进行审查，以确定供应商是否具备投标资格，如供应商提供的响应文件中资格审查有一项未通过上述审查标准，将失去供应商资格。</w:t>
      </w:r>
    </w:p>
    <w:p w14:paraId="73DC2EC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符合性审查</w:t>
      </w:r>
    </w:p>
    <w:p w14:paraId="11B6CD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磋商小组对符合资格的各供应商响应文件进行符合性审查，如果供应商有一项未通过上述审查标准，磋商小组将认定整个响应文件不响应磋商文件而予以否决，并且不允许供应商通过修改或撤销其不符合要求的差异或保留，使之成为具有响应性的响应。未通过符合性审查的供应商其响应文件将按照无效投标处理。</w:t>
      </w:r>
    </w:p>
    <w:p w14:paraId="4C4D9E6E">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依法缴纳税收证明指“提供近六月内任意一月由税务部门出具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55903CCD">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提示：上述资质开标现场能够通过官方网络查证的，均视为合格供应商。</w:t>
      </w:r>
    </w:p>
    <w:p w14:paraId="4DEB79C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详细评审表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595"/>
        <w:gridCol w:w="514"/>
        <w:gridCol w:w="1473"/>
        <w:gridCol w:w="6878"/>
      </w:tblGrid>
      <w:tr w14:paraId="3B87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3135D0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0" w:type="auto"/>
            <w:vAlign w:val="center"/>
          </w:tcPr>
          <w:p w14:paraId="7CBCB65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评审内容</w:t>
            </w:r>
          </w:p>
        </w:tc>
        <w:tc>
          <w:tcPr>
            <w:tcW w:w="0" w:type="auto"/>
            <w:vAlign w:val="center"/>
          </w:tcPr>
          <w:p w14:paraId="19B558C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w:t>
            </w:r>
          </w:p>
        </w:tc>
        <w:tc>
          <w:tcPr>
            <w:tcW w:w="0" w:type="auto"/>
            <w:gridSpan w:val="2"/>
            <w:vAlign w:val="center"/>
          </w:tcPr>
          <w:p w14:paraId="2680A3E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评分标准</w:t>
            </w:r>
          </w:p>
        </w:tc>
      </w:tr>
      <w:tr w14:paraId="2B80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3FB79C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w:t>
            </w:r>
          </w:p>
        </w:tc>
        <w:tc>
          <w:tcPr>
            <w:tcW w:w="0" w:type="auto"/>
            <w:vAlign w:val="center"/>
          </w:tcPr>
          <w:p w14:paraId="025C2CD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磋商报价</w:t>
            </w:r>
          </w:p>
        </w:tc>
        <w:tc>
          <w:tcPr>
            <w:tcW w:w="0" w:type="auto"/>
            <w:vAlign w:val="center"/>
          </w:tcPr>
          <w:p w14:paraId="403A6B3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10分</w:t>
            </w:r>
          </w:p>
        </w:tc>
        <w:tc>
          <w:tcPr>
            <w:tcW w:w="0" w:type="auto"/>
            <w:gridSpan w:val="2"/>
            <w:vAlign w:val="center"/>
          </w:tcPr>
          <w:p w14:paraId="26E4B5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磋商报价得分＝（评标基准价/磋商报价）×最高分值</w:t>
            </w:r>
          </w:p>
          <w:p w14:paraId="668CC8A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1.磋商价格评分采用低价优先法计算；</w:t>
            </w:r>
          </w:p>
          <w:p w14:paraId="4FB94D3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2.评标基准价：满足竞争性磋商文件要求且经算术修正，依据政府采购政策进行价格扣除后的最低报价为评标基准价；</w:t>
            </w:r>
          </w:p>
          <w:p w14:paraId="03C4580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3.修正后磋商报价：评标委员会以开标一览表中磋商报价为基础，对其进行算术修正，依据政府采购政策进行价格扣除后，作为磋商报价计算的依据。</w:t>
            </w:r>
          </w:p>
        </w:tc>
      </w:tr>
      <w:tr w14:paraId="2850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14:paraId="31FEB3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B</w:t>
            </w:r>
          </w:p>
        </w:tc>
        <w:tc>
          <w:tcPr>
            <w:tcW w:w="0" w:type="auto"/>
            <w:vMerge w:val="restart"/>
            <w:vAlign w:val="center"/>
          </w:tcPr>
          <w:p w14:paraId="16DA6E0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商务部分</w:t>
            </w:r>
          </w:p>
        </w:tc>
        <w:tc>
          <w:tcPr>
            <w:tcW w:w="0" w:type="auto"/>
            <w:vMerge w:val="restart"/>
            <w:vAlign w:val="center"/>
          </w:tcPr>
          <w:p w14:paraId="19D6052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20分</w:t>
            </w:r>
          </w:p>
        </w:tc>
        <w:tc>
          <w:tcPr>
            <w:tcW w:w="0" w:type="auto"/>
            <w:vAlign w:val="center"/>
          </w:tcPr>
          <w:p w14:paraId="08FEEE9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供应商业绩（6分）</w:t>
            </w:r>
          </w:p>
        </w:tc>
        <w:tc>
          <w:tcPr>
            <w:tcW w:w="0" w:type="auto"/>
            <w:vAlign w:val="center"/>
          </w:tcPr>
          <w:p w14:paraId="54A522C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供应商自2021年1月1日至投标截止时间（以合同签订日期为准）承接过类似业绩的，每提供一项得2分，最多得6分。</w:t>
            </w:r>
          </w:p>
          <w:p w14:paraId="564C3E2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注：提供上述业绩项目的合同（要点包括签约时间、项目名称、金额和双方盖章），复印件并加盖单位公章，否则该项业绩视为无效。</w:t>
            </w:r>
          </w:p>
        </w:tc>
      </w:tr>
      <w:tr w14:paraId="253C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6CE9950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383E2C2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7F0796D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1D43CC0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项目负责人业绩（4分）</w:t>
            </w:r>
          </w:p>
        </w:tc>
        <w:tc>
          <w:tcPr>
            <w:tcW w:w="0" w:type="auto"/>
            <w:vAlign w:val="center"/>
          </w:tcPr>
          <w:p w14:paraId="7D73767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项目负责人自2021年1月1日至投标截止时间（以合同签订日期为准）承接过类似业绩的，每提供一项得2分，最多得4分。</w:t>
            </w:r>
          </w:p>
          <w:p w14:paraId="31F933C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注：提供上述业绩项目的合同（要点包括签约时间、项目名称、金额和双方盖章以及反映项目负责人信息），复印件并加盖单位公章，否则该项业绩视为无效。</w:t>
            </w:r>
          </w:p>
        </w:tc>
      </w:tr>
      <w:tr w14:paraId="4667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3B9C2ED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2CB06DB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2803E6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2E5696B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项目人员配备（10分）</w:t>
            </w:r>
          </w:p>
        </w:tc>
        <w:tc>
          <w:tcPr>
            <w:tcW w:w="0" w:type="auto"/>
            <w:vAlign w:val="center"/>
          </w:tcPr>
          <w:p w14:paraId="5063278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（1）[技术负责人]具有水利工程相关专业高级职称的得4分；具有水利工程相关专业中级职称的得2分；其他不得分。（提供职称证书）</w:t>
            </w:r>
          </w:p>
          <w:p w14:paraId="1C196F9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拟投入项目组专职人员]（提供：专职安全生产管理人员或专职安全员、质量管理人员、造价执业人员、施工员、资料员、材料员）符合要求得6分，少一人扣1分，扣完为止。（①专职安全生产管理人员或专职安全员提供具有有效的水利行政主管部门核发的施工企业专职安全生产管理人员或专职安全员安全生产考核合格证书（C类）；②造价执业人员提供取得国家有效的水利工程造价工程师注册证书；③质量管理人员提供水利工程相关专业中级（含）及以上职称；④施工员、资料员、材料员提供具有水利行政主管部门或水利行业部门颁发的有效岗位证书。）</w:t>
            </w:r>
          </w:p>
          <w:p w14:paraId="5B01C83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注：以上人员还需提供身份证以及供应商为其缴纳最近一个月的社保证明材料。</w:t>
            </w:r>
          </w:p>
        </w:tc>
      </w:tr>
      <w:tr w14:paraId="6494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14:paraId="6693D49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C</w:t>
            </w:r>
          </w:p>
        </w:tc>
        <w:tc>
          <w:tcPr>
            <w:tcW w:w="0" w:type="auto"/>
            <w:vMerge w:val="restart"/>
            <w:vAlign w:val="center"/>
          </w:tcPr>
          <w:p w14:paraId="0DEBA05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技术部分</w:t>
            </w:r>
          </w:p>
        </w:tc>
        <w:tc>
          <w:tcPr>
            <w:tcW w:w="0" w:type="auto"/>
            <w:vMerge w:val="restart"/>
            <w:vAlign w:val="center"/>
          </w:tcPr>
          <w:p w14:paraId="60C6551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70分</w:t>
            </w:r>
          </w:p>
        </w:tc>
        <w:tc>
          <w:tcPr>
            <w:tcW w:w="0" w:type="auto"/>
            <w:vAlign w:val="center"/>
          </w:tcPr>
          <w:p w14:paraId="2D65AE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工程概况及特点（20分）</w:t>
            </w:r>
          </w:p>
        </w:tc>
        <w:tc>
          <w:tcPr>
            <w:tcW w:w="0" w:type="auto"/>
            <w:vAlign w:val="center"/>
          </w:tcPr>
          <w:p w14:paraId="71F35B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包括不限于：（1）工程建设概况；（2）建筑设计特点；（3）结构设计特点；（4）设备安装设计特点；（5）工程施工特点；</w:t>
            </w:r>
          </w:p>
          <w:p w14:paraId="00ED4D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①工程概况及特点叙述准确，对项目有充分认识，逻辑准确，表述清晰、完整、具体，充分体现项目实际和施工特点，得20分；</w:t>
            </w:r>
          </w:p>
          <w:p w14:paraId="4F9285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②每有一项缺项或漏项扣4分，每有一处缺陷扣2分，扣完为止。（缺陷是指：前后内容不一致、缺少针对性、存在凭空编造、前后逻辑错误、描述或涉及的规范及标准错误、项目名称或实施地点区域错误、内容简略不够详细或与本项目无关等任意一种情形等）</w:t>
            </w:r>
          </w:p>
        </w:tc>
      </w:tr>
      <w:tr w14:paraId="1F1F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18B3A06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7CBD154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23A6D60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39222D7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施工方案（20分）</w:t>
            </w:r>
          </w:p>
        </w:tc>
        <w:tc>
          <w:tcPr>
            <w:tcW w:w="0" w:type="auto"/>
            <w:vAlign w:val="center"/>
          </w:tcPr>
          <w:p w14:paraId="45F2C4F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包括但不限于：（1）施工组织设计；（2）人员配备；（3）机械设备使用；（4）材料使用；（5）资金使用计划及其保证措施；</w:t>
            </w:r>
          </w:p>
          <w:p w14:paraId="2FF5B7D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①充分体现工程实际情况，对项目有充分认识，对“提高生产率、缩短工期、提高质量、降低消耗（节约成本）”逻辑准确，表述清晰、细化、完整，充分保证工程实施需求，得20分；</w:t>
            </w:r>
          </w:p>
          <w:p w14:paraId="62B99B1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②每有一项缺项或漏项扣4分，每有一处缺陷扣2分，扣完为止。（缺陷是指：前后内容不一致、缺少针对性、存在凭空编造、前后逻辑错误、描述或涉及的规范及标准错误、项目名称或实施地点区域错误、内容简略不够详细或与本项目无关等任意一种情形等）</w:t>
            </w:r>
          </w:p>
        </w:tc>
      </w:tr>
      <w:tr w14:paraId="2F1F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627FF4F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32256EF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5B4F4D4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2BBECE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施工准备计划（2分）</w:t>
            </w:r>
          </w:p>
        </w:tc>
        <w:tc>
          <w:tcPr>
            <w:tcW w:w="0" w:type="auto"/>
            <w:vAlign w:val="center"/>
          </w:tcPr>
          <w:p w14:paraId="581C28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①施工技术、现场、物资与机械、队伍准备计划，对项目有充分认识，逻辑准确，表述清晰、完整、具体，充分保证工程准备和实施需求，得2分；</w:t>
            </w:r>
          </w:p>
          <w:p w14:paraId="113E9D7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②每有一处缺陷扣0.5分，扣完为止。（缺陷是指：前后内容不一致、缺少针对性、存在凭空编造、前后逻辑错误、描述或涉及的规范及标准错误、项目名称或实施地点区域错误、内容简略不够详细或与本项目无关等任意一种情形等）</w:t>
            </w:r>
          </w:p>
        </w:tc>
      </w:tr>
      <w:tr w14:paraId="036C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4A6901B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42BFC13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575A52B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50DA94D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劳动力需用量计划（2分）</w:t>
            </w:r>
          </w:p>
        </w:tc>
        <w:tc>
          <w:tcPr>
            <w:tcW w:w="0" w:type="auto"/>
            <w:vAlign w:val="center"/>
          </w:tcPr>
          <w:p w14:paraId="15A0CDE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①供应商根据工程进度计划的安排计算得出，与工程进度计划完全一致，统筹安排细致、完整，充分保证项目实施劳动力需求，得2分；</w:t>
            </w:r>
          </w:p>
          <w:p w14:paraId="0BC106C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②每有一处缺陷扣0.5分，扣完为止。（缺陷是指：前后内容不一致、缺少针对性、存在凭空编造、前后逻辑错误、描述或涉及的规范及标准错误、项目名称或实施地点区域错误、内容简略不够详细或与本项目无关等任意一种情形等）</w:t>
            </w:r>
          </w:p>
        </w:tc>
      </w:tr>
      <w:tr w14:paraId="6E9D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1075037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41237F6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7C32A2D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6999B4F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材料需用量计划（2分）</w:t>
            </w:r>
          </w:p>
        </w:tc>
        <w:tc>
          <w:tcPr>
            <w:tcW w:w="0" w:type="auto"/>
            <w:vAlign w:val="center"/>
          </w:tcPr>
          <w:p w14:paraId="07EBBBC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①供应商根据工程进度计划的安排计算得出，与工程进度计划完全一致，统筹安排细致具体、完整，充分保证项目实施材料需用量需求，得2分；</w:t>
            </w:r>
          </w:p>
          <w:p w14:paraId="2317547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②每有一处缺陷扣0.5分，扣完为止。（缺陷是指：前后内容不一致、缺少针对性、存在凭空编造、前后逻辑错误、描述或涉及的规范及标准错误、项目名称或实施地点区域错误、内容简略不够详细或与本项目无关等任意一种情形等）</w:t>
            </w:r>
          </w:p>
        </w:tc>
      </w:tr>
      <w:tr w14:paraId="6BDD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31B6BEC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401975A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5FB3B41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3D6D2F0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机械、设备需用量计划（2分）</w:t>
            </w:r>
          </w:p>
        </w:tc>
        <w:tc>
          <w:tcPr>
            <w:tcW w:w="0" w:type="auto"/>
            <w:vAlign w:val="center"/>
          </w:tcPr>
          <w:p w14:paraId="6784A9D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①供应商根据工程进度计划的安排计算得出，与工程进度计划完全一致，统筹安排细致具体、完整，充分保证项目实施机械、设备需用量需求，得2分；</w:t>
            </w:r>
          </w:p>
          <w:p w14:paraId="1F1424D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②每有一处缺陷扣0.5分，扣完为止。（缺陷是指：前后内容不一致、缺少针对性、存在凭空编造、前后逻辑错误、描述或涉及的规范及标准错误、项目名称或实施地点区域错误、内容简略不够详细或与本项目无关等任意一种情形等）</w:t>
            </w:r>
          </w:p>
        </w:tc>
      </w:tr>
      <w:tr w14:paraId="3457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503FD81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6B74728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4E48C4A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1E3F816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施工平面图（2分）</w:t>
            </w:r>
          </w:p>
        </w:tc>
        <w:tc>
          <w:tcPr>
            <w:tcW w:w="0" w:type="auto"/>
            <w:vAlign w:val="center"/>
          </w:tcPr>
          <w:p w14:paraId="59B429B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①施工平面图，完全符合工程实际，布置紧凑科学，充分保证施工和管理需求，充分体现劳保、安全要求，得2分；</w:t>
            </w:r>
          </w:p>
          <w:p w14:paraId="2F31B8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②每有一处缺陷扣0.5分，扣完为止。（缺陷是指：前后内容不一致、缺少针对性、存在凭空编造、前后逻辑错误、描述或涉及的规范及标准错误、项目名称或实施地点区域错误、内容简略不够详细或与本项目无关等任意一种情形等）</w:t>
            </w:r>
          </w:p>
        </w:tc>
      </w:tr>
      <w:tr w14:paraId="73C7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6DF921B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6BBD440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2826A8C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56ED5E7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质量保证技术组织措施和保证体系（5分）</w:t>
            </w:r>
          </w:p>
        </w:tc>
        <w:tc>
          <w:tcPr>
            <w:tcW w:w="0" w:type="auto"/>
            <w:vAlign w:val="center"/>
          </w:tcPr>
          <w:p w14:paraId="3065081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包括但不限于：（1）施工质量控制方案；（2）主要工序；（3）施工工艺；（4）材料验收的质量控制；（5）针对项目特点的分部验收保证及措施、专项验收保证及措施、项目验收质量保证及措施；</w:t>
            </w:r>
          </w:p>
          <w:p w14:paraId="05F0F93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①对项目有充分认识，质量保证及措施充分体现工程实际情况，逻辑准确，表述清晰、细致具体、完整，完全符合并体现科学的施工规律、国家规定的强制性标准，充分保证工程实施质保措施和需求，得5分；</w:t>
            </w:r>
          </w:p>
          <w:p w14:paraId="71C2CE0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②每有一项缺项或漏项扣1分，每有一处缺陷扣0.5分，扣完为止。（缺陷是指：前后内容不一致、缺少针对性、存在凭空编造、描述或前后逻辑错误、涉及的规范及标准错误、项目名称或实施地点区域错误、内容简略不够详细或与本项目无关等任意一种情形等）</w:t>
            </w:r>
          </w:p>
        </w:tc>
      </w:tr>
      <w:tr w14:paraId="60E9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18E5383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0147031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7C2595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6BAA215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进度保证技术组织措施和体系（5分）</w:t>
            </w:r>
          </w:p>
        </w:tc>
        <w:tc>
          <w:tcPr>
            <w:tcW w:w="0" w:type="auto"/>
            <w:vAlign w:val="center"/>
          </w:tcPr>
          <w:p w14:paraId="46D9538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包括但不限于：（1）提供详细施工整体进度计划；（2）进度控制和工期保证及措施等；</w:t>
            </w:r>
          </w:p>
          <w:p w14:paraId="5FC6C61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①对项目有充分认识，进度保证及措施充分体现工程实际情况，逻辑准确，表述清晰、细化、完整，完全符合并体现科学的施工规律、国家规定的强制性标准，充分保证工程实施工期保证措施和需求，得5分；</w:t>
            </w:r>
          </w:p>
          <w:p w14:paraId="47F3AE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②每有一项缺项或漏项扣2.5分，每有一处缺陷扣1分，扣完为止。（缺陷是指：前后内容不一致、缺少针对性、存在凭空编造、描述或前后逻辑错误、涉及的规范及标准错误、项目名称或实施地点区域错误、内容简略不够详细或与本项目无关等任意一种情形等）</w:t>
            </w:r>
          </w:p>
        </w:tc>
      </w:tr>
      <w:tr w14:paraId="4C3A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4EB2806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0891514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3299A26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54A2233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安全保证技术组织措施和保证体系（5分）</w:t>
            </w:r>
          </w:p>
        </w:tc>
        <w:tc>
          <w:tcPr>
            <w:tcW w:w="0" w:type="auto"/>
            <w:vAlign w:val="center"/>
          </w:tcPr>
          <w:p w14:paraId="0095599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包括但不限于：（1）安全管理措施；（2）安全规章制度；（3）安全防护方法；（4）抗震加固改造和消防改造措施及保证；（5）风险管理和应对；</w:t>
            </w:r>
          </w:p>
          <w:p w14:paraId="1782737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①对项目有充分认识，安全保证技术组织措施和保证体系规范、制度完善、安全方法明确、风险管理和应对符合项目客观情况，充分体现工程实际，逻辑准确，表述清晰、细化、完整，完全符合并体现科学的施工规律、国家规定的强制性标准，充分保证工程实施安全保证措施和项目采购需求，得5分；</w:t>
            </w:r>
          </w:p>
          <w:p w14:paraId="28EB784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②每有一项缺项或漏项扣1分，每有一处缺陷扣0.5分，扣完为止。（缺陷是指：前后内容不一致、缺少针对性、存在凭空编造、描述或前后逻辑错误、涉及的规范及标准错误、项目名称或实施地点区域错误、内容简略不够详细或与本项目无关等任意一种情形等）</w:t>
            </w:r>
          </w:p>
        </w:tc>
      </w:tr>
      <w:tr w14:paraId="549C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06E498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22B47F4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44739C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19D3FE5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现场文明施工措施（5分）</w:t>
            </w:r>
          </w:p>
        </w:tc>
        <w:tc>
          <w:tcPr>
            <w:tcW w:w="0" w:type="auto"/>
            <w:vAlign w:val="center"/>
          </w:tcPr>
          <w:p w14:paraId="54AFCEC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包括但不限于：（1）管理措施及保证；（2）规章制度；</w:t>
            </w:r>
          </w:p>
          <w:p w14:paraId="01466AA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①对项目有充分认识，现场文明施工措施充分体现工程实际情况，逻辑准确，表述清晰、细化、完整，充分保证现场文明施工措施和需求，得5分；</w:t>
            </w:r>
          </w:p>
          <w:p w14:paraId="504B537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②每有一项缺项或漏项扣2.5分，每有一处缺陷扣1分，扣完为止。（缺陷是指：前后内容不一致、缺少针对性、存在凭空编造、描述或前后逻辑错误、涉及的规范及标准错误、项目名称或实施地点区域错误、内容简略不够详细或与本项目无关等任意一种情形等）</w:t>
            </w:r>
          </w:p>
        </w:tc>
      </w:tr>
    </w:tbl>
    <w:p w14:paraId="643EDB94">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三、推荐成交供应商</w:t>
      </w:r>
    </w:p>
    <w:p w14:paraId="525ED9C6">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1、磋商小组应当根据综合评分情况，按照评审得分由高到低顺序推荐3名以上成交候选供应商，并编写评审报告。符合《政府采购竞争性磋商采购方式管理暂行办法》（财库[2014]214号）中第二十一条第三款情形的，可以推荐2家成交候选供应商。评审得分相同的，按照最后报价由低到高的顺序推荐。评审得分且最后报价相同的，按照技术指标优劣顺序推荐。</w:t>
      </w:r>
    </w:p>
    <w:p w14:paraId="0927BE0E">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根据《财政部关于政府采购竞争性磋商采购方式管理暂行办法有关问题的补充通知》（财库〔2015〕124号）的规定，采用竞争性磋商采购方式采购的政府购买服务项目，在采购过程中符合要求的供应商只有2家的，竞争性磋商采购活动可以继续进行。采购过程中符合要求的供应商只有1家的，采购人或者采购代理机构应当终止竞争性磋商采购活动，发布项目终止公告并说明原因，重新开展采购活动。</w:t>
      </w:r>
    </w:p>
    <w:p w14:paraId="7E561F68">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2、评分计算方法解释</w:t>
      </w:r>
    </w:p>
    <w:p w14:paraId="5BD10721">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（1）供应商的评审得分是指所有磋商小组成员对其评分的算术平均值。</w:t>
      </w:r>
    </w:p>
    <w:p w14:paraId="228BB4B3">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（2）计算过程中，算术平均值保留2位小数（百分比亦取2位小数），第三位小数四舍五入。</w:t>
      </w:r>
    </w:p>
    <w:p w14:paraId="2321D549">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四、确定成交供应商</w:t>
      </w:r>
    </w:p>
    <w:p w14:paraId="1C3C80B9">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1、采购代理机构应当在评审结束后2个工作日内将评审报告送采购人确认。</w:t>
      </w:r>
    </w:p>
    <w:p w14:paraId="1412D955">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752120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75EB7CE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8"/>
          <w:szCs w:val="28"/>
          <w:lang w:val="en-US" w:eastAsia="zh-CN"/>
        </w:rPr>
      </w:pPr>
      <w:bookmarkStart w:id="8" w:name="_Toc31025"/>
      <w:r>
        <w:rPr>
          <w:rFonts w:hint="eastAsia" w:ascii="宋体" w:hAnsi="宋体" w:eastAsia="宋体" w:cs="宋体"/>
          <w:sz w:val="28"/>
          <w:szCs w:val="28"/>
          <w:lang w:val="en-US" w:eastAsia="zh-CN"/>
        </w:rPr>
        <w:t>第五章</w:t>
      </w:r>
      <w:r>
        <w:rPr>
          <w:rFonts w:hint="default" w:ascii="宋体" w:hAnsi="宋体" w:eastAsia="宋体" w:cs="宋体"/>
          <w:sz w:val="28"/>
          <w:szCs w:val="28"/>
          <w:lang w:val="en-US" w:eastAsia="zh-CN"/>
        </w:rPr>
        <w:t xml:space="preserve">  </w:t>
      </w:r>
      <w:r>
        <w:rPr>
          <w:rFonts w:hint="eastAsia" w:ascii="宋体" w:hAnsi="宋体" w:eastAsia="宋体" w:cs="宋体"/>
          <w:sz w:val="28"/>
          <w:szCs w:val="28"/>
          <w:lang w:val="en-US" w:eastAsia="zh-CN"/>
        </w:rPr>
        <w:t>合同文本</w:t>
      </w:r>
      <w:bookmarkEnd w:id="6"/>
      <w:bookmarkEnd w:id="8"/>
    </w:p>
    <w:p w14:paraId="108179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8"/>
          <w:szCs w:val="36"/>
          <w:lang w:val="en-US" w:eastAsia="zh-CN"/>
        </w:rPr>
      </w:pPr>
    </w:p>
    <w:p w14:paraId="4ACD66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8"/>
          <w:szCs w:val="36"/>
          <w:lang w:val="en-US" w:eastAsia="zh-CN"/>
        </w:rPr>
        <w:t>（此合同为模板，具体签订合同依照采购文件及响应文件，甲乙双方协商为准）</w:t>
      </w:r>
    </w:p>
    <w:p w14:paraId="384CD9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32"/>
          <w:lang w:val="en-US" w:eastAsia="zh-CN"/>
        </w:rPr>
      </w:pPr>
    </w:p>
    <w:p w14:paraId="497EC44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36"/>
          <w:lang w:val="en-US" w:eastAsia="zh-CN"/>
        </w:rPr>
      </w:pPr>
    </w:p>
    <w:p w14:paraId="1257A3E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36"/>
          <w:u w:val="none"/>
          <w:lang w:val="en-US" w:eastAsia="zh-CN"/>
        </w:rPr>
      </w:pPr>
      <w:r>
        <w:rPr>
          <w:rFonts w:hint="eastAsia" w:ascii="宋体" w:hAnsi="宋体" w:eastAsia="宋体" w:cs="宋体"/>
          <w:b w:val="0"/>
          <w:bCs w:val="0"/>
          <w:sz w:val="28"/>
          <w:szCs w:val="36"/>
          <w:lang w:val="en-US" w:eastAsia="zh-CN"/>
        </w:rPr>
        <w:t>（GF—2017—0201）</w:t>
      </w:r>
    </w:p>
    <w:p w14:paraId="612A400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p>
    <w:p w14:paraId="1F608BD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p>
    <w:p w14:paraId="1BE36D5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p>
    <w:p w14:paraId="2ACF35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u w:val="none"/>
          <w:lang w:val="en-US" w:eastAsia="zh-CN"/>
        </w:rPr>
      </w:pPr>
      <w:r>
        <w:rPr>
          <w:rFonts w:hint="eastAsia" w:ascii="宋体" w:hAnsi="宋体" w:eastAsia="宋体" w:cs="宋体"/>
          <w:b/>
          <w:bCs/>
          <w:sz w:val="30"/>
          <w:szCs w:val="30"/>
          <w:u w:val="none"/>
          <w:lang w:val="en-US" w:eastAsia="zh-CN"/>
        </w:rPr>
        <w:t>建设工程施工合同</w:t>
      </w:r>
    </w:p>
    <w:p w14:paraId="22B66F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u w:val="none"/>
          <w:lang w:val="en-US" w:eastAsia="zh-CN"/>
        </w:rPr>
      </w:pPr>
      <w:r>
        <w:rPr>
          <w:rFonts w:hint="eastAsia" w:ascii="宋体" w:hAnsi="宋体" w:eastAsia="宋体" w:cs="宋体"/>
          <w:b/>
          <w:bCs/>
          <w:sz w:val="30"/>
          <w:szCs w:val="30"/>
          <w:u w:val="none"/>
          <w:lang w:val="en-US" w:eastAsia="zh-CN"/>
        </w:rPr>
        <w:t>（示范文本）</w:t>
      </w:r>
    </w:p>
    <w:p w14:paraId="430D796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p>
    <w:p w14:paraId="3592D17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p>
    <w:p w14:paraId="2EC1B85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p>
    <w:p w14:paraId="2DAA0F7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p>
    <w:p w14:paraId="0041D73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p>
    <w:p w14:paraId="30BA25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p>
    <w:p w14:paraId="798D87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54" w:firstLineChars="1300"/>
        <w:jc w:val="both"/>
        <w:textAlignment w:val="auto"/>
        <w:rPr>
          <w:rFonts w:hint="eastAsia" w:ascii="宋体" w:hAnsi="宋体" w:eastAsia="宋体" w:cs="宋体"/>
          <w:b/>
          <w:bCs/>
          <w:kern w:val="2"/>
          <w:sz w:val="28"/>
          <w:szCs w:val="36"/>
          <w:lang w:val="en-US" w:eastAsia="zh-CN" w:bidi="ar-SA"/>
        </w:rPr>
      </w:pPr>
      <w:r>
        <w:rPr>
          <w:rFonts w:hint="eastAsia" w:ascii="宋体" w:hAnsi="宋体" w:eastAsia="宋体" w:cs="宋体"/>
          <w:b/>
          <w:bCs/>
          <w:kern w:val="2"/>
          <w:sz w:val="28"/>
          <w:szCs w:val="36"/>
          <w:lang w:val="en-US" w:eastAsia="zh-CN" w:bidi="ar-SA"/>
        </w:rPr>
        <w:t>住房城乡建设部</w:t>
      </w:r>
    </w:p>
    <w:p w14:paraId="6305E4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746" w:firstLineChars="2400"/>
        <w:jc w:val="both"/>
        <w:textAlignment w:val="auto"/>
        <w:rPr>
          <w:rFonts w:hint="eastAsia" w:ascii="宋体" w:hAnsi="宋体" w:eastAsia="宋体" w:cs="宋体"/>
          <w:b/>
          <w:bCs/>
          <w:kern w:val="2"/>
          <w:sz w:val="28"/>
          <w:szCs w:val="36"/>
          <w:lang w:val="en-US" w:eastAsia="zh-CN" w:bidi="ar-SA"/>
        </w:rPr>
      </w:pPr>
      <w:r>
        <w:rPr>
          <w:rFonts w:hint="eastAsia" w:ascii="宋体" w:hAnsi="宋体" w:eastAsia="宋体" w:cs="宋体"/>
          <w:b/>
          <w:bCs/>
          <w:kern w:val="2"/>
          <w:sz w:val="28"/>
          <w:szCs w:val="36"/>
          <w:lang w:val="en-US" w:eastAsia="zh-CN" w:bidi="ar-SA"/>
        </w:rPr>
        <w:t>制定</w:t>
      </w:r>
    </w:p>
    <w:p w14:paraId="7AFB53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54" w:firstLineChars="1300"/>
        <w:jc w:val="both"/>
        <w:textAlignment w:val="auto"/>
        <w:rPr>
          <w:rFonts w:hint="eastAsia" w:ascii="宋体" w:hAnsi="宋体" w:eastAsia="宋体" w:cs="宋体"/>
          <w:b/>
          <w:bCs/>
          <w:kern w:val="2"/>
          <w:sz w:val="28"/>
          <w:szCs w:val="36"/>
          <w:lang w:val="en-US" w:eastAsia="zh-CN" w:bidi="ar-SA"/>
        </w:rPr>
      </w:pPr>
      <w:r>
        <w:rPr>
          <w:rFonts w:hint="eastAsia" w:ascii="宋体" w:hAnsi="宋体" w:eastAsia="宋体" w:cs="宋体"/>
          <w:b/>
          <w:bCs/>
          <w:kern w:val="2"/>
          <w:sz w:val="28"/>
          <w:szCs w:val="36"/>
          <w:lang w:val="en-US" w:eastAsia="zh-CN" w:bidi="ar-SA"/>
        </w:rPr>
        <w:t>国家工商行政管理总局</w:t>
      </w:r>
    </w:p>
    <w:p w14:paraId="5809EA32">
      <w:pPr>
        <w:rPr>
          <w:rFonts w:hint="eastAsia" w:ascii="宋体" w:hAnsi="宋体" w:eastAsia="宋体" w:cs="宋体"/>
          <w:b/>
          <w:bCs/>
          <w:kern w:val="2"/>
          <w:sz w:val="28"/>
          <w:szCs w:val="36"/>
          <w:lang w:val="en-US" w:eastAsia="zh-CN" w:bidi="ar-SA"/>
        </w:rPr>
      </w:pPr>
      <w:r>
        <w:rPr>
          <w:rFonts w:hint="eastAsia" w:ascii="宋体" w:hAnsi="宋体" w:eastAsia="宋体" w:cs="宋体"/>
          <w:b/>
          <w:bCs/>
          <w:kern w:val="2"/>
          <w:sz w:val="28"/>
          <w:szCs w:val="36"/>
          <w:lang w:val="en-US" w:eastAsia="zh-CN" w:bidi="ar-SA"/>
        </w:rPr>
        <w:br w:type="page"/>
      </w:r>
    </w:p>
    <w:p w14:paraId="4B25136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2"/>
          <w:sz w:val="28"/>
          <w:szCs w:val="36"/>
          <w:lang w:val="en-US" w:eastAsia="zh-CN" w:bidi="ar-SA"/>
        </w:rPr>
      </w:pPr>
      <w:r>
        <w:rPr>
          <w:rFonts w:hint="eastAsia" w:ascii="宋体" w:hAnsi="宋体" w:eastAsia="宋体" w:cs="宋体"/>
          <w:b/>
          <w:bCs/>
          <w:kern w:val="2"/>
          <w:sz w:val="28"/>
          <w:szCs w:val="36"/>
          <w:lang w:val="en-US" w:eastAsia="zh-CN" w:bidi="ar-SA"/>
        </w:rPr>
        <w:t>说明</w:t>
      </w:r>
    </w:p>
    <w:p w14:paraId="0EFC7048">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18FB831B">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一、《示范文本》的组成</w:t>
      </w:r>
    </w:p>
    <w:p w14:paraId="14F5F454">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《示范文本》由合同协议书、通用合同条款和专用合同条款三部分组成。</w:t>
      </w:r>
    </w:p>
    <w:p w14:paraId="6176E7F7">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（一）合同协议书</w:t>
      </w:r>
    </w:p>
    <w:p w14:paraId="5F0A72BD">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23B53A93">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（二）专用合同条款</w:t>
      </w:r>
    </w:p>
    <w:p w14:paraId="13B4F7DA">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507AD47D">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1.专用合同条款的编号应与相应的通用合同条款的编号一致；</w:t>
      </w:r>
    </w:p>
    <w:p w14:paraId="3F668AFD">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2.合同当事人可以通过对专用合同条款的修改，满足具体建设工程的特殊要求，避免直接修改通用合同条款；</w:t>
      </w:r>
    </w:p>
    <w:p w14:paraId="7313EBAD">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3.在专用合同条款中有横道线的地方，合同当事人可针对相应的通用合同条款进行细化、完善、补充、修改或另行约定；如无细化、完善、补充、修改或另行约定，则填写“无”或划“/”。</w:t>
      </w:r>
    </w:p>
    <w:p w14:paraId="66DD627F">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二、《示范文本》的性质和适用范围</w:t>
      </w:r>
    </w:p>
    <w:p w14:paraId="66553E6E">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w:t>
      </w:r>
    </w:p>
    <w:p w14:paraId="72720909">
      <w:pPr>
        <w:rPr>
          <w:rFonts w:hint="eastAsia" w:ascii="宋体" w:hAnsi="宋体" w:eastAsia="宋体" w:cs="宋体"/>
          <w:sz w:val="24"/>
          <w:szCs w:val="24"/>
          <w:lang w:val="zh-CN"/>
        </w:rPr>
      </w:pPr>
      <w:r>
        <w:rPr>
          <w:rFonts w:hint="eastAsia" w:ascii="宋体" w:hAnsi="宋体" w:eastAsia="宋体" w:cs="宋体"/>
          <w:sz w:val="24"/>
          <w:szCs w:val="24"/>
          <w:lang w:val="zh-CN"/>
        </w:rPr>
        <w:br w:type="page"/>
      </w:r>
    </w:p>
    <w:p w14:paraId="26A8307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r>
        <w:rPr>
          <w:rFonts w:hint="eastAsia" w:ascii="宋体" w:hAnsi="宋体" w:eastAsia="宋体" w:cs="宋体"/>
          <w:b/>
          <w:bCs/>
          <w:kern w:val="2"/>
          <w:sz w:val="28"/>
          <w:szCs w:val="36"/>
          <w:lang w:val="en-US" w:eastAsia="zh-CN" w:bidi="ar-SA"/>
        </w:rPr>
        <w:t>第一部分  合同协议书</w:t>
      </w:r>
    </w:p>
    <w:p w14:paraId="211837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发包人（全称）：</w:t>
      </w:r>
      <w:r>
        <w:rPr>
          <w:rFonts w:hint="eastAsia" w:ascii="宋体" w:hAnsi="宋体" w:eastAsia="宋体" w:cs="宋体"/>
          <w:b w:val="0"/>
          <w:bCs w:val="0"/>
          <w:sz w:val="24"/>
          <w:szCs w:val="24"/>
          <w:u w:val="single"/>
          <w:lang w:val="en-US" w:eastAsia="zh-CN"/>
        </w:rPr>
        <w:t>伊吾县水利局</w:t>
      </w:r>
    </w:p>
    <w:p w14:paraId="2504CB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承包人（全称）：</w:t>
      </w:r>
      <w:r>
        <w:rPr>
          <w:rFonts w:hint="eastAsia" w:ascii="宋体" w:hAnsi="宋体" w:eastAsia="宋体" w:cs="宋体"/>
          <w:b w:val="0"/>
          <w:bCs w:val="0"/>
          <w:sz w:val="24"/>
          <w:szCs w:val="24"/>
          <w:u w:val="single"/>
          <w:lang w:val="en-US" w:eastAsia="zh-CN"/>
        </w:rPr>
        <w:t xml:space="preserve">                      </w:t>
      </w:r>
    </w:p>
    <w:p w14:paraId="16B12A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根据《中华人民共和国民法典》、《中华人民共和国建筑法》及有关法律规定，遵循平等、自愿、公平和诚实信用的原则，双方就</w:t>
      </w:r>
      <w:r>
        <w:rPr>
          <w:rFonts w:hint="eastAsia" w:ascii="宋体" w:hAnsi="宋体" w:eastAsia="宋体" w:cs="宋体"/>
          <w:b w:val="0"/>
          <w:bCs w:val="0"/>
          <w:sz w:val="24"/>
          <w:szCs w:val="24"/>
          <w:u w:val="single"/>
          <w:lang w:val="en-US" w:eastAsia="zh-CN"/>
        </w:rPr>
        <w:t>哈密市伊吾县大白杨沟中小河流治理工程</w:t>
      </w:r>
      <w:r>
        <w:rPr>
          <w:rFonts w:hint="eastAsia" w:ascii="宋体" w:hAnsi="宋体" w:eastAsia="宋体" w:cs="宋体"/>
          <w:b w:val="0"/>
          <w:bCs w:val="0"/>
          <w:sz w:val="24"/>
          <w:szCs w:val="24"/>
          <w:u w:val="none"/>
          <w:lang w:val="en-US" w:eastAsia="zh-CN"/>
        </w:rPr>
        <w:t>施工及有关事项协商一致，共同达成如下协议：</w:t>
      </w:r>
    </w:p>
    <w:p w14:paraId="346C19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一、工程概况</w:t>
      </w:r>
    </w:p>
    <w:p w14:paraId="7639CD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1.工程名称：</w:t>
      </w:r>
      <w:r>
        <w:rPr>
          <w:rFonts w:hint="eastAsia" w:ascii="宋体" w:hAnsi="宋体" w:eastAsia="宋体" w:cs="宋体"/>
          <w:b w:val="0"/>
          <w:bCs w:val="0"/>
          <w:sz w:val="24"/>
          <w:szCs w:val="24"/>
          <w:u w:val="single"/>
          <w:lang w:val="en-US" w:eastAsia="zh-CN"/>
        </w:rPr>
        <w:t xml:space="preserve">   哈密市伊吾县大白杨沟中小河流治理工程    </w:t>
      </w:r>
      <w:r>
        <w:rPr>
          <w:rFonts w:hint="eastAsia" w:ascii="宋体" w:hAnsi="宋体" w:eastAsia="宋体" w:cs="宋体"/>
          <w:b w:val="0"/>
          <w:bCs w:val="0"/>
          <w:sz w:val="24"/>
          <w:szCs w:val="24"/>
          <w:u w:val="none"/>
          <w:lang w:val="en-US" w:eastAsia="zh-CN"/>
        </w:rPr>
        <w:t>。</w:t>
      </w:r>
    </w:p>
    <w:p w14:paraId="5F758F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2.工程地点：</w:t>
      </w:r>
      <w:r>
        <w:rPr>
          <w:rFonts w:hint="eastAsia" w:ascii="宋体" w:hAnsi="宋体" w:eastAsia="宋体" w:cs="宋体"/>
          <w:b w:val="0"/>
          <w:bCs w:val="0"/>
          <w:sz w:val="24"/>
          <w:szCs w:val="24"/>
          <w:u w:val="single"/>
          <w:lang w:val="en-US" w:eastAsia="zh-CN"/>
        </w:rPr>
        <w:t xml:space="preserve">          伊吾县吐葫芦乡          </w:t>
      </w:r>
      <w:r>
        <w:rPr>
          <w:rFonts w:hint="eastAsia" w:ascii="宋体" w:hAnsi="宋体" w:eastAsia="宋体" w:cs="宋体"/>
          <w:b w:val="0"/>
          <w:bCs w:val="0"/>
          <w:sz w:val="24"/>
          <w:szCs w:val="24"/>
          <w:u w:val="none"/>
          <w:lang w:val="en-US" w:eastAsia="zh-CN"/>
        </w:rPr>
        <w:t>。</w:t>
      </w:r>
    </w:p>
    <w:p w14:paraId="473225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3.工程立项批准文号：</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1DB2B9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4.资金来源：</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14BAC9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5.工程内容：</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5A5AB1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6.工程承包范围：</w:t>
      </w:r>
    </w:p>
    <w:p w14:paraId="732A98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single"/>
          <w:lang w:val="en-US" w:eastAsia="zh-CN"/>
        </w:rPr>
        <w:t>本工程磋商文件及施工图纸范围内的全部施工内容以及按照施工惯例应由承包方完成的施工内容</w:t>
      </w:r>
      <w:r>
        <w:rPr>
          <w:rFonts w:hint="eastAsia" w:ascii="宋体" w:hAnsi="宋体" w:eastAsia="宋体" w:cs="宋体"/>
          <w:b w:val="0"/>
          <w:bCs w:val="0"/>
          <w:sz w:val="24"/>
          <w:szCs w:val="24"/>
          <w:u w:val="none"/>
          <w:lang w:val="en-US" w:eastAsia="zh-CN"/>
        </w:rPr>
        <w:t>。</w:t>
      </w:r>
    </w:p>
    <w:p w14:paraId="5B1678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二、合同工期</w:t>
      </w:r>
    </w:p>
    <w:p w14:paraId="02EF32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1、承包方应于</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年</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月</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日前完工。</w:t>
      </w:r>
    </w:p>
    <w:p w14:paraId="4DC8E7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2、承包人必须配备充足人员。确保本合同约定的项目在</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年</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月</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日全部完工，并达到发包人的验收合格标准。</w:t>
      </w:r>
    </w:p>
    <w:p w14:paraId="3E109D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三、质量标准</w:t>
      </w:r>
    </w:p>
    <w:p w14:paraId="49C513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工程质量符合</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标准，还必须符合现行国家有关工程施工质量验收规范和标准的要求。</w:t>
      </w:r>
    </w:p>
    <w:p w14:paraId="62672A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四、签约合同价与合同价格形式</w:t>
      </w:r>
      <w:r>
        <w:rPr>
          <w:rFonts w:hint="eastAsia" w:ascii="宋体" w:hAnsi="宋体" w:eastAsia="宋体" w:cs="宋体"/>
          <w:b w:val="0"/>
          <w:bCs w:val="0"/>
          <w:sz w:val="24"/>
          <w:szCs w:val="24"/>
          <w:u w:val="none"/>
          <w:lang w:val="en-US" w:eastAsia="zh-CN"/>
        </w:rPr>
        <w:tab/>
      </w:r>
    </w:p>
    <w:p w14:paraId="3512EE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1.签约合同价为：人民币（大写）</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整（小写¥</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元）；</w:t>
      </w:r>
    </w:p>
    <w:p w14:paraId="7FD5B4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2、合同价格形式：</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 xml:space="preserve">，双方约定以施工图、已标价工程量清单或预算书及有关条件进行合同价格计算、调整和确认的建设工程施工合同，在约定的范围内合同总价不作调整。 </w:t>
      </w:r>
    </w:p>
    <w:p w14:paraId="000F6E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五、项目经理</w:t>
      </w:r>
    </w:p>
    <w:p w14:paraId="62442A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承包人项目经理：</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22D8AF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六、合同文件构成</w:t>
      </w:r>
    </w:p>
    <w:p w14:paraId="2AC07D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本协议书与下列文件一起构成合同文件：</w:t>
      </w:r>
    </w:p>
    <w:p w14:paraId="0061E2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（1）中标通知书（如果有）；</w:t>
      </w:r>
    </w:p>
    <w:p w14:paraId="25D46F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（2）磋商文件</w:t>
      </w:r>
    </w:p>
    <w:p w14:paraId="612380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（3）投标函及其附录（如果有）；</w:t>
      </w:r>
    </w:p>
    <w:p w14:paraId="502418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（4）专用合同条款及其附件；</w:t>
      </w:r>
    </w:p>
    <w:p w14:paraId="1EBC21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（5）通用合同条款；</w:t>
      </w:r>
    </w:p>
    <w:p w14:paraId="6D7848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（6）技术标准和要求；</w:t>
      </w:r>
    </w:p>
    <w:p w14:paraId="6060D9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（7）图纸；</w:t>
      </w:r>
    </w:p>
    <w:p w14:paraId="43A13A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（8）已标价工程量清单或预算书；</w:t>
      </w:r>
    </w:p>
    <w:p w14:paraId="0DA247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（9）其他合同文件。</w:t>
      </w:r>
    </w:p>
    <w:p w14:paraId="17554A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在合同订立及履行过程中形成的与合同有关的文件均构成合同文件组成部分。</w:t>
      </w:r>
    </w:p>
    <w:p w14:paraId="787250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上述各项合同文件包括合同当事人就该项合同文件所作出的补充和修改，属于同一类内容的文件，应以最新签署的为准。专用合同条款及其附件须经合同当事人签字或盖章。</w:t>
      </w:r>
    </w:p>
    <w:p w14:paraId="29E55B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七、承诺</w:t>
      </w:r>
    </w:p>
    <w:p w14:paraId="360478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1.发包人承诺按照法律规定履行项目审批手续、筹集工程建设资金并按照合同约定的期限和方式支付合同价款。</w:t>
      </w:r>
    </w:p>
    <w:p w14:paraId="4FDE7C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2.承包人承诺按照法律规定及合同约定组织完成工程施工，确保工程质量和安全，不进行转包及违法分包，并在缺陷责任期及保修期内承担相应的工程维修责任。</w:t>
      </w:r>
    </w:p>
    <w:p w14:paraId="7B5BCC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3.发包人和承包人通过招投标形式签订合同的，双方理解并承诺不再就同一工程另行签订与合同实质性内容相背离的协议。</w:t>
      </w:r>
    </w:p>
    <w:p w14:paraId="61EC11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4.本合同任何一方不得对磋商文件确定的事项和中标人投标文件作实质性修改。如任何一方修改均为无效条款，该条款应以磋商文件约定为准，磋商文件未约定以中标通知书、投标文件为准。</w:t>
      </w:r>
    </w:p>
    <w:p w14:paraId="1925BE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八、词语含义</w:t>
      </w:r>
    </w:p>
    <w:p w14:paraId="47C048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本协议书中词语含义与第二部分通用合同条款中赋予的含义相同。</w:t>
      </w:r>
    </w:p>
    <w:p w14:paraId="4C4443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九、签订时间</w:t>
      </w:r>
    </w:p>
    <w:p w14:paraId="73A572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本合同于</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年</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月</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日签订。</w:t>
      </w:r>
    </w:p>
    <w:p w14:paraId="57D38E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十、签订地点</w:t>
      </w:r>
    </w:p>
    <w:p w14:paraId="4B20C0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本合同在</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签订。</w:t>
      </w:r>
    </w:p>
    <w:p w14:paraId="020C42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十一、补充协议</w:t>
      </w:r>
    </w:p>
    <w:p w14:paraId="2739E6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本合同未尽事宜，合同当事人另行签订补充协议，补充协议是本合同的不可分割的组成部分，与本合同具有同等法律效力。</w:t>
      </w:r>
    </w:p>
    <w:p w14:paraId="0F7747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十二、合同生效</w:t>
      </w:r>
    </w:p>
    <w:p w14:paraId="2D29EC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本合同</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生效。</w:t>
      </w:r>
    </w:p>
    <w:p w14:paraId="2678B6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十三、合同份数</w:t>
      </w:r>
    </w:p>
    <w:p w14:paraId="419CAA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本合同一式</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份，均具有同等法律效力，发包人执</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份，承包人</w:t>
      </w:r>
      <w:r>
        <w:rPr>
          <w:rFonts w:hint="eastAsia" w:ascii="宋体" w:hAnsi="宋体" w:eastAsia="宋体" w:cs="宋体"/>
          <w:b w:val="0"/>
          <w:bCs w:val="0"/>
          <w:sz w:val="24"/>
          <w:szCs w:val="24"/>
          <w:u w:val="single"/>
          <w:lang w:val="en-US" w:eastAsia="zh-CN"/>
        </w:rPr>
        <w:t xml:space="preserve">执   </w:t>
      </w:r>
      <w:r>
        <w:rPr>
          <w:rFonts w:hint="eastAsia" w:ascii="宋体" w:hAnsi="宋体" w:eastAsia="宋体" w:cs="宋体"/>
          <w:b w:val="0"/>
          <w:bCs w:val="0"/>
          <w:sz w:val="24"/>
          <w:szCs w:val="24"/>
          <w:u w:val="none"/>
          <w:lang w:val="en-US" w:eastAsia="zh-CN"/>
        </w:rPr>
        <w:t>份。</w:t>
      </w:r>
    </w:p>
    <w:p w14:paraId="2E0D83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发包人：</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（公章）             承包人：</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（公章）</w:t>
      </w:r>
    </w:p>
    <w:p w14:paraId="6B8AE5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法定代表人或其委托代理人（签字）：   法定代表人或其委托代理人（签字）：</w:t>
      </w:r>
    </w:p>
    <w:p w14:paraId="50EAE9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组织机构代码：</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 xml:space="preserve">             组织机构代码：</w:t>
      </w:r>
      <w:r>
        <w:rPr>
          <w:rFonts w:hint="eastAsia" w:ascii="宋体" w:hAnsi="宋体" w:eastAsia="宋体" w:cs="宋体"/>
          <w:b w:val="0"/>
          <w:bCs w:val="0"/>
          <w:sz w:val="24"/>
          <w:szCs w:val="24"/>
          <w:u w:val="single"/>
          <w:lang w:val="en-US" w:eastAsia="zh-CN"/>
        </w:rPr>
        <w:t xml:space="preserve">       </w:t>
      </w:r>
    </w:p>
    <w:p w14:paraId="7F606B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地址：</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 xml:space="preserve">                     地址：</w:t>
      </w:r>
      <w:r>
        <w:rPr>
          <w:rFonts w:hint="eastAsia" w:ascii="宋体" w:hAnsi="宋体" w:eastAsia="宋体" w:cs="宋体"/>
          <w:b w:val="0"/>
          <w:bCs w:val="0"/>
          <w:sz w:val="24"/>
          <w:szCs w:val="24"/>
          <w:u w:val="single"/>
          <w:lang w:val="en-US" w:eastAsia="zh-CN"/>
        </w:rPr>
        <w:t xml:space="preserve">       </w:t>
      </w:r>
    </w:p>
    <w:p w14:paraId="484596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邮政编码：</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 xml:space="preserve">               邮政编码：</w:t>
      </w:r>
      <w:r>
        <w:rPr>
          <w:rFonts w:hint="eastAsia" w:ascii="宋体" w:hAnsi="宋体" w:eastAsia="宋体" w:cs="宋体"/>
          <w:b w:val="0"/>
          <w:bCs w:val="0"/>
          <w:sz w:val="24"/>
          <w:szCs w:val="24"/>
          <w:u w:val="single"/>
          <w:lang w:val="en-US" w:eastAsia="zh-CN"/>
        </w:rPr>
        <w:t xml:space="preserve">       </w:t>
      </w:r>
    </w:p>
    <w:p w14:paraId="0D186A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电  话：</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 xml:space="preserve">                   电  话：</w:t>
      </w:r>
      <w:r>
        <w:rPr>
          <w:rFonts w:hint="eastAsia" w:ascii="宋体" w:hAnsi="宋体" w:eastAsia="宋体" w:cs="宋体"/>
          <w:b w:val="0"/>
          <w:bCs w:val="0"/>
          <w:sz w:val="24"/>
          <w:szCs w:val="24"/>
          <w:u w:val="single"/>
          <w:lang w:val="en-US" w:eastAsia="zh-CN"/>
        </w:rPr>
        <w:t xml:space="preserve">       </w:t>
      </w:r>
    </w:p>
    <w:p w14:paraId="442AC6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传  真：</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 xml:space="preserve">               传  真：</w:t>
      </w:r>
      <w:r>
        <w:rPr>
          <w:rFonts w:hint="eastAsia" w:ascii="宋体" w:hAnsi="宋体" w:eastAsia="宋体" w:cs="宋体"/>
          <w:b w:val="0"/>
          <w:bCs w:val="0"/>
          <w:sz w:val="24"/>
          <w:szCs w:val="24"/>
          <w:u w:val="single"/>
          <w:lang w:val="en-US" w:eastAsia="zh-CN"/>
        </w:rPr>
        <w:t xml:space="preserve">       </w:t>
      </w:r>
    </w:p>
    <w:p w14:paraId="44FD80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电子信箱：</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 xml:space="preserve">                 电子信箱：</w:t>
      </w:r>
      <w:r>
        <w:rPr>
          <w:rFonts w:hint="eastAsia" w:ascii="宋体" w:hAnsi="宋体" w:eastAsia="宋体" w:cs="宋体"/>
          <w:b w:val="0"/>
          <w:bCs w:val="0"/>
          <w:sz w:val="24"/>
          <w:szCs w:val="24"/>
          <w:u w:val="single"/>
          <w:lang w:val="en-US" w:eastAsia="zh-CN"/>
        </w:rPr>
        <w:t xml:space="preserve">       </w:t>
      </w:r>
    </w:p>
    <w:p w14:paraId="3A5FA9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开户银行：</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 xml:space="preserve">                 开户银行：</w:t>
      </w:r>
      <w:r>
        <w:rPr>
          <w:rFonts w:hint="eastAsia" w:ascii="宋体" w:hAnsi="宋体" w:eastAsia="宋体" w:cs="宋体"/>
          <w:b w:val="0"/>
          <w:bCs w:val="0"/>
          <w:sz w:val="24"/>
          <w:szCs w:val="24"/>
          <w:u w:val="single"/>
          <w:lang w:val="en-US" w:eastAsia="zh-CN"/>
        </w:rPr>
        <w:t xml:space="preserve">       </w:t>
      </w:r>
    </w:p>
    <w:p w14:paraId="01317D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bCs/>
          <w:sz w:val="28"/>
          <w:szCs w:val="36"/>
          <w:u w:val="none"/>
          <w:lang w:val="en-US" w:eastAsia="zh-CN"/>
        </w:rPr>
      </w:pPr>
      <w:r>
        <w:rPr>
          <w:rFonts w:hint="eastAsia" w:ascii="宋体" w:hAnsi="宋体" w:eastAsia="宋体" w:cs="宋体"/>
          <w:b w:val="0"/>
          <w:bCs w:val="0"/>
          <w:sz w:val="24"/>
          <w:szCs w:val="24"/>
          <w:u w:val="none"/>
          <w:lang w:val="en-US" w:eastAsia="zh-CN"/>
        </w:rPr>
        <w:t>账  号：</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 xml:space="preserve">                   账  号：</w:t>
      </w:r>
      <w:r>
        <w:rPr>
          <w:rFonts w:hint="eastAsia" w:ascii="宋体" w:hAnsi="宋体" w:eastAsia="宋体" w:cs="宋体"/>
          <w:b w:val="0"/>
          <w:bCs w:val="0"/>
          <w:sz w:val="24"/>
          <w:szCs w:val="24"/>
          <w:u w:val="single"/>
          <w:lang w:val="en-US" w:eastAsia="zh-CN"/>
        </w:rPr>
        <w:t xml:space="preserve">       </w:t>
      </w:r>
    </w:p>
    <w:p w14:paraId="57BF4AE7">
      <w:pPr>
        <w:rPr>
          <w:rFonts w:hint="eastAsia" w:ascii="宋体" w:hAnsi="宋体" w:eastAsia="宋体" w:cs="宋体"/>
          <w:b/>
          <w:bCs/>
          <w:sz w:val="28"/>
          <w:szCs w:val="36"/>
          <w:u w:val="none"/>
          <w:lang w:val="en-US" w:eastAsia="zh-CN"/>
        </w:rPr>
      </w:pPr>
      <w:r>
        <w:rPr>
          <w:rFonts w:hint="eastAsia" w:ascii="宋体" w:hAnsi="宋体" w:eastAsia="宋体" w:cs="宋体"/>
          <w:b/>
          <w:bCs/>
          <w:sz w:val="28"/>
          <w:szCs w:val="36"/>
          <w:u w:val="none"/>
          <w:lang w:val="en-US" w:eastAsia="zh-CN"/>
        </w:rPr>
        <w:br w:type="page"/>
      </w:r>
    </w:p>
    <w:p w14:paraId="318C114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r>
        <w:rPr>
          <w:rFonts w:hint="eastAsia" w:ascii="宋体" w:hAnsi="宋体" w:eastAsia="宋体" w:cs="宋体"/>
          <w:b/>
          <w:bCs/>
          <w:kern w:val="2"/>
          <w:sz w:val="28"/>
          <w:szCs w:val="36"/>
          <w:lang w:val="en-US" w:eastAsia="zh-CN" w:bidi="ar-SA"/>
        </w:rPr>
        <w:t>第二部  分合同协议书</w:t>
      </w:r>
    </w:p>
    <w:p w14:paraId="6B9C20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执行《建设工程施工合同（示范文本）》（GF-2017-0201）通用合同条款，此处略。</w:t>
      </w:r>
    </w:p>
    <w:p w14:paraId="61D5C3B5">
      <w:pPr>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br w:type="page"/>
      </w:r>
    </w:p>
    <w:p w14:paraId="5C97D0C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r>
        <w:rPr>
          <w:rFonts w:hint="eastAsia" w:ascii="宋体" w:hAnsi="宋体" w:eastAsia="宋体" w:cs="宋体"/>
          <w:b/>
          <w:bCs/>
          <w:kern w:val="2"/>
          <w:sz w:val="28"/>
          <w:szCs w:val="36"/>
          <w:lang w:val="en-US" w:eastAsia="zh-CN" w:bidi="ar-SA"/>
        </w:rPr>
        <w:t>第三部分  专用合同条款</w:t>
      </w:r>
    </w:p>
    <w:p w14:paraId="1CB53E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1.一般约定</w:t>
      </w:r>
    </w:p>
    <w:p w14:paraId="1078BF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1.1词语定义</w:t>
      </w:r>
    </w:p>
    <w:p w14:paraId="078EDC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1.1.1合同</w:t>
      </w:r>
    </w:p>
    <w:p w14:paraId="591110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1.1.1.10其他合同文件包括：</w:t>
      </w:r>
      <w:r>
        <w:rPr>
          <w:rFonts w:hint="eastAsia" w:ascii="宋体" w:hAnsi="宋体" w:eastAsia="宋体" w:cs="宋体"/>
          <w:b w:val="0"/>
          <w:bCs w:val="0"/>
          <w:sz w:val="24"/>
          <w:szCs w:val="24"/>
          <w:u w:val="single"/>
          <w:lang w:val="en-US" w:eastAsia="zh-CN"/>
        </w:rPr>
        <w:t>（1）合同协议书；（2）中标通知书；（3）合同专用条款（含数据表和磋商文件补充答疑书中与此有关的部分）；（4）合同通用条款；（5）磋商文件及其答疑附件；（6）投标书及其附件（含承包人在评标期间递交和确认并经业主同意的对有关问题的补充资料和澄清文件等）（7）标准、规范及有关技术文件（含磋商文件补充答疑书中与此有关的部分）；（8）图纸（含磋商文件补充答疑书中与此有关的部分）；（9）工程量清单；（10）工程报价书</w:t>
      </w:r>
      <w:r>
        <w:rPr>
          <w:rFonts w:hint="eastAsia" w:ascii="宋体" w:hAnsi="宋体" w:eastAsia="宋体" w:cs="宋体"/>
          <w:b w:val="0"/>
          <w:bCs w:val="0"/>
          <w:sz w:val="24"/>
          <w:szCs w:val="24"/>
          <w:u w:val="none"/>
          <w:lang w:val="en-US" w:eastAsia="zh-CN"/>
        </w:rPr>
        <w:t>。</w:t>
      </w:r>
    </w:p>
    <w:p w14:paraId="6174C1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single"/>
          <w:lang w:val="en-US" w:eastAsia="zh-CN"/>
        </w:rPr>
        <w:t>双方有关工程的洽谈、变更等书面协议或文件均视为本合同的组成部分。图纸与技术标准和要求之间有矛盾或者不一致的，以其中要求较严格的标准为准。合同双方在合同履行过程中签订的补充协议亦构成合同文件的组成部分，其解释顺序视其内容与其它合同文件的相互关系而定</w:t>
      </w:r>
      <w:r>
        <w:rPr>
          <w:rFonts w:hint="eastAsia" w:ascii="宋体" w:hAnsi="宋体" w:eastAsia="宋体" w:cs="宋体"/>
          <w:b w:val="0"/>
          <w:bCs w:val="0"/>
          <w:sz w:val="24"/>
          <w:szCs w:val="24"/>
          <w:u w:val="none"/>
          <w:lang w:val="en-US" w:eastAsia="zh-CN"/>
        </w:rPr>
        <w:t>。</w:t>
      </w:r>
    </w:p>
    <w:p w14:paraId="2BDE45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1.1.2合同当事人及其他相关方</w:t>
      </w:r>
    </w:p>
    <w:p w14:paraId="6D7F61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1.1.2.4监理人：</w:t>
      </w:r>
    </w:p>
    <w:p w14:paraId="47BAAD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名称：</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26EF5D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资质类别和等级：</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616B0D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联系电话：</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5EC678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电子信箱：</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72B23A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通信地址：</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391066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1.1.2.5设计人：</w:t>
      </w:r>
    </w:p>
    <w:p w14:paraId="53B984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名称：</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13F8A1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资质类别和等级：</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1CB301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联系电话：</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0574CA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电子信箱：</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7BA6C5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通信地址：</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147F35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1.1.3工程和设备</w:t>
      </w:r>
    </w:p>
    <w:p w14:paraId="3472D8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1.1.3.7作为施工现场组成部分的其他场所包括：</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22FDA3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1.1.3.9永久占地包括：</w:t>
      </w:r>
      <w:r>
        <w:rPr>
          <w:rFonts w:hint="eastAsia" w:ascii="宋体" w:hAnsi="宋体" w:eastAsia="宋体" w:cs="宋体"/>
          <w:b w:val="0"/>
          <w:bCs w:val="0"/>
          <w:sz w:val="24"/>
          <w:szCs w:val="24"/>
          <w:u w:val="single"/>
          <w:lang w:val="en-US" w:eastAsia="zh-CN"/>
        </w:rPr>
        <w:t>经许可，实施合同工程需永久占用的土地</w:t>
      </w:r>
      <w:r>
        <w:rPr>
          <w:rFonts w:hint="eastAsia" w:ascii="宋体" w:hAnsi="宋体" w:eastAsia="宋体" w:cs="宋体"/>
          <w:b w:val="0"/>
          <w:bCs w:val="0"/>
          <w:sz w:val="24"/>
          <w:szCs w:val="24"/>
          <w:u w:val="none"/>
          <w:lang w:val="en-US" w:eastAsia="zh-CN"/>
        </w:rPr>
        <w:t>。</w:t>
      </w:r>
    </w:p>
    <w:p w14:paraId="71025B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1.1.3.10临时占地包括：</w:t>
      </w:r>
      <w:r>
        <w:rPr>
          <w:rFonts w:hint="eastAsia" w:ascii="宋体" w:hAnsi="宋体" w:eastAsia="宋体" w:cs="宋体"/>
          <w:b w:val="0"/>
          <w:bCs w:val="0"/>
          <w:sz w:val="24"/>
          <w:szCs w:val="24"/>
          <w:u w:val="single"/>
          <w:lang w:val="en-US" w:eastAsia="zh-CN"/>
        </w:rPr>
        <w:t>经许可，施工所必需的临时设施所占用地</w:t>
      </w:r>
      <w:r>
        <w:rPr>
          <w:rFonts w:hint="eastAsia" w:ascii="宋体" w:hAnsi="宋体" w:eastAsia="宋体" w:cs="宋体"/>
          <w:b w:val="0"/>
          <w:bCs w:val="0"/>
          <w:sz w:val="24"/>
          <w:szCs w:val="24"/>
          <w:u w:val="none"/>
          <w:lang w:val="en-US" w:eastAsia="zh-CN"/>
        </w:rPr>
        <w:t>。</w:t>
      </w:r>
    </w:p>
    <w:p w14:paraId="476AE8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1.3法律</w:t>
      </w:r>
    </w:p>
    <w:p w14:paraId="2945DF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适用于合同的其他规范性文件：</w:t>
      </w:r>
      <w:r>
        <w:rPr>
          <w:rFonts w:hint="eastAsia" w:ascii="宋体" w:hAnsi="宋体" w:eastAsia="宋体" w:cs="宋体"/>
          <w:b w:val="0"/>
          <w:bCs w:val="0"/>
          <w:sz w:val="24"/>
          <w:szCs w:val="24"/>
          <w:u w:val="single"/>
          <w:lang w:val="en-US" w:eastAsia="zh-CN"/>
        </w:rPr>
        <w:t>《中华人民共和国民法典》、《中华人民共和国建筑法》、《建筑工程质量管理条例》、《建筑工程安全生产管理条例》等国家现行法律及自治区现行地方法规</w:t>
      </w:r>
      <w:r>
        <w:rPr>
          <w:rFonts w:hint="eastAsia" w:ascii="宋体" w:hAnsi="宋体" w:eastAsia="宋体" w:cs="宋体"/>
          <w:b w:val="0"/>
          <w:bCs w:val="0"/>
          <w:sz w:val="24"/>
          <w:szCs w:val="24"/>
          <w:u w:val="none"/>
          <w:lang w:val="en-US" w:eastAsia="zh-CN"/>
        </w:rPr>
        <w:t>。</w:t>
      </w:r>
    </w:p>
    <w:p w14:paraId="102AB4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1.4标准和规范</w:t>
      </w:r>
    </w:p>
    <w:p w14:paraId="02D278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1.4.1适用于工程的标准规范包括：</w:t>
      </w:r>
      <w:r>
        <w:rPr>
          <w:rFonts w:hint="eastAsia" w:ascii="宋体" w:hAnsi="宋体" w:eastAsia="宋体" w:cs="宋体"/>
          <w:b w:val="0"/>
          <w:bCs w:val="0"/>
          <w:sz w:val="24"/>
          <w:szCs w:val="24"/>
          <w:u w:val="single"/>
          <w:lang w:val="en-US" w:eastAsia="zh-CN"/>
        </w:rPr>
        <w:t>本工程项目的施工、材料及设备采购必须达到现行中华人民共和国及省、自治区、直辖市或行业的工程建设标准、规范的要求，如下述标准及规范有新出版者，以新出版者为准</w:t>
      </w:r>
      <w:r>
        <w:rPr>
          <w:rFonts w:hint="eastAsia" w:ascii="宋体" w:hAnsi="宋体" w:eastAsia="宋体" w:cs="宋体"/>
          <w:b w:val="0"/>
          <w:bCs w:val="0"/>
          <w:sz w:val="24"/>
          <w:szCs w:val="24"/>
          <w:u w:val="none"/>
          <w:lang w:val="en-US" w:eastAsia="zh-CN"/>
        </w:rPr>
        <w:t>。</w:t>
      </w:r>
    </w:p>
    <w:p w14:paraId="2977A0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1.4.2发包人提供国外标准、规范的名称：</w:t>
      </w:r>
      <w:r>
        <w:rPr>
          <w:rFonts w:hint="eastAsia" w:ascii="宋体" w:hAnsi="宋体" w:eastAsia="宋体" w:cs="宋体"/>
          <w:b w:val="0"/>
          <w:bCs w:val="0"/>
          <w:sz w:val="24"/>
          <w:szCs w:val="24"/>
          <w:u w:val="single"/>
          <w:lang w:val="en-US" w:eastAsia="zh-CN"/>
        </w:rPr>
        <w:t>按发包人指定的所在省区内已建工程的验收标准和规范</w:t>
      </w:r>
      <w:r>
        <w:rPr>
          <w:rFonts w:hint="eastAsia" w:ascii="宋体" w:hAnsi="宋体" w:eastAsia="宋体" w:cs="宋体"/>
          <w:b w:val="0"/>
          <w:bCs w:val="0"/>
          <w:sz w:val="24"/>
          <w:szCs w:val="24"/>
          <w:u w:val="none"/>
          <w:lang w:val="en-US" w:eastAsia="zh-CN"/>
        </w:rPr>
        <w:t>；</w:t>
      </w:r>
    </w:p>
    <w:p w14:paraId="459E31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发包人提供国外标准、规范的份数：</w:t>
      </w:r>
      <w:r>
        <w:rPr>
          <w:rFonts w:hint="eastAsia" w:ascii="宋体" w:hAnsi="宋体" w:eastAsia="宋体" w:cs="宋体"/>
          <w:b w:val="0"/>
          <w:bCs w:val="0"/>
          <w:sz w:val="24"/>
          <w:szCs w:val="24"/>
          <w:u w:val="single"/>
          <w:lang w:val="en-US" w:eastAsia="zh-CN"/>
        </w:rPr>
        <w:t>无</w:t>
      </w:r>
      <w:r>
        <w:rPr>
          <w:rFonts w:hint="eastAsia" w:ascii="宋体" w:hAnsi="宋体" w:eastAsia="宋体" w:cs="宋体"/>
          <w:b w:val="0"/>
          <w:bCs w:val="0"/>
          <w:sz w:val="24"/>
          <w:szCs w:val="24"/>
          <w:u w:val="none"/>
          <w:lang w:val="en-US" w:eastAsia="zh-CN"/>
        </w:rPr>
        <w:t>；</w:t>
      </w:r>
    </w:p>
    <w:p w14:paraId="73327D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发包人提供国外标准、规范的名称：</w:t>
      </w:r>
      <w:r>
        <w:rPr>
          <w:rFonts w:hint="eastAsia" w:ascii="宋体" w:hAnsi="宋体" w:eastAsia="宋体" w:cs="宋体"/>
          <w:b w:val="0"/>
          <w:bCs w:val="0"/>
          <w:sz w:val="24"/>
          <w:szCs w:val="24"/>
          <w:u w:val="single"/>
          <w:lang w:val="en-US" w:eastAsia="zh-CN"/>
        </w:rPr>
        <w:t>无</w:t>
      </w:r>
      <w:r>
        <w:rPr>
          <w:rFonts w:hint="eastAsia" w:ascii="宋体" w:hAnsi="宋体" w:eastAsia="宋体" w:cs="宋体"/>
          <w:b w:val="0"/>
          <w:bCs w:val="0"/>
          <w:sz w:val="24"/>
          <w:szCs w:val="24"/>
          <w:u w:val="none"/>
          <w:lang w:val="en-US" w:eastAsia="zh-CN"/>
        </w:rPr>
        <w:t>。</w:t>
      </w:r>
    </w:p>
    <w:p w14:paraId="52A4D4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1.4.3发包人对工程的技术标准和功能要求的特殊要求：</w:t>
      </w:r>
      <w:r>
        <w:rPr>
          <w:rFonts w:hint="eastAsia" w:ascii="宋体" w:hAnsi="宋体" w:eastAsia="宋体" w:cs="宋体"/>
          <w:b w:val="0"/>
          <w:bCs w:val="0"/>
          <w:sz w:val="24"/>
          <w:szCs w:val="24"/>
          <w:u w:val="single"/>
          <w:lang w:val="en-US" w:eastAsia="zh-CN"/>
        </w:rPr>
        <w:t>按合同约定执行</w:t>
      </w:r>
      <w:r>
        <w:rPr>
          <w:rFonts w:hint="eastAsia" w:ascii="宋体" w:hAnsi="宋体" w:eastAsia="宋体" w:cs="宋体"/>
          <w:b w:val="0"/>
          <w:bCs w:val="0"/>
          <w:sz w:val="24"/>
          <w:szCs w:val="24"/>
          <w:u w:val="none"/>
          <w:lang w:val="en-US" w:eastAsia="zh-CN"/>
        </w:rPr>
        <w:t>。</w:t>
      </w:r>
    </w:p>
    <w:p w14:paraId="4B5E54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1.5合同文件的优先顺序</w:t>
      </w:r>
    </w:p>
    <w:p w14:paraId="386FDA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合同文件组成及优先顺序为：</w:t>
      </w:r>
      <w:r>
        <w:rPr>
          <w:rFonts w:hint="eastAsia" w:ascii="宋体" w:hAnsi="宋体" w:eastAsia="宋体" w:cs="宋体"/>
          <w:b w:val="0"/>
          <w:bCs w:val="0"/>
          <w:sz w:val="24"/>
          <w:szCs w:val="24"/>
          <w:u w:val="single"/>
          <w:lang w:val="en-US" w:eastAsia="zh-CN"/>
        </w:rPr>
        <w:t>（1）合同协议书；（2）中标通知书；（3）合同专用条款（含数据表和磋商文件补充答疑书中与此有关的部分）；（4）合同通用条款；（5）磋商文件及其答疑附件；（6）投标书及其附件（含承包人在评标期间递交和确认并经业主同意的对有关问题的补充资料和澄清文件等）（7）标准、规范及有关技术文件（含磋商文件补充答疑书中与此有关的部分）；（8）图纸（含磋商文件补充答疑书中与此有关的部分）；（9）工程量清单；（10）工程报价书</w:t>
      </w:r>
      <w:r>
        <w:rPr>
          <w:rFonts w:hint="eastAsia" w:ascii="宋体" w:hAnsi="宋体" w:eastAsia="宋体" w:cs="宋体"/>
          <w:b w:val="0"/>
          <w:bCs w:val="0"/>
          <w:sz w:val="24"/>
          <w:szCs w:val="24"/>
          <w:u w:val="none"/>
          <w:lang w:val="en-US" w:eastAsia="zh-CN"/>
        </w:rPr>
        <w:t>。</w:t>
      </w:r>
    </w:p>
    <w:p w14:paraId="586B5F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single"/>
          <w:lang w:val="en-US" w:eastAsia="zh-CN"/>
        </w:rPr>
        <w:t>双方有关工程的洽谈、变更等书面协议或文件均视为本合同的组成部分。图纸与技术标准和要求之间有矛盾或者不一致的，以其中要求较严格的标准为准。合同双方在合同履行过程中签订的补充协议亦构成合同文件的组成部分，其解释顺序视其内容与其它合同文件的相互关系而定</w:t>
      </w:r>
      <w:r>
        <w:rPr>
          <w:rFonts w:hint="eastAsia" w:ascii="宋体" w:hAnsi="宋体" w:eastAsia="宋体" w:cs="宋体"/>
          <w:b w:val="0"/>
          <w:bCs w:val="0"/>
          <w:sz w:val="24"/>
          <w:szCs w:val="24"/>
          <w:u w:val="none"/>
          <w:lang w:val="en-US" w:eastAsia="zh-CN"/>
        </w:rPr>
        <w:t>。</w:t>
      </w:r>
    </w:p>
    <w:p w14:paraId="4DF425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1.6图纸和承包人文件</w:t>
      </w:r>
      <w:r>
        <w:rPr>
          <w:rFonts w:hint="eastAsia" w:ascii="宋体" w:hAnsi="宋体" w:eastAsia="宋体" w:cs="宋体"/>
          <w:b w:val="0"/>
          <w:bCs w:val="0"/>
          <w:sz w:val="24"/>
          <w:szCs w:val="24"/>
          <w:u w:val="none"/>
          <w:lang w:val="en-US" w:eastAsia="zh-CN"/>
        </w:rPr>
        <w:tab/>
      </w:r>
    </w:p>
    <w:p w14:paraId="275CD1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1.6.1图纸的提供</w:t>
      </w:r>
    </w:p>
    <w:p w14:paraId="42CA5D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发包人向承包人提供图纸的期限：</w:t>
      </w:r>
      <w:r>
        <w:rPr>
          <w:rFonts w:hint="eastAsia" w:ascii="宋体" w:hAnsi="宋体" w:eastAsia="宋体" w:cs="宋体"/>
          <w:b w:val="0"/>
          <w:bCs w:val="0"/>
          <w:sz w:val="24"/>
          <w:szCs w:val="24"/>
          <w:u w:val="single"/>
          <w:lang w:val="en-US" w:eastAsia="zh-CN"/>
        </w:rPr>
        <w:t>工程开工前   日向承包人提供本工程加盖有效印章的全套图纸</w:t>
      </w:r>
      <w:r>
        <w:rPr>
          <w:rFonts w:hint="eastAsia" w:ascii="宋体" w:hAnsi="宋体" w:eastAsia="宋体" w:cs="宋体"/>
          <w:b w:val="0"/>
          <w:bCs w:val="0"/>
          <w:sz w:val="24"/>
          <w:szCs w:val="24"/>
          <w:u w:val="none"/>
          <w:lang w:val="en-US" w:eastAsia="zh-CN"/>
        </w:rPr>
        <w:t>；</w:t>
      </w:r>
    </w:p>
    <w:p w14:paraId="16764F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发包人向承包人提供图纸的数量：</w:t>
      </w:r>
      <w:r>
        <w:rPr>
          <w:rFonts w:hint="eastAsia" w:ascii="宋体" w:hAnsi="宋体" w:eastAsia="宋体" w:cs="宋体"/>
          <w:b w:val="0"/>
          <w:bCs w:val="0"/>
          <w:sz w:val="24"/>
          <w:szCs w:val="24"/>
          <w:u w:val="single"/>
          <w:lang w:val="en-US" w:eastAsia="zh-CN"/>
        </w:rPr>
        <w:t>3套</w:t>
      </w:r>
      <w:r>
        <w:rPr>
          <w:rFonts w:hint="eastAsia" w:ascii="宋体" w:hAnsi="宋体" w:eastAsia="宋体" w:cs="宋体"/>
          <w:b w:val="0"/>
          <w:bCs w:val="0"/>
          <w:sz w:val="24"/>
          <w:szCs w:val="24"/>
          <w:u w:val="none"/>
          <w:lang w:val="en-US" w:eastAsia="zh-CN"/>
        </w:rPr>
        <w:t>；</w:t>
      </w:r>
    </w:p>
    <w:p w14:paraId="435AF8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发包人向承包人提供图纸的内容：</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66004E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1.6.4承包人文件</w:t>
      </w:r>
    </w:p>
    <w:p w14:paraId="5729A6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需要由承包人提供的文件，包括：</w:t>
      </w:r>
      <w:r>
        <w:rPr>
          <w:rFonts w:hint="eastAsia" w:ascii="宋体" w:hAnsi="宋体" w:eastAsia="宋体" w:cs="宋体"/>
          <w:b w:val="0"/>
          <w:bCs w:val="0"/>
          <w:sz w:val="24"/>
          <w:szCs w:val="24"/>
          <w:u w:val="single"/>
          <w:lang w:val="en-US" w:eastAsia="zh-CN"/>
        </w:rPr>
        <w:t>开工报告，施工组织设计，专项施工方案，进度报表及有关现场资料、经济签证、设计变更、竣工验收图纸、工程量清单</w:t>
      </w:r>
      <w:r>
        <w:rPr>
          <w:rFonts w:hint="eastAsia" w:ascii="宋体" w:hAnsi="宋体" w:eastAsia="宋体" w:cs="宋体"/>
          <w:b w:val="0"/>
          <w:bCs w:val="0"/>
          <w:sz w:val="24"/>
          <w:szCs w:val="24"/>
          <w:u w:val="none"/>
          <w:lang w:val="en-US" w:eastAsia="zh-CN"/>
        </w:rPr>
        <w:t>。</w:t>
      </w:r>
    </w:p>
    <w:p w14:paraId="4B4AC9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承包人提供的文件的期限为：</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0E541F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承包人提供的文件的数量为：</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20FB20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承包人提供的文件的形式为：</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191F2B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发包人审批承包人文件的期限：</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4EC640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1.6.5现场图纸准备</w:t>
      </w:r>
    </w:p>
    <w:p w14:paraId="308878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关于现场图纸准备的约定：</w:t>
      </w:r>
      <w:r>
        <w:rPr>
          <w:rFonts w:hint="eastAsia" w:ascii="宋体" w:hAnsi="宋体" w:eastAsia="宋体" w:cs="宋体"/>
          <w:b w:val="0"/>
          <w:bCs w:val="0"/>
          <w:sz w:val="24"/>
          <w:szCs w:val="24"/>
          <w:u w:val="single"/>
          <w:lang w:val="en-US" w:eastAsia="zh-CN"/>
        </w:rPr>
        <w:t>施工现场保存两套完整的施工图</w:t>
      </w:r>
      <w:r>
        <w:rPr>
          <w:rFonts w:hint="eastAsia" w:ascii="宋体" w:hAnsi="宋体" w:eastAsia="宋体" w:cs="宋体"/>
          <w:b w:val="0"/>
          <w:bCs w:val="0"/>
          <w:sz w:val="24"/>
          <w:szCs w:val="24"/>
          <w:u w:val="none"/>
          <w:lang w:val="en-US" w:eastAsia="zh-CN"/>
        </w:rPr>
        <w:t>。</w:t>
      </w:r>
    </w:p>
    <w:p w14:paraId="2E6BAD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1.7联络</w:t>
      </w:r>
    </w:p>
    <w:p w14:paraId="61C300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1.7.1发包人和承包人应当在天内将与合同有关的通知、批准、证明、证书、指示、指令、要求、请求、同意、意见、确定和决定等书面函件送达对方当事人。</w:t>
      </w:r>
    </w:p>
    <w:p w14:paraId="30F695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1.7.2发包人接收文件的地点：；</w:t>
      </w:r>
    </w:p>
    <w:p w14:paraId="4AD02D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发包人指定的接收人为：</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78D036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承包人接收文件的地点：</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2EFBA0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承包人指定的接收人为：</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29FFC0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监理人接收文件的地点：</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2F2FE0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监理人指定的接收人为：</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76BDF7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1.10交通运输</w:t>
      </w:r>
    </w:p>
    <w:p w14:paraId="196481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1.10.1出入现场的权利</w:t>
      </w:r>
    </w:p>
    <w:p w14:paraId="62D547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关于出入现场的权利的约定：</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459567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1.10.3场内交通</w:t>
      </w:r>
    </w:p>
    <w:p w14:paraId="1146AC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关于场外交通和场内交通的边界的约定：</w:t>
      </w:r>
      <w:r>
        <w:rPr>
          <w:rFonts w:hint="eastAsia" w:ascii="宋体" w:hAnsi="宋体" w:eastAsia="宋体" w:cs="宋体"/>
          <w:b w:val="0"/>
          <w:bCs w:val="0"/>
          <w:sz w:val="24"/>
          <w:szCs w:val="24"/>
          <w:u w:val="single"/>
          <w:lang w:val="en-US" w:eastAsia="zh-CN"/>
        </w:rPr>
        <w:t>施工现场封闭围挡范围以内为场内交通，范围以外为场外交通</w:t>
      </w:r>
      <w:r>
        <w:rPr>
          <w:rFonts w:hint="eastAsia" w:ascii="宋体" w:hAnsi="宋体" w:eastAsia="宋体" w:cs="宋体"/>
          <w:b w:val="0"/>
          <w:bCs w:val="0"/>
          <w:sz w:val="24"/>
          <w:szCs w:val="24"/>
          <w:u w:val="none"/>
          <w:lang w:val="en-US" w:eastAsia="zh-CN"/>
        </w:rPr>
        <w:t>。</w:t>
      </w:r>
    </w:p>
    <w:p w14:paraId="49D1C0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关于发包人向承包人免费提供满足工程施工需要的场内道路和交通设施的约定：</w:t>
      </w:r>
      <w:r>
        <w:rPr>
          <w:rFonts w:hint="eastAsia" w:ascii="宋体" w:hAnsi="宋体" w:eastAsia="宋体" w:cs="宋体"/>
          <w:b w:val="0"/>
          <w:bCs w:val="0"/>
          <w:sz w:val="24"/>
          <w:szCs w:val="24"/>
          <w:u w:val="single"/>
          <w:lang w:val="en-US" w:eastAsia="zh-CN"/>
        </w:rPr>
        <w:t>执行通用条款</w:t>
      </w:r>
      <w:r>
        <w:rPr>
          <w:rFonts w:hint="eastAsia" w:ascii="宋体" w:hAnsi="宋体" w:eastAsia="宋体" w:cs="宋体"/>
          <w:b w:val="0"/>
          <w:bCs w:val="0"/>
          <w:sz w:val="24"/>
          <w:szCs w:val="24"/>
          <w:u w:val="none"/>
          <w:lang w:val="en-US" w:eastAsia="zh-CN"/>
        </w:rPr>
        <w:t>。</w:t>
      </w:r>
    </w:p>
    <w:p w14:paraId="6C655B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1.10.4超大件和超重件的运输</w:t>
      </w:r>
    </w:p>
    <w:p w14:paraId="6DEF5F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运输超大件或超重件所需的道路和桥梁临时加固改造费用和其他有关费用：</w:t>
      </w:r>
      <w:r>
        <w:rPr>
          <w:rFonts w:hint="eastAsia" w:ascii="宋体" w:hAnsi="宋体" w:eastAsia="宋体" w:cs="宋体"/>
          <w:b w:val="0"/>
          <w:bCs w:val="0"/>
          <w:sz w:val="24"/>
          <w:szCs w:val="24"/>
          <w:u w:val="single"/>
          <w:lang w:val="en-US" w:eastAsia="zh-CN"/>
        </w:rPr>
        <w:t>由承包人承担</w:t>
      </w:r>
      <w:r>
        <w:rPr>
          <w:rFonts w:hint="eastAsia" w:ascii="宋体" w:hAnsi="宋体" w:eastAsia="宋体" w:cs="宋体"/>
          <w:b w:val="0"/>
          <w:bCs w:val="0"/>
          <w:sz w:val="24"/>
          <w:szCs w:val="24"/>
          <w:u w:val="none"/>
          <w:lang w:val="en-US" w:eastAsia="zh-CN"/>
        </w:rPr>
        <w:t>。</w:t>
      </w:r>
    </w:p>
    <w:p w14:paraId="6AB90E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1.11知识产权</w:t>
      </w:r>
    </w:p>
    <w:p w14:paraId="77C31B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val="0"/>
          <w:bCs w:val="0"/>
          <w:sz w:val="24"/>
          <w:szCs w:val="24"/>
          <w:u w:val="single"/>
          <w:lang w:val="en-US" w:eastAsia="zh-CN"/>
        </w:rPr>
        <w:t>归属发包人</w:t>
      </w:r>
      <w:r>
        <w:rPr>
          <w:rFonts w:hint="eastAsia" w:ascii="宋体" w:hAnsi="宋体" w:eastAsia="宋体" w:cs="宋体"/>
          <w:b w:val="0"/>
          <w:bCs w:val="0"/>
          <w:sz w:val="24"/>
          <w:szCs w:val="24"/>
          <w:u w:val="none"/>
          <w:lang w:val="en-US" w:eastAsia="zh-CN"/>
        </w:rPr>
        <w:t>。</w:t>
      </w:r>
    </w:p>
    <w:p w14:paraId="2F662C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关于发包人提供的上述文件的使用限制的要求：</w:t>
      </w:r>
      <w:r>
        <w:rPr>
          <w:rFonts w:hint="eastAsia" w:ascii="宋体" w:hAnsi="宋体" w:eastAsia="宋体" w:cs="宋体"/>
          <w:b w:val="0"/>
          <w:bCs w:val="0"/>
          <w:sz w:val="24"/>
          <w:szCs w:val="24"/>
          <w:u w:val="single"/>
          <w:lang w:val="en-US" w:eastAsia="zh-CN"/>
        </w:rPr>
        <w:t>按通用条款执行</w:t>
      </w:r>
      <w:r>
        <w:rPr>
          <w:rFonts w:hint="eastAsia" w:ascii="宋体" w:hAnsi="宋体" w:eastAsia="宋体" w:cs="宋体"/>
          <w:b w:val="0"/>
          <w:bCs w:val="0"/>
          <w:sz w:val="24"/>
          <w:szCs w:val="24"/>
          <w:u w:val="none"/>
          <w:lang w:val="en-US" w:eastAsia="zh-CN"/>
        </w:rPr>
        <w:t>。</w:t>
      </w:r>
    </w:p>
    <w:p w14:paraId="490009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1.11.2关于承包人为实施工程所编制文件的著作权的归属：</w:t>
      </w:r>
      <w:r>
        <w:rPr>
          <w:rFonts w:hint="eastAsia" w:ascii="宋体" w:hAnsi="宋体" w:eastAsia="宋体" w:cs="宋体"/>
          <w:b w:val="0"/>
          <w:bCs w:val="0"/>
          <w:sz w:val="24"/>
          <w:szCs w:val="24"/>
          <w:u w:val="single"/>
          <w:lang w:val="en-US" w:eastAsia="zh-CN"/>
        </w:rPr>
        <w:t>除署名权外，归发包人所有</w:t>
      </w:r>
      <w:r>
        <w:rPr>
          <w:rFonts w:hint="eastAsia" w:ascii="宋体" w:hAnsi="宋体" w:eastAsia="宋体" w:cs="宋体"/>
          <w:b w:val="0"/>
          <w:bCs w:val="0"/>
          <w:sz w:val="24"/>
          <w:szCs w:val="24"/>
          <w:u w:val="none"/>
          <w:lang w:val="en-US" w:eastAsia="zh-CN"/>
        </w:rPr>
        <w:t>。</w:t>
      </w:r>
    </w:p>
    <w:p w14:paraId="06BA6E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关于承包人提供的上述文件的使用限制的要求：</w:t>
      </w:r>
      <w:r>
        <w:rPr>
          <w:rFonts w:hint="eastAsia" w:ascii="宋体" w:hAnsi="宋体" w:eastAsia="宋体" w:cs="宋体"/>
          <w:b w:val="0"/>
          <w:bCs w:val="0"/>
          <w:sz w:val="24"/>
          <w:szCs w:val="24"/>
          <w:u w:val="single"/>
          <w:lang w:val="en-US" w:eastAsia="zh-CN"/>
        </w:rPr>
        <w:t>执行通用条款</w:t>
      </w:r>
      <w:r>
        <w:rPr>
          <w:rFonts w:hint="eastAsia" w:ascii="宋体" w:hAnsi="宋体" w:eastAsia="宋体" w:cs="宋体"/>
          <w:b w:val="0"/>
          <w:bCs w:val="0"/>
          <w:sz w:val="24"/>
          <w:szCs w:val="24"/>
          <w:u w:val="none"/>
          <w:lang w:val="en-US" w:eastAsia="zh-CN"/>
        </w:rPr>
        <w:t>。</w:t>
      </w:r>
    </w:p>
    <w:p w14:paraId="36007F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1.11.4承包人在施工过程中所采用的专利、专有技术、技术秘密的使用费的承担方式：</w:t>
      </w:r>
      <w:r>
        <w:rPr>
          <w:rFonts w:hint="eastAsia" w:ascii="宋体" w:hAnsi="宋体" w:eastAsia="宋体" w:cs="宋体"/>
          <w:b w:val="0"/>
          <w:bCs w:val="0"/>
          <w:sz w:val="24"/>
          <w:szCs w:val="24"/>
          <w:u w:val="single"/>
          <w:lang w:val="en-US" w:eastAsia="zh-CN"/>
        </w:rPr>
        <w:t>已包含在合同价中</w:t>
      </w:r>
      <w:r>
        <w:rPr>
          <w:rFonts w:hint="eastAsia" w:ascii="宋体" w:hAnsi="宋体" w:eastAsia="宋体" w:cs="宋体"/>
          <w:b w:val="0"/>
          <w:bCs w:val="0"/>
          <w:sz w:val="24"/>
          <w:szCs w:val="24"/>
          <w:u w:val="none"/>
          <w:lang w:val="en-US" w:eastAsia="zh-CN"/>
        </w:rPr>
        <w:t>。</w:t>
      </w:r>
    </w:p>
    <w:p w14:paraId="288A7A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1.13工程量清单错误的修正</w:t>
      </w:r>
    </w:p>
    <w:p w14:paraId="022BC7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出现工程量清单错误时，是否调整合同价格：</w:t>
      </w:r>
      <w:r>
        <w:rPr>
          <w:rFonts w:hint="eastAsia" w:ascii="宋体" w:hAnsi="宋体" w:eastAsia="宋体" w:cs="宋体"/>
          <w:b w:val="0"/>
          <w:bCs w:val="0"/>
          <w:sz w:val="24"/>
          <w:szCs w:val="24"/>
          <w:u w:val="single"/>
          <w:lang w:val="en-US" w:eastAsia="zh-CN"/>
        </w:rPr>
        <w:t>调整</w:t>
      </w:r>
      <w:r>
        <w:rPr>
          <w:rFonts w:hint="eastAsia" w:ascii="宋体" w:hAnsi="宋体" w:eastAsia="宋体" w:cs="宋体"/>
          <w:b w:val="0"/>
          <w:bCs w:val="0"/>
          <w:sz w:val="24"/>
          <w:szCs w:val="24"/>
          <w:u w:val="none"/>
          <w:lang w:val="en-US" w:eastAsia="zh-CN"/>
        </w:rPr>
        <w:t>。</w:t>
      </w:r>
    </w:p>
    <w:p w14:paraId="52B151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允许调整合同价格的工程量偏差范围：</w:t>
      </w:r>
      <w:r>
        <w:rPr>
          <w:rFonts w:hint="eastAsia" w:ascii="宋体" w:hAnsi="宋体" w:eastAsia="宋体" w:cs="宋体"/>
          <w:b w:val="0"/>
          <w:bCs w:val="0"/>
          <w:sz w:val="24"/>
          <w:szCs w:val="24"/>
          <w:u w:val="single"/>
          <w:lang w:val="en-US" w:eastAsia="zh-CN"/>
        </w:rPr>
        <w:t>允许调整合同价格的工程量偏差范围：投标文件工程量清单中的综合单价不因材料、机械设备等市场因素价格变化而作任何变动，除非这类项目实际施工中发生设计变更或招标工程量错误，当工程量偏差在±15%（包含15%）以内时，其综合单价不做调整；当工程量偏差超过±15%时，超过部分对综合单价增加超15%部分的工程量的综合单价调减10%，减少超15%后剩余工程量的综合单价调增10%，但是新的单价仅适用于增减变化超出原工程量清单工程量数额15%以外的那一部分，，范围之内的工程量仍执行原来单价</w:t>
      </w:r>
      <w:r>
        <w:rPr>
          <w:rFonts w:hint="eastAsia" w:ascii="宋体" w:hAnsi="宋体" w:eastAsia="宋体" w:cs="宋体"/>
          <w:b w:val="0"/>
          <w:bCs w:val="0"/>
          <w:sz w:val="24"/>
          <w:szCs w:val="24"/>
          <w:u w:val="none"/>
          <w:lang w:val="en-US" w:eastAsia="zh-CN"/>
        </w:rPr>
        <w:t>。</w:t>
      </w:r>
    </w:p>
    <w:p w14:paraId="4083E8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2.发包人</w:t>
      </w:r>
    </w:p>
    <w:p w14:paraId="294545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2.2发包人代表</w:t>
      </w:r>
    </w:p>
    <w:p w14:paraId="731A7D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发包人代表：</w:t>
      </w:r>
    </w:p>
    <w:p w14:paraId="2C2E60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姓名：</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06D50E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身份证号：</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607EA5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职务：</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2CA18F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联系电话：</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21975A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电子信箱：</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16E484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通信地址：</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713B6B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发包人对发包人代表的授权范围如下：</w:t>
      </w:r>
      <w:r>
        <w:rPr>
          <w:rFonts w:hint="eastAsia" w:ascii="宋体" w:hAnsi="宋体" w:eastAsia="宋体" w:cs="宋体"/>
          <w:b w:val="0"/>
          <w:bCs w:val="0"/>
          <w:sz w:val="24"/>
          <w:szCs w:val="24"/>
          <w:u w:val="single"/>
          <w:lang w:val="en-US" w:eastAsia="zh-CN"/>
        </w:rPr>
        <w:t>对建筑工程施工全过程进行全面控制、监督、协调</w:t>
      </w:r>
      <w:r>
        <w:rPr>
          <w:rFonts w:hint="eastAsia" w:ascii="宋体" w:hAnsi="宋体" w:eastAsia="宋体" w:cs="宋体"/>
          <w:b w:val="0"/>
          <w:bCs w:val="0"/>
          <w:sz w:val="24"/>
          <w:szCs w:val="24"/>
          <w:u w:val="none"/>
          <w:lang w:val="en-US" w:eastAsia="zh-CN"/>
        </w:rPr>
        <w:t>。</w:t>
      </w:r>
    </w:p>
    <w:p w14:paraId="7CFE16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2.4施工现场、施工条件和基础资料的提供</w:t>
      </w:r>
    </w:p>
    <w:p w14:paraId="346AFB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2.4.1提供施工现场</w:t>
      </w:r>
    </w:p>
    <w:p w14:paraId="5ABB12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关于发包人移交施工现场的期限要求：</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61CAC0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2.4.2提供施工条件</w:t>
      </w:r>
    </w:p>
    <w:p w14:paraId="66F378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关于发包人应负责提供施工所需要的条件，包括：</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02D765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2.5资金来源证明及支付担保</w:t>
      </w:r>
    </w:p>
    <w:p w14:paraId="3BF8D0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发包人提供资金来源证明的期限要求：/。</w:t>
      </w:r>
    </w:p>
    <w:p w14:paraId="14640B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发包人是否提供支付担保：/。</w:t>
      </w:r>
    </w:p>
    <w:p w14:paraId="3D4409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发包人提供支付担保的形式：/。</w:t>
      </w:r>
    </w:p>
    <w:p w14:paraId="4DDF5D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3.承包人</w:t>
      </w:r>
    </w:p>
    <w:p w14:paraId="4242AE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3.1承包人的一般义务</w:t>
      </w:r>
    </w:p>
    <w:p w14:paraId="2A7A6A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（9）承包人提交的竣工资料的内容：</w:t>
      </w:r>
      <w:r>
        <w:rPr>
          <w:rFonts w:hint="eastAsia" w:ascii="宋体" w:hAnsi="宋体" w:eastAsia="宋体" w:cs="宋体"/>
          <w:b w:val="0"/>
          <w:bCs w:val="0"/>
          <w:sz w:val="24"/>
          <w:szCs w:val="24"/>
          <w:u w:val="single"/>
          <w:lang w:val="en-US" w:eastAsia="zh-CN"/>
        </w:rPr>
        <w:t>按工程所在地城建档案馆要求，承包人提交竣工付款申请，竣工结算报告及完整的结算资料的时间为竣工验收合格之日起28天内</w:t>
      </w:r>
      <w:r>
        <w:rPr>
          <w:rFonts w:hint="eastAsia" w:ascii="宋体" w:hAnsi="宋体" w:eastAsia="宋体" w:cs="宋体"/>
          <w:b w:val="0"/>
          <w:bCs w:val="0"/>
          <w:sz w:val="24"/>
          <w:szCs w:val="24"/>
          <w:u w:val="none"/>
          <w:lang w:val="en-US" w:eastAsia="zh-CN"/>
        </w:rPr>
        <w:t>。</w:t>
      </w:r>
    </w:p>
    <w:p w14:paraId="53A958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承包人需要提交的竣工资料套数：</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6D5868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承包人提交的竣工资料的费用承担：</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0104B3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承包人提交的竣工资料移交时间：</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2B1009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承包人提交的竣工资料形式要求：</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3F7CB8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（10）承包人应履行的其他义务：</w:t>
      </w:r>
    </w:p>
    <w:p w14:paraId="1A7429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single"/>
          <w:lang w:val="en-US" w:eastAsia="zh-CN"/>
        </w:rPr>
        <w:t>1）办理法律规定应由承包人办理的许可和批准，并将办理结果书面报送发包人留存</w:t>
      </w:r>
      <w:r>
        <w:rPr>
          <w:rFonts w:hint="eastAsia" w:ascii="宋体" w:hAnsi="宋体" w:eastAsia="宋体" w:cs="宋体"/>
          <w:b w:val="0"/>
          <w:bCs w:val="0"/>
          <w:sz w:val="24"/>
          <w:szCs w:val="24"/>
          <w:u w:val="none"/>
          <w:lang w:val="en-US" w:eastAsia="zh-CN"/>
        </w:rPr>
        <w:t>；</w:t>
      </w:r>
    </w:p>
    <w:p w14:paraId="561C75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single"/>
          <w:lang w:val="en-US" w:eastAsia="zh-CN"/>
        </w:rPr>
        <w:t>2）按法律规定和合同约定完成工程，并在保修期内承担保修义务</w:t>
      </w:r>
      <w:r>
        <w:rPr>
          <w:rFonts w:hint="eastAsia" w:ascii="宋体" w:hAnsi="宋体" w:eastAsia="宋体" w:cs="宋体"/>
          <w:b w:val="0"/>
          <w:bCs w:val="0"/>
          <w:sz w:val="24"/>
          <w:szCs w:val="24"/>
          <w:u w:val="none"/>
          <w:lang w:val="en-US" w:eastAsia="zh-CN"/>
        </w:rPr>
        <w:t>；</w:t>
      </w:r>
    </w:p>
    <w:p w14:paraId="77C067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single"/>
          <w:lang w:val="en-US" w:eastAsia="zh-CN"/>
        </w:rPr>
        <w:t>3）按法律规定和合同约定采取施工安全和环境保护措施，办理工伤保险，确保工程及人员、材料、设备和设施的安全</w:t>
      </w:r>
      <w:r>
        <w:rPr>
          <w:rFonts w:hint="eastAsia" w:ascii="宋体" w:hAnsi="宋体" w:eastAsia="宋体" w:cs="宋体"/>
          <w:b w:val="0"/>
          <w:bCs w:val="0"/>
          <w:sz w:val="24"/>
          <w:szCs w:val="24"/>
          <w:u w:val="none"/>
          <w:lang w:val="en-US" w:eastAsia="zh-CN"/>
        </w:rPr>
        <w:t>；</w:t>
      </w:r>
    </w:p>
    <w:p w14:paraId="2E443A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single"/>
          <w:lang w:val="en-US" w:eastAsia="zh-CN"/>
        </w:rPr>
        <w:t>4）按合同约定的工作内容和施工进度要求，编制施工组织设计和施工措施计划，并对所有施工作业和施工方法的完备性和安全可靠性负责</w:t>
      </w:r>
      <w:r>
        <w:rPr>
          <w:rFonts w:hint="eastAsia" w:ascii="宋体" w:hAnsi="宋体" w:eastAsia="宋体" w:cs="宋体"/>
          <w:b w:val="0"/>
          <w:bCs w:val="0"/>
          <w:sz w:val="24"/>
          <w:szCs w:val="24"/>
          <w:u w:val="none"/>
          <w:lang w:val="en-US" w:eastAsia="zh-CN"/>
        </w:rPr>
        <w:t>；</w:t>
      </w:r>
    </w:p>
    <w:p w14:paraId="78EFDC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single"/>
          <w:lang w:val="en-US" w:eastAsia="zh-CN"/>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r>
        <w:rPr>
          <w:rFonts w:hint="eastAsia" w:ascii="宋体" w:hAnsi="宋体" w:eastAsia="宋体" w:cs="宋体"/>
          <w:b w:val="0"/>
          <w:bCs w:val="0"/>
          <w:sz w:val="24"/>
          <w:szCs w:val="24"/>
          <w:u w:val="none"/>
          <w:lang w:val="en-US" w:eastAsia="zh-CN"/>
        </w:rPr>
        <w:t>；</w:t>
      </w:r>
    </w:p>
    <w:p w14:paraId="66CE3F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3.2项目经理</w:t>
      </w:r>
    </w:p>
    <w:p w14:paraId="46F237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3.2.1项目经理：</w:t>
      </w:r>
    </w:p>
    <w:p w14:paraId="185F8E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姓名：</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0A5AF1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身份证号：</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7A9302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建造师执业资格等级：</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0CC0B6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建造师注册证书号：</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0AA952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建造师执业印章号：</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789E7D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安全生产考核合格证书号：；</w:t>
      </w:r>
    </w:p>
    <w:p w14:paraId="7B1D7B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联系电话：</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087064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电子信箱：</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26D1DF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通信地址：</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47E545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承包人对项目经理的授权范围如下：</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4B7DA7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single"/>
          <w:lang w:val="en-US" w:eastAsia="zh-CN"/>
        </w:rPr>
        <w:t>投标文件中项目负责人与本合同约定的项目经理必须为同一人，不得指派其他人员代替</w:t>
      </w:r>
      <w:r>
        <w:rPr>
          <w:rFonts w:hint="eastAsia" w:ascii="宋体" w:hAnsi="宋体" w:eastAsia="宋体" w:cs="宋体"/>
          <w:b w:val="0"/>
          <w:bCs w:val="0"/>
          <w:sz w:val="24"/>
          <w:szCs w:val="24"/>
          <w:u w:val="none"/>
          <w:lang w:val="en-US" w:eastAsia="zh-CN"/>
        </w:rPr>
        <w:t>。</w:t>
      </w:r>
    </w:p>
    <w:p w14:paraId="143BC3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关于项目经理每月在施工现场的时间要求：</w:t>
      </w:r>
      <w:r>
        <w:rPr>
          <w:rFonts w:hint="eastAsia" w:ascii="宋体" w:hAnsi="宋体" w:eastAsia="宋体" w:cs="宋体"/>
          <w:b w:val="0"/>
          <w:bCs w:val="0"/>
          <w:sz w:val="24"/>
          <w:szCs w:val="24"/>
          <w:u w:val="single"/>
          <w:lang w:val="en-US" w:eastAsia="zh-CN"/>
        </w:rPr>
        <w:t>项目经理每天必须在工地坚守岗位，不得另行承担其他工程项目的管理工作，否则视为承包方违约</w:t>
      </w:r>
      <w:r>
        <w:rPr>
          <w:rFonts w:hint="eastAsia" w:ascii="宋体" w:hAnsi="宋体" w:eastAsia="宋体" w:cs="宋体"/>
          <w:b w:val="0"/>
          <w:bCs w:val="0"/>
          <w:sz w:val="24"/>
          <w:szCs w:val="24"/>
          <w:u w:val="none"/>
          <w:lang w:val="en-US" w:eastAsia="zh-CN"/>
        </w:rPr>
        <w:t>。</w:t>
      </w:r>
    </w:p>
    <w:p w14:paraId="448135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承包人未提交劳动合同，以及没有为项目经理缴纳社会保险证明的违约责任：</w:t>
      </w:r>
      <w:r>
        <w:rPr>
          <w:rFonts w:hint="eastAsia" w:ascii="宋体" w:hAnsi="宋体" w:eastAsia="宋体" w:cs="宋体"/>
          <w:b w:val="0"/>
          <w:bCs w:val="0"/>
          <w:sz w:val="24"/>
          <w:szCs w:val="24"/>
          <w:u w:val="single"/>
          <w:lang w:val="en-US" w:eastAsia="zh-CN"/>
        </w:rPr>
        <w:t>发包人限期承包人在收到提交要求后3日内补交，并承担违约金1万元；3日内不能补交的，承包人必须更换项目经理，并承担违约金3万元，由此导致的一切责任由承包人承担</w:t>
      </w:r>
      <w:r>
        <w:rPr>
          <w:rFonts w:hint="eastAsia" w:ascii="宋体" w:hAnsi="宋体" w:eastAsia="宋体" w:cs="宋体"/>
          <w:b w:val="0"/>
          <w:bCs w:val="0"/>
          <w:sz w:val="24"/>
          <w:szCs w:val="24"/>
          <w:u w:val="none"/>
          <w:lang w:val="en-US" w:eastAsia="zh-CN"/>
        </w:rPr>
        <w:t>。</w:t>
      </w:r>
    </w:p>
    <w:p w14:paraId="00E795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项目经理未经批准，擅自离开施工现场的违约责任：</w:t>
      </w:r>
      <w:r>
        <w:rPr>
          <w:rFonts w:hint="eastAsia" w:ascii="宋体" w:hAnsi="宋体" w:eastAsia="宋体" w:cs="宋体"/>
          <w:b w:val="0"/>
          <w:bCs w:val="0"/>
          <w:sz w:val="24"/>
          <w:szCs w:val="24"/>
          <w:u w:val="single"/>
          <w:lang w:val="en-US" w:eastAsia="zh-CN"/>
        </w:rPr>
        <w:t>擅自离场≤3日的，承包人承担违约金1万元；擅自离场＞3日的，发包人有权要求承包人更换项目经理，并承担违约金3万元，由此导致的一切责任由承包人承担</w:t>
      </w:r>
      <w:r>
        <w:rPr>
          <w:rFonts w:hint="eastAsia" w:ascii="宋体" w:hAnsi="宋体" w:eastAsia="宋体" w:cs="宋体"/>
          <w:b w:val="0"/>
          <w:bCs w:val="0"/>
          <w:sz w:val="24"/>
          <w:szCs w:val="24"/>
          <w:u w:val="none"/>
          <w:lang w:val="en-US" w:eastAsia="zh-CN"/>
        </w:rPr>
        <w:t>。</w:t>
      </w:r>
    </w:p>
    <w:p w14:paraId="3D1AAB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3.2.3承包人擅自更换项目经理的违约责任：</w:t>
      </w:r>
      <w:r>
        <w:rPr>
          <w:rFonts w:hint="eastAsia" w:ascii="宋体" w:hAnsi="宋体" w:eastAsia="宋体" w:cs="宋体"/>
          <w:b w:val="0"/>
          <w:bCs w:val="0"/>
          <w:sz w:val="24"/>
          <w:szCs w:val="24"/>
          <w:u w:val="single"/>
          <w:lang w:val="en-US" w:eastAsia="zh-CN"/>
        </w:rPr>
        <w:t>原项目经理如能继续履行职责，发包人应责令承包人撤销其更换决定，承包人承担违约金5万元；如原项目经理无法继续履行职责，发包人有权要求审核确认承包人更换的项目经理，并承担违约金10万元，由此导致的一切责任由承包人承担；发包人认为必要时，可选择没收履约保证金，解除合同，建设单位另行发包</w:t>
      </w:r>
      <w:r>
        <w:rPr>
          <w:rFonts w:hint="eastAsia" w:ascii="宋体" w:hAnsi="宋体" w:eastAsia="宋体" w:cs="宋体"/>
          <w:b w:val="0"/>
          <w:bCs w:val="0"/>
          <w:sz w:val="24"/>
          <w:szCs w:val="24"/>
          <w:u w:val="none"/>
          <w:lang w:val="en-US" w:eastAsia="zh-CN"/>
        </w:rPr>
        <w:t>。</w:t>
      </w:r>
    </w:p>
    <w:p w14:paraId="012E9A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3.2.4承包人无正当理由拒绝更换项目经理的违约责任：</w:t>
      </w:r>
      <w:r>
        <w:rPr>
          <w:rFonts w:hint="eastAsia" w:ascii="宋体" w:hAnsi="宋体" w:eastAsia="宋体" w:cs="宋体"/>
          <w:b w:val="0"/>
          <w:bCs w:val="0"/>
          <w:sz w:val="24"/>
          <w:szCs w:val="24"/>
          <w:u w:val="single"/>
          <w:lang w:val="en-US" w:eastAsia="zh-CN"/>
        </w:rPr>
        <w:t>没收履约保证金，解除合同，建设单位另行发包</w:t>
      </w:r>
      <w:r>
        <w:rPr>
          <w:rFonts w:hint="eastAsia" w:ascii="宋体" w:hAnsi="宋体" w:eastAsia="宋体" w:cs="宋体"/>
          <w:b w:val="0"/>
          <w:bCs w:val="0"/>
          <w:sz w:val="24"/>
          <w:szCs w:val="24"/>
          <w:u w:val="none"/>
          <w:lang w:val="en-US" w:eastAsia="zh-CN"/>
        </w:rPr>
        <w:t>。</w:t>
      </w:r>
    </w:p>
    <w:p w14:paraId="1F3AA8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3.2.5</w:t>
      </w:r>
      <w:r>
        <w:rPr>
          <w:rFonts w:hint="eastAsia" w:ascii="宋体" w:hAnsi="宋体" w:eastAsia="宋体" w:cs="宋体"/>
          <w:b w:val="0"/>
          <w:bCs w:val="0"/>
          <w:sz w:val="24"/>
          <w:szCs w:val="24"/>
          <w:u w:val="single"/>
          <w:lang w:val="en-US" w:eastAsia="zh-CN"/>
        </w:rPr>
        <w:t>上述违约责任可以叠加适用</w:t>
      </w:r>
      <w:r>
        <w:rPr>
          <w:rFonts w:hint="eastAsia" w:ascii="宋体" w:hAnsi="宋体" w:eastAsia="宋体" w:cs="宋体"/>
          <w:b w:val="0"/>
          <w:bCs w:val="0"/>
          <w:sz w:val="24"/>
          <w:szCs w:val="24"/>
          <w:u w:val="none"/>
          <w:lang w:val="en-US" w:eastAsia="zh-CN"/>
        </w:rPr>
        <w:t>。</w:t>
      </w:r>
    </w:p>
    <w:p w14:paraId="2B4818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3.3承包人人员</w:t>
      </w:r>
    </w:p>
    <w:p w14:paraId="4014B3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3.3.1承包人提交项目管理机构及施工现场管理人员安排报告的期限：</w:t>
      </w:r>
      <w:r>
        <w:rPr>
          <w:rFonts w:hint="eastAsia" w:ascii="宋体" w:hAnsi="宋体" w:eastAsia="宋体" w:cs="宋体"/>
          <w:b w:val="0"/>
          <w:bCs w:val="0"/>
          <w:sz w:val="24"/>
          <w:szCs w:val="24"/>
          <w:u w:val="single"/>
          <w:lang w:val="en-US" w:eastAsia="zh-CN"/>
        </w:rPr>
        <w:t>开工前15日内到场</w:t>
      </w:r>
      <w:r>
        <w:rPr>
          <w:rFonts w:hint="eastAsia" w:ascii="宋体" w:hAnsi="宋体" w:eastAsia="宋体" w:cs="宋体"/>
          <w:b w:val="0"/>
          <w:bCs w:val="0"/>
          <w:sz w:val="24"/>
          <w:szCs w:val="24"/>
          <w:u w:val="none"/>
          <w:lang w:val="en-US" w:eastAsia="zh-CN"/>
        </w:rPr>
        <w:t>。</w:t>
      </w:r>
    </w:p>
    <w:p w14:paraId="25E328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3.3.3承包人无正当理由拒绝撤换主要施工管理人员的违约责任：</w:t>
      </w:r>
      <w:r>
        <w:rPr>
          <w:rFonts w:hint="eastAsia" w:ascii="宋体" w:hAnsi="宋体" w:eastAsia="宋体" w:cs="宋体"/>
          <w:b w:val="0"/>
          <w:bCs w:val="0"/>
          <w:sz w:val="24"/>
          <w:szCs w:val="24"/>
          <w:u w:val="single"/>
          <w:lang w:val="en-US" w:eastAsia="zh-CN"/>
        </w:rPr>
        <w:t>发包人应再次发出通知要求承包人3天之内予以更换，并承担违约金0.5万元；如承包人在接到第二次通知3天内仍拒绝更换的，发包人应书面通知该施工管理人员停止工作，并指示暂时停止施工，按照通用条款7.8.2款处理</w:t>
      </w:r>
      <w:r>
        <w:rPr>
          <w:rFonts w:hint="eastAsia" w:ascii="宋体" w:hAnsi="宋体" w:eastAsia="宋体" w:cs="宋体"/>
          <w:b w:val="0"/>
          <w:bCs w:val="0"/>
          <w:sz w:val="24"/>
          <w:szCs w:val="24"/>
          <w:u w:val="none"/>
          <w:lang w:val="en-US" w:eastAsia="zh-CN"/>
        </w:rPr>
        <w:t>。</w:t>
      </w:r>
    </w:p>
    <w:p w14:paraId="5CC097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3.3.4承包人主要施工管理人员离开施工现场的批准要求：</w:t>
      </w:r>
      <w:r>
        <w:rPr>
          <w:rFonts w:hint="eastAsia" w:ascii="宋体" w:hAnsi="宋体" w:eastAsia="宋体" w:cs="宋体"/>
          <w:b w:val="0"/>
          <w:bCs w:val="0"/>
          <w:sz w:val="24"/>
          <w:szCs w:val="24"/>
          <w:u w:val="single"/>
          <w:lang w:val="en-US" w:eastAsia="zh-CN"/>
        </w:rPr>
        <w:t>由监理人和发包人批准</w:t>
      </w:r>
      <w:r>
        <w:rPr>
          <w:rFonts w:hint="eastAsia" w:ascii="宋体" w:hAnsi="宋体" w:eastAsia="宋体" w:cs="宋体"/>
          <w:b w:val="0"/>
          <w:bCs w:val="0"/>
          <w:sz w:val="24"/>
          <w:szCs w:val="24"/>
          <w:u w:val="none"/>
          <w:lang w:val="en-US" w:eastAsia="zh-CN"/>
        </w:rPr>
        <w:t>。</w:t>
      </w:r>
    </w:p>
    <w:p w14:paraId="394C58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3.3.5承包人擅自更换主要施工管理人员的违约责任：</w:t>
      </w:r>
      <w:r>
        <w:rPr>
          <w:rFonts w:hint="eastAsia" w:ascii="宋体" w:hAnsi="宋体" w:eastAsia="宋体" w:cs="宋体"/>
          <w:b w:val="0"/>
          <w:bCs w:val="0"/>
          <w:sz w:val="24"/>
          <w:szCs w:val="24"/>
          <w:u w:val="single"/>
          <w:lang w:val="en-US" w:eastAsia="zh-CN"/>
        </w:rPr>
        <w:t>如能继续履行职责，发包人应责令承包人撤销其更换决定，承包人承担违约金0.5万元；如原施工管理人员无法继续履行职责，发包人有权要求审核确认承包人更换的施工管理人员，并承担违约金1万元，由此导致的一切责任由承包人承担；发包人认为必要时，可选择没收履约保证金，解除合同，建设单位另行发包</w:t>
      </w:r>
      <w:r>
        <w:rPr>
          <w:rFonts w:hint="eastAsia" w:ascii="宋体" w:hAnsi="宋体" w:eastAsia="宋体" w:cs="宋体"/>
          <w:b w:val="0"/>
          <w:bCs w:val="0"/>
          <w:sz w:val="24"/>
          <w:szCs w:val="24"/>
          <w:u w:val="none"/>
          <w:lang w:val="en-US" w:eastAsia="zh-CN"/>
        </w:rPr>
        <w:t>。</w:t>
      </w:r>
    </w:p>
    <w:p w14:paraId="30F912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承包人主要施工管理人员擅自离开施工现场的违约责任：</w:t>
      </w:r>
      <w:r>
        <w:rPr>
          <w:rFonts w:hint="eastAsia" w:ascii="宋体" w:hAnsi="宋体" w:eastAsia="宋体" w:cs="宋体"/>
          <w:b w:val="0"/>
          <w:bCs w:val="0"/>
          <w:sz w:val="24"/>
          <w:szCs w:val="24"/>
          <w:u w:val="single"/>
          <w:lang w:val="en-US" w:eastAsia="zh-CN"/>
        </w:rPr>
        <w:t>擅自离场≤3日的，承包人承担违约金0.5万元；擅自离场＞3日的，监理人有权要求承包人更换该管理人员，并承担违约金1万元，由此导致的一切责任由承包人承担</w:t>
      </w:r>
      <w:r>
        <w:rPr>
          <w:rFonts w:hint="eastAsia" w:ascii="宋体" w:hAnsi="宋体" w:eastAsia="宋体" w:cs="宋体"/>
          <w:b w:val="0"/>
          <w:bCs w:val="0"/>
          <w:sz w:val="24"/>
          <w:szCs w:val="24"/>
          <w:u w:val="none"/>
          <w:lang w:val="en-US" w:eastAsia="zh-CN"/>
        </w:rPr>
        <w:t>。</w:t>
      </w:r>
    </w:p>
    <w:p w14:paraId="3CB225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3.5分包</w:t>
      </w:r>
    </w:p>
    <w:p w14:paraId="07887A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3.5.1分包的一般约定</w:t>
      </w:r>
    </w:p>
    <w:p w14:paraId="448D36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禁止分包的工程包括：</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646308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主体结构、关键性工作的范围：</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070D0A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3.5.2分包的确定</w:t>
      </w:r>
    </w:p>
    <w:p w14:paraId="782645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允许分包的专业工程包括：</w:t>
      </w:r>
      <w:r>
        <w:rPr>
          <w:rFonts w:hint="eastAsia" w:ascii="宋体" w:hAnsi="宋体" w:eastAsia="宋体" w:cs="宋体"/>
          <w:b w:val="0"/>
          <w:bCs w:val="0"/>
          <w:sz w:val="24"/>
          <w:szCs w:val="24"/>
          <w:u w:val="single"/>
          <w:lang w:val="en-US" w:eastAsia="zh-CN"/>
        </w:rPr>
        <w:t>本工程禁止分包</w:t>
      </w:r>
      <w:r>
        <w:rPr>
          <w:rFonts w:hint="eastAsia" w:ascii="宋体" w:hAnsi="宋体" w:eastAsia="宋体" w:cs="宋体"/>
          <w:b w:val="0"/>
          <w:bCs w:val="0"/>
          <w:sz w:val="24"/>
          <w:szCs w:val="24"/>
          <w:u w:val="none"/>
          <w:lang w:val="en-US" w:eastAsia="zh-CN"/>
        </w:rPr>
        <w:t>。</w:t>
      </w:r>
    </w:p>
    <w:p w14:paraId="4D87D4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其他关于分包的约定：</w:t>
      </w:r>
      <w:r>
        <w:rPr>
          <w:rFonts w:hint="eastAsia" w:ascii="宋体" w:hAnsi="宋体" w:eastAsia="宋体" w:cs="宋体"/>
          <w:b w:val="0"/>
          <w:bCs w:val="0"/>
          <w:sz w:val="24"/>
          <w:szCs w:val="24"/>
          <w:u w:val="single"/>
          <w:lang w:val="en-US" w:eastAsia="zh-CN"/>
        </w:rPr>
        <w:t>本工程禁止分包</w:t>
      </w:r>
      <w:r>
        <w:rPr>
          <w:rFonts w:hint="eastAsia" w:ascii="宋体" w:hAnsi="宋体" w:eastAsia="宋体" w:cs="宋体"/>
          <w:b w:val="0"/>
          <w:bCs w:val="0"/>
          <w:sz w:val="24"/>
          <w:szCs w:val="24"/>
          <w:u w:val="none"/>
          <w:lang w:val="en-US" w:eastAsia="zh-CN"/>
        </w:rPr>
        <w:t>。</w:t>
      </w:r>
    </w:p>
    <w:p w14:paraId="17241A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3.5.4分包合同价款</w:t>
      </w:r>
    </w:p>
    <w:p w14:paraId="05C3FF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关于分包合同价款支付的约定：</w:t>
      </w:r>
      <w:r>
        <w:rPr>
          <w:rFonts w:hint="eastAsia" w:ascii="宋体" w:hAnsi="宋体" w:eastAsia="宋体" w:cs="宋体"/>
          <w:b w:val="0"/>
          <w:bCs w:val="0"/>
          <w:sz w:val="24"/>
          <w:szCs w:val="24"/>
          <w:u w:val="single"/>
          <w:lang w:val="en-US" w:eastAsia="zh-CN"/>
        </w:rPr>
        <w:t>本工程禁止分包</w:t>
      </w:r>
      <w:r>
        <w:rPr>
          <w:rFonts w:hint="eastAsia" w:ascii="宋体" w:hAnsi="宋体" w:eastAsia="宋体" w:cs="宋体"/>
          <w:b w:val="0"/>
          <w:bCs w:val="0"/>
          <w:sz w:val="24"/>
          <w:szCs w:val="24"/>
          <w:u w:val="none"/>
          <w:lang w:val="en-US" w:eastAsia="zh-CN"/>
        </w:rPr>
        <w:t>。</w:t>
      </w:r>
    </w:p>
    <w:p w14:paraId="36937E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3.6工程照管与成品、半成品保护</w:t>
      </w:r>
    </w:p>
    <w:p w14:paraId="3D1493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承包人负责照管工程及工程相关的材料、工程设备的起始时间：</w:t>
      </w:r>
      <w:r>
        <w:rPr>
          <w:rFonts w:hint="eastAsia" w:ascii="宋体" w:hAnsi="宋体" w:eastAsia="宋体" w:cs="宋体"/>
          <w:b w:val="0"/>
          <w:bCs w:val="0"/>
          <w:sz w:val="24"/>
          <w:szCs w:val="24"/>
          <w:u w:val="single"/>
          <w:lang w:val="en-US" w:eastAsia="zh-CN"/>
        </w:rPr>
        <w:t>执行通用条款</w:t>
      </w:r>
      <w:r>
        <w:rPr>
          <w:rFonts w:hint="eastAsia" w:ascii="宋体" w:hAnsi="宋体" w:eastAsia="宋体" w:cs="宋体"/>
          <w:b w:val="0"/>
          <w:bCs w:val="0"/>
          <w:sz w:val="24"/>
          <w:szCs w:val="24"/>
          <w:u w:val="none"/>
          <w:lang w:val="en-US" w:eastAsia="zh-CN"/>
        </w:rPr>
        <w:t>。</w:t>
      </w:r>
    </w:p>
    <w:p w14:paraId="0595DD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3.7履约担保</w:t>
      </w:r>
    </w:p>
    <w:p w14:paraId="2CE3C7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承包人是否提供履约担保：</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7941D0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承包人提供履约担保的形式、金额及期限的：</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263021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4.监理人</w:t>
      </w:r>
    </w:p>
    <w:p w14:paraId="221C9B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4.1监理人的一般规定</w:t>
      </w:r>
    </w:p>
    <w:p w14:paraId="61906C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关于监理人的监理内容：</w:t>
      </w:r>
      <w:r>
        <w:rPr>
          <w:rFonts w:hint="eastAsia" w:ascii="宋体" w:hAnsi="宋体" w:eastAsia="宋体" w:cs="宋体"/>
          <w:b w:val="0"/>
          <w:bCs w:val="0"/>
          <w:sz w:val="24"/>
          <w:szCs w:val="24"/>
          <w:u w:val="single"/>
          <w:lang w:val="en-US" w:eastAsia="zh-CN"/>
        </w:rPr>
        <w:t>代表发包人对工程施工相关事项进行检查、查验、审核、验收，并签发相关指示。详见《建设工程委托监理合同》</w:t>
      </w:r>
      <w:r>
        <w:rPr>
          <w:rFonts w:hint="eastAsia" w:ascii="宋体" w:hAnsi="宋体" w:eastAsia="宋体" w:cs="宋体"/>
          <w:b w:val="0"/>
          <w:bCs w:val="0"/>
          <w:sz w:val="24"/>
          <w:szCs w:val="24"/>
          <w:u w:val="none"/>
          <w:lang w:val="en-US" w:eastAsia="zh-CN"/>
        </w:rPr>
        <w:t>。</w:t>
      </w:r>
    </w:p>
    <w:p w14:paraId="6C3FC1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关于监理人的监理权限：</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3D57EC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关于监理人在施工现场的办公场所、生活场所的提供和费用承担的约定：</w:t>
      </w:r>
      <w:r>
        <w:rPr>
          <w:rFonts w:hint="eastAsia" w:ascii="宋体" w:hAnsi="宋体" w:eastAsia="宋体" w:cs="宋体"/>
          <w:b w:val="0"/>
          <w:bCs w:val="0"/>
          <w:sz w:val="24"/>
          <w:szCs w:val="24"/>
          <w:u w:val="single"/>
          <w:lang w:val="en-US" w:eastAsia="zh-CN"/>
        </w:rPr>
        <w:t>由承包人提供并承担相关费用</w:t>
      </w:r>
      <w:r>
        <w:rPr>
          <w:rFonts w:hint="eastAsia" w:ascii="宋体" w:hAnsi="宋体" w:eastAsia="宋体" w:cs="宋体"/>
          <w:b w:val="0"/>
          <w:bCs w:val="0"/>
          <w:sz w:val="24"/>
          <w:szCs w:val="24"/>
          <w:u w:val="none"/>
          <w:lang w:val="en-US" w:eastAsia="zh-CN"/>
        </w:rPr>
        <w:t>。</w:t>
      </w:r>
    </w:p>
    <w:p w14:paraId="719CBB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4.2监理人员</w:t>
      </w:r>
    </w:p>
    <w:p w14:paraId="472A2A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总监理工程师：</w:t>
      </w:r>
    </w:p>
    <w:p w14:paraId="48E4CA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姓名：</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20DC96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职务：</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3CB6A2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监理工程师执业资格证书号：</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0A1386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联系电话：</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18BFA8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电子信箱：</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5A58A2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通信地址：</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3C170C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关于监理人的其他约定：</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526FB7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4.4商定或确定</w:t>
      </w:r>
    </w:p>
    <w:p w14:paraId="377ECC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在发包人和承包人不能通过协商达成一致意见时，发包人授权监理人对以下事项进行确定：</w:t>
      </w:r>
    </w:p>
    <w:p w14:paraId="2F9503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w:t>
      </w:r>
      <w:r>
        <w:rPr>
          <w:rFonts w:hint="eastAsia" w:ascii="宋体" w:hAnsi="宋体" w:eastAsia="宋体" w:cs="宋体"/>
          <w:b w:val="0"/>
          <w:bCs w:val="0"/>
          <w:sz w:val="24"/>
          <w:szCs w:val="24"/>
          <w:u w:val="single"/>
          <w:lang w:val="en-US" w:eastAsia="zh-CN"/>
        </w:rPr>
        <w:t>无</w:t>
      </w:r>
      <w:r>
        <w:rPr>
          <w:rFonts w:hint="eastAsia" w:ascii="宋体" w:hAnsi="宋体" w:eastAsia="宋体" w:cs="宋体"/>
          <w:b w:val="0"/>
          <w:bCs w:val="0"/>
          <w:sz w:val="24"/>
          <w:szCs w:val="24"/>
          <w:u w:val="none"/>
          <w:lang w:val="en-US" w:eastAsia="zh-CN"/>
        </w:rPr>
        <w:t>；</w:t>
      </w:r>
    </w:p>
    <w:p w14:paraId="001AB6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w:t>
      </w:r>
      <w:r>
        <w:rPr>
          <w:rFonts w:hint="eastAsia" w:ascii="宋体" w:hAnsi="宋体" w:eastAsia="宋体" w:cs="宋体"/>
          <w:b w:val="0"/>
          <w:bCs w:val="0"/>
          <w:sz w:val="24"/>
          <w:szCs w:val="24"/>
          <w:u w:val="single"/>
          <w:lang w:val="en-US" w:eastAsia="zh-CN"/>
        </w:rPr>
        <w:t>无</w:t>
      </w:r>
      <w:r>
        <w:rPr>
          <w:rFonts w:hint="eastAsia" w:ascii="宋体" w:hAnsi="宋体" w:eastAsia="宋体" w:cs="宋体"/>
          <w:b w:val="0"/>
          <w:bCs w:val="0"/>
          <w:sz w:val="24"/>
          <w:szCs w:val="24"/>
          <w:u w:val="none"/>
          <w:lang w:val="en-US" w:eastAsia="zh-CN"/>
        </w:rPr>
        <w:t>；</w:t>
      </w:r>
    </w:p>
    <w:p w14:paraId="24E7DE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w:t>
      </w:r>
      <w:r>
        <w:rPr>
          <w:rFonts w:hint="eastAsia" w:ascii="宋体" w:hAnsi="宋体" w:eastAsia="宋体" w:cs="宋体"/>
          <w:b w:val="0"/>
          <w:bCs w:val="0"/>
          <w:sz w:val="24"/>
          <w:szCs w:val="24"/>
          <w:u w:val="single"/>
          <w:lang w:val="en-US" w:eastAsia="zh-CN"/>
        </w:rPr>
        <w:t>无</w:t>
      </w:r>
      <w:r>
        <w:rPr>
          <w:rFonts w:hint="eastAsia" w:ascii="宋体" w:hAnsi="宋体" w:eastAsia="宋体" w:cs="宋体"/>
          <w:b w:val="0"/>
          <w:bCs w:val="0"/>
          <w:sz w:val="24"/>
          <w:szCs w:val="24"/>
          <w:u w:val="none"/>
          <w:lang w:val="en-US" w:eastAsia="zh-CN"/>
        </w:rPr>
        <w:t>。</w:t>
      </w:r>
    </w:p>
    <w:p w14:paraId="374AC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5.工程质量</w:t>
      </w:r>
    </w:p>
    <w:p w14:paraId="5A577C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5.1质量要求</w:t>
      </w:r>
    </w:p>
    <w:p w14:paraId="03454F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5.1.1特殊质量标准和要求：</w:t>
      </w:r>
      <w:r>
        <w:rPr>
          <w:rFonts w:hint="eastAsia" w:ascii="宋体" w:hAnsi="宋体" w:eastAsia="宋体" w:cs="宋体"/>
          <w:b w:val="0"/>
          <w:bCs w:val="0"/>
          <w:sz w:val="24"/>
          <w:szCs w:val="24"/>
          <w:u w:val="single"/>
          <w:lang w:val="en-US" w:eastAsia="zh-CN"/>
        </w:rPr>
        <w:t>符合现行国家有关工程施工质量验收规范和标准的要求</w:t>
      </w:r>
      <w:r>
        <w:rPr>
          <w:rFonts w:hint="eastAsia" w:ascii="宋体" w:hAnsi="宋体" w:eastAsia="宋体" w:cs="宋体"/>
          <w:b w:val="0"/>
          <w:bCs w:val="0"/>
          <w:sz w:val="24"/>
          <w:szCs w:val="24"/>
          <w:u w:val="none"/>
          <w:lang w:val="en-US" w:eastAsia="zh-CN"/>
        </w:rPr>
        <w:t>。</w:t>
      </w:r>
    </w:p>
    <w:p w14:paraId="558609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5.1.2承包人应严格按标准、规范和设计图纸的要求以及发包人代表和总监理工程师按合同发出的指令施工，接受发包人代表和总监理工程师的检查，为检查提供便利条件，承担由自身原因导致的返工、修改的费用。</w:t>
      </w:r>
    </w:p>
    <w:p w14:paraId="091DB4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关于工程奖项的约定：</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20D7AE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5.3隐蔽工程检查</w:t>
      </w:r>
    </w:p>
    <w:p w14:paraId="51C00B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5.3.2承包人提前通知监理人隐蔽工程检查的期限的约定：</w:t>
      </w:r>
      <w:r>
        <w:rPr>
          <w:rFonts w:hint="eastAsia" w:ascii="宋体" w:hAnsi="宋体" w:eastAsia="宋体" w:cs="宋体"/>
          <w:b w:val="0"/>
          <w:bCs w:val="0"/>
          <w:sz w:val="24"/>
          <w:szCs w:val="24"/>
          <w:u w:val="single"/>
          <w:lang w:val="en-US" w:eastAsia="zh-CN"/>
        </w:rPr>
        <w:t>工程隐蔽部位隐蔽前12小时内。通知方式包括但不限于书面形式。因为承包人未提前通知造成监理人未能对隐蔽工程进行检查的，以后因为隐蔽工程而引发的一切争议的后果均由承包人承担</w:t>
      </w:r>
      <w:r>
        <w:rPr>
          <w:rFonts w:hint="eastAsia" w:ascii="宋体" w:hAnsi="宋体" w:eastAsia="宋体" w:cs="宋体"/>
          <w:b w:val="0"/>
          <w:bCs w:val="0"/>
          <w:sz w:val="24"/>
          <w:szCs w:val="24"/>
          <w:u w:val="none"/>
          <w:lang w:val="en-US" w:eastAsia="zh-CN"/>
        </w:rPr>
        <w:t>。</w:t>
      </w:r>
    </w:p>
    <w:p w14:paraId="76F663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监理人不能按时进行检查时，应提前</w:t>
      </w:r>
      <w:r>
        <w:rPr>
          <w:rFonts w:hint="eastAsia" w:ascii="宋体" w:hAnsi="宋体" w:eastAsia="宋体" w:cs="宋体"/>
          <w:b w:val="0"/>
          <w:bCs w:val="0"/>
          <w:sz w:val="24"/>
          <w:szCs w:val="24"/>
          <w:u w:val="single"/>
          <w:lang w:val="en-US" w:eastAsia="zh-CN"/>
        </w:rPr>
        <w:t>6</w:t>
      </w:r>
      <w:r>
        <w:rPr>
          <w:rFonts w:hint="eastAsia" w:ascii="宋体" w:hAnsi="宋体" w:eastAsia="宋体" w:cs="宋体"/>
          <w:b w:val="0"/>
          <w:bCs w:val="0"/>
          <w:sz w:val="24"/>
          <w:szCs w:val="24"/>
          <w:u w:val="none"/>
          <w:lang w:val="en-US" w:eastAsia="zh-CN"/>
        </w:rPr>
        <w:t>小时提交书面延期要求。</w:t>
      </w:r>
    </w:p>
    <w:p w14:paraId="3FD210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关于延期最长不得超过：</w:t>
      </w:r>
      <w:r>
        <w:rPr>
          <w:rFonts w:hint="eastAsia" w:ascii="宋体" w:hAnsi="宋体" w:eastAsia="宋体" w:cs="宋体"/>
          <w:b w:val="0"/>
          <w:bCs w:val="0"/>
          <w:sz w:val="24"/>
          <w:szCs w:val="24"/>
          <w:u w:val="single"/>
          <w:lang w:val="en-US" w:eastAsia="zh-CN"/>
        </w:rPr>
        <w:t>12</w:t>
      </w:r>
      <w:r>
        <w:rPr>
          <w:rFonts w:hint="eastAsia" w:ascii="宋体" w:hAnsi="宋体" w:eastAsia="宋体" w:cs="宋体"/>
          <w:b w:val="0"/>
          <w:bCs w:val="0"/>
          <w:sz w:val="24"/>
          <w:szCs w:val="24"/>
          <w:u w:val="none"/>
          <w:lang w:val="en-US" w:eastAsia="zh-CN"/>
        </w:rPr>
        <w:t>小时。</w:t>
      </w:r>
    </w:p>
    <w:p w14:paraId="66BD79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6.安全文明施工与环境保护</w:t>
      </w:r>
    </w:p>
    <w:p w14:paraId="754FA9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6.1安全文明施工</w:t>
      </w:r>
    </w:p>
    <w:p w14:paraId="6746E9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6.1.1项目安全生产的达标目标及相应事项的约定：</w:t>
      </w:r>
      <w:r>
        <w:rPr>
          <w:rFonts w:hint="eastAsia" w:ascii="宋体" w:hAnsi="宋体" w:eastAsia="宋体" w:cs="宋体"/>
          <w:b w:val="0"/>
          <w:bCs w:val="0"/>
          <w:sz w:val="24"/>
          <w:szCs w:val="24"/>
          <w:u w:val="single"/>
          <w:lang w:val="en-US" w:eastAsia="zh-CN"/>
        </w:rPr>
        <w:t>承包人必须严格执行《中华人民共和国安全生产法》、《建筑安装施工安全检查标准》（JGJ59-2011）、《中华人民共和国建筑法》、《安全生产许可证条例》和《建设工程安全生产管理条例》等法律、法规及新疆维吾尔自治区等有关安全文明施工管理的相关规定，施工现场由专职持证上岗的安全员负责安全事宜</w:t>
      </w:r>
      <w:r>
        <w:rPr>
          <w:rFonts w:hint="eastAsia" w:ascii="宋体" w:hAnsi="宋体" w:eastAsia="宋体" w:cs="宋体"/>
          <w:b w:val="0"/>
          <w:bCs w:val="0"/>
          <w:sz w:val="24"/>
          <w:szCs w:val="24"/>
          <w:u w:val="none"/>
          <w:lang w:val="en-US" w:eastAsia="zh-CN"/>
        </w:rPr>
        <w:t>。</w:t>
      </w:r>
    </w:p>
    <w:p w14:paraId="15BEFA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6.1.2</w:t>
      </w:r>
      <w:r>
        <w:rPr>
          <w:rFonts w:hint="eastAsia" w:ascii="宋体" w:hAnsi="宋体" w:eastAsia="宋体" w:cs="宋体"/>
          <w:b w:val="0"/>
          <w:bCs w:val="0"/>
          <w:sz w:val="24"/>
          <w:szCs w:val="24"/>
          <w:u w:val="single"/>
          <w:lang w:val="en-US" w:eastAsia="zh-CN"/>
        </w:rPr>
        <w:t>承包人应严格管理，确保文明施工，安全施工，杜绝发生任何事故（包括但不限于工伤事故、安全事故、意外事故、管理责任事故、违法违纪事故等），否则，因此产生的经济责任全部由承包人自行承担。发生相关事故的，承包人应自行积极妥善处理，并承担相关费用。否则，因此给发包人造成经济损失的，承包人应双倍赔偿发包人，因此受到的全部损失，发包人有权从应给承包人支付的后期费用中优先扣除，不足部分，承包人负责赔偿，承包人不及时赔偿的，每日向发包人承担应付赔偿款项百分之五的滞纳金</w:t>
      </w:r>
      <w:r>
        <w:rPr>
          <w:rFonts w:hint="eastAsia" w:ascii="宋体" w:hAnsi="宋体" w:eastAsia="宋体" w:cs="宋体"/>
          <w:b w:val="0"/>
          <w:bCs w:val="0"/>
          <w:sz w:val="24"/>
          <w:szCs w:val="24"/>
          <w:u w:val="none"/>
          <w:lang w:val="en-US" w:eastAsia="zh-CN"/>
        </w:rPr>
        <w:t>。</w:t>
      </w:r>
    </w:p>
    <w:p w14:paraId="6A61C9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6.1.4关于治安保卫的特别约定：</w:t>
      </w:r>
      <w:r>
        <w:rPr>
          <w:rFonts w:hint="eastAsia" w:ascii="宋体" w:hAnsi="宋体" w:eastAsia="宋体" w:cs="宋体"/>
          <w:b w:val="0"/>
          <w:bCs w:val="0"/>
          <w:sz w:val="24"/>
          <w:szCs w:val="24"/>
          <w:u w:val="single"/>
          <w:lang w:val="en-US" w:eastAsia="zh-CN"/>
        </w:rPr>
        <w:t>承包人制定应对突发治安事件紧急预案,承包人负责统一管理施工场地的治安保卫事项,对因治安事件发生的人身和财产损失，均由承包方负责,发包人不承担任何责任</w:t>
      </w:r>
      <w:r>
        <w:rPr>
          <w:rFonts w:hint="eastAsia" w:ascii="宋体" w:hAnsi="宋体" w:eastAsia="宋体" w:cs="宋体"/>
          <w:b w:val="0"/>
          <w:bCs w:val="0"/>
          <w:sz w:val="24"/>
          <w:szCs w:val="24"/>
          <w:u w:val="none"/>
          <w:lang w:val="en-US" w:eastAsia="zh-CN"/>
        </w:rPr>
        <w:t>。</w:t>
      </w:r>
    </w:p>
    <w:p w14:paraId="4B2F6B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关于编制施工场地治安管理计划的约定：</w:t>
      </w:r>
      <w:r>
        <w:rPr>
          <w:rFonts w:hint="eastAsia" w:ascii="宋体" w:hAnsi="宋体" w:eastAsia="宋体" w:cs="宋体"/>
          <w:b w:val="0"/>
          <w:bCs w:val="0"/>
          <w:sz w:val="24"/>
          <w:szCs w:val="24"/>
          <w:u w:val="single"/>
          <w:lang w:val="en-US" w:eastAsia="zh-CN"/>
        </w:rPr>
        <w:t>结合工地所处地段的特殊性、环境，开工前2日内编制完成施工场地治安管理计划，并报监理和建设单位人员审核</w:t>
      </w:r>
      <w:r>
        <w:rPr>
          <w:rFonts w:hint="eastAsia" w:ascii="宋体" w:hAnsi="宋体" w:eastAsia="宋体" w:cs="宋体"/>
          <w:b w:val="0"/>
          <w:bCs w:val="0"/>
          <w:sz w:val="24"/>
          <w:szCs w:val="24"/>
          <w:u w:val="none"/>
          <w:lang w:val="en-US" w:eastAsia="zh-CN"/>
        </w:rPr>
        <w:t>。</w:t>
      </w:r>
    </w:p>
    <w:p w14:paraId="7D429B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自承包人进入施工现场之日起，因为承包人的施工行为（包括但不限于施工准备行为、安全防护措施、实际施工行为等）、施工现场的施工设施、设备、材料等造成的承包人人员、财产损害，第三方人员、财产的损害均由承包人承担一切责任。</w:t>
      </w:r>
    </w:p>
    <w:p w14:paraId="350EC9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6.1.5文明施工</w:t>
      </w:r>
    </w:p>
    <w:p w14:paraId="252E89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合同当事人对文明施工的要求：</w:t>
      </w:r>
      <w:r>
        <w:rPr>
          <w:rFonts w:hint="eastAsia" w:ascii="宋体" w:hAnsi="宋体" w:eastAsia="宋体" w:cs="宋体"/>
          <w:b w:val="0"/>
          <w:bCs w:val="0"/>
          <w:sz w:val="24"/>
          <w:szCs w:val="24"/>
          <w:u w:val="single"/>
          <w:lang w:val="en-US" w:eastAsia="zh-CN"/>
        </w:rPr>
        <w:t>达到新疆维吾尔自治区文明施工要求</w:t>
      </w:r>
      <w:r>
        <w:rPr>
          <w:rFonts w:hint="eastAsia" w:ascii="宋体" w:hAnsi="宋体" w:eastAsia="宋体" w:cs="宋体"/>
          <w:b w:val="0"/>
          <w:bCs w:val="0"/>
          <w:sz w:val="24"/>
          <w:szCs w:val="24"/>
          <w:u w:val="none"/>
          <w:lang w:val="en-US" w:eastAsia="zh-CN"/>
        </w:rPr>
        <w:t>。</w:t>
      </w:r>
    </w:p>
    <w:p w14:paraId="79ED32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6.1.6关于安全文明施工费支付比例和支付期限的约定：执行通用合同条款本条款。</w:t>
      </w:r>
    </w:p>
    <w:p w14:paraId="730EAA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7.工期和进度</w:t>
      </w:r>
    </w:p>
    <w:p w14:paraId="78B74D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7.1施工组织设计</w:t>
      </w:r>
    </w:p>
    <w:p w14:paraId="14FD8C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7.1.1合同当事人约定的施工组织设计应包括的其他内容：</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23F911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7.1.2施工组织设计的提交和修改</w:t>
      </w:r>
    </w:p>
    <w:p w14:paraId="10DB8B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承包人提交详细施工组织设计的期限的约定：</w:t>
      </w:r>
      <w:r>
        <w:rPr>
          <w:rFonts w:hint="eastAsia" w:ascii="宋体" w:hAnsi="宋体" w:eastAsia="宋体" w:cs="宋体"/>
          <w:b w:val="0"/>
          <w:bCs w:val="0"/>
          <w:sz w:val="24"/>
          <w:szCs w:val="24"/>
          <w:u w:val="single"/>
          <w:lang w:val="en-US" w:eastAsia="zh-CN"/>
        </w:rPr>
        <w:t>承包人在图纸会审后一周内提供施工进度计划表（含劳动力、机械设备进场计划）、材料采购进场计划表，并可根据实际进度需要提供分阶段的施工进度计划</w:t>
      </w:r>
      <w:r>
        <w:rPr>
          <w:rFonts w:hint="eastAsia" w:ascii="宋体" w:hAnsi="宋体" w:eastAsia="宋体" w:cs="宋体"/>
          <w:b w:val="0"/>
          <w:bCs w:val="0"/>
          <w:sz w:val="24"/>
          <w:szCs w:val="24"/>
          <w:u w:val="none"/>
          <w:lang w:val="en-US" w:eastAsia="zh-CN"/>
        </w:rPr>
        <w:t>。</w:t>
      </w:r>
    </w:p>
    <w:p w14:paraId="0BB4AF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发包人和监理人在收到详细的施工组织设计后确认或提出修改意见的期限：</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17D36D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7.2施工进度计划</w:t>
      </w:r>
    </w:p>
    <w:p w14:paraId="450179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7.2.2施工进度计划的修订</w:t>
      </w:r>
    </w:p>
    <w:p w14:paraId="66E513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发包人和监理人在收到修订的施工进度计划后确认或提出修改意见的期限：</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3552E8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7.3开工</w:t>
      </w:r>
    </w:p>
    <w:p w14:paraId="2C0EA8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7.3.1开工准备</w:t>
      </w:r>
    </w:p>
    <w:p w14:paraId="046EE7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关于承包人提交工程开工报审表的期限：</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7E9D3A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关于发包人应完成的其他开工准备工作及期限：</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44CCAB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关于承包人应完成的其他开工准备工作及期限：</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460C20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7.3.2开工通知</w:t>
      </w:r>
    </w:p>
    <w:p w14:paraId="0E17B3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因发包人原因造成监理人未能在计划开工日期之日起/天内发出开工通知的，承包人有权提出价格调整要求，或者解除合同。</w:t>
      </w:r>
    </w:p>
    <w:p w14:paraId="1F73C4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7.4测量放线</w:t>
      </w:r>
    </w:p>
    <w:p w14:paraId="347A93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7.4.1发包人通过监理人向承包人提供测量基准点、基准线和水准点及其书面资料的期限：执行通用合同条款本条款。</w:t>
      </w:r>
    </w:p>
    <w:p w14:paraId="4CC0C3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7.5工期延误</w:t>
      </w:r>
    </w:p>
    <w:p w14:paraId="139048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7.5.1因发包人原因导致工期延误</w:t>
      </w:r>
    </w:p>
    <w:p w14:paraId="2AF90E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（7）因发包人原因导致工期延误的其他情形：</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48DE51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7.5.2因承包人原因导致工期延误</w:t>
      </w:r>
    </w:p>
    <w:p w14:paraId="1027A5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因承包人原因造成工期延误，逾期竣工违约金的计算方法为：</w:t>
      </w:r>
      <w:r>
        <w:rPr>
          <w:rFonts w:hint="eastAsia" w:ascii="宋体" w:hAnsi="宋体" w:eastAsia="宋体" w:cs="宋体"/>
          <w:b w:val="0"/>
          <w:bCs w:val="0"/>
          <w:sz w:val="24"/>
          <w:szCs w:val="24"/>
          <w:u w:val="single"/>
          <w:lang w:val="en-US" w:eastAsia="zh-CN"/>
        </w:rPr>
        <w:t>每推延一天，赔偿1000元</w:t>
      </w:r>
      <w:r>
        <w:rPr>
          <w:rFonts w:hint="eastAsia" w:ascii="宋体" w:hAnsi="宋体" w:eastAsia="宋体" w:cs="宋体"/>
          <w:b w:val="0"/>
          <w:bCs w:val="0"/>
          <w:sz w:val="24"/>
          <w:szCs w:val="24"/>
          <w:u w:val="none"/>
          <w:lang w:val="en-US" w:eastAsia="zh-CN"/>
        </w:rPr>
        <w:t>。</w:t>
      </w:r>
    </w:p>
    <w:p w14:paraId="66AF86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因承包人原因造成工期延误，逾期竣工违约金的上限：</w:t>
      </w:r>
      <w:r>
        <w:rPr>
          <w:rFonts w:hint="eastAsia" w:ascii="宋体" w:hAnsi="宋体" w:eastAsia="宋体" w:cs="宋体"/>
          <w:b w:val="0"/>
          <w:bCs w:val="0"/>
          <w:sz w:val="24"/>
          <w:szCs w:val="24"/>
          <w:u w:val="single"/>
          <w:lang w:val="en-US" w:eastAsia="zh-CN"/>
        </w:rPr>
        <w:t>合同价的10%</w:t>
      </w:r>
      <w:r>
        <w:rPr>
          <w:rFonts w:hint="eastAsia" w:ascii="宋体" w:hAnsi="宋体" w:eastAsia="宋体" w:cs="宋体"/>
          <w:b w:val="0"/>
          <w:bCs w:val="0"/>
          <w:sz w:val="24"/>
          <w:szCs w:val="24"/>
          <w:u w:val="none"/>
          <w:lang w:val="en-US" w:eastAsia="zh-CN"/>
        </w:rPr>
        <w:t>。</w:t>
      </w:r>
    </w:p>
    <w:p w14:paraId="120E1A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7.5.3</w:t>
      </w:r>
      <w:r>
        <w:rPr>
          <w:rFonts w:hint="eastAsia" w:ascii="宋体" w:hAnsi="宋体" w:eastAsia="宋体" w:cs="宋体"/>
          <w:b w:val="0"/>
          <w:bCs w:val="0"/>
          <w:sz w:val="24"/>
          <w:szCs w:val="24"/>
          <w:u w:val="single"/>
          <w:lang w:val="en-US" w:eastAsia="zh-CN"/>
        </w:rPr>
        <w:t>乙方中途擅自停工或严重违约，明显不能按期履行合同的，甲方有权单方解除合同，将剩余未完成工程承包给第三方。届时，乙方不再向甲方主张任何剩余未付工程款</w:t>
      </w:r>
      <w:r>
        <w:rPr>
          <w:rFonts w:hint="eastAsia" w:ascii="宋体" w:hAnsi="宋体" w:eastAsia="宋体" w:cs="宋体"/>
          <w:b w:val="0"/>
          <w:bCs w:val="0"/>
          <w:sz w:val="24"/>
          <w:szCs w:val="24"/>
          <w:u w:val="none"/>
          <w:lang w:val="en-US" w:eastAsia="zh-CN"/>
        </w:rPr>
        <w:t>。</w:t>
      </w:r>
    </w:p>
    <w:p w14:paraId="51BD50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7.6不利物质条件</w:t>
      </w:r>
    </w:p>
    <w:p w14:paraId="3AE0F2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不利物质条件的其他情形和有关约定：</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339ADC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7.7其他约定</w:t>
      </w:r>
    </w:p>
    <w:p w14:paraId="71F201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7.7.1</w:t>
      </w:r>
      <w:r>
        <w:rPr>
          <w:rFonts w:hint="eastAsia" w:ascii="宋体" w:hAnsi="宋体" w:eastAsia="宋体" w:cs="宋体"/>
          <w:b w:val="0"/>
          <w:bCs w:val="0"/>
          <w:sz w:val="24"/>
          <w:szCs w:val="24"/>
          <w:u w:val="single"/>
          <w:lang w:val="en-US" w:eastAsia="zh-CN"/>
        </w:rPr>
        <w:t>承包人自行负责建筑垃圾的清理,交工时必须保证场地的干净整齐，所发生的费用由承包人自行承担</w:t>
      </w:r>
      <w:r>
        <w:rPr>
          <w:rFonts w:hint="eastAsia" w:ascii="宋体" w:hAnsi="宋体" w:eastAsia="宋体" w:cs="宋体"/>
          <w:b w:val="0"/>
          <w:bCs w:val="0"/>
          <w:sz w:val="24"/>
          <w:szCs w:val="24"/>
          <w:u w:val="none"/>
          <w:lang w:val="en-US" w:eastAsia="zh-CN"/>
        </w:rPr>
        <w:t>。</w:t>
      </w:r>
    </w:p>
    <w:p w14:paraId="73F4E2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7.7.2</w:t>
      </w:r>
      <w:r>
        <w:rPr>
          <w:rFonts w:hint="eastAsia" w:ascii="宋体" w:hAnsi="宋体" w:eastAsia="宋体" w:cs="宋体"/>
          <w:b w:val="0"/>
          <w:bCs w:val="0"/>
          <w:sz w:val="24"/>
          <w:szCs w:val="24"/>
          <w:u w:val="single"/>
          <w:lang w:val="en-US" w:eastAsia="zh-CN"/>
        </w:rPr>
        <w:t>施工水、电的费用由承包人自理（包括开挖、堆土造成的草坪、树木恢复费用）</w:t>
      </w:r>
      <w:r>
        <w:rPr>
          <w:rFonts w:hint="eastAsia" w:ascii="宋体" w:hAnsi="宋体" w:eastAsia="宋体" w:cs="宋体"/>
          <w:b w:val="0"/>
          <w:bCs w:val="0"/>
          <w:sz w:val="24"/>
          <w:szCs w:val="24"/>
          <w:u w:val="none"/>
          <w:lang w:val="en-US" w:eastAsia="zh-CN"/>
        </w:rPr>
        <w:t>。</w:t>
      </w:r>
    </w:p>
    <w:p w14:paraId="2265CF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7.7.3</w:t>
      </w:r>
      <w:r>
        <w:rPr>
          <w:rFonts w:hint="eastAsia" w:ascii="宋体" w:hAnsi="宋体" w:eastAsia="宋体" w:cs="宋体"/>
          <w:b w:val="0"/>
          <w:bCs w:val="0"/>
          <w:sz w:val="24"/>
          <w:szCs w:val="24"/>
          <w:u w:val="single"/>
          <w:lang w:val="en-US" w:eastAsia="zh-CN"/>
        </w:rPr>
        <w:t>承包人在工程施工、竣工及保修的整个过程中对施工现场全部人员的保险及安全负责，费用自理</w:t>
      </w:r>
      <w:r>
        <w:rPr>
          <w:rFonts w:hint="eastAsia" w:ascii="宋体" w:hAnsi="宋体" w:eastAsia="宋体" w:cs="宋体"/>
          <w:b w:val="0"/>
          <w:bCs w:val="0"/>
          <w:sz w:val="24"/>
          <w:szCs w:val="24"/>
          <w:u w:val="none"/>
          <w:lang w:val="en-US" w:eastAsia="zh-CN"/>
        </w:rPr>
        <w:t>。</w:t>
      </w:r>
    </w:p>
    <w:p w14:paraId="56F168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7.7.4</w:t>
      </w:r>
      <w:r>
        <w:rPr>
          <w:rFonts w:hint="eastAsia" w:ascii="宋体" w:hAnsi="宋体" w:eastAsia="宋体" w:cs="宋体"/>
          <w:b w:val="0"/>
          <w:bCs w:val="0"/>
          <w:sz w:val="24"/>
          <w:szCs w:val="24"/>
          <w:u w:val="single"/>
          <w:lang w:val="en-US" w:eastAsia="zh-CN"/>
        </w:rPr>
        <w:t>承包人对在施工过程中聘请的人员，应当签订相应的合同，并按照合同的约定及时发放报酬。承包人与其聘请人员发生的任何争议均由承包人自行解决并承担全部责任。因承包人与其聘请人员发生争议而影响施工进度、工程质量的，给发包方造成损失的，承包人承担赔偿责任，赔偿金额为合同价款的10%，发包方还有权解除合同</w:t>
      </w:r>
      <w:r>
        <w:rPr>
          <w:rFonts w:hint="eastAsia" w:ascii="宋体" w:hAnsi="宋体" w:eastAsia="宋体" w:cs="宋体"/>
          <w:b w:val="0"/>
          <w:bCs w:val="0"/>
          <w:sz w:val="24"/>
          <w:szCs w:val="24"/>
          <w:u w:val="none"/>
          <w:lang w:val="en-US" w:eastAsia="zh-CN"/>
        </w:rPr>
        <w:t>。</w:t>
      </w:r>
    </w:p>
    <w:p w14:paraId="740296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7.7.5</w:t>
      </w:r>
      <w:r>
        <w:rPr>
          <w:rFonts w:hint="eastAsia" w:ascii="宋体" w:hAnsi="宋体" w:eastAsia="宋体" w:cs="宋体"/>
          <w:b w:val="0"/>
          <w:bCs w:val="0"/>
          <w:sz w:val="24"/>
          <w:szCs w:val="24"/>
          <w:u w:val="single"/>
          <w:lang w:val="en-US" w:eastAsia="zh-CN"/>
        </w:rPr>
        <w:t>承包人应确保安全施工、文明施工，并自行为其聘请人员缴纳社保或购买相应的保险、支付相关费用，在施工过程中产生的劳务费用纠纷、劳动用工纠纷、工伤纠纷、人身损害赔偿纠纷等任何纠纷，由承包人承担相应的责任；因此给发包人造成任何损失的，承包人承担赔偿责任，赔偿金额为合同价款的10%</w:t>
      </w:r>
      <w:r>
        <w:rPr>
          <w:rFonts w:hint="eastAsia" w:ascii="宋体" w:hAnsi="宋体" w:eastAsia="宋体" w:cs="宋体"/>
          <w:b w:val="0"/>
          <w:bCs w:val="0"/>
          <w:sz w:val="24"/>
          <w:szCs w:val="24"/>
          <w:u w:val="none"/>
          <w:lang w:val="en-US" w:eastAsia="zh-CN"/>
        </w:rPr>
        <w:t>。</w:t>
      </w:r>
    </w:p>
    <w:p w14:paraId="2761BD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7.7.6</w:t>
      </w:r>
      <w:r>
        <w:rPr>
          <w:rFonts w:hint="eastAsia" w:ascii="宋体" w:hAnsi="宋体" w:eastAsia="宋体" w:cs="宋体"/>
          <w:b w:val="0"/>
          <w:bCs w:val="0"/>
          <w:sz w:val="24"/>
          <w:szCs w:val="24"/>
          <w:u w:val="single"/>
          <w:lang w:val="en-US" w:eastAsia="zh-CN"/>
        </w:rPr>
        <w:t>承包人应具备该工程所需的施工资质，并确保其工作人员具有该工程所需的资格证书。否则因此给发包人造成任何损失的，承包人承担赔偿责任，赔偿金额为合同价款的10%</w:t>
      </w:r>
      <w:r>
        <w:rPr>
          <w:rFonts w:hint="eastAsia" w:ascii="宋体" w:hAnsi="宋体" w:eastAsia="宋体" w:cs="宋体"/>
          <w:b w:val="0"/>
          <w:bCs w:val="0"/>
          <w:sz w:val="24"/>
          <w:szCs w:val="24"/>
          <w:u w:val="none"/>
          <w:lang w:val="en-US" w:eastAsia="zh-CN"/>
        </w:rPr>
        <w:t>。</w:t>
      </w:r>
    </w:p>
    <w:p w14:paraId="2CF0A3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7.8异常恶劣的气候条件</w:t>
      </w:r>
    </w:p>
    <w:p w14:paraId="38C92E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发包人和承包人同意以下情形视为异常恶劣的气候条件：</w:t>
      </w:r>
    </w:p>
    <w:p w14:paraId="068C77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3F0951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1BCA5B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36DD87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7.9提前竣工的奖励</w:t>
      </w:r>
    </w:p>
    <w:p w14:paraId="6A9C4D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7.9.2提前竣工的奖励：</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71804F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8.材料与设备</w:t>
      </w:r>
    </w:p>
    <w:p w14:paraId="16E1B1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8.4材料与工程设备的保管与使用</w:t>
      </w:r>
    </w:p>
    <w:p w14:paraId="40F83B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8.4.1发包人供应的材料设备的保管费用的承担：</w:t>
      </w:r>
      <w:r>
        <w:rPr>
          <w:rFonts w:hint="eastAsia" w:ascii="宋体" w:hAnsi="宋体" w:eastAsia="宋体" w:cs="宋体"/>
          <w:b w:val="0"/>
          <w:bCs w:val="0"/>
          <w:sz w:val="24"/>
          <w:szCs w:val="24"/>
          <w:u w:val="single"/>
          <w:lang w:val="en-US" w:eastAsia="zh-CN"/>
        </w:rPr>
        <w:t>由承包人负责管理，费用由承包人自理</w:t>
      </w:r>
      <w:r>
        <w:rPr>
          <w:rFonts w:hint="eastAsia" w:ascii="宋体" w:hAnsi="宋体" w:eastAsia="宋体" w:cs="宋体"/>
          <w:b w:val="0"/>
          <w:bCs w:val="0"/>
          <w:sz w:val="24"/>
          <w:szCs w:val="24"/>
          <w:u w:val="none"/>
          <w:lang w:val="en-US" w:eastAsia="zh-CN"/>
        </w:rPr>
        <w:t>。</w:t>
      </w:r>
    </w:p>
    <w:p w14:paraId="1A0DD6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8.6样品</w:t>
      </w:r>
    </w:p>
    <w:p w14:paraId="267C95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8.6.1</w:t>
      </w:r>
      <w:r>
        <w:rPr>
          <w:rFonts w:hint="eastAsia" w:ascii="宋体" w:hAnsi="宋体" w:eastAsia="宋体" w:cs="宋体"/>
          <w:b w:val="0"/>
          <w:bCs w:val="0"/>
          <w:sz w:val="24"/>
          <w:szCs w:val="24"/>
          <w:u w:val="none"/>
          <w:lang w:val="en-US" w:eastAsia="zh-CN"/>
        </w:rPr>
        <w:tab/>
      </w:r>
      <w:r>
        <w:rPr>
          <w:rFonts w:hint="eastAsia" w:ascii="宋体" w:hAnsi="宋体" w:eastAsia="宋体" w:cs="宋体"/>
          <w:b w:val="0"/>
          <w:bCs w:val="0"/>
          <w:sz w:val="24"/>
          <w:szCs w:val="24"/>
          <w:u w:val="none"/>
          <w:lang w:val="en-US" w:eastAsia="zh-CN"/>
        </w:rPr>
        <w:t>样品的报送与封存</w:t>
      </w:r>
    </w:p>
    <w:p w14:paraId="118F50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需要承包人报送样品的材料或工程设备，样品的种类、名称、规格、数量要求：</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0352D5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8.8施工设备和临时设施</w:t>
      </w:r>
    </w:p>
    <w:p w14:paraId="0ADB5C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8.8.1承包人提供的施工设备和临时设施</w:t>
      </w:r>
    </w:p>
    <w:p w14:paraId="3CCCA4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关于修建临时设施费用承担的约定：由承包人承担。</w:t>
      </w:r>
    </w:p>
    <w:p w14:paraId="3CEE95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9.试验与检验</w:t>
      </w:r>
    </w:p>
    <w:p w14:paraId="0B83DF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9.1试验设备与试验人员</w:t>
      </w:r>
    </w:p>
    <w:p w14:paraId="5468D7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9.1.2试验设备</w:t>
      </w:r>
    </w:p>
    <w:p w14:paraId="165F59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施工现场需要配置的试验场所：</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37D2BB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施工现场需要配备的试验设备：</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604C4B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施工现场需要具备的其他试验条件：</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5408E0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9.3材料、工程设备和工程的试验和检验：</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65F99E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9.4现场工艺试验</w:t>
      </w:r>
    </w:p>
    <w:p w14:paraId="588A36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现场工艺试验的有关约定：</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2EE91A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10.变更</w:t>
      </w:r>
    </w:p>
    <w:p w14:paraId="2DC4B5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10.1变更的范围</w:t>
      </w:r>
    </w:p>
    <w:p w14:paraId="167195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关于变更的范围的约定：</w:t>
      </w:r>
      <w:r>
        <w:rPr>
          <w:rFonts w:hint="eastAsia" w:ascii="宋体" w:hAnsi="宋体" w:eastAsia="宋体" w:cs="宋体"/>
          <w:b w:val="0"/>
          <w:bCs w:val="0"/>
          <w:sz w:val="24"/>
          <w:szCs w:val="24"/>
          <w:u w:val="single"/>
          <w:lang w:val="en-US" w:eastAsia="zh-CN"/>
        </w:rPr>
        <w:t>增加或减少合同中任何工作，或追加额外的工作；取消合同中任何工作，但转由他人实施的工作；改变合同中任何工作的质量标准或其他特性；改变工程的基线、标高、位置和尺寸等。所有变更事项需经甲方代表、监理、审计单位联合签署意见后方可生效</w:t>
      </w:r>
      <w:r>
        <w:rPr>
          <w:rFonts w:hint="eastAsia" w:ascii="宋体" w:hAnsi="宋体" w:eastAsia="宋体" w:cs="宋体"/>
          <w:b w:val="0"/>
          <w:bCs w:val="0"/>
          <w:sz w:val="24"/>
          <w:szCs w:val="24"/>
          <w:u w:val="none"/>
          <w:lang w:val="en-US" w:eastAsia="zh-CN"/>
        </w:rPr>
        <w:t>。</w:t>
      </w:r>
    </w:p>
    <w:p w14:paraId="4BA2D6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10.4变更估价</w:t>
      </w:r>
    </w:p>
    <w:p w14:paraId="6ABA4F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10.4.1变更估价原则</w:t>
      </w:r>
    </w:p>
    <w:p w14:paraId="08DD47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关于变更估价的约定：</w:t>
      </w:r>
      <w:r>
        <w:rPr>
          <w:rFonts w:hint="eastAsia" w:ascii="宋体" w:hAnsi="宋体" w:eastAsia="宋体" w:cs="宋体"/>
          <w:b w:val="0"/>
          <w:bCs w:val="0"/>
          <w:sz w:val="24"/>
          <w:szCs w:val="24"/>
          <w:u w:val="single"/>
          <w:lang w:val="en-US" w:eastAsia="zh-CN"/>
        </w:rPr>
        <w:t>由承包人对增加的工程量或减少后剩余的工程量提出新的综合单价和措施项目费，经发包人确认后调整。承包人在工程变更确定后7天内，提出变更工程价款的报告，变更工程价款应按下列方法确定：（1）设计变更引起新的工程量清单项目，合同中已有适用于变更工程的价格按合同已有的价格变更合同价款。（2）工程量清单中没有适用的工程项目，由承包商和工程师根据实际情况协商确认或根据有关定额、国家标准、材料调差文件套用，并按同等类别确认取费。（3）设计变更引起工程量增减，属合同约定幅度以内的，应执行原有的综合单价；投标文件工程量清单中的综合单价不因、材料、机械设备等市场因素价格变化而作任何变动。（4）按照实际发生工程量计取，执行原来单价，不因工程量增减进行调整</w:t>
      </w:r>
      <w:r>
        <w:rPr>
          <w:rFonts w:hint="eastAsia" w:ascii="宋体" w:hAnsi="宋体" w:eastAsia="宋体" w:cs="宋体"/>
          <w:b w:val="0"/>
          <w:bCs w:val="0"/>
          <w:sz w:val="24"/>
          <w:szCs w:val="24"/>
          <w:u w:val="none"/>
          <w:lang w:val="en-US" w:eastAsia="zh-CN"/>
        </w:rPr>
        <w:t>。</w:t>
      </w:r>
    </w:p>
    <w:p w14:paraId="351BB8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10.5承包人的合理化建议</w:t>
      </w:r>
    </w:p>
    <w:p w14:paraId="2C4DF6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监理人审查承包人合理化建议的期限：</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34CD6D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发包人审批承包人合理化建议的期限：</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670842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承包人提出的合理化建议降低了合同价格或者提高了工程经济效益的奖励的方法和金额为：</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28BFCB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10.7暂估价</w:t>
      </w:r>
    </w:p>
    <w:p w14:paraId="5C46B1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暂估价材料和工程设备的明细详见附件11：《暂估价一览表》。</w:t>
      </w:r>
    </w:p>
    <w:p w14:paraId="3F2F52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10.7.1依法必须招标的暂估价项目</w:t>
      </w:r>
    </w:p>
    <w:p w14:paraId="75775E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对于依法必须招标的暂估价项目的确认和批准采取第</w:t>
      </w:r>
      <w:r>
        <w:rPr>
          <w:rFonts w:hint="eastAsia" w:ascii="宋体" w:hAnsi="宋体" w:eastAsia="宋体" w:cs="宋体"/>
          <w:b w:val="0"/>
          <w:bCs w:val="0"/>
          <w:sz w:val="24"/>
          <w:szCs w:val="24"/>
          <w:u w:val="single"/>
          <w:lang w:val="en-US" w:eastAsia="zh-CN"/>
        </w:rPr>
        <w:t>2</w:t>
      </w:r>
      <w:r>
        <w:rPr>
          <w:rFonts w:hint="eastAsia" w:ascii="宋体" w:hAnsi="宋体" w:eastAsia="宋体" w:cs="宋体"/>
          <w:b w:val="0"/>
          <w:bCs w:val="0"/>
          <w:sz w:val="24"/>
          <w:szCs w:val="24"/>
          <w:u w:val="none"/>
          <w:lang w:val="en-US" w:eastAsia="zh-CN"/>
        </w:rPr>
        <w:t>种方式确定。</w:t>
      </w:r>
    </w:p>
    <w:p w14:paraId="1A2A23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10.7.2不属于依法必须招标的暂估价项目</w:t>
      </w:r>
    </w:p>
    <w:p w14:paraId="307119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对于不属于依法必须招标的暂估价项目的确认和批准采取第</w:t>
      </w:r>
      <w:r>
        <w:rPr>
          <w:rFonts w:hint="eastAsia" w:ascii="宋体" w:hAnsi="宋体" w:eastAsia="宋体" w:cs="宋体"/>
          <w:b w:val="0"/>
          <w:bCs w:val="0"/>
          <w:sz w:val="24"/>
          <w:szCs w:val="24"/>
          <w:u w:val="single"/>
          <w:lang w:val="en-US" w:eastAsia="zh-CN"/>
        </w:rPr>
        <w:t>1</w:t>
      </w:r>
      <w:r>
        <w:rPr>
          <w:rFonts w:hint="eastAsia" w:ascii="宋体" w:hAnsi="宋体" w:eastAsia="宋体" w:cs="宋体"/>
          <w:b w:val="0"/>
          <w:bCs w:val="0"/>
          <w:sz w:val="24"/>
          <w:szCs w:val="24"/>
          <w:u w:val="none"/>
          <w:lang w:val="en-US" w:eastAsia="zh-CN"/>
        </w:rPr>
        <w:t>种方式确定。</w:t>
      </w:r>
    </w:p>
    <w:p w14:paraId="404413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第3种方式：承包人直接实施的暂估价项目</w:t>
      </w:r>
    </w:p>
    <w:p w14:paraId="532362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承包人直接实施的暂估价项目的约定：</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213206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10.8暂列金额</w:t>
      </w:r>
    </w:p>
    <w:p w14:paraId="2896D1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合同当事人关于暂列金额使用的约定：</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05C23B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11.价格调整</w:t>
      </w:r>
    </w:p>
    <w:p w14:paraId="083D62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11.1市场价格波动引起的调整</w:t>
      </w:r>
    </w:p>
    <w:p w14:paraId="0BB7E3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市场价格波动是否调整合同价格的约定：</w:t>
      </w:r>
      <w:r>
        <w:rPr>
          <w:rFonts w:hint="eastAsia" w:ascii="宋体" w:hAnsi="宋体" w:eastAsia="宋体" w:cs="宋体"/>
          <w:b w:val="0"/>
          <w:bCs w:val="0"/>
          <w:sz w:val="24"/>
          <w:szCs w:val="24"/>
          <w:u w:val="single"/>
          <w:lang w:val="en-US" w:eastAsia="zh-CN"/>
        </w:rPr>
        <w:t>不调整</w:t>
      </w:r>
      <w:r>
        <w:rPr>
          <w:rFonts w:hint="eastAsia" w:ascii="宋体" w:hAnsi="宋体" w:eastAsia="宋体" w:cs="宋体"/>
          <w:b w:val="0"/>
          <w:bCs w:val="0"/>
          <w:sz w:val="24"/>
          <w:szCs w:val="24"/>
          <w:u w:val="none"/>
          <w:lang w:val="en-US" w:eastAsia="zh-CN"/>
        </w:rPr>
        <w:t>。</w:t>
      </w:r>
    </w:p>
    <w:p w14:paraId="72B1E7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因市场价格波动调整合同价格，采用以下第</w:t>
      </w:r>
      <w:r>
        <w:rPr>
          <w:rFonts w:hint="eastAsia" w:ascii="宋体" w:hAnsi="宋体" w:eastAsia="宋体" w:cs="宋体"/>
          <w:b w:val="0"/>
          <w:bCs w:val="0"/>
          <w:sz w:val="24"/>
          <w:szCs w:val="24"/>
          <w:u w:val="single"/>
          <w:lang w:val="en-US" w:eastAsia="zh-CN"/>
        </w:rPr>
        <w:t>2</w:t>
      </w:r>
      <w:r>
        <w:rPr>
          <w:rFonts w:hint="eastAsia" w:ascii="宋体" w:hAnsi="宋体" w:eastAsia="宋体" w:cs="宋体"/>
          <w:b w:val="0"/>
          <w:bCs w:val="0"/>
          <w:sz w:val="24"/>
          <w:szCs w:val="24"/>
          <w:u w:val="none"/>
          <w:lang w:val="en-US" w:eastAsia="zh-CN"/>
        </w:rPr>
        <w:t>种方式对合同价格进行调整：第1种方式：采用价格指数进行价格调整。</w:t>
      </w:r>
    </w:p>
    <w:p w14:paraId="31B960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关于各可调因子、定值和变值权重，以及基本价格指数及其来源的约定：</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0C4BB5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第2种方式：采用造价信息进行价格调整。</w:t>
      </w:r>
    </w:p>
    <w:p w14:paraId="4FA22F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（2）关于基准价格的约定：。</w:t>
      </w:r>
    </w:p>
    <w:p w14:paraId="0CE873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专用合同条款①承包人在已标价工程量清单或预算书中载明的材料单价低于基准价格的：专用合同条款合同履行期间材料单价涨幅以基准价格为基础超过5%时，或材料单价跌幅以已标价工程量清单或预算书中载明材料单价为基础超过5%时，其超过部分据实调整。</w:t>
      </w:r>
    </w:p>
    <w:p w14:paraId="70E968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②承包人在已标价工程量清单或预算书中载明的材料单价高于基准价格的：专用合同条款合同履行期间材料单价跌幅以基准价格为基础超过5%时，材料单价涨幅以已标价工程量清单或预算书中载明材料单价为基础超过5%时，其超过部分据实调整。</w:t>
      </w:r>
    </w:p>
    <w:p w14:paraId="42422A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%时，其超过部分据实调整。</w:t>
      </w:r>
    </w:p>
    <w:p w14:paraId="4CF974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第3种方式：其他价格调整方式：</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7390F7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12.合同价格、计量与支付</w:t>
      </w:r>
    </w:p>
    <w:p w14:paraId="137A2B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12.1合同价格形式</w:t>
      </w:r>
    </w:p>
    <w:p w14:paraId="570B70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1、单价合同。</w:t>
      </w:r>
    </w:p>
    <w:p w14:paraId="637677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综合单价包含的风险范围：</w:t>
      </w:r>
      <w:r>
        <w:rPr>
          <w:rFonts w:hint="eastAsia" w:ascii="宋体" w:hAnsi="宋体" w:eastAsia="宋体" w:cs="宋体"/>
          <w:b w:val="0"/>
          <w:bCs w:val="0"/>
          <w:sz w:val="24"/>
          <w:szCs w:val="24"/>
          <w:u w:val="single"/>
          <w:lang w:val="en-US" w:eastAsia="zh-CN"/>
        </w:rPr>
        <w:t>承包人所报的综合单价在承包人应承担的风险范围内不因市场的变化而变动</w:t>
      </w:r>
      <w:r>
        <w:rPr>
          <w:rFonts w:hint="eastAsia" w:ascii="宋体" w:hAnsi="宋体" w:eastAsia="宋体" w:cs="宋体"/>
          <w:b w:val="0"/>
          <w:bCs w:val="0"/>
          <w:sz w:val="24"/>
          <w:szCs w:val="24"/>
          <w:u w:val="none"/>
          <w:lang w:val="en-US" w:eastAsia="zh-CN"/>
        </w:rPr>
        <w:t>。</w:t>
      </w:r>
    </w:p>
    <w:p w14:paraId="0A0CF3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风险费用的计算方法：</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67F02D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风险范围以外合同价格的调整方法：</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728BAE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2、总价合同。</w:t>
      </w:r>
    </w:p>
    <w:p w14:paraId="7F5152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总价包含的风险范围：</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11CE02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风险费用的计算方法：</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6CDAF3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风险范围以外合同价格的调整方法：</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2B1EC6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3、其他价格方式：</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5617EA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12.2预付款</w:t>
      </w:r>
    </w:p>
    <w:p w14:paraId="0F695F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12.2.1预付款的支付</w:t>
      </w:r>
    </w:p>
    <w:p w14:paraId="038DDC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预付款支付比例或金额：</w:t>
      </w:r>
      <w:r>
        <w:rPr>
          <w:rFonts w:hint="eastAsia" w:ascii="宋体" w:hAnsi="宋体" w:eastAsia="宋体" w:cs="宋体"/>
          <w:b w:val="0"/>
          <w:bCs w:val="0"/>
          <w:sz w:val="24"/>
          <w:szCs w:val="24"/>
          <w:u w:val="single"/>
          <w:lang w:val="en-US" w:eastAsia="zh-CN"/>
        </w:rPr>
        <w:t>30</w:t>
      </w:r>
      <w:r>
        <w:rPr>
          <w:rFonts w:hint="eastAsia" w:ascii="宋体" w:hAnsi="宋体" w:eastAsia="宋体" w:cs="宋体"/>
          <w:b w:val="0"/>
          <w:bCs w:val="0"/>
          <w:sz w:val="24"/>
          <w:szCs w:val="24"/>
          <w:u w:val="none"/>
          <w:lang w:val="en-US" w:eastAsia="zh-CN"/>
        </w:rPr>
        <w:t>%</w:t>
      </w:r>
    </w:p>
    <w:p w14:paraId="38E53E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预付款支付期限：</w:t>
      </w:r>
      <w:r>
        <w:rPr>
          <w:rFonts w:hint="eastAsia" w:ascii="宋体" w:hAnsi="宋体" w:eastAsia="宋体" w:cs="宋体"/>
          <w:b w:val="0"/>
          <w:bCs w:val="0"/>
          <w:sz w:val="24"/>
          <w:szCs w:val="24"/>
          <w:u w:val="single"/>
          <w:lang w:val="en-US" w:eastAsia="zh-CN"/>
        </w:rPr>
        <w:t>/</w:t>
      </w:r>
    </w:p>
    <w:p w14:paraId="513502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预付款扣回的方式：</w:t>
      </w:r>
      <w:r>
        <w:rPr>
          <w:rFonts w:hint="eastAsia" w:ascii="宋体" w:hAnsi="宋体" w:eastAsia="宋体" w:cs="宋体"/>
          <w:b w:val="0"/>
          <w:bCs w:val="0"/>
          <w:sz w:val="24"/>
          <w:szCs w:val="24"/>
          <w:u w:val="single"/>
          <w:lang w:val="en-US" w:eastAsia="zh-CN"/>
        </w:rPr>
        <w:t>预付款在前3次进度批复时等额扣回，当期产值不足以扣回时合并转入下一期扣回，3次进度不足以扣回时在后续进度款审批时继续扣回，其余不明之处执行合同通用条款</w:t>
      </w:r>
      <w:r>
        <w:rPr>
          <w:rFonts w:hint="eastAsia" w:ascii="宋体" w:hAnsi="宋体" w:eastAsia="宋体" w:cs="宋体"/>
          <w:b w:val="0"/>
          <w:bCs w:val="0"/>
          <w:sz w:val="24"/>
          <w:szCs w:val="24"/>
          <w:u w:val="none"/>
          <w:lang w:val="en-US" w:eastAsia="zh-CN"/>
        </w:rPr>
        <w:t>。</w:t>
      </w:r>
    </w:p>
    <w:p w14:paraId="4458A1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12.2.2预付款担保</w:t>
      </w:r>
    </w:p>
    <w:p w14:paraId="2FB48C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承包人提交预付款担保的期限：</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0BDC1A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预付款担保的形式为：</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1D3CF2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12.3计量</w:t>
      </w:r>
    </w:p>
    <w:p w14:paraId="5CD050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12.3.1计量原则</w:t>
      </w:r>
    </w:p>
    <w:p w14:paraId="188ACC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工程量计算规则：</w:t>
      </w:r>
      <w:r>
        <w:rPr>
          <w:rFonts w:hint="eastAsia" w:ascii="宋体" w:hAnsi="宋体" w:eastAsia="宋体" w:cs="宋体"/>
          <w:b w:val="0"/>
          <w:bCs w:val="0"/>
          <w:sz w:val="24"/>
          <w:szCs w:val="24"/>
          <w:u w:val="single"/>
          <w:lang w:val="en-US" w:eastAsia="zh-CN"/>
        </w:rPr>
        <w:t>执行通用条款</w:t>
      </w:r>
      <w:r>
        <w:rPr>
          <w:rFonts w:hint="eastAsia" w:ascii="宋体" w:hAnsi="宋体" w:eastAsia="宋体" w:cs="宋体"/>
          <w:b w:val="0"/>
          <w:bCs w:val="0"/>
          <w:sz w:val="24"/>
          <w:szCs w:val="24"/>
          <w:u w:val="none"/>
          <w:lang w:val="en-US" w:eastAsia="zh-CN"/>
        </w:rPr>
        <w:t>。</w:t>
      </w:r>
    </w:p>
    <w:p w14:paraId="632A05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12.3.2计量周期</w:t>
      </w:r>
    </w:p>
    <w:p w14:paraId="5E57BB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关于计量周期的约定：</w:t>
      </w:r>
      <w:r>
        <w:rPr>
          <w:rFonts w:hint="eastAsia" w:ascii="宋体" w:hAnsi="宋体" w:eastAsia="宋体" w:cs="宋体"/>
          <w:b w:val="0"/>
          <w:bCs w:val="0"/>
          <w:sz w:val="24"/>
          <w:szCs w:val="24"/>
          <w:u w:val="single"/>
          <w:lang w:val="en-US" w:eastAsia="zh-CN"/>
        </w:rPr>
        <w:t>工程量的计量按月进行</w:t>
      </w:r>
      <w:r>
        <w:rPr>
          <w:rFonts w:hint="eastAsia" w:ascii="宋体" w:hAnsi="宋体" w:eastAsia="宋体" w:cs="宋体"/>
          <w:b w:val="0"/>
          <w:bCs w:val="0"/>
          <w:sz w:val="24"/>
          <w:szCs w:val="24"/>
          <w:u w:val="none"/>
          <w:lang w:val="en-US" w:eastAsia="zh-CN"/>
        </w:rPr>
        <w:t>。</w:t>
      </w:r>
    </w:p>
    <w:p w14:paraId="708FB4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12.3.3单价合同的计量</w:t>
      </w:r>
    </w:p>
    <w:p w14:paraId="55C860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关于单价合同计量的约定：</w:t>
      </w:r>
      <w:r>
        <w:rPr>
          <w:rFonts w:hint="eastAsia" w:ascii="宋体" w:hAnsi="宋体" w:eastAsia="宋体" w:cs="宋体"/>
          <w:b w:val="0"/>
          <w:bCs w:val="0"/>
          <w:sz w:val="24"/>
          <w:szCs w:val="24"/>
          <w:u w:val="single"/>
          <w:lang w:val="en-US" w:eastAsia="zh-CN"/>
        </w:rPr>
        <w:t>执行通用条款</w:t>
      </w:r>
      <w:r>
        <w:rPr>
          <w:rFonts w:hint="eastAsia" w:ascii="宋体" w:hAnsi="宋体" w:eastAsia="宋体" w:cs="宋体"/>
          <w:b w:val="0"/>
          <w:bCs w:val="0"/>
          <w:sz w:val="24"/>
          <w:szCs w:val="24"/>
          <w:u w:val="none"/>
          <w:lang w:val="en-US" w:eastAsia="zh-CN"/>
        </w:rPr>
        <w:t>。</w:t>
      </w:r>
    </w:p>
    <w:p w14:paraId="482653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12.3.4总价合同的计量</w:t>
      </w:r>
    </w:p>
    <w:p w14:paraId="735FEF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关于总价合同计量的约定：</w:t>
      </w:r>
      <w:r>
        <w:rPr>
          <w:rFonts w:hint="eastAsia" w:ascii="宋体" w:hAnsi="宋体" w:eastAsia="宋体" w:cs="宋体"/>
          <w:b w:val="0"/>
          <w:bCs w:val="0"/>
          <w:sz w:val="24"/>
          <w:szCs w:val="24"/>
          <w:u w:val="single"/>
          <w:lang w:val="en-US" w:eastAsia="zh-CN"/>
        </w:rPr>
        <w:t>执行通用条款</w:t>
      </w:r>
      <w:r>
        <w:rPr>
          <w:rFonts w:hint="eastAsia" w:ascii="宋体" w:hAnsi="宋体" w:eastAsia="宋体" w:cs="宋体"/>
          <w:b w:val="0"/>
          <w:bCs w:val="0"/>
          <w:sz w:val="24"/>
          <w:szCs w:val="24"/>
          <w:u w:val="none"/>
          <w:lang w:val="en-US" w:eastAsia="zh-CN"/>
        </w:rPr>
        <w:t>。</w:t>
      </w:r>
    </w:p>
    <w:p w14:paraId="0C9B27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12.3.5总价合同采用支付分解表计量支付的，是否适用第12.3.4项〔总价合同的计量〕约定进行计量：</w:t>
      </w:r>
      <w:r>
        <w:rPr>
          <w:rFonts w:hint="eastAsia" w:ascii="宋体" w:hAnsi="宋体" w:eastAsia="宋体" w:cs="宋体"/>
          <w:b w:val="0"/>
          <w:bCs w:val="0"/>
          <w:sz w:val="24"/>
          <w:szCs w:val="24"/>
          <w:u w:val="single"/>
          <w:lang w:val="en-US" w:eastAsia="zh-CN"/>
        </w:rPr>
        <w:t>执行通用条款</w:t>
      </w:r>
      <w:r>
        <w:rPr>
          <w:rFonts w:hint="eastAsia" w:ascii="宋体" w:hAnsi="宋体" w:eastAsia="宋体" w:cs="宋体"/>
          <w:b w:val="0"/>
          <w:bCs w:val="0"/>
          <w:sz w:val="24"/>
          <w:szCs w:val="24"/>
          <w:u w:val="none"/>
          <w:lang w:val="en-US" w:eastAsia="zh-CN"/>
        </w:rPr>
        <w:t>。</w:t>
      </w:r>
    </w:p>
    <w:p w14:paraId="236336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12.3.6其他价格形式合同的计量</w:t>
      </w:r>
    </w:p>
    <w:p w14:paraId="4B1F53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其他价格形式的计量方式和程序：</w:t>
      </w:r>
      <w:r>
        <w:rPr>
          <w:rFonts w:hint="eastAsia" w:ascii="宋体" w:hAnsi="宋体" w:eastAsia="宋体" w:cs="宋体"/>
          <w:b w:val="0"/>
          <w:bCs w:val="0"/>
          <w:sz w:val="24"/>
          <w:szCs w:val="24"/>
          <w:u w:val="single"/>
          <w:lang w:val="en-US" w:eastAsia="zh-CN"/>
        </w:rPr>
        <w:t>执行通用条款</w:t>
      </w:r>
      <w:r>
        <w:rPr>
          <w:rFonts w:hint="eastAsia" w:ascii="宋体" w:hAnsi="宋体" w:eastAsia="宋体" w:cs="宋体"/>
          <w:b w:val="0"/>
          <w:bCs w:val="0"/>
          <w:sz w:val="24"/>
          <w:szCs w:val="24"/>
          <w:u w:val="none"/>
          <w:lang w:val="en-US" w:eastAsia="zh-CN"/>
        </w:rPr>
        <w:t>。</w:t>
      </w:r>
    </w:p>
    <w:p w14:paraId="751B60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12.4工程进度款支付</w:t>
      </w:r>
    </w:p>
    <w:p w14:paraId="0F398E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12.4.1付款周期</w:t>
      </w:r>
    </w:p>
    <w:p w14:paraId="0807EE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关于付款周期的约定：</w:t>
      </w:r>
      <w:r>
        <w:rPr>
          <w:rFonts w:hint="eastAsia" w:ascii="宋体" w:hAnsi="宋体" w:eastAsia="宋体" w:cs="宋体"/>
          <w:b w:val="0"/>
          <w:bCs w:val="0"/>
          <w:sz w:val="24"/>
          <w:szCs w:val="24"/>
          <w:u w:val="single"/>
          <w:lang w:val="en-US" w:eastAsia="zh-CN"/>
        </w:rPr>
        <w:t>发包人付款前，承包人应提供真实合法有效的等额增值税发票，否则，发包人有权拒绝付款且不承担违约责任</w:t>
      </w:r>
      <w:r>
        <w:rPr>
          <w:rFonts w:hint="eastAsia" w:ascii="宋体" w:hAnsi="宋体" w:eastAsia="宋体" w:cs="宋体"/>
          <w:b w:val="0"/>
          <w:bCs w:val="0"/>
          <w:sz w:val="24"/>
          <w:szCs w:val="24"/>
          <w:u w:val="none"/>
          <w:lang w:val="en-US" w:eastAsia="zh-CN"/>
        </w:rPr>
        <w:t>。</w:t>
      </w:r>
    </w:p>
    <w:p w14:paraId="7B3CA6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12.4.2进度付款申请单的编制</w:t>
      </w:r>
    </w:p>
    <w:p w14:paraId="0CFB42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关于进度付款申请单编制的约定：</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55843B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12.4.3进度付款申请单的提交</w:t>
      </w:r>
    </w:p>
    <w:p w14:paraId="30167F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（1）单价合同进度付款申请单提交的约定：</w:t>
      </w:r>
      <w:r>
        <w:rPr>
          <w:rFonts w:hint="eastAsia" w:ascii="宋体" w:hAnsi="宋体" w:eastAsia="宋体" w:cs="宋体"/>
          <w:b w:val="0"/>
          <w:bCs w:val="0"/>
          <w:sz w:val="24"/>
          <w:szCs w:val="24"/>
          <w:u w:val="single"/>
          <w:lang w:val="en-US" w:eastAsia="zh-CN"/>
        </w:rPr>
        <w:t>按合同约定工程进度提交</w:t>
      </w:r>
      <w:r>
        <w:rPr>
          <w:rFonts w:hint="eastAsia" w:ascii="宋体" w:hAnsi="宋体" w:eastAsia="宋体" w:cs="宋体"/>
          <w:b w:val="0"/>
          <w:bCs w:val="0"/>
          <w:sz w:val="24"/>
          <w:szCs w:val="24"/>
          <w:u w:val="none"/>
          <w:lang w:val="en-US" w:eastAsia="zh-CN"/>
        </w:rPr>
        <w:t>。</w:t>
      </w:r>
    </w:p>
    <w:p w14:paraId="3AD3B0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（2）总价合同进度付款申请单提交的约定：</w:t>
      </w:r>
      <w:r>
        <w:rPr>
          <w:rFonts w:hint="eastAsia" w:ascii="宋体" w:hAnsi="宋体" w:eastAsia="宋体" w:cs="宋体"/>
          <w:b w:val="0"/>
          <w:bCs w:val="0"/>
          <w:sz w:val="24"/>
          <w:szCs w:val="24"/>
          <w:u w:val="single"/>
          <w:lang w:val="en-US" w:eastAsia="zh-CN"/>
        </w:rPr>
        <w:t>/</w:t>
      </w:r>
      <w:r>
        <w:rPr>
          <w:rFonts w:hint="eastAsia" w:ascii="宋体" w:hAnsi="宋体" w:eastAsia="宋体" w:cs="宋体"/>
          <w:b w:val="0"/>
          <w:bCs w:val="0"/>
          <w:sz w:val="24"/>
          <w:szCs w:val="24"/>
          <w:u w:val="none"/>
          <w:lang w:val="en-US" w:eastAsia="zh-CN"/>
        </w:rPr>
        <w:t>。</w:t>
      </w:r>
    </w:p>
    <w:p w14:paraId="5B274D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（3）其他价格形式合同进度付款申请单提交的约定：</w:t>
      </w:r>
      <w:r>
        <w:rPr>
          <w:rFonts w:hint="eastAsia" w:ascii="宋体" w:hAnsi="宋体" w:eastAsia="宋体" w:cs="宋体"/>
          <w:b w:val="0"/>
          <w:bCs w:val="0"/>
          <w:sz w:val="24"/>
          <w:szCs w:val="24"/>
          <w:u w:val="single"/>
          <w:lang w:val="en-US" w:eastAsia="zh-CN"/>
        </w:rPr>
        <w:t>/</w:t>
      </w:r>
      <w:r>
        <w:rPr>
          <w:rFonts w:hint="eastAsia" w:ascii="宋体" w:hAnsi="宋体" w:eastAsia="宋体" w:cs="宋体"/>
          <w:b w:val="0"/>
          <w:bCs w:val="0"/>
          <w:sz w:val="24"/>
          <w:szCs w:val="24"/>
          <w:u w:val="none"/>
          <w:lang w:val="en-US" w:eastAsia="zh-CN"/>
        </w:rPr>
        <w:t>。</w:t>
      </w:r>
    </w:p>
    <w:p w14:paraId="6B9351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12.4.4进度款审核和支付</w:t>
      </w:r>
    </w:p>
    <w:p w14:paraId="55AB90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（1）监理人审查并报送发包人的期限：</w:t>
      </w:r>
      <w:r>
        <w:rPr>
          <w:rFonts w:hint="eastAsia" w:ascii="宋体" w:hAnsi="宋体" w:eastAsia="宋体" w:cs="宋体"/>
          <w:b w:val="0"/>
          <w:bCs w:val="0"/>
          <w:sz w:val="24"/>
          <w:szCs w:val="24"/>
          <w:u w:val="single"/>
          <w:lang w:val="en-US" w:eastAsia="zh-CN"/>
        </w:rPr>
        <w:t>7日内</w:t>
      </w:r>
      <w:r>
        <w:rPr>
          <w:rFonts w:hint="eastAsia" w:ascii="宋体" w:hAnsi="宋体" w:eastAsia="宋体" w:cs="宋体"/>
          <w:b w:val="0"/>
          <w:bCs w:val="0"/>
          <w:sz w:val="24"/>
          <w:szCs w:val="24"/>
          <w:u w:val="none"/>
          <w:lang w:val="en-US" w:eastAsia="zh-CN"/>
        </w:rPr>
        <w:t>。</w:t>
      </w:r>
    </w:p>
    <w:p w14:paraId="2AE42D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发包人完成审批并签发进度款支付证书的期限：</w:t>
      </w:r>
      <w:r>
        <w:rPr>
          <w:rFonts w:hint="eastAsia" w:ascii="宋体" w:hAnsi="宋体" w:eastAsia="宋体" w:cs="宋体"/>
          <w:b w:val="0"/>
          <w:bCs w:val="0"/>
          <w:sz w:val="24"/>
          <w:szCs w:val="24"/>
          <w:u w:val="single"/>
          <w:lang w:val="en-US" w:eastAsia="zh-CN"/>
        </w:rPr>
        <w:t>7日内</w:t>
      </w:r>
      <w:r>
        <w:rPr>
          <w:rFonts w:hint="eastAsia" w:ascii="宋体" w:hAnsi="宋体" w:eastAsia="宋体" w:cs="宋体"/>
          <w:b w:val="0"/>
          <w:bCs w:val="0"/>
          <w:sz w:val="24"/>
          <w:szCs w:val="24"/>
          <w:u w:val="none"/>
          <w:lang w:val="en-US" w:eastAsia="zh-CN"/>
        </w:rPr>
        <w:t>。</w:t>
      </w:r>
    </w:p>
    <w:p w14:paraId="58EFFE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（2）发包人支付进度款的期限：</w:t>
      </w:r>
      <w:r>
        <w:rPr>
          <w:rFonts w:hint="eastAsia" w:ascii="宋体" w:hAnsi="宋体" w:eastAsia="宋体" w:cs="宋体"/>
          <w:b w:val="0"/>
          <w:bCs w:val="0"/>
          <w:sz w:val="24"/>
          <w:szCs w:val="24"/>
          <w:u w:val="single"/>
          <w:lang w:val="en-US" w:eastAsia="zh-CN"/>
        </w:rPr>
        <w:t>执行通用条款</w:t>
      </w:r>
      <w:r>
        <w:rPr>
          <w:rFonts w:hint="eastAsia" w:ascii="宋体" w:hAnsi="宋体" w:eastAsia="宋体" w:cs="宋体"/>
          <w:b w:val="0"/>
          <w:bCs w:val="0"/>
          <w:sz w:val="24"/>
          <w:szCs w:val="24"/>
          <w:u w:val="none"/>
          <w:lang w:val="en-US" w:eastAsia="zh-CN"/>
        </w:rPr>
        <w:t>。</w:t>
      </w:r>
    </w:p>
    <w:p w14:paraId="3418D4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发包人逾期支付进度款的违约金的计算方式：</w:t>
      </w:r>
      <w:r>
        <w:rPr>
          <w:rFonts w:hint="eastAsia" w:ascii="宋体" w:hAnsi="宋体" w:eastAsia="宋体" w:cs="宋体"/>
          <w:b w:val="0"/>
          <w:bCs w:val="0"/>
          <w:sz w:val="24"/>
          <w:szCs w:val="24"/>
          <w:u w:val="single"/>
          <w:lang w:val="en-US" w:eastAsia="zh-CN"/>
        </w:rPr>
        <w:t>/</w:t>
      </w:r>
      <w:r>
        <w:rPr>
          <w:rFonts w:hint="eastAsia" w:ascii="宋体" w:hAnsi="宋体" w:eastAsia="宋体" w:cs="宋体"/>
          <w:b w:val="0"/>
          <w:bCs w:val="0"/>
          <w:sz w:val="24"/>
          <w:szCs w:val="24"/>
          <w:u w:val="none"/>
          <w:lang w:val="en-US" w:eastAsia="zh-CN"/>
        </w:rPr>
        <w:t>。</w:t>
      </w:r>
    </w:p>
    <w:p w14:paraId="209D62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12.4.6支付分解表的编制</w:t>
      </w:r>
    </w:p>
    <w:p w14:paraId="6D3788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2、总价合同支付分解表的编制与审批：</w:t>
      </w:r>
      <w:r>
        <w:rPr>
          <w:rFonts w:hint="eastAsia" w:ascii="宋体" w:hAnsi="宋体" w:eastAsia="宋体" w:cs="宋体"/>
          <w:b w:val="0"/>
          <w:bCs w:val="0"/>
          <w:sz w:val="24"/>
          <w:szCs w:val="24"/>
          <w:u w:val="single"/>
          <w:lang w:val="en-US" w:eastAsia="zh-CN"/>
        </w:rPr>
        <w:t>/</w:t>
      </w:r>
      <w:r>
        <w:rPr>
          <w:rFonts w:hint="eastAsia" w:ascii="宋体" w:hAnsi="宋体" w:eastAsia="宋体" w:cs="宋体"/>
          <w:b w:val="0"/>
          <w:bCs w:val="0"/>
          <w:sz w:val="24"/>
          <w:szCs w:val="24"/>
          <w:u w:val="none"/>
          <w:lang w:val="en-US" w:eastAsia="zh-CN"/>
        </w:rPr>
        <w:t>。</w:t>
      </w:r>
    </w:p>
    <w:p w14:paraId="01A2A9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3、单价合同的总价项目支付分解表的编制与审批</w:t>
      </w:r>
      <w:r>
        <w:rPr>
          <w:rFonts w:hint="eastAsia" w:ascii="宋体" w:hAnsi="宋体" w:eastAsia="宋体" w:cs="宋体"/>
          <w:b w:val="0"/>
          <w:bCs w:val="0"/>
          <w:sz w:val="24"/>
          <w:szCs w:val="24"/>
          <w:u w:val="single"/>
          <w:lang w:val="en-US" w:eastAsia="zh-CN"/>
        </w:rPr>
        <w:t>/</w:t>
      </w:r>
      <w:r>
        <w:rPr>
          <w:rFonts w:hint="eastAsia" w:ascii="宋体" w:hAnsi="宋体" w:eastAsia="宋体" w:cs="宋体"/>
          <w:b w:val="0"/>
          <w:bCs w:val="0"/>
          <w:sz w:val="24"/>
          <w:szCs w:val="24"/>
          <w:u w:val="none"/>
          <w:lang w:val="en-US" w:eastAsia="zh-CN"/>
        </w:rPr>
        <w:t>。</w:t>
      </w:r>
    </w:p>
    <w:p w14:paraId="24EDE6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13.验收和工程试车</w:t>
      </w:r>
    </w:p>
    <w:p w14:paraId="1A57B7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13.1分部分项工程验收</w:t>
      </w:r>
    </w:p>
    <w:p w14:paraId="7BF1AC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13.1.2监理人不能按时进行验收时，应提前</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小时提交书面延期要求。</w:t>
      </w:r>
    </w:p>
    <w:p w14:paraId="3D2275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关于延期最长不得超过：</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小时。</w:t>
      </w:r>
    </w:p>
    <w:p w14:paraId="06036A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13.2竣工验收</w:t>
      </w:r>
    </w:p>
    <w:p w14:paraId="4BC212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13.2.2竣工验收程序</w:t>
      </w:r>
    </w:p>
    <w:p w14:paraId="6ABA0E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关于竣工验收程序的约定：</w:t>
      </w:r>
      <w:r>
        <w:rPr>
          <w:rFonts w:hint="eastAsia" w:ascii="宋体" w:hAnsi="宋体" w:eastAsia="宋体" w:cs="宋体"/>
          <w:b w:val="0"/>
          <w:bCs w:val="0"/>
          <w:sz w:val="24"/>
          <w:szCs w:val="24"/>
          <w:u w:val="single"/>
          <w:lang w:val="en-US" w:eastAsia="zh-CN"/>
        </w:rPr>
        <w:t>执行通用条款</w:t>
      </w:r>
      <w:r>
        <w:rPr>
          <w:rFonts w:hint="eastAsia" w:ascii="宋体" w:hAnsi="宋体" w:eastAsia="宋体" w:cs="宋体"/>
          <w:b w:val="0"/>
          <w:bCs w:val="0"/>
          <w:sz w:val="24"/>
          <w:szCs w:val="24"/>
          <w:u w:val="none"/>
          <w:lang w:val="en-US" w:eastAsia="zh-CN"/>
        </w:rPr>
        <w:t>。</w:t>
      </w:r>
    </w:p>
    <w:p w14:paraId="69F271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发包人不按照本项约定组织竣工验收、颁发工程接收证书的违约金的计算方法：/。</w:t>
      </w:r>
    </w:p>
    <w:p w14:paraId="72F8ED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13.2.5移交、接收全部与部分工程</w:t>
      </w:r>
    </w:p>
    <w:p w14:paraId="6F5BA5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承包人向发包人移交工程的期限：</w:t>
      </w:r>
      <w:r>
        <w:rPr>
          <w:rFonts w:hint="eastAsia" w:ascii="宋体" w:hAnsi="宋体" w:eastAsia="宋体" w:cs="宋体"/>
          <w:b w:val="0"/>
          <w:bCs w:val="0"/>
          <w:sz w:val="24"/>
          <w:szCs w:val="24"/>
          <w:u w:val="single"/>
          <w:lang w:val="en-US" w:eastAsia="zh-CN"/>
        </w:rPr>
        <w:t>执行通用条款</w:t>
      </w:r>
      <w:r>
        <w:rPr>
          <w:rFonts w:hint="eastAsia" w:ascii="宋体" w:hAnsi="宋体" w:eastAsia="宋体" w:cs="宋体"/>
          <w:b w:val="0"/>
          <w:bCs w:val="0"/>
          <w:sz w:val="24"/>
          <w:szCs w:val="24"/>
          <w:u w:val="none"/>
          <w:lang w:val="en-US" w:eastAsia="zh-CN"/>
        </w:rPr>
        <w:t>。</w:t>
      </w:r>
    </w:p>
    <w:p w14:paraId="12856D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承包人未按时移交工程的，违约金的计算方法为：</w:t>
      </w:r>
      <w:r>
        <w:rPr>
          <w:rFonts w:hint="eastAsia" w:ascii="宋体" w:hAnsi="宋体" w:eastAsia="宋体" w:cs="宋体"/>
          <w:b w:val="0"/>
          <w:bCs w:val="0"/>
          <w:sz w:val="24"/>
          <w:szCs w:val="24"/>
          <w:u w:val="single"/>
          <w:lang w:val="en-US" w:eastAsia="zh-CN"/>
        </w:rPr>
        <w:t>每逾期一日，承担1000元违约金</w:t>
      </w:r>
      <w:r>
        <w:rPr>
          <w:rFonts w:hint="eastAsia" w:ascii="宋体" w:hAnsi="宋体" w:eastAsia="宋体" w:cs="宋体"/>
          <w:b w:val="0"/>
          <w:bCs w:val="0"/>
          <w:sz w:val="24"/>
          <w:szCs w:val="24"/>
          <w:u w:val="none"/>
          <w:lang w:val="en-US" w:eastAsia="zh-CN"/>
        </w:rPr>
        <w:t>。</w:t>
      </w:r>
    </w:p>
    <w:p w14:paraId="410A9D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13.3工程试车</w:t>
      </w:r>
    </w:p>
    <w:p w14:paraId="0930F1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13.3.1试车程序</w:t>
      </w:r>
    </w:p>
    <w:p w14:paraId="761639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工程试车内容：</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5FA4FB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（1）单机无负荷试车费用由</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承担；</w:t>
      </w:r>
    </w:p>
    <w:p w14:paraId="3B6D9A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（2）无负荷联动试车费用由</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承担。</w:t>
      </w:r>
    </w:p>
    <w:p w14:paraId="4D9AD7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13.3.3投料试车</w:t>
      </w:r>
    </w:p>
    <w:p w14:paraId="65A38F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关于投料试车相关事项的约定：</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17221D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13.6竣工退场</w:t>
      </w:r>
    </w:p>
    <w:p w14:paraId="6BADD1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13.6.1竣工退场</w:t>
      </w:r>
    </w:p>
    <w:p w14:paraId="3B9F6A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承包人完成竣工退场的期限：</w:t>
      </w:r>
      <w:r>
        <w:rPr>
          <w:rFonts w:hint="eastAsia" w:ascii="宋体" w:hAnsi="宋体" w:eastAsia="宋体" w:cs="宋体"/>
          <w:b w:val="0"/>
          <w:bCs w:val="0"/>
          <w:sz w:val="24"/>
          <w:szCs w:val="24"/>
          <w:u w:val="single"/>
          <w:lang w:val="en-US" w:eastAsia="zh-CN"/>
        </w:rPr>
        <w:t>每逾期一日，承担1000元违约金</w:t>
      </w:r>
      <w:r>
        <w:rPr>
          <w:rFonts w:hint="eastAsia" w:ascii="宋体" w:hAnsi="宋体" w:eastAsia="宋体" w:cs="宋体"/>
          <w:b w:val="0"/>
          <w:bCs w:val="0"/>
          <w:sz w:val="24"/>
          <w:szCs w:val="24"/>
          <w:u w:val="none"/>
          <w:lang w:val="en-US" w:eastAsia="zh-CN"/>
        </w:rPr>
        <w:t>。</w:t>
      </w:r>
    </w:p>
    <w:p w14:paraId="4E7592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14.竣工结算</w:t>
      </w:r>
    </w:p>
    <w:p w14:paraId="087EFE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14.1竣工结算申请</w:t>
      </w:r>
    </w:p>
    <w:p w14:paraId="26035F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承包人提交竣工结算申请单的期限：</w:t>
      </w:r>
      <w:r>
        <w:rPr>
          <w:rFonts w:hint="eastAsia" w:ascii="宋体" w:hAnsi="宋体" w:eastAsia="宋体" w:cs="宋体"/>
          <w:b w:val="0"/>
          <w:bCs w:val="0"/>
          <w:sz w:val="24"/>
          <w:szCs w:val="24"/>
          <w:u w:val="single"/>
          <w:lang w:val="en-US" w:eastAsia="zh-CN"/>
        </w:rPr>
        <w:t>30日</w:t>
      </w:r>
      <w:r>
        <w:rPr>
          <w:rFonts w:hint="eastAsia" w:ascii="宋体" w:hAnsi="宋体" w:eastAsia="宋体" w:cs="宋体"/>
          <w:b w:val="0"/>
          <w:bCs w:val="0"/>
          <w:sz w:val="24"/>
          <w:szCs w:val="24"/>
          <w:u w:val="none"/>
          <w:lang w:val="en-US" w:eastAsia="zh-CN"/>
        </w:rPr>
        <w:t>。</w:t>
      </w:r>
    </w:p>
    <w:p w14:paraId="3CA424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竣工结算申请单应包括的内容：</w:t>
      </w:r>
      <w:r>
        <w:rPr>
          <w:rFonts w:hint="eastAsia" w:ascii="宋体" w:hAnsi="宋体" w:eastAsia="宋体" w:cs="宋体"/>
          <w:b w:val="0"/>
          <w:bCs w:val="0"/>
          <w:sz w:val="24"/>
          <w:szCs w:val="24"/>
          <w:u w:val="single"/>
          <w:lang w:val="en-US" w:eastAsia="zh-CN"/>
        </w:rPr>
        <w:t>见发包人竣工验收报告书规定</w:t>
      </w:r>
      <w:r>
        <w:rPr>
          <w:rFonts w:hint="eastAsia" w:ascii="宋体" w:hAnsi="宋体" w:eastAsia="宋体" w:cs="宋体"/>
          <w:b w:val="0"/>
          <w:bCs w:val="0"/>
          <w:sz w:val="24"/>
          <w:szCs w:val="24"/>
          <w:u w:val="none"/>
          <w:lang w:val="en-US" w:eastAsia="zh-CN"/>
        </w:rPr>
        <w:t>。</w:t>
      </w:r>
    </w:p>
    <w:p w14:paraId="7CB57C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14.2竣工结算审核</w:t>
      </w:r>
    </w:p>
    <w:p w14:paraId="3CCC68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发包人审批竣工付款申请单的期限：</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69CAF4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发包人完成竣工付款的期限：</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258D93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关于竣工付款证书异议部分复核的方式和程序：</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3CD69B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14.4最终结清</w:t>
      </w:r>
    </w:p>
    <w:p w14:paraId="61D911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14.4.1最终结清申请单</w:t>
      </w:r>
    </w:p>
    <w:p w14:paraId="65A4F8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承包人提交最终结清申请单的份数：</w:t>
      </w:r>
      <w:r>
        <w:rPr>
          <w:rFonts w:hint="eastAsia" w:ascii="宋体" w:hAnsi="宋体" w:eastAsia="宋体" w:cs="宋体"/>
          <w:b w:val="0"/>
          <w:bCs w:val="0"/>
          <w:sz w:val="24"/>
          <w:szCs w:val="24"/>
          <w:u w:val="single"/>
          <w:lang w:val="en-US" w:eastAsia="zh-CN"/>
        </w:rPr>
        <w:t>8份</w:t>
      </w:r>
      <w:r>
        <w:rPr>
          <w:rFonts w:hint="eastAsia" w:ascii="宋体" w:hAnsi="宋体" w:eastAsia="宋体" w:cs="宋体"/>
          <w:b w:val="0"/>
          <w:bCs w:val="0"/>
          <w:sz w:val="24"/>
          <w:szCs w:val="24"/>
          <w:u w:val="none"/>
          <w:lang w:val="en-US" w:eastAsia="zh-CN"/>
        </w:rPr>
        <w:t>。</w:t>
      </w:r>
    </w:p>
    <w:p w14:paraId="7FF30D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承包人提交最终结算申请单的期限：</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08A81D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14.4.2最终结清证书和支付</w:t>
      </w:r>
    </w:p>
    <w:p w14:paraId="52D996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（1）发包人完成最终结清申请单的审批并颁发最终结清证书的期限：</w:t>
      </w:r>
      <w:r>
        <w:rPr>
          <w:rFonts w:hint="eastAsia" w:ascii="宋体" w:hAnsi="宋体" w:eastAsia="宋体" w:cs="宋体"/>
          <w:b w:val="0"/>
          <w:bCs w:val="0"/>
          <w:sz w:val="24"/>
          <w:szCs w:val="24"/>
          <w:u w:val="single"/>
          <w:lang w:val="en-US" w:eastAsia="zh-CN"/>
        </w:rPr>
        <w:t>执行通用条款</w:t>
      </w:r>
      <w:r>
        <w:rPr>
          <w:rFonts w:hint="eastAsia" w:ascii="宋体" w:hAnsi="宋体" w:eastAsia="宋体" w:cs="宋体"/>
          <w:b w:val="0"/>
          <w:bCs w:val="0"/>
          <w:sz w:val="24"/>
          <w:szCs w:val="24"/>
          <w:u w:val="none"/>
          <w:lang w:val="en-US" w:eastAsia="zh-CN"/>
        </w:rPr>
        <w:t>。</w:t>
      </w:r>
    </w:p>
    <w:p w14:paraId="4BF123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（2）发包人完成支付的期限：</w:t>
      </w:r>
      <w:r>
        <w:rPr>
          <w:rFonts w:hint="eastAsia" w:ascii="宋体" w:hAnsi="宋体" w:eastAsia="宋体" w:cs="宋体"/>
          <w:b w:val="0"/>
          <w:bCs w:val="0"/>
          <w:sz w:val="24"/>
          <w:szCs w:val="24"/>
          <w:u w:val="single"/>
          <w:lang w:val="en-US" w:eastAsia="zh-CN"/>
        </w:rPr>
        <w:t>执行通用条款</w:t>
      </w:r>
      <w:r>
        <w:rPr>
          <w:rFonts w:hint="eastAsia" w:ascii="宋体" w:hAnsi="宋体" w:eastAsia="宋体" w:cs="宋体"/>
          <w:b w:val="0"/>
          <w:bCs w:val="0"/>
          <w:sz w:val="24"/>
          <w:szCs w:val="24"/>
          <w:u w:val="none"/>
          <w:lang w:val="en-US" w:eastAsia="zh-CN"/>
        </w:rPr>
        <w:t>。</w:t>
      </w:r>
    </w:p>
    <w:p w14:paraId="2DA9A6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15.缺陷责任期</w:t>
      </w:r>
    </w:p>
    <w:p w14:paraId="465DCC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15.2缺陷责任期</w:t>
      </w:r>
    </w:p>
    <w:p w14:paraId="52B9AA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缺陷责任期的具体期限：</w:t>
      </w:r>
      <w:r>
        <w:rPr>
          <w:rFonts w:hint="eastAsia" w:ascii="宋体" w:hAnsi="宋体" w:eastAsia="宋体" w:cs="宋体"/>
          <w:b w:val="0"/>
          <w:bCs w:val="0"/>
          <w:sz w:val="24"/>
          <w:szCs w:val="24"/>
          <w:u w:val="single"/>
          <w:lang w:val="en-US" w:eastAsia="zh-CN"/>
        </w:rPr>
        <w:t>24个月</w:t>
      </w:r>
      <w:r>
        <w:rPr>
          <w:rFonts w:hint="eastAsia" w:ascii="宋体" w:hAnsi="宋体" w:eastAsia="宋体" w:cs="宋体"/>
          <w:b w:val="0"/>
          <w:bCs w:val="0"/>
          <w:sz w:val="24"/>
          <w:szCs w:val="24"/>
          <w:u w:val="none"/>
          <w:lang w:val="en-US" w:eastAsia="zh-CN"/>
        </w:rPr>
        <w:t>。</w:t>
      </w:r>
    </w:p>
    <w:p w14:paraId="5A3E2F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15.3质量保证金</w:t>
      </w:r>
    </w:p>
    <w:p w14:paraId="749000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关于是否扣留质量保证金的约定：</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0B0436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在工程项目竣工前，承包人按专用合同条款第3.7条提供履约担保的，发包人不得同时预留工程质量保证金。</w:t>
      </w:r>
    </w:p>
    <w:p w14:paraId="2E2E02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15.3.1承包人提供质量保证金的方式</w:t>
      </w:r>
    </w:p>
    <w:p w14:paraId="368FF9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质量保证金采用以下第（2）种方式：</w:t>
      </w:r>
    </w:p>
    <w:p w14:paraId="50FB65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（1）质量保证金保函，保证金额为：</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5B76C0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w:t>
      </w:r>
      <w:r>
        <w:rPr>
          <w:rFonts w:hint="eastAsia" w:ascii="宋体" w:hAnsi="宋体" w:eastAsia="宋体" w:cs="宋体"/>
          <w:b w:val="0"/>
          <w:bCs w:val="0"/>
          <w:sz w:val="24"/>
          <w:szCs w:val="24"/>
          <w:u w:val="single"/>
          <w:lang w:val="en-US" w:eastAsia="zh-CN"/>
        </w:rPr>
        <w:t>3</w:t>
      </w:r>
      <w:r>
        <w:rPr>
          <w:rFonts w:hint="eastAsia" w:ascii="宋体" w:hAnsi="宋体" w:eastAsia="宋体" w:cs="宋体"/>
          <w:b w:val="0"/>
          <w:bCs w:val="0"/>
          <w:sz w:val="24"/>
          <w:szCs w:val="24"/>
          <w:u w:val="none"/>
          <w:lang w:val="en-US" w:eastAsia="zh-CN"/>
        </w:rPr>
        <w:t>%的结算价款；</w:t>
      </w:r>
    </w:p>
    <w:p w14:paraId="6F3714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（3）其他方式：</w:t>
      </w:r>
      <w:r>
        <w:rPr>
          <w:rFonts w:hint="eastAsia" w:ascii="宋体" w:hAnsi="宋体" w:eastAsia="宋体" w:cs="宋体"/>
          <w:b w:val="0"/>
          <w:bCs w:val="0"/>
          <w:sz w:val="24"/>
          <w:szCs w:val="24"/>
          <w:u w:val="single"/>
          <w:lang w:val="en-US" w:eastAsia="zh-CN"/>
        </w:rPr>
        <w:t>无</w:t>
      </w:r>
      <w:r>
        <w:rPr>
          <w:rFonts w:hint="eastAsia" w:ascii="宋体" w:hAnsi="宋体" w:eastAsia="宋体" w:cs="宋体"/>
          <w:b w:val="0"/>
          <w:bCs w:val="0"/>
          <w:sz w:val="24"/>
          <w:szCs w:val="24"/>
          <w:u w:val="none"/>
          <w:lang w:val="en-US" w:eastAsia="zh-CN"/>
        </w:rPr>
        <w:t>。</w:t>
      </w:r>
    </w:p>
    <w:p w14:paraId="0E38A5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15.3.2质量保证金的扣留</w:t>
      </w:r>
    </w:p>
    <w:p w14:paraId="47A14D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质量保证金的扣留采取以下第</w:t>
      </w:r>
      <w:r>
        <w:rPr>
          <w:rFonts w:hint="eastAsia" w:ascii="宋体" w:hAnsi="宋体" w:eastAsia="宋体" w:cs="宋体"/>
          <w:b w:val="0"/>
          <w:bCs w:val="0"/>
          <w:sz w:val="24"/>
          <w:szCs w:val="24"/>
          <w:u w:val="single"/>
          <w:lang w:val="en-US" w:eastAsia="zh-CN"/>
        </w:rPr>
        <w:t>（2）</w:t>
      </w:r>
      <w:r>
        <w:rPr>
          <w:rFonts w:hint="eastAsia" w:ascii="宋体" w:hAnsi="宋体" w:eastAsia="宋体" w:cs="宋体"/>
          <w:b w:val="0"/>
          <w:bCs w:val="0"/>
          <w:sz w:val="24"/>
          <w:szCs w:val="24"/>
          <w:u w:val="none"/>
          <w:lang w:val="en-US" w:eastAsia="zh-CN"/>
        </w:rPr>
        <w:t>种方式：</w:t>
      </w:r>
    </w:p>
    <w:p w14:paraId="1D26ED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（1）在支付工程进度款时逐次扣留，在此情形下，质量保证金的计算基数不包括预付款的支付、扣回以及价格调整的金额；</w:t>
      </w:r>
    </w:p>
    <w:p w14:paraId="2160A3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（2）工程竣工结算时一次性扣留质量保证金；</w:t>
      </w:r>
    </w:p>
    <w:p w14:paraId="65A96D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（3）其他扣留方式：</w:t>
      </w:r>
      <w:r>
        <w:rPr>
          <w:rFonts w:hint="eastAsia" w:ascii="宋体" w:hAnsi="宋体" w:eastAsia="宋体" w:cs="宋体"/>
          <w:b w:val="0"/>
          <w:bCs w:val="0"/>
          <w:sz w:val="24"/>
          <w:szCs w:val="24"/>
          <w:u w:val="single"/>
          <w:lang w:val="en-US" w:eastAsia="zh-CN"/>
        </w:rPr>
        <w:t>/</w:t>
      </w:r>
      <w:r>
        <w:rPr>
          <w:rFonts w:hint="eastAsia" w:ascii="宋体" w:hAnsi="宋体" w:eastAsia="宋体" w:cs="宋体"/>
          <w:b w:val="0"/>
          <w:bCs w:val="0"/>
          <w:sz w:val="24"/>
          <w:szCs w:val="24"/>
          <w:u w:val="none"/>
          <w:lang w:val="en-US" w:eastAsia="zh-CN"/>
        </w:rPr>
        <w:t>。</w:t>
      </w:r>
    </w:p>
    <w:p w14:paraId="1C1E16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关于质量保证金的补充约定：</w:t>
      </w:r>
      <w:r>
        <w:rPr>
          <w:rFonts w:hint="eastAsia" w:ascii="宋体" w:hAnsi="宋体" w:eastAsia="宋体" w:cs="宋体"/>
          <w:b w:val="0"/>
          <w:bCs w:val="0"/>
          <w:sz w:val="24"/>
          <w:szCs w:val="24"/>
          <w:u w:val="single"/>
          <w:lang w:val="en-US" w:eastAsia="zh-CN"/>
        </w:rPr>
        <w:t>/</w:t>
      </w:r>
      <w:r>
        <w:rPr>
          <w:rFonts w:hint="eastAsia" w:ascii="宋体" w:hAnsi="宋体" w:eastAsia="宋体" w:cs="宋体"/>
          <w:b w:val="0"/>
          <w:bCs w:val="0"/>
          <w:sz w:val="24"/>
          <w:szCs w:val="24"/>
          <w:u w:val="none"/>
          <w:lang w:val="en-US" w:eastAsia="zh-CN"/>
        </w:rPr>
        <w:t>。</w:t>
      </w:r>
    </w:p>
    <w:p w14:paraId="2860CD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15.4保修</w:t>
      </w:r>
    </w:p>
    <w:p w14:paraId="528D8D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15.4.1保修责任</w:t>
      </w:r>
    </w:p>
    <w:p w14:paraId="3EB198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工程保修期为：根据《建设工程质量管理条例》及有关规定，工程的质量保修期如下：</w:t>
      </w:r>
    </w:p>
    <w:p w14:paraId="0FEF61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（1）地基基础工程和主体结构工程为设计文件规定的该工程合理使用年限；</w:t>
      </w:r>
    </w:p>
    <w:p w14:paraId="53E66C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（2）装饰装修工程为3年；</w:t>
      </w:r>
    </w:p>
    <w:p w14:paraId="4D39DC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（3）屋面防水工程、地下防水工程、有防水要求的房间和外墙面的防渗漏为6年；</w:t>
      </w:r>
    </w:p>
    <w:p w14:paraId="508DD2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（4）电气管线、给排水管道、设备安装工程、智能化建筑工程为3年；</w:t>
      </w:r>
    </w:p>
    <w:p w14:paraId="209522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（5）供热及供冷系统为3个采暖及供冷期；</w:t>
      </w:r>
    </w:p>
    <w:p w14:paraId="4B5583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（6）室外的上下水和小区道路等市政公用工程为3年；</w:t>
      </w:r>
    </w:p>
    <w:p w14:paraId="7402EE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（7）节能分部工程为6年。</w:t>
      </w:r>
    </w:p>
    <w:p w14:paraId="4764E3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（8）绿化工景观程如下：景观装修工程为3年；灌溉系统为3年；园路工程为3年；保活期为3年，在缺陷责任期内苗木、草坪成活率为100%；</w:t>
      </w:r>
    </w:p>
    <w:p w14:paraId="6D647E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15.4.3修复通知</w:t>
      </w:r>
    </w:p>
    <w:p w14:paraId="1BC4C5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收到保修通知并到达工程现场的合理时间：不超过12小时。保修期内承包人保证随叫随到，若出现问题承包人在12小时内没有维修或解决，发包人有权委托他人进行处理，费用从承包人的质保金中支出；如维修费用高于质保金的，除扣除质保金外，超出部分费用由承包人承担，维修项目的质量保修期相应顺延。在顺延的质保期内因工程达不到质量要求而支出的维修费用超过质保金的部分，由承包人支付并承担相应的赔偿责任，并且发包人将该施工单位列入发包人修缮工程单位黑名单中。</w:t>
      </w:r>
    </w:p>
    <w:p w14:paraId="7885BC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工程保修期满，若因承包方施工原因造成的质量问题，仍应由承包方负责。</w:t>
      </w:r>
    </w:p>
    <w:p w14:paraId="79BC2E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16.违约</w:t>
      </w:r>
    </w:p>
    <w:p w14:paraId="1939B1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16.1发包人违约</w:t>
      </w:r>
    </w:p>
    <w:p w14:paraId="037644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16.1.1发包人违约的情形</w:t>
      </w:r>
    </w:p>
    <w:p w14:paraId="07B1C0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发包人违约的其他情形：</w:t>
      </w:r>
      <w:r>
        <w:rPr>
          <w:rFonts w:hint="eastAsia" w:ascii="宋体" w:hAnsi="宋体" w:eastAsia="宋体" w:cs="宋体"/>
          <w:b w:val="0"/>
          <w:bCs w:val="0"/>
          <w:sz w:val="24"/>
          <w:szCs w:val="24"/>
          <w:u w:val="single"/>
          <w:lang w:val="en-US" w:eastAsia="zh-CN"/>
        </w:rPr>
        <w:t>执行通用条款</w:t>
      </w:r>
      <w:r>
        <w:rPr>
          <w:rFonts w:hint="eastAsia" w:ascii="宋体" w:hAnsi="宋体" w:eastAsia="宋体" w:cs="宋体"/>
          <w:b w:val="0"/>
          <w:bCs w:val="0"/>
          <w:sz w:val="24"/>
          <w:szCs w:val="24"/>
          <w:u w:val="none"/>
          <w:lang w:val="en-US" w:eastAsia="zh-CN"/>
        </w:rPr>
        <w:t>。</w:t>
      </w:r>
    </w:p>
    <w:p w14:paraId="2E95DB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16.1.2发包人违约的责任</w:t>
      </w:r>
    </w:p>
    <w:p w14:paraId="6C65E2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发包人违约责任的承担方式和计算方法：</w:t>
      </w:r>
    </w:p>
    <w:p w14:paraId="4FF1B3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（1）因发包人原因未能在计划开工日期前7天内下达开工通知的违约责任：</w:t>
      </w:r>
      <w:r>
        <w:rPr>
          <w:rFonts w:hint="eastAsia" w:ascii="宋体" w:hAnsi="宋体" w:eastAsia="宋体" w:cs="宋体"/>
          <w:b w:val="0"/>
          <w:bCs w:val="0"/>
          <w:sz w:val="24"/>
          <w:szCs w:val="24"/>
          <w:u w:val="single"/>
          <w:lang w:val="en-US" w:eastAsia="zh-CN"/>
        </w:rPr>
        <w:t>执行通用条款</w:t>
      </w:r>
      <w:r>
        <w:rPr>
          <w:rFonts w:hint="eastAsia" w:ascii="宋体" w:hAnsi="宋体" w:eastAsia="宋体" w:cs="宋体"/>
          <w:b w:val="0"/>
          <w:bCs w:val="0"/>
          <w:sz w:val="24"/>
          <w:szCs w:val="24"/>
          <w:u w:val="none"/>
          <w:lang w:val="en-US" w:eastAsia="zh-CN"/>
        </w:rPr>
        <w:t>。</w:t>
      </w:r>
    </w:p>
    <w:p w14:paraId="7F514A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（2）因发包人原因未能按合同约定支付合同价款的违约责任：</w:t>
      </w:r>
      <w:r>
        <w:rPr>
          <w:rFonts w:hint="eastAsia" w:ascii="宋体" w:hAnsi="宋体" w:eastAsia="宋体" w:cs="宋体"/>
          <w:b w:val="0"/>
          <w:bCs w:val="0"/>
          <w:sz w:val="24"/>
          <w:szCs w:val="24"/>
          <w:u w:val="single"/>
          <w:lang w:val="en-US" w:eastAsia="zh-CN"/>
        </w:rPr>
        <w:t>工期顺延</w:t>
      </w:r>
      <w:r>
        <w:rPr>
          <w:rFonts w:hint="eastAsia" w:ascii="宋体" w:hAnsi="宋体" w:eastAsia="宋体" w:cs="宋体"/>
          <w:b w:val="0"/>
          <w:bCs w:val="0"/>
          <w:sz w:val="24"/>
          <w:szCs w:val="24"/>
          <w:u w:val="none"/>
          <w:lang w:val="en-US" w:eastAsia="zh-CN"/>
        </w:rPr>
        <w:t>。</w:t>
      </w:r>
    </w:p>
    <w:p w14:paraId="06E34D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（3）发包人违反第10.1款〔变更的范围〕第（2）项约定，自行实施被取消的工作或转由他人实施的违约责任：</w:t>
      </w:r>
      <w:r>
        <w:rPr>
          <w:rFonts w:hint="eastAsia" w:ascii="宋体" w:hAnsi="宋体" w:eastAsia="宋体" w:cs="宋体"/>
          <w:b w:val="0"/>
          <w:bCs w:val="0"/>
          <w:sz w:val="24"/>
          <w:szCs w:val="24"/>
          <w:u w:val="single"/>
          <w:lang w:val="en-US" w:eastAsia="zh-CN"/>
        </w:rPr>
        <w:t>工期顺延</w:t>
      </w:r>
      <w:r>
        <w:rPr>
          <w:rFonts w:hint="eastAsia" w:ascii="宋体" w:hAnsi="宋体" w:eastAsia="宋体" w:cs="宋体"/>
          <w:b w:val="0"/>
          <w:bCs w:val="0"/>
          <w:sz w:val="24"/>
          <w:szCs w:val="24"/>
          <w:u w:val="none"/>
          <w:lang w:val="en-US" w:eastAsia="zh-CN"/>
        </w:rPr>
        <w:t>。</w:t>
      </w:r>
    </w:p>
    <w:p w14:paraId="203131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（4）发包人提供的材料、工程设备的规格、数量或质量不符合合同约定，或因发包人原因导致交货日期延误或交货地点变更等情况的违约责任：</w:t>
      </w:r>
      <w:r>
        <w:rPr>
          <w:rFonts w:hint="eastAsia" w:ascii="宋体" w:hAnsi="宋体" w:eastAsia="宋体" w:cs="宋体"/>
          <w:b w:val="0"/>
          <w:bCs w:val="0"/>
          <w:sz w:val="24"/>
          <w:szCs w:val="24"/>
          <w:u w:val="single"/>
          <w:lang w:val="en-US" w:eastAsia="zh-CN"/>
        </w:rPr>
        <w:t>工期顺延</w:t>
      </w:r>
      <w:r>
        <w:rPr>
          <w:rFonts w:hint="eastAsia" w:ascii="宋体" w:hAnsi="宋体" w:eastAsia="宋体" w:cs="宋体"/>
          <w:b w:val="0"/>
          <w:bCs w:val="0"/>
          <w:sz w:val="24"/>
          <w:szCs w:val="24"/>
          <w:u w:val="none"/>
          <w:lang w:val="en-US" w:eastAsia="zh-CN"/>
        </w:rPr>
        <w:t>。</w:t>
      </w:r>
    </w:p>
    <w:p w14:paraId="2099D9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（5）因发包人违反合同约定造成暂停施工的违约责任：</w:t>
      </w:r>
      <w:r>
        <w:rPr>
          <w:rFonts w:hint="eastAsia" w:ascii="宋体" w:hAnsi="宋体" w:eastAsia="宋体" w:cs="宋体"/>
          <w:b w:val="0"/>
          <w:bCs w:val="0"/>
          <w:sz w:val="24"/>
          <w:szCs w:val="24"/>
          <w:u w:val="single"/>
          <w:lang w:val="en-US" w:eastAsia="zh-CN"/>
        </w:rPr>
        <w:t>工期顺延</w:t>
      </w:r>
      <w:r>
        <w:rPr>
          <w:rFonts w:hint="eastAsia" w:ascii="宋体" w:hAnsi="宋体" w:eastAsia="宋体" w:cs="宋体"/>
          <w:b w:val="0"/>
          <w:bCs w:val="0"/>
          <w:sz w:val="24"/>
          <w:szCs w:val="24"/>
          <w:u w:val="none"/>
          <w:lang w:val="en-US" w:eastAsia="zh-CN"/>
        </w:rPr>
        <w:t>。</w:t>
      </w:r>
    </w:p>
    <w:p w14:paraId="2A1C9C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（6）发包人无正当理由没有在约定期限内发出复工指示，导致承包人无法复工的违约责任：</w:t>
      </w:r>
      <w:r>
        <w:rPr>
          <w:rFonts w:hint="eastAsia" w:ascii="宋体" w:hAnsi="宋体" w:eastAsia="宋体" w:cs="宋体"/>
          <w:b w:val="0"/>
          <w:bCs w:val="0"/>
          <w:sz w:val="24"/>
          <w:szCs w:val="24"/>
          <w:u w:val="single"/>
          <w:lang w:val="en-US" w:eastAsia="zh-CN"/>
        </w:rPr>
        <w:t>工期顺延</w:t>
      </w:r>
      <w:r>
        <w:rPr>
          <w:rFonts w:hint="eastAsia" w:ascii="宋体" w:hAnsi="宋体" w:eastAsia="宋体" w:cs="宋体"/>
          <w:b w:val="0"/>
          <w:bCs w:val="0"/>
          <w:sz w:val="24"/>
          <w:szCs w:val="24"/>
          <w:u w:val="none"/>
          <w:lang w:val="en-US" w:eastAsia="zh-CN"/>
        </w:rPr>
        <w:t>。</w:t>
      </w:r>
    </w:p>
    <w:p w14:paraId="47FFD1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（7）其他：</w:t>
      </w:r>
      <w:r>
        <w:rPr>
          <w:rFonts w:hint="eastAsia" w:ascii="宋体" w:hAnsi="宋体" w:eastAsia="宋体" w:cs="宋体"/>
          <w:b w:val="0"/>
          <w:bCs w:val="0"/>
          <w:sz w:val="24"/>
          <w:szCs w:val="24"/>
          <w:u w:val="single"/>
          <w:lang w:val="en-US" w:eastAsia="zh-CN"/>
        </w:rPr>
        <w:t>/</w:t>
      </w:r>
      <w:r>
        <w:rPr>
          <w:rFonts w:hint="eastAsia" w:ascii="宋体" w:hAnsi="宋体" w:eastAsia="宋体" w:cs="宋体"/>
          <w:b w:val="0"/>
          <w:bCs w:val="0"/>
          <w:sz w:val="24"/>
          <w:szCs w:val="24"/>
          <w:u w:val="none"/>
          <w:lang w:val="en-US" w:eastAsia="zh-CN"/>
        </w:rPr>
        <w:t>。</w:t>
      </w:r>
    </w:p>
    <w:p w14:paraId="24BB46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16.1.3因发包人违约解除合同</w:t>
      </w:r>
    </w:p>
    <w:p w14:paraId="478F45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承包人按16.1.1项〔发包人违约的情形〕约定暂停施工满</w:t>
      </w:r>
      <w:r>
        <w:rPr>
          <w:rFonts w:hint="eastAsia" w:ascii="宋体" w:hAnsi="宋体" w:eastAsia="宋体" w:cs="宋体"/>
          <w:b w:val="0"/>
          <w:bCs w:val="0"/>
          <w:sz w:val="24"/>
          <w:szCs w:val="24"/>
          <w:u w:val="single"/>
          <w:lang w:val="en-US" w:eastAsia="zh-CN"/>
        </w:rPr>
        <w:t>/</w:t>
      </w:r>
      <w:r>
        <w:rPr>
          <w:rFonts w:hint="eastAsia" w:ascii="宋体" w:hAnsi="宋体" w:eastAsia="宋体" w:cs="宋体"/>
          <w:b w:val="0"/>
          <w:bCs w:val="0"/>
          <w:sz w:val="24"/>
          <w:szCs w:val="24"/>
          <w:u w:val="none"/>
          <w:lang w:val="en-US" w:eastAsia="zh-CN"/>
        </w:rPr>
        <w:t>天后发包人仍不纠正其违约行为并致使合同目的不能实现的，承包人有权解除合同。</w:t>
      </w:r>
    </w:p>
    <w:p w14:paraId="4F0C65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16.2承包人违约</w:t>
      </w:r>
    </w:p>
    <w:p w14:paraId="21F315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16.2.1承包人违约的情形执行通用条款。</w:t>
      </w:r>
    </w:p>
    <w:p w14:paraId="18BC6D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违约的其他情形：承包人应保证按时足额向施工人员发放工资，双方明确，如因在收到发包人款项后，未按时足额给工人支付工资的，发包人有权按相关费用的2倍，要求承包人承担违约金，并从后期应付费用中直接扣除。如因此发生任何施工人员举报、信访、围堵政府相关部门等事件的，甲方有权解除本协议，没收履约保证金，停止支付工程款，涉及刑事犯罪的，发包人将依法向有关部门进行举报。</w:t>
      </w:r>
    </w:p>
    <w:p w14:paraId="1DA7F1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16.2.2承包人违约的责任</w:t>
      </w:r>
    </w:p>
    <w:p w14:paraId="5AA679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承包人违约责任的承担方式和计算方法：</w:t>
      </w:r>
    </w:p>
    <w:p w14:paraId="504781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（1）承包人逾期完工，按日承担合同价款的1%作为违约金，发包人有权单方解除合同，不支付工程款。</w:t>
      </w:r>
    </w:p>
    <w:p w14:paraId="72DF76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承包人施工质量不合格，发包人有权选择要求承包人返修或者单方解除合同，解除合同的，甲方有权不予支付质量不合格工程的工程款，乙方应向甲方支付质量不合格工程的工程款两倍的违约金；要求返修的，承包人逾期完工，按本条上一款承担违约责任。</w:t>
      </w:r>
    </w:p>
    <w:p w14:paraId="35593B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（3）若不合格的工程经承包人返修后质量仍不合格的，甲方有权将不合格的工程承包给第三方做修复整改处理，由此产生的费用由乙方承担，甲方有权拒绝支付不合格工程的工程款项。</w:t>
      </w:r>
    </w:p>
    <w:p w14:paraId="4BF584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（4）承包人分包或转包本合同约定的全部或部分施工内容，发包人有权单方解除合同，不支付工程款。</w:t>
      </w:r>
    </w:p>
    <w:p w14:paraId="366BEF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5）承包方违约，除支付违约金外还应赔偿发包方因此遭受的其他损失，包括为主张权益所支付的律师费、交通费等全部费用。承包人违约的，发包方有权将相应违约金以及相应的赔偿额从应给承包方支付的工程款、质保金中直接予以扣除。</w:t>
      </w:r>
    </w:p>
    <w:p w14:paraId="46E062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16.2.3因承包人违约解除合同</w:t>
      </w:r>
    </w:p>
    <w:p w14:paraId="6A7D98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关于承包人违约解除合同的特别约定：</w:t>
      </w:r>
      <w:r>
        <w:rPr>
          <w:rFonts w:hint="eastAsia" w:ascii="宋体" w:hAnsi="宋体" w:eastAsia="宋体" w:cs="宋体"/>
          <w:b w:val="0"/>
          <w:bCs w:val="0"/>
          <w:sz w:val="24"/>
          <w:szCs w:val="24"/>
          <w:u w:val="single"/>
          <w:lang w:val="en-US" w:eastAsia="zh-CN"/>
        </w:rPr>
        <w:t>执行通用条款</w:t>
      </w:r>
      <w:r>
        <w:rPr>
          <w:rFonts w:hint="eastAsia" w:ascii="宋体" w:hAnsi="宋体" w:eastAsia="宋体" w:cs="宋体"/>
          <w:b w:val="0"/>
          <w:bCs w:val="0"/>
          <w:sz w:val="24"/>
          <w:szCs w:val="24"/>
          <w:u w:val="none"/>
          <w:lang w:val="en-US" w:eastAsia="zh-CN"/>
        </w:rPr>
        <w:t>。</w:t>
      </w:r>
    </w:p>
    <w:p w14:paraId="585B4F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发包人继续使用承包人在施工现场的材料、设备、临时工程、承包人文件和由承包人或以其名义编制的其他文件的费用承担方式：</w:t>
      </w:r>
      <w:r>
        <w:rPr>
          <w:rFonts w:hint="eastAsia" w:ascii="宋体" w:hAnsi="宋体" w:eastAsia="宋体" w:cs="宋体"/>
          <w:b w:val="0"/>
          <w:bCs w:val="0"/>
          <w:sz w:val="24"/>
          <w:szCs w:val="24"/>
          <w:u w:val="single"/>
          <w:lang w:val="en-US" w:eastAsia="zh-CN"/>
        </w:rPr>
        <w:t>执行通用条款</w:t>
      </w:r>
      <w:r>
        <w:rPr>
          <w:rFonts w:hint="eastAsia" w:ascii="宋体" w:hAnsi="宋体" w:eastAsia="宋体" w:cs="宋体"/>
          <w:b w:val="0"/>
          <w:bCs w:val="0"/>
          <w:sz w:val="24"/>
          <w:szCs w:val="24"/>
          <w:u w:val="none"/>
          <w:lang w:val="en-US" w:eastAsia="zh-CN"/>
        </w:rPr>
        <w:t>。</w:t>
      </w:r>
    </w:p>
    <w:p w14:paraId="2265F7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17.不可抗力</w:t>
      </w:r>
    </w:p>
    <w:p w14:paraId="640A94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17.1不可抗力的确认</w:t>
      </w:r>
    </w:p>
    <w:p w14:paraId="66319E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除通用合同条款约定的不可抗力事件之外，视为不可抗力的其他情形：</w:t>
      </w:r>
      <w:r>
        <w:rPr>
          <w:rFonts w:hint="eastAsia" w:ascii="宋体" w:hAnsi="宋体" w:eastAsia="宋体" w:cs="宋体"/>
          <w:b w:val="0"/>
          <w:bCs w:val="0"/>
          <w:sz w:val="24"/>
          <w:szCs w:val="24"/>
          <w:u w:val="single"/>
          <w:lang w:val="en-US" w:eastAsia="zh-CN"/>
        </w:rPr>
        <w:t>执行通用条款</w:t>
      </w:r>
      <w:r>
        <w:rPr>
          <w:rFonts w:hint="eastAsia" w:ascii="宋体" w:hAnsi="宋体" w:eastAsia="宋体" w:cs="宋体"/>
          <w:b w:val="0"/>
          <w:bCs w:val="0"/>
          <w:sz w:val="24"/>
          <w:szCs w:val="24"/>
          <w:u w:val="none"/>
          <w:lang w:val="en-US" w:eastAsia="zh-CN"/>
        </w:rPr>
        <w:t>。</w:t>
      </w:r>
    </w:p>
    <w:p w14:paraId="14C9CD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17.4因不可抗力解除合同</w:t>
      </w:r>
    </w:p>
    <w:p w14:paraId="392AF6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合同解除后，发包人应在商定或确定发包人应支付款项后</w:t>
      </w:r>
      <w:r>
        <w:rPr>
          <w:rFonts w:hint="eastAsia" w:ascii="宋体" w:hAnsi="宋体" w:eastAsia="宋体" w:cs="宋体"/>
          <w:b w:val="0"/>
          <w:bCs w:val="0"/>
          <w:sz w:val="24"/>
          <w:szCs w:val="24"/>
          <w:u w:val="single"/>
          <w:lang w:val="en-US" w:eastAsia="zh-CN"/>
        </w:rPr>
        <w:t>/</w:t>
      </w:r>
      <w:r>
        <w:rPr>
          <w:rFonts w:hint="eastAsia" w:ascii="宋体" w:hAnsi="宋体" w:eastAsia="宋体" w:cs="宋体"/>
          <w:b w:val="0"/>
          <w:bCs w:val="0"/>
          <w:sz w:val="24"/>
          <w:szCs w:val="24"/>
          <w:u w:val="none"/>
          <w:lang w:val="en-US" w:eastAsia="zh-CN"/>
        </w:rPr>
        <w:t>天内完成款项的支付。</w:t>
      </w:r>
    </w:p>
    <w:p w14:paraId="5A7827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18.保险</w:t>
      </w:r>
    </w:p>
    <w:p w14:paraId="3FD712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18.1工程保险</w:t>
      </w:r>
    </w:p>
    <w:p w14:paraId="3534B7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关于工程保险的特别约定：</w:t>
      </w:r>
      <w:r>
        <w:rPr>
          <w:rFonts w:hint="eastAsia" w:ascii="宋体" w:hAnsi="宋体" w:eastAsia="宋体" w:cs="宋体"/>
          <w:b w:val="0"/>
          <w:bCs w:val="0"/>
          <w:sz w:val="24"/>
          <w:szCs w:val="24"/>
          <w:u w:val="single"/>
          <w:lang w:val="en-US" w:eastAsia="zh-CN"/>
        </w:rPr>
        <w:t>执行通用条款</w:t>
      </w:r>
      <w:r>
        <w:rPr>
          <w:rFonts w:hint="eastAsia" w:ascii="宋体" w:hAnsi="宋体" w:eastAsia="宋体" w:cs="宋体"/>
          <w:b w:val="0"/>
          <w:bCs w:val="0"/>
          <w:sz w:val="24"/>
          <w:szCs w:val="24"/>
          <w:u w:val="none"/>
          <w:lang w:val="en-US" w:eastAsia="zh-CN"/>
        </w:rPr>
        <w:t>。</w:t>
      </w:r>
    </w:p>
    <w:p w14:paraId="390994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18.3其他保险</w:t>
      </w:r>
    </w:p>
    <w:p w14:paraId="21E80E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关于其他保险的约定：承包人为其施工现场的全部人员办理意外伤害保险并支付保险费，包括其员工及为履行合同聘请的第三方的人员。</w:t>
      </w:r>
    </w:p>
    <w:p w14:paraId="61D8C2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承包人是否应为其施工设备等办理财产保险：承包人为其施工设备等办理财产保险，费用自理。</w:t>
      </w:r>
    </w:p>
    <w:p w14:paraId="56143B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18.7通知义务</w:t>
      </w:r>
    </w:p>
    <w:p w14:paraId="00AC0D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关于变更保险合同时的通知义务的约定：</w:t>
      </w:r>
      <w:r>
        <w:rPr>
          <w:rFonts w:hint="eastAsia" w:ascii="宋体" w:hAnsi="宋体" w:eastAsia="宋体" w:cs="宋体"/>
          <w:b w:val="0"/>
          <w:bCs w:val="0"/>
          <w:sz w:val="24"/>
          <w:szCs w:val="24"/>
          <w:u w:val="single"/>
          <w:lang w:val="en-US" w:eastAsia="zh-CN"/>
        </w:rPr>
        <w:t>执行通用条款</w:t>
      </w:r>
      <w:r>
        <w:rPr>
          <w:rFonts w:hint="eastAsia" w:ascii="宋体" w:hAnsi="宋体" w:eastAsia="宋体" w:cs="宋体"/>
          <w:b w:val="0"/>
          <w:bCs w:val="0"/>
          <w:sz w:val="24"/>
          <w:szCs w:val="24"/>
          <w:u w:val="none"/>
          <w:lang w:val="en-US" w:eastAsia="zh-CN"/>
        </w:rPr>
        <w:t>。</w:t>
      </w:r>
    </w:p>
    <w:p w14:paraId="545BB8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20.争议解决</w:t>
      </w:r>
    </w:p>
    <w:p w14:paraId="7EB6FD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20.3争议评审</w:t>
      </w:r>
    </w:p>
    <w:p w14:paraId="6D0D30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合同当事人是否同意将工程争议提交争议评审小组决定：否</w:t>
      </w:r>
    </w:p>
    <w:p w14:paraId="1664CF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20.3.1争议评审小组的确定</w:t>
      </w:r>
    </w:p>
    <w:p w14:paraId="6B9BEC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争议评审小组成员的确定：无。</w:t>
      </w:r>
    </w:p>
    <w:p w14:paraId="209623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选定争议评审员的期限：无。</w:t>
      </w:r>
    </w:p>
    <w:p w14:paraId="0D1269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争议评审小组成员的报酬承担方式：无。</w:t>
      </w:r>
    </w:p>
    <w:p w14:paraId="130BCE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其他事项的约定：无。</w:t>
      </w:r>
    </w:p>
    <w:p w14:paraId="2B80B3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20.3.2争议评审小组的决定</w:t>
      </w:r>
    </w:p>
    <w:p w14:paraId="553D41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合同当事人关于本项的约定：</w:t>
      </w:r>
      <w:r>
        <w:rPr>
          <w:rFonts w:hint="eastAsia" w:ascii="宋体" w:hAnsi="宋体" w:eastAsia="宋体" w:cs="宋体"/>
          <w:b w:val="0"/>
          <w:bCs w:val="0"/>
          <w:sz w:val="24"/>
          <w:szCs w:val="24"/>
          <w:u w:val="single"/>
          <w:lang w:val="en-US" w:eastAsia="zh-CN"/>
        </w:rPr>
        <w:t>/</w:t>
      </w:r>
      <w:r>
        <w:rPr>
          <w:rFonts w:hint="eastAsia" w:ascii="宋体" w:hAnsi="宋体" w:eastAsia="宋体" w:cs="宋体"/>
          <w:b w:val="0"/>
          <w:bCs w:val="0"/>
          <w:sz w:val="24"/>
          <w:szCs w:val="24"/>
          <w:u w:val="none"/>
          <w:lang w:val="en-US" w:eastAsia="zh-CN"/>
        </w:rPr>
        <w:t>。</w:t>
      </w:r>
    </w:p>
    <w:p w14:paraId="06515D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20.4仲裁或诉讼</w:t>
      </w:r>
    </w:p>
    <w:p w14:paraId="7FE08D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因合同及合同有关事项发生的争议，按下列第（2）种方式解决：</w:t>
      </w:r>
    </w:p>
    <w:p w14:paraId="574373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（1）向/仲裁委员会申请仲裁；</w:t>
      </w:r>
    </w:p>
    <w:p w14:paraId="32201D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（2）向工程所在地人民法院起诉。</w:t>
      </w:r>
    </w:p>
    <w:p w14:paraId="7B0A6649">
      <w:pPr>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br w:type="page"/>
      </w:r>
    </w:p>
    <w:p w14:paraId="26EC011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8"/>
          <w:szCs w:val="28"/>
          <w:lang w:val="en-US" w:eastAsia="zh-CN"/>
        </w:rPr>
      </w:pPr>
      <w:bookmarkStart w:id="9" w:name="_Toc23580"/>
      <w:bookmarkStart w:id="10" w:name="_Toc6769"/>
      <w:r>
        <w:rPr>
          <w:rFonts w:hint="eastAsia" w:ascii="宋体" w:hAnsi="宋体" w:eastAsia="宋体" w:cs="宋体"/>
          <w:sz w:val="28"/>
          <w:szCs w:val="28"/>
          <w:lang w:val="en-US" w:eastAsia="zh-CN"/>
        </w:rPr>
        <w:t>第六章  响应文件格式</w:t>
      </w:r>
      <w:bookmarkEnd w:id="9"/>
      <w:bookmarkEnd w:id="10"/>
    </w:p>
    <w:p w14:paraId="43F4D41A">
      <w:pPr>
        <w:keepNext w:val="0"/>
        <w:keepLines w:val="0"/>
        <w:pageBreakBefore w:val="0"/>
        <w:widowControl w:val="0"/>
        <w:numPr>
          <w:ilvl w:val="0"/>
          <w:numId w:val="0"/>
        </w:numPr>
        <w:kinsoku/>
        <w:wordWrap/>
        <w:overflowPunct/>
        <w:topLinePunct w:val="0"/>
        <w:autoSpaceDE/>
        <w:autoSpaceDN/>
        <w:bidi w:val="0"/>
        <w:adjustRightInd/>
        <w:snapToGrid/>
        <w:spacing w:line="720" w:lineRule="auto"/>
        <w:jc w:val="both"/>
        <w:textAlignment w:val="auto"/>
        <w:rPr>
          <w:rFonts w:hint="eastAsia" w:ascii="宋体" w:hAnsi="宋体" w:eastAsia="宋体" w:cs="宋体"/>
          <w:sz w:val="24"/>
          <w:szCs w:val="24"/>
          <w:lang w:val="en-US" w:eastAsia="zh-CN"/>
        </w:rPr>
      </w:pPr>
    </w:p>
    <w:p w14:paraId="2DD6F63C">
      <w:pPr>
        <w:keepNext w:val="0"/>
        <w:keepLines w:val="0"/>
        <w:pageBreakBefore w:val="0"/>
        <w:widowControl w:val="0"/>
        <w:numPr>
          <w:ilvl w:val="0"/>
          <w:numId w:val="0"/>
        </w:numPr>
        <w:kinsoku/>
        <w:wordWrap/>
        <w:overflowPunct/>
        <w:topLinePunct w:val="0"/>
        <w:autoSpaceDE/>
        <w:autoSpaceDN/>
        <w:bidi w:val="0"/>
        <w:adjustRightInd/>
        <w:snapToGrid/>
        <w:spacing w:line="720" w:lineRule="auto"/>
        <w:jc w:val="both"/>
        <w:textAlignment w:val="auto"/>
        <w:rPr>
          <w:rFonts w:hint="eastAsia" w:ascii="宋体" w:hAnsi="宋体" w:eastAsia="宋体" w:cs="宋体"/>
          <w:sz w:val="24"/>
          <w:szCs w:val="24"/>
          <w:lang w:val="en-US" w:eastAsia="zh-CN"/>
        </w:rPr>
      </w:pPr>
    </w:p>
    <w:p w14:paraId="5E5F9546">
      <w:pPr>
        <w:keepNext w:val="0"/>
        <w:keepLines w:val="0"/>
        <w:pageBreakBefore w:val="0"/>
        <w:widowControl w:val="0"/>
        <w:numPr>
          <w:ilvl w:val="0"/>
          <w:numId w:val="0"/>
        </w:numPr>
        <w:kinsoku/>
        <w:wordWrap/>
        <w:overflowPunct/>
        <w:topLinePunct w:val="0"/>
        <w:autoSpaceDE/>
        <w:autoSpaceDN/>
        <w:bidi w:val="0"/>
        <w:adjustRightInd/>
        <w:snapToGrid/>
        <w:spacing w:line="720" w:lineRule="auto"/>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响应文件</w:t>
      </w:r>
    </w:p>
    <w:p w14:paraId="5A806045">
      <w:pPr>
        <w:keepNext w:val="0"/>
        <w:keepLines w:val="0"/>
        <w:pageBreakBefore w:val="0"/>
        <w:widowControl w:val="0"/>
        <w:numPr>
          <w:ilvl w:val="0"/>
          <w:numId w:val="0"/>
        </w:numPr>
        <w:kinsoku/>
        <w:wordWrap/>
        <w:overflowPunct/>
        <w:topLinePunct w:val="0"/>
        <w:autoSpaceDE/>
        <w:autoSpaceDN/>
        <w:bidi w:val="0"/>
        <w:adjustRightInd/>
        <w:snapToGrid/>
        <w:spacing w:line="720" w:lineRule="auto"/>
        <w:jc w:val="center"/>
        <w:textAlignment w:val="auto"/>
        <w:rPr>
          <w:rFonts w:hint="eastAsia" w:ascii="宋体" w:hAnsi="宋体" w:eastAsia="宋体" w:cs="宋体"/>
          <w:sz w:val="24"/>
          <w:szCs w:val="24"/>
          <w:lang w:val="en-US" w:eastAsia="zh-CN"/>
        </w:rPr>
      </w:pPr>
    </w:p>
    <w:p w14:paraId="62158D1B">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1800" w:firstLineChars="7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r>
        <w:rPr>
          <w:rFonts w:hint="eastAsia" w:ascii="宋体" w:hAnsi="宋体" w:eastAsia="宋体" w:cs="宋体"/>
          <w:sz w:val="28"/>
          <w:szCs w:val="28"/>
          <w:u w:val="single"/>
          <w:lang w:val="en-US" w:eastAsia="zh-CN"/>
        </w:rPr>
        <w:t xml:space="preserve">                            </w:t>
      </w:r>
    </w:p>
    <w:p w14:paraId="7DEF3DF2">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1800" w:firstLineChars="750"/>
        <w:jc w:val="left"/>
        <w:textAlignment w:val="auto"/>
        <w:rPr>
          <w:rFonts w:hint="eastAsia" w:ascii="宋体" w:hAnsi="宋体" w:eastAsia="宋体" w:cs="宋体"/>
          <w:sz w:val="24"/>
          <w:szCs w:val="24"/>
          <w:lang w:val="en-US" w:eastAsia="zh-CN"/>
        </w:rPr>
      </w:pPr>
    </w:p>
    <w:p w14:paraId="5091E14B">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1800" w:firstLineChars="7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项目编号：</w:t>
      </w:r>
      <w:r>
        <w:rPr>
          <w:rFonts w:hint="eastAsia" w:ascii="宋体" w:hAnsi="宋体" w:eastAsia="宋体" w:cs="宋体"/>
          <w:sz w:val="28"/>
          <w:szCs w:val="28"/>
          <w:u w:val="single"/>
          <w:lang w:val="en-US" w:eastAsia="zh-CN"/>
        </w:rPr>
        <w:t xml:space="preserve">                            </w:t>
      </w:r>
    </w:p>
    <w:p w14:paraId="77C33616">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1800" w:firstLineChars="750"/>
        <w:jc w:val="left"/>
        <w:textAlignment w:val="auto"/>
        <w:rPr>
          <w:rFonts w:hint="eastAsia" w:ascii="宋体" w:hAnsi="宋体" w:eastAsia="宋体" w:cs="宋体"/>
          <w:sz w:val="24"/>
          <w:szCs w:val="24"/>
          <w:lang w:val="en-US" w:eastAsia="zh-CN"/>
        </w:rPr>
      </w:pPr>
    </w:p>
    <w:p w14:paraId="3ED0A442">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1800" w:firstLineChars="7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w:t>
      </w:r>
      <w:r>
        <w:rPr>
          <w:rFonts w:hint="eastAsia" w:ascii="宋体" w:hAnsi="宋体" w:eastAsia="宋体" w:cs="宋体"/>
          <w:sz w:val="28"/>
          <w:szCs w:val="28"/>
          <w:u w:val="single"/>
          <w:lang w:val="en-US" w:eastAsia="zh-CN"/>
        </w:rPr>
        <w:t xml:space="preserve">                           </w:t>
      </w:r>
      <w:r>
        <w:rPr>
          <w:rFonts w:hint="eastAsia" w:ascii="宋体" w:hAnsi="宋体" w:eastAsia="宋体" w:cs="宋体"/>
          <w:sz w:val="24"/>
          <w:szCs w:val="24"/>
          <w:lang w:val="en-US" w:eastAsia="zh-CN"/>
        </w:rPr>
        <w:t>（盖单位公章）</w:t>
      </w:r>
    </w:p>
    <w:p w14:paraId="08395288">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1800" w:firstLineChars="750"/>
        <w:jc w:val="left"/>
        <w:textAlignment w:val="auto"/>
        <w:rPr>
          <w:rFonts w:hint="eastAsia" w:ascii="宋体" w:hAnsi="宋体" w:eastAsia="宋体" w:cs="宋体"/>
          <w:sz w:val="24"/>
          <w:szCs w:val="24"/>
          <w:lang w:val="en-US" w:eastAsia="zh-CN"/>
        </w:rPr>
      </w:pPr>
    </w:p>
    <w:p w14:paraId="0AF7C3C4">
      <w:pPr>
        <w:keepNext w:val="0"/>
        <w:keepLines w:val="0"/>
        <w:pageBreakBefore w:val="0"/>
        <w:widowControl w:val="0"/>
        <w:numPr>
          <w:ilvl w:val="0"/>
          <w:numId w:val="0"/>
        </w:numPr>
        <w:kinsoku/>
        <w:wordWrap/>
        <w:overflowPunct/>
        <w:topLinePunct w:val="0"/>
        <w:autoSpaceDE/>
        <w:autoSpaceDN/>
        <w:bidi w:val="0"/>
        <w:adjustRightInd/>
        <w:snapToGrid/>
        <w:spacing w:line="72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w:t>
      </w:r>
    </w:p>
    <w:p w14:paraId="6C7D0CF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12D6317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一、资格证明文件</w:t>
      </w:r>
    </w:p>
    <w:p w14:paraId="0A58496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（一）法定代表人身份证明</w:t>
      </w:r>
    </w:p>
    <w:p w14:paraId="2B90FF6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w:t>
      </w:r>
      <w:r>
        <w:rPr>
          <w:rFonts w:hint="eastAsia" w:ascii="宋体" w:hAnsi="宋体" w:eastAsia="宋体" w:cs="宋体"/>
          <w:i/>
          <w:iCs/>
          <w:sz w:val="24"/>
          <w:szCs w:val="24"/>
          <w:u w:val="single"/>
          <w:lang w:val="en-US" w:eastAsia="zh-CN"/>
        </w:rPr>
        <w:t xml:space="preserve">                              </w:t>
      </w:r>
    </w:p>
    <w:p w14:paraId="7C3C9FF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单位性质：</w:t>
      </w:r>
      <w:r>
        <w:rPr>
          <w:rFonts w:hint="eastAsia" w:ascii="宋体" w:hAnsi="宋体" w:eastAsia="宋体" w:cs="宋体"/>
          <w:i/>
          <w:iCs/>
          <w:sz w:val="24"/>
          <w:szCs w:val="24"/>
          <w:u w:val="single"/>
          <w:lang w:val="en-US" w:eastAsia="zh-CN"/>
        </w:rPr>
        <w:t xml:space="preserve">                                </w:t>
      </w:r>
    </w:p>
    <w:p w14:paraId="66E227A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w:t>
      </w:r>
      <w:r>
        <w:rPr>
          <w:rFonts w:hint="eastAsia" w:ascii="宋体" w:hAnsi="宋体" w:eastAsia="宋体" w:cs="宋体"/>
          <w:i/>
          <w:iCs/>
          <w:sz w:val="24"/>
          <w:szCs w:val="24"/>
          <w:u w:val="single"/>
          <w:lang w:val="en-US" w:eastAsia="zh-CN"/>
        </w:rPr>
        <w:t xml:space="preserve">                                    </w:t>
      </w:r>
    </w:p>
    <w:p w14:paraId="6453006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成立时间：</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日</w:t>
      </w:r>
    </w:p>
    <w:p w14:paraId="2A28E85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经营期限：</w:t>
      </w:r>
      <w:r>
        <w:rPr>
          <w:rFonts w:hint="eastAsia" w:ascii="宋体" w:hAnsi="宋体" w:eastAsia="宋体" w:cs="宋体"/>
          <w:i/>
          <w:iCs/>
          <w:sz w:val="24"/>
          <w:szCs w:val="24"/>
          <w:u w:val="single"/>
          <w:lang w:val="en-US" w:eastAsia="zh-CN"/>
        </w:rPr>
        <w:t xml:space="preserve">                                </w:t>
      </w:r>
    </w:p>
    <w:p w14:paraId="34486E7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姓名：</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性别：</w:t>
      </w:r>
      <w:r>
        <w:rPr>
          <w:rFonts w:hint="eastAsia" w:ascii="宋体" w:hAnsi="宋体" w:eastAsia="宋体" w:cs="宋体"/>
          <w:i/>
          <w:iCs/>
          <w:sz w:val="24"/>
          <w:szCs w:val="24"/>
          <w:u w:val="single"/>
          <w:lang w:val="en-US" w:eastAsia="zh-CN"/>
        </w:rPr>
        <w:t xml:space="preserve">                    </w:t>
      </w:r>
    </w:p>
    <w:p w14:paraId="19CC53A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年龄：</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职务：</w:t>
      </w:r>
      <w:r>
        <w:rPr>
          <w:rFonts w:hint="eastAsia" w:ascii="宋体" w:hAnsi="宋体" w:eastAsia="宋体" w:cs="宋体"/>
          <w:i/>
          <w:iCs/>
          <w:sz w:val="24"/>
          <w:szCs w:val="24"/>
          <w:u w:val="single"/>
          <w:lang w:val="en-US" w:eastAsia="zh-CN"/>
        </w:rPr>
        <w:t xml:space="preserve">                    </w:t>
      </w:r>
    </w:p>
    <w:p w14:paraId="41F88CD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（供应商）的法定代表人。</w:t>
      </w:r>
    </w:p>
    <w:p w14:paraId="1652CA3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特此证明。</w:t>
      </w:r>
    </w:p>
    <w:p w14:paraId="5A612A9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附：法定代表人身份证复印件双面</w:t>
      </w:r>
    </w:p>
    <w:p w14:paraId="7498D7B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供应商名称（盖单位公章）：</w:t>
      </w:r>
    </w:p>
    <w:p w14:paraId="0A2B7CE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日</w:t>
      </w:r>
    </w:p>
    <w:p w14:paraId="3DA9973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764EAC0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（二）法定代表人授权委托书</w:t>
      </w:r>
    </w:p>
    <w:p w14:paraId="5ADE342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本授权委托书声明：注册于</w:t>
      </w:r>
      <w:r>
        <w:rPr>
          <w:rFonts w:hint="eastAsia" w:ascii="宋体" w:hAnsi="宋体" w:eastAsia="宋体" w:cs="宋体"/>
          <w:sz w:val="24"/>
          <w:szCs w:val="24"/>
          <w:u w:val="single"/>
          <w:lang w:val="en-US" w:eastAsia="zh-CN"/>
        </w:rPr>
        <w:t>（供应商地址）</w:t>
      </w:r>
      <w:r>
        <w:rPr>
          <w:rFonts w:hint="eastAsia" w:ascii="宋体" w:hAnsi="宋体" w:eastAsia="宋体" w:cs="宋体"/>
          <w:sz w:val="24"/>
          <w:szCs w:val="24"/>
          <w:lang w:val="en-US" w:eastAsia="zh-CN"/>
        </w:rPr>
        <w:t>的</w:t>
      </w:r>
      <w:r>
        <w:rPr>
          <w:rFonts w:hint="eastAsia" w:ascii="宋体" w:hAnsi="宋体" w:eastAsia="宋体" w:cs="宋体"/>
          <w:sz w:val="24"/>
          <w:szCs w:val="24"/>
          <w:u w:val="single"/>
          <w:lang w:val="en-US" w:eastAsia="zh-CN"/>
        </w:rPr>
        <w:t>（供应商名称）</w:t>
      </w:r>
      <w:r>
        <w:rPr>
          <w:rFonts w:hint="eastAsia" w:ascii="宋体" w:hAnsi="宋体" w:eastAsia="宋体" w:cs="宋体"/>
          <w:sz w:val="24"/>
          <w:szCs w:val="24"/>
          <w:lang w:val="en-US" w:eastAsia="zh-CN"/>
        </w:rPr>
        <w:t>在下面签名的（法定代表人姓名、职务），现任我单位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职务，为法定代表人。在此授权（</w:t>
      </w:r>
      <w:r>
        <w:rPr>
          <w:rFonts w:hint="eastAsia" w:ascii="宋体" w:hAnsi="宋体" w:eastAsia="宋体" w:cs="宋体"/>
          <w:sz w:val="24"/>
          <w:szCs w:val="24"/>
          <w:u w:val="single"/>
          <w:lang w:val="en-US" w:eastAsia="zh-CN"/>
        </w:rPr>
        <w:t>被授权人姓名、职务</w:t>
      </w:r>
      <w:r>
        <w:rPr>
          <w:rFonts w:hint="eastAsia" w:ascii="宋体" w:hAnsi="宋体" w:eastAsia="宋体" w:cs="宋体"/>
          <w:sz w:val="24"/>
          <w:szCs w:val="24"/>
          <w:lang w:val="en-US" w:eastAsia="zh-CN"/>
        </w:rPr>
        <w:t>）作为我公司的合法代理人，就</w:t>
      </w:r>
      <w:r>
        <w:rPr>
          <w:rFonts w:hint="eastAsia" w:ascii="宋体" w:hAnsi="宋体" w:eastAsia="宋体" w:cs="宋体"/>
          <w:sz w:val="24"/>
          <w:szCs w:val="24"/>
          <w:u w:val="single"/>
          <w:lang w:val="en-US" w:eastAsia="zh-CN"/>
        </w:rPr>
        <w:t>（项目名称、项目编号）</w:t>
      </w:r>
      <w:r>
        <w:rPr>
          <w:rFonts w:hint="eastAsia" w:ascii="宋体" w:hAnsi="宋体" w:eastAsia="宋体" w:cs="宋体"/>
          <w:sz w:val="24"/>
          <w:szCs w:val="24"/>
          <w:lang w:val="en-US" w:eastAsia="zh-CN"/>
        </w:rPr>
        <w:t>采购活动以我公司的名义处理一切与之有关的事务。</w:t>
      </w:r>
    </w:p>
    <w:p w14:paraId="391C740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被授权人（供应商授权代表）无转委托权限。</w:t>
      </w:r>
    </w:p>
    <w:p w14:paraId="50C3E26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本授权书自法定代表人签字之日起生效，特此声明。</w:t>
      </w:r>
    </w:p>
    <w:p w14:paraId="516A3A2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授权代表（姓名）：</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性别：</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年龄：</w:t>
      </w:r>
      <w:r>
        <w:rPr>
          <w:rFonts w:hint="eastAsia" w:ascii="宋体" w:hAnsi="宋体" w:eastAsia="宋体" w:cs="宋体"/>
          <w:i/>
          <w:iCs/>
          <w:sz w:val="24"/>
          <w:szCs w:val="24"/>
          <w:u w:val="single"/>
          <w:lang w:val="en-US" w:eastAsia="zh-CN"/>
        </w:rPr>
        <w:t xml:space="preserve">        </w:t>
      </w:r>
    </w:p>
    <w:p w14:paraId="42FD0F0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部门：</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职务</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w:t>
      </w:r>
    </w:p>
    <w:p w14:paraId="582D037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附：法定代表人身份证复印件正反面和授权代表身份证复印件正反面</w:t>
      </w:r>
    </w:p>
    <w:p w14:paraId="249B0CF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供应商名称（盖单位公章）：</w:t>
      </w:r>
    </w:p>
    <w:p w14:paraId="69B0111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法定代表人（或其授权代表）（签字或盖章）：</w:t>
      </w:r>
    </w:p>
    <w:p w14:paraId="2D492E1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日</w:t>
      </w:r>
    </w:p>
    <w:p w14:paraId="5C97B58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260A7EB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w:t>
      </w:r>
      <w:r>
        <w:rPr>
          <w:rFonts w:hint="default" w:ascii="宋体" w:hAnsi="宋体" w:eastAsia="宋体" w:cs="宋体"/>
          <w:sz w:val="24"/>
          <w:szCs w:val="24"/>
          <w:lang w:val="en-US" w:eastAsia="zh-CN"/>
        </w:rPr>
        <w:t>具有独立承担民事责任的能力</w:t>
      </w:r>
    </w:p>
    <w:p w14:paraId="48C4A30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lang w:val="en-US" w:eastAsia="zh-CN"/>
        </w:rPr>
      </w:pPr>
      <w:r>
        <w:rPr>
          <w:rFonts w:hint="default" w:ascii="宋体" w:hAnsi="宋体" w:eastAsia="宋体" w:cs="宋体"/>
          <w:b/>
          <w:bCs/>
          <w:sz w:val="24"/>
          <w:szCs w:val="24"/>
          <w:lang w:val="en-US" w:eastAsia="zh-CN"/>
        </w:rPr>
        <w:t>提供在中华人民共和国境内注册的法人或其他组织或自然人的营业执照或事业法人登记证或执业许可证或身份证等相关证明材料。</w:t>
      </w:r>
    </w:p>
    <w:p w14:paraId="12C082B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1DC0344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（四）</w:t>
      </w:r>
      <w:r>
        <w:rPr>
          <w:rFonts w:hint="default" w:ascii="宋体" w:hAnsi="宋体" w:eastAsia="宋体" w:cs="宋体"/>
          <w:sz w:val="24"/>
          <w:szCs w:val="24"/>
          <w:lang w:val="en-US" w:eastAsia="zh-CN"/>
        </w:rPr>
        <w:t>具有良好的商业信誉和健全的财务会计制度</w:t>
      </w:r>
    </w:p>
    <w:p w14:paraId="3C6F61E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提供2024年度由会计师事务所出具的财务审计报告[审计报告须包括资产负债表、利润表、现金流量表、所有者权益变动（如有）及其附注]或提供投标截止日前半年内任意一个月或季度由本单位出具的财务报表[至少包括资产负债表、利润表、现金流量表及财务报表附注]及财务会计制度文件（新成立公司提供开标前三个月内任意一个月有效银行资信证明）</w:t>
      </w:r>
      <w:r>
        <w:rPr>
          <w:rFonts w:hint="default" w:ascii="宋体" w:hAnsi="宋体" w:eastAsia="宋体" w:cs="宋体"/>
          <w:b/>
          <w:bCs/>
          <w:sz w:val="24"/>
          <w:szCs w:val="24"/>
          <w:lang w:val="en-US" w:eastAsia="zh-CN"/>
        </w:rPr>
        <w:t>。</w:t>
      </w:r>
    </w:p>
    <w:p w14:paraId="5ACE1824">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14:paraId="2036EF5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（五）</w:t>
      </w:r>
      <w:r>
        <w:rPr>
          <w:rFonts w:hint="default" w:ascii="宋体" w:hAnsi="宋体" w:eastAsia="宋体" w:cs="宋体"/>
          <w:sz w:val="24"/>
          <w:szCs w:val="24"/>
          <w:lang w:val="en-US" w:eastAsia="zh-CN"/>
        </w:rPr>
        <w:t>具有履行合同所必需的设备和专业技术能力</w:t>
      </w:r>
    </w:p>
    <w:p w14:paraId="773A63E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提供加盖单位公章的承诺函（格式自拟）</w:t>
      </w:r>
    </w:p>
    <w:p w14:paraId="2F40469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5CEC030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（六）</w:t>
      </w:r>
      <w:r>
        <w:rPr>
          <w:rFonts w:hint="default" w:ascii="宋体" w:hAnsi="宋体" w:eastAsia="宋体" w:cs="宋体"/>
          <w:sz w:val="24"/>
          <w:szCs w:val="24"/>
          <w:lang w:val="en-US" w:eastAsia="zh-CN"/>
        </w:rPr>
        <w:t>有依法缴纳税收和社会保障资金的良好记录</w:t>
      </w:r>
    </w:p>
    <w:p w14:paraId="0B6FEED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①</w:t>
      </w:r>
      <w:r>
        <w:rPr>
          <w:rFonts w:hint="eastAsia" w:ascii="宋体" w:hAnsi="宋体" w:eastAsia="宋体" w:cs="宋体"/>
          <w:b/>
          <w:bCs/>
          <w:sz w:val="24"/>
          <w:szCs w:val="24"/>
          <w:lang w:val="en-US" w:eastAsia="zh-CN"/>
        </w:rPr>
        <w:t>提供近六月内任意一月由税务部门出具的完税证明</w:t>
      </w:r>
      <w:r>
        <w:rPr>
          <w:rFonts w:hint="default" w:ascii="宋体" w:hAnsi="宋体" w:eastAsia="宋体" w:cs="宋体"/>
          <w:b/>
          <w:bCs/>
          <w:sz w:val="24"/>
          <w:szCs w:val="24"/>
          <w:lang w:val="en-US" w:eastAsia="zh-CN"/>
        </w:rPr>
        <w:t>，当月新成立公司无需提供；无需纳税或免税的也需提供相应证明材料②提供近六月内任意一月由社保机构出具的社保缴纳证明，当月新成立公司无需提供。</w:t>
      </w:r>
    </w:p>
    <w:p w14:paraId="17BA872A">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14:paraId="08EACA2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（七）</w:t>
      </w:r>
      <w:r>
        <w:rPr>
          <w:rFonts w:hint="default" w:ascii="宋体" w:hAnsi="宋体" w:eastAsia="宋体" w:cs="宋体"/>
          <w:sz w:val="24"/>
          <w:szCs w:val="24"/>
          <w:lang w:val="en-US" w:eastAsia="zh-CN"/>
        </w:rPr>
        <w:t>参加政府采购活动前三年内，在经营活动中没有重大违法记录</w:t>
      </w:r>
    </w:p>
    <w:p w14:paraId="417C642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提供加盖单位公章的承诺函（格式自拟）</w:t>
      </w:r>
    </w:p>
    <w:p w14:paraId="21C4FCF1">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0D225C5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（八）</w:t>
      </w:r>
      <w:r>
        <w:rPr>
          <w:rFonts w:hint="default" w:ascii="宋体" w:hAnsi="宋体" w:eastAsia="宋体" w:cs="宋体"/>
          <w:sz w:val="24"/>
          <w:szCs w:val="24"/>
          <w:lang w:val="en-US" w:eastAsia="zh-CN"/>
        </w:rPr>
        <w:t>未被“信用中国”网站（www.creditchina.gov.cn）、“中国政府采购网”</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www.ccgp.gov.cn</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列入</w:t>
      </w:r>
      <w:r>
        <w:rPr>
          <w:rFonts w:hint="eastAsia" w:ascii="宋体" w:hAnsi="宋体" w:eastAsia="宋体" w:cs="宋体"/>
          <w:sz w:val="24"/>
          <w:szCs w:val="24"/>
          <w:lang w:val="en-US" w:eastAsia="zh-CN"/>
        </w:rPr>
        <w:t>失信被执行人、重大税收违法失信主体、政府采购严重违法失信行为记录名单</w:t>
      </w:r>
      <w:r>
        <w:rPr>
          <w:rFonts w:hint="default" w:ascii="宋体" w:hAnsi="宋体" w:eastAsia="宋体" w:cs="宋体"/>
          <w:sz w:val="24"/>
          <w:szCs w:val="24"/>
          <w:lang w:val="en-US" w:eastAsia="zh-CN"/>
        </w:rPr>
        <w:t>。</w:t>
      </w:r>
    </w:p>
    <w:p w14:paraId="0B9D8BE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提供加盖单位公章的承诺函（格式自拟）</w:t>
      </w:r>
    </w:p>
    <w:p w14:paraId="44D7D701">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14:paraId="0C2A9FF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（九）特定资格要求</w:t>
      </w:r>
    </w:p>
    <w:p w14:paraId="5B91036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（1）[供应商]</w:t>
      </w:r>
      <w:r>
        <w:rPr>
          <w:rFonts w:hint="eastAsia" w:ascii="宋体" w:hAnsi="宋体" w:eastAsia="宋体" w:cs="宋体"/>
          <w:b/>
          <w:bCs/>
          <w:sz w:val="24"/>
          <w:szCs w:val="24"/>
          <w:lang w:val="en-US" w:eastAsia="zh-CN"/>
        </w:rPr>
        <w:t>具备水利水电工程施工总承包贰级（含）及以上资质</w:t>
      </w:r>
      <w:r>
        <w:rPr>
          <w:rFonts w:hint="default" w:ascii="宋体" w:hAnsi="宋体" w:eastAsia="宋体" w:cs="宋体"/>
          <w:b/>
          <w:bCs/>
          <w:sz w:val="24"/>
          <w:szCs w:val="24"/>
          <w:lang w:val="en-US" w:eastAsia="zh-CN"/>
        </w:rPr>
        <w:t>，有效期内的安全生产许可证（提供相应的证书或证明文件）；</w:t>
      </w:r>
    </w:p>
    <w:p w14:paraId="26C5669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（2）[项目负责人]具备水利水电工程专业二级（含）及以上注册建造师执业资格，有效的安全生产考核合格证书（B证），</w:t>
      </w:r>
      <w:r>
        <w:rPr>
          <w:rFonts w:hint="eastAsia" w:ascii="宋体" w:hAnsi="宋体" w:eastAsia="宋体" w:cs="宋体"/>
          <w:b/>
          <w:bCs/>
          <w:sz w:val="24"/>
          <w:szCs w:val="24"/>
          <w:lang w:val="en-US" w:eastAsia="zh-CN"/>
        </w:rPr>
        <w:t>同时具有水利工程相关专业中级及以上职称</w:t>
      </w:r>
      <w:r>
        <w:rPr>
          <w:rFonts w:hint="default" w:ascii="宋体" w:hAnsi="宋体" w:eastAsia="宋体" w:cs="宋体"/>
          <w:b/>
          <w:bCs/>
          <w:sz w:val="24"/>
          <w:szCs w:val="24"/>
          <w:lang w:val="en-US" w:eastAsia="zh-CN"/>
        </w:rPr>
        <w:t>，且未担任其他在施建设工程项目的项目负责人、项目经理（提供相应的证书或证明文件以及加盖单位公章的项目负责人无在建承诺函[格式自拟]）；</w:t>
      </w:r>
    </w:p>
    <w:p w14:paraId="237B208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（3）单位负责人为同一人或者存在控股、管理关系的不同供应商，不得参加同一标段投标或者未划分标段的同一招标项目投标（提供加盖单位公章的承诺函[格式自拟]）。</w:t>
      </w:r>
    </w:p>
    <w:p w14:paraId="355BEA5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4E7F642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（十）磋商保证金</w:t>
      </w:r>
    </w:p>
    <w:p w14:paraId="36E6EB7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提供基本帐户证明材料及保证金汇款</w:t>
      </w:r>
      <w:r>
        <w:rPr>
          <w:rFonts w:hint="default" w:ascii="宋体" w:hAnsi="宋体" w:eastAsia="宋体" w:cs="宋体"/>
          <w:b/>
          <w:bCs/>
          <w:sz w:val="24"/>
          <w:szCs w:val="24"/>
          <w:lang w:val="en-US" w:eastAsia="zh-CN"/>
        </w:rPr>
        <w:t>凭证或电子保函的</w:t>
      </w:r>
      <w:r>
        <w:rPr>
          <w:rFonts w:hint="eastAsia" w:ascii="宋体" w:hAnsi="宋体" w:eastAsia="宋体" w:cs="宋体"/>
          <w:b/>
          <w:bCs/>
          <w:sz w:val="24"/>
          <w:szCs w:val="24"/>
          <w:lang w:val="en-US" w:eastAsia="zh-CN"/>
        </w:rPr>
        <w:t>证明材料</w:t>
      </w:r>
    </w:p>
    <w:p w14:paraId="17EBDBE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524B55D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（十一）</w:t>
      </w:r>
      <w:r>
        <w:rPr>
          <w:rFonts w:hint="default" w:ascii="宋体" w:hAnsi="宋体" w:eastAsia="宋体" w:cs="宋体"/>
          <w:sz w:val="24"/>
          <w:szCs w:val="24"/>
          <w:lang w:val="en-US" w:eastAsia="zh-CN"/>
        </w:rPr>
        <w:t>中小企业声明函</w:t>
      </w:r>
      <w:r>
        <w:rPr>
          <w:rFonts w:hint="eastAsia" w:ascii="宋体" w:hAnsi="宋体" w:eastAsia="宋体" w:cs="宋体"/>
          <w:sz w:val="24"/>
          <w:szCs w:val="24"/>
          <w:lang w:val="en-US" w:eastAsia="zh-CN"/>
        </w:rPr>
        <w:t>（工程、服务）</w:t>
      </w:r>
    </w:p>
    <w:p w14:paraId="6AC8A56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本公司（联合体）郑重声明，根据《政府采购促进中小企业发展管理办法》（财库﹝2020﹞46号）的规定，本公司（联合体）参加</w:t>
      </w:r>
      <w:r>
        <w:rPr>
          <w:rFonts w:hint="default" w:ascii="宋体" w:hAnsi="宋体" w:eastAsia="宋体" w:cs="宋体"/>
          <w:sz w:val="24"/>
          <w:szCs w:val="24"/>
          <w:u w:val="none"/>
          <w:lang w:val="en-US" w:eastAsia="zh-CN"/>
        </w:rPr>
        <w:t>（</w:t>
      </w:r>
      <w:r>
        <w:rPr>
          <w:rFonts w:hint="default" w:ascii="宋体" w:hAnsi="宋体" w:eastAsia="宋体" w:cs="宋体"/>
          <w:sz w:val="24"/>
          <w:szCs w:val="24"/>
          <w:u w:val="single"/>
          <w:lang w:val="en-US" w:eastAsia="zh-CN"/>
        </w:rPr>
        <w:t>单位名称</w:t>
      </w:r>
      <w:r>
        <w:rPr>
          <w:rFonts w:hint="default" w:ascii="宋体" w:hAnsi="宋体" w:eastAsia="宋体" w:cs="宋体"/>
          <w:sz w:val="24"/>
          <w:szCs w:val="24"/>
          <w:u w:val="none"/>
          <w:lang w:val="en-US" w:eastAsia="zh-CN"/>
        </w:rPr>
        <w:t>）</w:t>
      </w:r>
      <w:r>
        <w:rPr>
          <w:rFonts w:hint="default" w:ascii="宋体" w:hAnsi="宋体" w:eastAsia="宋体" w:cs="宋体"/>
          <w:sz w:val="24"/>
          <w:szCs w:val="24"/>
          <w:lang w:val="en-US" w:eastAsia="zh-CN"/>
        </w:rPr>
        <w:t>的</w:t>
      </w:r>
      <w:r>
        <w:rPr>
          <w:rFonts w:hint="default" w:ascii="宋体" w:hAnsi="宋体" w:eastAsia="宋体" w:cs="宋体"/>
          <w:sz w:val="24"/>
          <w:szCs w:val="24"/>
          <w:u w:val="none"/>
          <w:lang w:val="en-US" w:eastAsia="zh-CN"/>
        </w:rPr>
        <w:t>（</w:t>
      </w:r>
      <w:r>
        <w:rPr>
          <w:rFonts w:hint="default" w:ascii="宋体" w:hAnsi="宋体" w:eastAsia="宋体" w:cs="宋体"/>
          <w:sz w:val="24"/>
          <w:szCs w:val="24"/>
          <w:u w:val="single"/>
          <w:lang w:val="en-US" w:eastAsia="zh-CN"/>
        </w:rPr>
        <w:t>项目名称</w:t>
      </w:r>
      <w:r>
        <w:rPr>
          <w:rFonts w:hint="default" w:ascii="宋体" w:hAnsi="宋体" w:eastAsia="宋体" w:cs="宋体"/>
          <w:sz w:val="24"/>
          <w:szCs w:val="24"/>
          <w:u w:val="none"/>
          <w:lang w:val="en-US" w:eastAsia="zh-CN"/>
        </w:rPr>
        <w:t>）</w:t>
      </w:r>
      <w:r>
        <w:rPr>
          <w:rFonts w:hint="default" w:ascii="宋体" w:hAnsi="宋体" w:eastAsia="宋体" w:cs="宋体"/>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1153DB0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u w:val="none"/>
          <w:lang w:val="en-US" w:eastAsia="zh-CN"/>
        </w:rPr>
        <w:t>1.</w:t>
      </w:r>
      <w:r>
        <w:rPr>
          <w:rFonts w:hint="default" w:ascii="宋体" w:hAnsi="宋体" w:eastAsia="宋体" w:cs="宋体"/>
          <w:sz w:val="24"/>
          <w:szCs w:val="24"/>
          <w:u w:val="none"/>
          <w:lang w:val="en-US" w:eastAsia="zh-CN"/>
        </w:rPr>
        <w:t>（</w:t>
      </w:r>
      <w:r>
        <w:rPr>
          <w:rFonts w:hint="default" w:ascii="宋体" w:hAnsi="宋体" w:eastAsia="宋体" w:cs="宋体"/>
          <w:sz w:val="24"/>
          <w:szCs w:val="24"/>
          <w:u w:val="single"/>
          <w:lang w:val="en-US" w:eastAsia="zh-CN"/>
        </w:rPr>
        <w:t>标的名称</w:t>
      </w:r>
      <w:r>
        <w:rPr>
          <w:rFonts w:hint="default" w:ascii="宋体" w:hAnsi="宋体" w:eastAsia="宋体" w:cs="宋体"/>
          <w:sz w:val="24"/>
          <w:szCs w:val="24"/>
          <w:u w:val="none"/>
          <w:lang w:val="en-US" w:eastAsia="zh-CN"/>
        </w:rPr>
        <w:t>）</w:t>
      </w:r>
      <w:r>
        <w:rPr>
          <w:rFonts w:hint="default" w:ascii="宋体" w:hAnsi="宋体" w:eastAsia="宋体" w:cs="宋体"/>
          <w:sz w:val="24"/>
          <w:szCs w:val="24"/>
          <w:lang w:val="en-US" w:eastAsia="zh-CN"/>
        </w:rPr>
        <w:t>，属于</w:t>
      </w:r>
      <w:r>
        <w:rPr>
          <w:rFonts w:hint="eastAsia" w:ascii="宋体" w:hAnsi="宋体" w:eastAsia="宋体" w:cs="宋体"/>
          <w:sz w:val="24"/>
          <w:szCs w:val="24"/>
          <w:lang w:val="en-US" w:eastAsia="zh-CN"/>
        </w:rPr>
        <w:t>（</w:t>
      </w:r>
      <w:r>
        <w:rPr>
          <w:rFonts w:hint="default" w:ascii="宋体" w:hAnsi="宋体" w:eastAsia="宋体" w:cs="宋体"/>
          <w:sz w:val="24"/>
          <w:szCs w:val="24"/>
          <w:u w:val="single"/>
          <w:lang w:val="en-US" w:eastAsia="zh-CN"/>
        </w:rPr>
        <w:t>采购文件中明确的所属行业</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；承建（承接）企业为</w:t>
      </w:r>
      <w:r>
        <w:rPr>
          <w:rFonts w:hint="default" w:ascii="宋体" w:hAnsi="宋体" w:eastAsia="宋体" w:cs="宋体"/>
          <w:sz w:val="24"/>
          <w:szCs w:val="24"/>
          <w:u w:val="single"/>
          <w:lang w:val="en-US" w:eastAsia="zh-CN"/>
        </w:rPr>
        <w:t>（企业名称）</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从业人员</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人，营业收入为</w:t>
      </w:r>
      <w:r>
        <w:rPr>
          <w:rFonts w:hint="default"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万元，资产总额为</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万元，属于（</w:t>
      </w:r>
      <w:r>
        <w:rPr>
          <w:rFonts w:hint="default" w:ascii="宋体" w:hAnsi="宋体" w:eastAsia="宋体" w:cs="宋体"/>
          <w:sz w:val="24"/>
          <w:szCs w:val="24"/>
          <w:u w:val="single"/>
          <w:lang w:val="en-US" w:eastAsia="zh-CN"/>
        </w:rPr>
        <w:t>中型企业、小型企业、微型企业</w:t>
      </w:r>
      <w:r>
        <w:rPr>
          <w:rFonts w:hint="default" w:ascii="宋体" w:hAnsi="宋体" w:eastAsia="宋体" w:cs="宋体"/>
          <w:sz w:val="24"/>
          <w:szCs w:val="24"/>
          <w:lang w:val="en-US" w:eastAsia="zh-CN"/>
        </w:rPr>
        <w:t>）；</w:t>
      </w:r>
    </w:p>
    <w:p w14:paraId="4B0C589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u w:val="none"/>
          <w:lang w:val="en-US" w:eastAsia="zh-CN"/>
        </w:rPr>
        <w:t>（</w:t>
      </w:r>
      <w:r>
        <w:rPr>
          <w:rFonts w:hint="default" w:ascii="宋体" w:hAnsi="宋体" w:eastAsia="宋体" w:cs="宋体"/>
          <w:sz w:val="24"/>
          <w:szCs w:val="24"/>
          <w:u w:val="single"/>
          <w:lang w:val="en-US" w:eastAsia="zh-CN"/>
        </w:rPr>
        <w:t>标的名称</w:t>
      </w:r>
      <w:r>
        <w:rPr>
          <w:rFonts w:hint="default" w:ascii="宋体" w:hAnsi="宋体" w:eastAsia="宋体" w:cs="宋体"/>
          <w:sz w:val="24"/>
          <w:szCs w:val="24"/>
          <w:u w:val="none"/>
          <w:lang w:val="en-US" w:eastAsia="zh-CN"/>
        </w:rPr>
        <w:t>）</w:t>
      </w:r>
      <w:r>
        <w:rPr>
          <w:rFonts w:hint="default" w:ascii="宋体" w:hAnsi="宋体" w:eastAsia="宋体" w:cs="宋体"/>
          <w:sz w:val="24"/>
          <w:szCs w:val="24"/>
          <w:lang w:val="en-US" w:eastAsia="zh-CN"/>
        </w:rPr>
        <w:t>，属于</w:t>
      </w:r>
      <w:r>
        <w:rPr>
          <w:rFonts w:hint="eastAsia" w:ascii="宋体" w:hAnsi="宋体" w:eastAsia="宋体" w:cs="宋体"/>
          <w:sz w:val="24"/>
          <w:szCs w:val="24"/>
          <w:lang w:val="en-US" w:eastAsia="zh-CN"/>
        </w:rPr>
        <w:t>（</w:t>
      </w:r>
      <w:r>
        <w:rPr>
          <w:rFonts w:hint="default" w:ascii="宋体" w:hAnsi="宋体" w:eastAsia="宋体" w:cs="宋体"/>
          <w:sz w:val="24"/>
          <w:szCs w:val="24"/>
          <w:u w:val="single"/>
          <w:lang w:val="en-US" w:eastAsia="zh-CN"/>
        </w:rPr>
        <w:t>采购文件中明确的所属行业</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；承建（承接）企业为</w:t>
      </w:r>
      <w:r>
        <w:rPr>
          <w:rFonts w:hint="default" w:ascii="宋体" w:hAnsi="宋体" w:eastAsia="宋体" w:cs="宋体"/>
          <w:sz w:val="24"/>
          <w:szCs w:val="24"/>
          <w:u w:val="single"/>
          <w:lang w:val="en-US" w:eastAsia="zh-CN"/>
        </w:rPr>
        <w:t>（企业名称）</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从业人员</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人，营业收入为</w:t>
      </w:r>
      <w:r>
        <w:rPr>
          <w:rFonts w:hint="default"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万元，资产总额为</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万元，属于（</w:t>
      </w:r>
      <w:r>
        <w:rPr>
          <w:rFonts w:hint="default" w:ascii="宋体" w:hAnsi="宋体" w:eastAsia="宋体" w:cs="宋体"/>
          <w:sz w:val="24"/>
          <w:szCs w:val="24"/>
          <w:u w:val="single"/>
          <w:lang w:val="en-US" w:eastAsia="zh-CN"/>
        </w:rPr>
        <w:t>中型企业、小型企业、微型企业</w:t>
      </w:r>
      <w:r>
        <w:rPr>
          <w:rFonts w:hint="default" w:ascii="宋体" w:hAnsi="宋体" w:eastAsia="宋体" w:cs="宋体"/>
          <w:sz w:val="24"/>
          <w:szCs w:val="24"/>
          <w:lang w:val="en-US" w:eastAsia="zh-CN"/>
        </w:rPr>
        <w:t>）；</w:t>
      </w:r>
    </w:p>
    <w:p w14:paraId="06552CA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w:t>
      </w:r>
    </w:p>
    <w:p w14:paraId="75A8804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以上企业，不属于大企业的分支机构，不存在控股股东为大企业的情形，也不存在与大企业的负责人为同一人的情形。</w:t>
      </w:r>
    </w:p>
    <w:p w14:paraId="4229DE3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本企业对上述声明内容的真实性负责。如有虚假，将依法承担相应责任。</w:t>
      </w:r>
    </w:p>
    <w:p w14:paraId="3ADB8A6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企业名称（盖章）：</w:t>
      </w:r>
    </w:p>
    <w:p w14:paraId="14AE372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日</w:t>
      </w:r>
    </w:p>
    <w:p w14:paraId="0C118B1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备注：1、从业人员、营业收入、资产总额填报上一年度数据，无上一年度数据的新成立企业可不填报。</w:t>
      </w:r>
    </w:p>
    <w:p w14:paraId="117ED54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2、供应商为中小企业时需提供本声明函，并完整填写从业人员、营业收入、资产总额等内容，否则评审时不能享受相应的价格扣除。</w:t>
      </w:r>
    </w:p>
    <w:p w14:paraId="60C5F70B">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14:paraId="73F2CFE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残疾人福利性单位声明函</w:t>
      </w:r>
    </w:p>
    <w:p w14:paraId="532651E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单位的采购文件编号为</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的项目采购活动提供本单位制造的货物（由本单位承担工程/提供服务），或者提供其他残疾人福利性单位制造的货物（不包括使用非残疾人福利性单位注册商标的货物）。</w:t>
      </w:r>
    </w:p>
    <w:p w14:paraId="49FF393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本单位对上述声明的真实性负责。如有虚假，将依法承担相应责任。</w:t>
      </w:r>
    </w:p>
    <w:p w14:paraId="663776F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（备注：1、供应商如不提供此声明函，价格将不做相应扣除。2、中标供应商为残疾人福利单位的，此声明函将随中标结果同时公告，接受社会监督）</w:t>
      </w:r>
    </w:p>
    <w:p w14:paraId="70FCE57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供应商名称（盖单位公章）：</w:t>
      </w:r>
    </w:p>
    <w:p w14:paraId="3208EA2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日期：</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日</w:t>
      </w:r>
    </w:p>
    <w:p w14:paraId="08C3149A">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14:paraId="594595E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监狱和戒毒企业证明材料</w:t>
      </w:r>
    </w:p>
    <w:p w14:paraId="01A3649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（格式自拟）</w:t>
      </w:r>
    </w:p>
    <w:p w14:paraId="046B3DF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68477E6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供应商名称（盖单位公章）：</w:t>
      </w:r>
    </w:p>
    <w:p w14:paraId="3050A29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日期：</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日</w:t>
      </w:r>
    </w:p>
    <w:p w14:paraId="4F1D6DCA">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14:paraId="086CB1C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附：</w:t>
      </w:r>
    </w:p>
    <w:p w14:paraId="07942DC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关于印发中小企业划型标准规定的通知工信部联企业〔2011〕300号</w:t>
      </w:r>
    </w:p>
    <w:p w14:paraId="125A6E4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各省、自治区、直辖市人民政府，国务院各部委、各直属机构及有关单位：</w:t>
      </w:r>
    </w:p>
    <w:p w14:paraId="311F39D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为贯彻落实《中华人民共和国中小企业促进法》和《国务院关于进一步促进中小企业发展的若干意见》（国发〔2009〕36号），工业和信息化部、国家统计局、发展改革委、财政部研究制定了《中小企业划型标准规定》。</w:t>
      </w:r>
    </w:p>
    <w:p w14:paraId="1340F5F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经国务院同意，现印发给你们，请遵照执行。</w:t>
      </w:r>
    </w:p>
    <w:p w14:paraId="3936DEE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附件：</w:t>
      </w:r>
    </w:p>
    <w:p w14:paraId="476D83C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中小企业划型标准规定</w:t>
      </w:r>
    </w:p>
    <w:p w14:paraId="55CD128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一、根据《中华人民共和国中小企业促进法》和《国务院关于进一步促进中小企业发展的若干意见》</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国发〔2009〕36号</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，制定本规定。</w:t>
      </w:r>
    </w:p>
    <w:p w14:paraId="35B4DFC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二、中小企业划分为中型、小型、微型三种类型，具体标准根据企业从业人员、营业收入、资产总额等指标，结合行业特点制定。</w:t>
      </w:r>
    </w:p>
    <w:p w14:paraId="4208EEB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E1661B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四、各行业划型标准为：</w:t>
      </w:r>
    </w:p>
    <w:p w14:paraId="5FCE546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（一）农、林、牧、渔业。营业收入20000万元以下的为中小微型企业。其中，营业收入500万元及以上的为中型企业，营业收入50万元及以上的为小型企业，营业收入50万元以下的为微型企业。</w:t>
      </w:r>
    </w:p>
    <w:p w14:paraId="13F2723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F2D20B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935DB0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DA1561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BC2D23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C71972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746A0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A35954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FCE1CD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437B49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374CE8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6720DB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21304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B06752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38C7D0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（十六）其他未列明行业。从业人员300人以下的为中小微型企业。其中，从业人员100人及以上的为中型企业；从业人员10人及以上的为小型企业；从业人员10人以下的为微型企业。</w:t>
      </w:r>
    </w:p>
    <w:p w14:paraId="33B6F55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五、企业类型的划分以统计部门的统计数据为依据。</w:t>
      </w:r>
    </w:p>
    <w:p w14:paraId="0B5F60E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六、本规定适用于在中华人民共和国境内依法设立的各类所有制和各种组织形式的企业。个体工商户和本规定以外的行业，参照本规定进行划型。</w:t>
      </w:r>
    </w:p>
    <w:p w14:paraId="6D41B27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4487A43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八、本规定由工业和信息化部、国家统计局会同有关部门根据《国民经济行业分类》修订情况和企业发展变化情况适时修订。</w:t>
      </w:r>
    </w:p>
    <w:p w14:paraId="1B56794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九、本规定由工业和信息化部、国家统计局会同有关部门负责解释。</w:t>
      </w:r>
    </w:p>
    <w:p w14:paraId="64B3D1F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十、本规定自发布之日起执行，原国家经贸委、原国家计委、财政部和国家统计局2003年颁布的《中小企业标准暂行规定》同时废止。</w:t>
      </w:r>
    </w:p>
    <w:p w14:paraId="5316BAEA">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14:paraId="1287A17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商务、技术文件</w:t>
      </w:r>
    </w:p>
    <w:p w14:paraId="42018DC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（一）</w:t>
      </w:r>
      <w:r>
        <w:rPr>
          <w:rFonts w:hint="eastAsia" w:ascii="宋体" w:hAnsi="宋体" w:eastAsia="宋体" w:cs="宋体"/>
          <w:sz w:val="24"/>
          <w:szCs w:val="24"/>
          <w:lang w:val="en-US" w:eastAsia="zh-CN"/>
        </w:rPr>
        <w:t>磋商</w:t>
      </w:r>
      <w:r>
        <w:rPr>
          <w:rFonts w:hint="default" w:ascii="宋体" w:hAnsi="宋体" w:eastAsia="宋体" w:cs="宋体"/>
          <w:sz w:val="24"/>
          <w:szCs w:val="24"/>
          <w:lang w:val="en-US" w:eastAsia="zh-CN"/>
        </w:rPr>
        <w:t>响应函</w:t>
      </w:r>
    </w:p>
    <w:p w14:paraId="41E3399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致</w:t>
      </w:r>
      <w:r>
        <w:rPr>
          <w:rFonts w:hint="default" w:ascii="宋体" w:hAnsi="宋体" w:eastAsia="宋体" w:cs="宋体"/>
          <w:sz w:val="24"/>
          <w:szCs w:val="24"/>
          <w:u w:val="single"/>
          <w:lang w:val="en-US" w:eastAsia="zh-CN"/>
        </w:rPr>
        <w:t xml:space="preserve"> （采购代理机构名称） </w:t>
      </w:r>
      <w:r>
        <w:rPr>
          <w:rFonts w:hint="default" w:ascii="宋体" w:hAnsi="宋体" w:eastAsia="宋体" w:cs="宋体"/>
          <w:sz w:val="24"/>
          <w:szCs w:val="24"/>
          <w:lang w:val="en-US" w:eastAsia="zh-CN"/>
        </w:rPr>
        <w:t>：</w:t>
      </w:r>
    </w:p>
    <w:p w14:paraId="3466B17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根据贵方的</w:t>
      </w:r>
      <w:r>
        <w:rPr>
          <w:rFonts w:hint="eastAsia" w:ascii="宋体" w:hAnsi="宋体" w:eastAsia="宋体" w:cs="宋体"/>
          <w:sz w:val="24"/>
          <w:szCs w:val="24"/>
          <w:u w:val="single"/>
          <w:lang w:val="en-US" w:eastAsia="zh-CN"/>
        </w:rPr>
        <w:t>（项目名称）、（</w:t>
      </w:r>
      <w:r>
        <w:rPr>
          <w:rFonts w:hint="default" w:ascii="宋体" w:hAnsi="宋体" w:eastAsia="宋体" w:cs="宋体"/>
          <w:sz w:val="24"/>
          <w:szCs w:val="24"/>
          <w:u w:val="single"/>
          <w:lang w:val="en-US" w:eastAsia="zh-CN"/>
        </w:rPr>
        <w:t>项目编号</w:t>
      </w:r>
      <w:r>
        <w:rPr>
          <w:rFonts w:hint="eastAsia" w:ascii="宋体" w:hAnsi="宋体" w:eastAsia="宋体" w:cs="宋体"/>
          <w:sz w:val="24"/>
          <w:szCs w:val="24"/>
          <w:u w:val="single"/>
          <w:lang w:val="en-US" w:eastAsia="zh-CN"/>
        </w:rPr>
        <w:t>）</w:t>
      </w:r>
      <w:r>
        <w:rPr>
          <w:rFonts w:hint="default" w:ascii="宋体" w:hAnsi="宋体" w:eastAsia="宋体" w:cs="宋体"/>
          <w:sz w:val="24"/>
          <w:szCs w:val="24"/>
          <w:lang w:val="en-US" w:eastAsia="zh-CN"/>
        </w:rPr>
        <w:t>招标文件</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正式授权下述签字人</w:t>
      </w:r>
      <w:r>
        <w:rPr>
          <w:rFonts w:hint="eastAsia" w:ascii="宋体" w:hAnsi="宋体" w:eastAsia="宋体" w:cs="宋体"/>
          <w:sz w:val="24"/>
          <w:szCs w:val="24"/>
          <w:u w:val="single"/>
          <w:lang w:val="en-US" w:eastAsia="zh-CN"/>
        </w:rPr>
        <w:t xml:space="preserve">      （姓名）</w:t>
      </w:r>
      <w:r>
        <w:rPr>
          <w:rFonts w:hint="eastAsia" w:ascii="宋体" w:hAnsi="宋体" w:eastAsia="宋体" w:cs="宋体"/>
          <w:sz w:val="24"/>
          <w:szCs w:val="24"/>
          <w:u w:val="none"/>
          <w:lang w:val="en-US" w:eastAsia="zh-CN"/>
        </w:rPr>
        <w:t>代表我方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（供应商名称），全权处理本次项目投标的有关事宜。</w:t>
      </w:r>
    </w:p>
    <w:p w14:paraId="35E9FD0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据此函，</w:t>
      </w:r>
      <w:r>
        <w:rPr>
          <w:rFonts w:hint="eastAsia" w:ascii="宋体" w:hAnsi="宋体" w:eastAsia="宋体" w:cs="宋体"/>
          <w:sz w:val="24"/>
          <w:szCs w:val="24"/>
          <w:u w:val="single"/>
          <w:lang w:val="en-US" w:eastAsia="zh-CN"/>
        </w:rPr>
        <w:t xml:space="preserve">      （姓名）      </w:t>
      </w:r>
      <w:r>
        <w:rPr>
          <w:rFonts w:hint="default" w:ascii="宋体" w:hAnsi="宋体" w:eastAsia="宋体" w:cs="宋体"/>
          <w:sz w:val="24"/>
          <w:szCs w:val="24"/>
          <w:lang w:val="en-US" w:eastAsia="zh-CN"/>
        </w:rPr>
        <w:t>签字人兹宣布同意如下：</w:t>
      </w:r>
    </w:p>
    <w:p w14:paraId="71B0A12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1.按招标文件规定的各项要求，向买方提供所需</w:t>
      </w:r>
      <w:r>
        <w:rPr>
          <w:rFonts w:hint="eastAsia" w:ascii="宋体" w:hAnsi="宋体" w:eastAsia="宋体" w:cs="宋体"/>
          <w:sz w:val="24"/>
          <w:szCs w:val="24"/>
          <w:lang w:val="en-US" w:eastAsia="zh-CN"/>
        </w:rPr>
        <w:t>的</w:t>
      </w:r>
      <w:r>
        <w:rPr>
          <w:rFonts w:hint="default" w:ascii="宋体" w:hAnsi="宋体" w:eastAsia="宋体" w:cs="宋体"/>
          <w:sz w:val="24"/>
          <w:szCs w:val="24"/>
          <w:lang w:val="en-US" w:eastAsia="zh-CN"/>
        </w:rPr>
        <w:t>服务。</w:t>
      </w:r>
    </w:p>
    <w:p w14:paraId="37997E5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2.我们完全理解贵方不一定将合同授予报价最低的投标人。</w:t>
      </w:r>
    </w:p>
    <w:p w14:paraId="07D6D39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3.我们已详细审核全部招标文件及其有效补充文件，我们知道必须放弃提出含糊不清或误解问题的权利。</w:t>
      </w:r>
    </w:p>
    <w:p w14:paraId="29600A2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本磋商有效期为自投标截止之日起</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个日历日。</w:t>
      </w:r>
    </w:p>
    <w:p w14:paraId="6074C3E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.我们同意从规定的开标时间起遵循本投标文件，并在规定的投标有效期期满之前均具有约束力。</w:t>
      </w:r>
    </w:p>
    <w:p w14:paraId="5E64735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default" w:ascii="宋体" w:hAnsi="宋体" w:eastAsia="宋体" w:cs="宋体"/>
          <w:sz w:val="24"/>
          <w:szCs w:val="24"/>
          <w:lang w:val="en-US" w:eastAsia="zh-CN"/>
        </w:rPr>
        <w:t>.如果在开标后规定的投标有效期内撤回投标或中标后拒绝签订合同，我们的投标保证金可不予退还。</w:t>
      </w:r>
    </w:p>
    <w:p w14:paraId="180D21D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default" w:ascii="宋体" w:hAnsi="宋体" w:eastAsia="宋体" w:cs="宋体"/>
          <w:sz w:val="24"/>
          <w:szCs w:val="24"/>
          <w:lang w:val="en-US" w:eastAsia="zh-CN"/>
        </w:rPr>
        <w:t>.同意向贵方提供贵方可能另外要求的与投标有关的任何证据或资料，并保证我方已提供和将要提供的文件是真实的、准确的。</w:t>
      </w:r>
    </w:p>
    <w:p w14:paraId="6A2EE23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8.按照招标文件的规定，在中标后向贵方一次性支付招标代理费。</w:t>
      </w:r>
    </w:p>
    <w:p w14:paraId="0EF0270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default" w:ascii="宋体" w:hAnsi="宋体" w:eastAsia="宋体" w:cs="宋体"/>
          <w:sz w:val="24"/>
          <w:szCs w:val="24"/>
          <w:lang w:val="en-US" w:eastAsia="zh-CN"/>
        </w:rPr>
        <w:t>.一旦我方中标</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我方将根据招标文件的规定，严格履行合同的责任和义务</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并保证在招标文件规定的时间完成项目，交付买方验收、使用。</w:t>
      </w:r>
    </w:p>
    <w:p w14:paraId="535612F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与本投标有关的正式通讯地址为：</w:t>
      </w:r>
    </w:p>
    <w:p w14:paraId="62B8314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u w:val="single"/>
          <w:lang w:val="en-US" w:eastAsia="zh-CN"/>
        </w:rPr>
      </w:pPr>
      <w:r>
        <w:rPr>
          <w:rFonts w:hint="default" w:ascii="宋体" w:hAnsi="宋体" w:eastAsia="宋体" w:cs="宋体"/>
          <w:sz w:val="24"/>
          <w:szCs w:val="24"/>
          <w:lang w:val="en-US" w:eastAsia="zh-CN"/>
        </w:rPr>
        <w:t>地址：</w:t>
      </w:r>
      <w:r>
        <w:rPr>
          <w:rFonts w:hint="default"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u w:val="single"/>
          <w:lang w:val="en-US" w:eastAsia="zh-CN"/>
        </w:rPr>
        <w:t xml:space="preserve">  </w:t>
      </w:r>
    </w:p>
    <w:p w14:paraId="7485CA1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u w:val="single"/>
          <w:lang w:val="en-US" w:eastAsia="zh-CN"/>
        </w:rPr>
      </w:pPr>
      <w:r>
        <w:rPr>
          <w:rFonts w:hint="default" w:ascii="宋体" w:hAnsi="宋体" w:eastAsia="宋体" w:cs="宋体"/>
          <w:sz w:val="24"/>
          <w:szCs w:val="24"/>
          <w:lang w:val="en-US" w:eastAsia="zh-CN"/>
        </w:rPr>
        <w:t>邮编：</w:t>
      </w:r>
      <w:r>
        <w:rPr>
          <w:rFonts w:hint="default"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u w:val="single"/>
          <w:lang w:val="en-US" w:eastAsia="zh-CN"/>
        </w:rPr>
        <w:t xml:space="preserve">  </w:t>
      </w:r>
    </w:p>
    <w:p w14:paraId="49BC46D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u w:val="single"/>
          <w:lang w:val="en-US" w:eastAsia="zh-CN"/>
        </w:rPr>
      </w:pPr>
      <w:r>
        <w:rPr>
          <w:rFonts w:hint="default" w:ascii="宋体" w:hAnsi="宋体" w:eastAsia="宋体" w:cs="宋体"/>
          <w:sz w:val="24"/>
          <w:szCs w:val="24"/>
          <w:lang w:val="en-US" w:eastAsia="zh-CN"/>
        </w:rPr>
        <w:t>电话：</w:t>
      </w:r>
      <w:r>
        <w:rPr>
          <w:rFonts w:hint="default"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u w:val="single"/>
          <w:lang w:val="en-US" w:eastAsia="zh-CN"/>
        </w:rPr>
        <w:t xml:space="preserve">  </w:t>
      </w:r>
    </w:p>
    <w:p w14:paraId="2F9043E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传真</w:t>
      </w:r>
      <w:r>
        <w:rPr>
          <w:rFonts w:hint="eastAsia" w:ascii="宋体" w:hAnsi="宋体" w:eastAsia="宋体" w:cs="宋体"/>
          <w:sz w:val="24"/>
          <w:szCs w:val="24"/>
          <w:lang w:val="en-US" w:eastAsia="zh-CN"/>
        </w:rPr>
        <w:t>：</w:t>
      </w:r>
      <w:r>
        <w:rPr>
          <w:rFonts w:hint="default"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u w:val="single"/>
          <w:lang w:val="en-US" w:eastAsia="zh-CN"/>
        </w:rPr>
        <w:t xml:space="preserve">  </w:t>
      </w:r>
    </w:p>
    <w:p w14:paraId="5AB0373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供应商开户行：</w:t>
      </w:r>
      <w:r>
        <w:rPr>
          <w:rFonts w:hint="default" w:ascii="宋体" w:hAnsi="宋体" w:eastAsia="宋体" w:cs="宋体"/>
          <w:sz w:val="24"/>
          <w:szCs w:val="24"/>
          <w:u w:val="single"/>
          <w:lang w:val="en-US" w:eastAsia="zh-CN"/>
        </w:rPr>
        <w:t xml:space="preserve">            </w:t>
      </w:r>
    </w:p>
    <w:p w14:paraId="3E6D099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账户：</w:t>
      </w:r>
      <w:r>
        <w:rPr>
          <w:rFonts w:hint="default"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u w:val="single"/>
          <w:lang w:val="en-US" w:eastAsia="zh-CN"/>
        </w:rPr>
        <w:t xml:space="preserve">  </w:t>
      </w:r>
    </w:p>
    <w:p w14:paraId="23405F0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供应商名称（盖单位公章）：</w:t>
      </w:r>
    </w:p>
    <w:p w14:paraId="1A3AD64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法定代表人（或其授权代表）（签字或盖章）：</w:t>
      </w:r>
    </w:p>
    <w:p w14:paraId="13D1631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日</w:t>
      </w:r>
    </w:p>
    <w:p w14:paraId="29614E4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3A3FB1E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w:t>
      </w:r>
      <w:r>
        <w:rPr>
          <w:rFonts w:hint="eastAsia" w:ascii="宋体" w:hAnsi="宋体" w:eastAsia="宋体" w:cs="宋体"/>
          <w:sz w:val="24"/>
          <w:szCs w:val="24"/>
          <w:u w:val="none"/>
          <w:lang w:val="en-US" w:eastAsia="zh-CN"/>
        </w:rPr>
        <w:t>二</w:t>
      </w:r>
      <w:r>
        <w:rPr>
          <w:rFonts w:hint="default" w:ascii="宋体" w:hAnsi="宋体" w:eastAsia="宋体" w:cs="宋体"/>
          <w:sz w:val="24"/>
          <w:szCs w:val="24"/>
          <w:u w:val="none"/>
          <w:lang w:val="en-US" w:eastAsia="zh-CN"/>
        </w:rPr>
        <w:t>）商务条款响应及偏离表</w:t>
      </w:r>
    </w:p>
    <w:p w14:paraId="7F693527">
      <w:pPr>
        <w:keepNext w:val="0"/>
        <w:keepLines w:val="0"/>
        <w:pageBreakBefore w:val="0"/>
        <w:widowControl w:val="0"/>
        <w:kinsoku/>
        <w:wordWrap/>
        <w:overflowPunct/>
        <w:topLinePunct w:val="0"/>
        <w:autoSpaceDE/>
        <w:autoSpaceDN/>
        <w:bidi w:val="0"/>
        <w:adjustRightInd/>
        <w:snapToGrid/>
        <w:spacing w:line="480" w:lineRule="auto"/>
        <w:ind w:firstLine="240" w:firstLineChars="100"/>
        <w:jc w:val="both"/>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项目编号：</w:t>
      </w:r>
      <w:r>
        <w:rPr>
          <w:rFonts w:hint="eastAsia" w:ascii="宋体" w:hAnsi="宋体" w:eastAsia="宋体" w:cs="宋体"/>
          <w:sz w:val="24"/>
          <w:szCs w:val="24"/>
          <w:u w:val="single"/>
          <w:lang w:val="en-US" w:eastAsia="zh-CN"/>
        </w:rPr>
        <w:t xml:space="preserve">                       </w:t>
      </w:r>
    </w:p>
    <w:tbl>
      <w:tblPr>
        <w:tblStyle w:val="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3"/>
        <w:gridCol w:w="1953"/>
        <w:gridCol w:w="1953"/>
        <w:gridCol w:w="3546"/>
        <w:gridCol w:w="1353"/>
      </w:tblGrid>
      <w:tr w14:paraId="32FCB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579" w:type="pct"/>
            <w:vAlign w:val="center"/>
          </w:tcPr>
          <w:p w14:paraId="28E12EFF">
            <w:pPr>
              <w:spacing w:line="36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序号</w:t>
            </w:r>
          </w:p>
        </w:tc>
        <w:tc>
          <w:tcPr>
            <w:tcW w:w="980" w:type="pct"/>
            <w:vAlign w:val="center"/>
          </w:tcPr>
          <w:p w14:paraId="4979AF90">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条款序号</w:t>
            </w:r>
          </w:p>
        </w:tc>
        <w:tc>
          <w:tcPr>
            <w:tcW w:w="980" w:type="pct"/>
            <w:vAlign w:val="center"/>
          </w:tcPr>
          <w:p w14:paraId="3B6A0E20">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磋商条款</w:t>
            </w:r>
          </w:p>
        </w:tc>
        <w:tc>
          <w:tcPr>
            <w:tcW w:w="1780" w:type="pct"/>
            <w:vAlign w:val="center"/>
          </w:tcPr>
          <w:p w14:paraId="7BBAB166">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投标（响应）条款</w:t>
            </w:r>
          </w:p>
        </w:tc>
        <w:tc>
          <w:tcPr>
            <w:tcW w:w="679" w:type="pct"/>
            <w:vAlign w:val="center"/>
          </w:tcPr>
          <w:p w14:paraId="1E63755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 注</w:t>
            </w:r>
          </w:p>
        </w:tc>
      </w:tr>
      <w:tr w14:paraId="0A4CF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579" w:type="pct"/>
            <w:vAlign w:val="center"/>
          </w:tcPr>
          <w:p w14:paraId="36F4939A">
            <w:pPr>
              <w:spacing w:line="360" w:lineRule="auto"/>
              <w:jc w:val="center"/>
              <w:rPr>
                <w:rFonts w:hint="eastAsia" w:ascii="宋体" w:hAnsi="宋体" w:eastAsia="宋体" w:cs="宋体"/>
                <w:b/>
                <w:bCs/>
                <w:color w:val="auto"/>
                <w:sz w:val="24"/>
                <w:szCs w:val="24"/>
                <w:highlight w:val="none"/>
              </w:rPr>
            </w:pPr>
          </w:p>
        </w:tc>
        <w:tc>
          <w:tcPr>
            <w:tcW w:w="980" w:type="pct"/>
            <w:vAlign w:val="center"/>
          </w:tcPr>
          <w:p w14:paraId="34470230">
            <w:pPr>
              <w:spacing w:line="360" w:lineRule="auto"/>
              <w:jc w:val="center"/>
              <w:rPr>
                <w:rFonts w:hint="eastAsia" w:ascii="宋体" w:hAnsi="宋体" w:eastAsia="宋体" w:cs="宋体"/>
                <w:b/>
                <w:bCs/>
                <w:color w:val="auto"/>
                <w:sz w:val="24"/>
                <w:szCs w:val="24"/>
                <w:highlight w:val="none"/>
              </w:rPr>
            </w:pPr>
          </w:p>
        </w:tc>
        <w:tc>
          <w:tcPr>
            <w:tcW w:w="980" w:type="pct"/>
            <w:vAlign w:val="center"/>
          </w:tcPr>
          <w:p w14:paraId="7881B801">
            <w:pPr>
              <w:spacing w:line="360" w:lineRule="auto"/>
              <w:jc w:val="center"/>
              <w:rPr>
                <w:rFonts w:hint="eastAsia" w:ascii="宋体" w:hAnsi="宋体" w:eastAsia="宋体" w:cs="宋体"/>
                <w:b/>
                <w:bCs/>
                <w:color w:val="auto"/>
                <w:sz w:val="24"/>
                <w:szCs w:val="24"/>
                <w:highlight w:val="none"/>
              </w:rPr>
            </w:pPr>
          </w:p>
        </w:tc>
        <w:tc>
          <w:tcPr>
            <w:tcW w:w="1780" w:type="pct"/>
            <w:vAlign w:val="center"/>
          </w:tcPr>
          <w:p w14:paraId="182C27B7">
            <w:pPr>
              <w:spacing w:line="360" w:lineRule="auto"/>
              <w:jc w:val="center"/>
              <w:rPr>
                <w:rFonts w:hint="eastAsia" w:ascii="宋体" w:hAnsi="宋体" w:eastAsia="宋体" w:cs="宋体"/>
                <w:b/>
                <w:bCs/>
                <w:color w:val="auto"/>
                <w:sz w:val="24"/>
                <w:szCs w:val="24"/>
                <w:highlight w:val="none"/>
              </w:rPr>
            </w:pPr>
          </w:p>
        </w:tc>
        <w:tc>
          <w:tcPr>
            <w:tcW w:w="679" w:type="pct"/>
            <w:vAlign w:val="center"/>
          </w:tcPr>
          <w:p w14:paraId="58CB86F3">
            <w:pPr>
              <w:spacing w:line="360" w:lineRule="auto"/>
              <w:jc w:val="center"/>
              <w:rPr>
                <w:rFonts w:hint="eastAsia" w:ascii="宋体" w:hAnsi="宋体" w:eastAsia="宋体" w:cs="宋体"/>
                <w:b/>
                <w:bCs/>
                <w:color w:val="auto"/>
                <w:sz w:val="24"/>
                <w:szCs w:val="24"/>
                <w:highlight w:val="none"/>
              </w:rPr>
            </w:pPr>
          </w:p>
        </w:tc>
      </w:tr>
      <w:tr w14:paraId="15494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579" w:type="pct"/>
            <w:vAlign w:val="center"/>
          </w:tcPr>
          <w:p w14:paraId="7041AC70">
            <w:pPr>
              <w:spacing w:line="360" w:lineRule="auto"/>
              <w:jc w:val="center"/>
              <w:rPr>
                <w:rFonts w:hint="eastAsia" w:ascii="宋体" w:hAnsi="宋体" w:eastAsia="宋体" w:cs="宋体"/>
                <w:b/>
                <w:bCs/>
                <w:color w:val="auto"/>
                <w:sz w:val="24"/>
                <w:szCs w:val="24"/>
                <w:highlight w:val="none"/>
              </w:rPr>
            </w:pPr>
          </w:p>
        </w:tc>
        <w:tc>
          <w:tcPr>
            <w:tcW w:w="980" w:type="pct"/>
            <w:vAlign w:val="center"/>
          </w:tcPr>
          <w:p w14:paraId="4A8EC16F">
            <w:pPr>
              <w:spacing w:line="360" w:lineRule="auto"/>
              <w:jc w:val="center"/>
              <w:rPr>
                <w:rFonts w:hint="eastAsia" w:ascii="宋体" w:hAnsi="宋体" w:eastAsia="宋体" w:cs="宋体"/>
                <w:b/>
                <w:bCs/>
                <w:color w:val="auto"/>
                <w:sz w:val="24"/>
                <w:szCs w:val="24"/>
                <w:highlight w:val="none"/>
              </w:rPr>
            </w:pPr>
          </w:p>
        </w:tc>
        <w:tc>
          <w:tcPr>
            <w:tcW w:w="980" w:type="pct"/>
            <w:vAlign w:val="center"/>
          </w:tcPr>
          <w:p w14:paraId="634AC74E">
            <w:pPr>
              <w:spacing w:line="360" w:lineRule="auto"/>
              <w:jc w:val="center"/>
              <w:rPr>
                <w:rFonts w:hint="eastAsia" w:ascii="宋体" w:hAnsi="宋体" w:eastAsia="宋体" w:cs="宋体"/>
                <w:b/>
                <w:bCs/>
                <w:color w:val="auto"/>
                <w:sz w:val="24"/>
                <w:szCs w:val="24"/>
                <w:highlight w:val="none"/>
              </w:rPr>
            </w:pPr>
          </w:p>
        </w:tc>
        <w:tc>
          <w:tcPr>
            <w:tcW w:w="1780" w:type="pct"/>
            <w:vAlign w:val="center"/>
          </w:tcPr>
          <w:p w14:paraId="139BB4B2">
            <w:pPr>
              <w:spacing w:line="360" w:lineRule="auto"/>
              <w:jc w:val="center"/>
              <w:rPr>
                <w:rFonts w:hint="eastAsia" w:ascii="宋体" w:hAnsi="宋体" w:eastAsia="宋体" w:cs="宋体"/>
                <w:b/>
                <w:bCs/>
                <w:color w:val="auto"/>
                <w:sz w:val="24"/>
                <w:szCs w:val="24"/>
                <w:highlight w:val="none"/>
              </w:rPr>
            </w:pPr>
          </w:p>
        </w:tc>
        <w:tc>
          <w:tcPr>
            <w:tcW w:w="679" w:type="pct"/>
            <w:vAlign w:val="center"/>
          </w:tcPr>
          <w:p w14:paraId="56CE99D8">
            <w:pPr>
              <w:spacing w:line="360" w:lineRule="auto"/>
              <w:jc w:val="center"/>
              <w:rPr>
                <w:rFonts w:hint="eastAsia" w:ascii="宋体" w:hAnsi="宋体" w:eastAsia="宋体" w:cs="宋体"/>
                <w:b/>
                <w:bCs/>
                <w:color w:val="auto"/>
                <w:sz w:val="24"/>
                <w:szCs w:val="24"/>
                <w:highlight w:val="none"/>
              </w:rPr>
            </w:pPr>
          </w:p>
        </w:tc>
      </w:tr>
      <w:tr w14:paraId="0EC3E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579" w:type="pct"/>
            <w:vAlign w:val="center"/>
          </w:tcPr>
          <w:p w14:paraId="0C48C100">
            <w:pPr>
              <w:spacing w:line="360" w:lineRule="auto"/>
              <w:jc w:val="center"/>
              <w:rPr>
                <w:rFonts w:hint="eastAsia" w:ascii="宋体" w:hAnsi="宋体" w:eastAsia="宋体" w:cs="宋体"/>
                <w:b/>
                <w:bCs/>
                <w:color w:val="auto"/>
                <w:sz w:val="24"/>
                <w:szCs w:val="24"/>
                <w:highlight w:val="none"/>
              </w:rPr>
            </w:pPr>
          </w:p>
        </w:tc>
        <w:tc>
          <w:tcPr>
            <w:tcW w:w="980" w:type="pct"/>
            <w:vAlign w:val="center"/>
          </w:tcPr>
          <w:p w14:paraId="3D6AD168">
            <w:pPr>
              <w:spacing w:line="360" w:lineRule="auto"/>
              <w:jc w:val="center"/>
              <w:rPr>
                <w:rFonts w:hint="eastAsia" w:ascii="宋体" w:hAnsi="宋体" w:eastAsia="宋体" w:cs="宋体"/>
                <w:b/>
                <w:bCs/>
                <w:color w:val="auto"/>
                <w:sz w:val="24"/>
                <w:szCs w:val="24"/>
                <w:highlight w:val="none"/>
              </w:rPr>
            </w:pPr>
          </w:p>
        </w:tc>
        <w:tc>
          <w:tcPr>
            <w:tcW w:w="980" w:type="pct"/>
            <w:vAlign w:val="center"/>
          </w:tcPr>
          <w:p w14:paraId="64D50EFF">
            <w:pPr>
              <w:spacing w:line="360" w:lineRule="auto"/>
              <w:jc w:val="center"/>
              <w:rPr>
                <w:rFonts w:hint="eastAsia" w:ascii="宋体" w:hAnsi="宋体" w:eastAsia="宋体" w:cs="宋体"/>
                <w:b/>
                <w:bCs/>
                <w:color w:val="auto"/>
                <w:sz w:val="24"/>
                <w:szCs w:val="24"/>
                <w:highlight w:val="none"/>
              </w:rPr>
            </w:pPr>
          </w:p>
        </w:tc>
        <w:tc>
          <w:tcPr>
            <w:tcW w:w="1780" w:type="pct"/>
            <w:vAlign w:val="center"/>
          </w:tcPr>
          <w:p w14:paraId="226FACC3">
            <w:pPr>
              <w:spacing w:line="360" w:lineRule="auto"/>
              <w:jc w:val="center"/>
              <w:rPr>
                <w:rFonts w:hint="eastAsia" w:ascii="宋体" w:hAnsi="宋体" w:eastAsia="宋体" w:cs="宋体"/>
                <w:b/>
                <w:bCs/>
                <w:color w:val="auto"/>
                <w:sz w:val="24"/>
                <w:szCs w:val="24"/>
                <w:highlight w:val="none"/>
              </w:rPr>
            </w:pPr>
          </w:p>
        </w:tc>
        <w:tc>
          <w:tcPr>
            <w:tcW w:w="679" w:type="pct"/>
            <w:vAlign w:val="center"/>
          </w:tcPr>
          <w:p w14:paraId="772EA540">
            <w:pPr>
              <w:spacing w:line="360" w:lineRule="auto"/>
              <w:jc w:val="center"/>
              <w:rPr>
                <w:rFonts w:hint="eastAsia" w:ascii="宋体" w:hAnsi="宋体" w:eastAsia="宋体" w:cs="宋体"/>
                <w:b/>
                <w:bCs/>
                <w:color w:val="auto"/>
                <w:sz w:val="24"/>
                <w:szCs w:val="24"/>
                <w:highlight w:val="none"/>
              </w:rPr>
            </w:pPr>
          </w:p>
        </w:tc>
      </w:tr>
      <w:tr w14:paraId="59330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579" w:type="pct"/>
            <w:vAlign w:val="center"/>
          </w:tcPr>
          <w:p w14:paraId="7F1FA5DA">
            <w:pPr>
              <w:spacing w:line="360" w:lineRule="auto"/>
              <w:jc w:val="center"/>
              <w:rPr>
                <w:rFonts w:hint="eastAsia" w:ascii="宋体" w:hAnsi="宋体" w:eastAsia="宋体" w:cs="宋体"/>
                <w:b/>
                <w:bCs/>
                <w:color w:val="auto"/>
                <w:sz w:val="24"/>
                <w:szCs w:val="24"/>
                <w:highlight w:val="none"/>
              </w:rPr>
            </w:pPr>
          </w:p>
        </w:tc>
        <w:tc>
          <w:tcPr>
            <w:tcW w:w="980" w:type="pct"/>
            <w:vAlign w:val="center"/>
          </w:tcPr>
          <w:p w14:paraId="0B49B1F1">
            <w:pPr>
              <w:spacing w:line="360" w:lineRule="auto"/>
              <w:jc w:val="center"/>
              <w:rPr>
                <w:rFonts w:hint="eastAsia" w:ascii="宋体" w:hAnsi="宋体" w:eastAsia="宋体" w:cs="宋体"/>
                <w:b/>
                <w:bCs/>
                <w:color w:val="auto"/>
                <w:sz w:val="24"/>
                <w:szCs w:val="24"/>
                <w:highlight w:val="none"/>
              </w:rPr>
            </w:pPr>
          </w:p>
        </w:tc>
        <w:tc>
          <w:tcPr>
            <w:tcW w:w="980" w:type="pct"/>
            <w:vAlign w:val="center"/>
          </w:tcPr>
          <w:p w14:paraId="38C9CC73">
            <w:pPr>
              <w:spacing w:line="360" w:lineRule="auto"/>
              <w:jc w:val="center"/>
              <w:rPr>
                <w:rFonts w:hint="eastAsia" w:ascii="宋体" w:hAnsi="宋体" w:eastAsia="宋体" w:cs="宋体"/>
                <w:b/>
                <w:bCs/>
                <w:color w:val="auto"/>
                <w:sz w:val="24"/>
                <w:szCs w:val="24"/>
                <w:highlight w:val="none"/>
              </w:rPr>
            </w:pPr>
          </w:p>
        </w:tc>
        <w:tc>
          <w:tcPr>
            <w:tcW w:w="1780" w:type="pct"/>
            <w:vAlign w:val="center"/>
          </w:tcPr>
          <w:p w14:paraId="18F12C46">
            <w:pPr>
              <w:spacing w:line="360" w:lineRule="auto"/>
              <w:jc w:val="center"/>
              <w:rPr>
                <w:rFonts w:hint="eastAsia" w:ascii="宋体" w:hAnsi="宋体" w:eastAsia="宋体" w:cs="宋体"/>
                <w:b/>
                <w:bCs/>
                <w:color w:val="auto"/>
                <w:sz w:val="24"/>
                <w:szCs w:val="24"/>
                <w:highlight w:val="none"/>
              </w:rPr>
            </w:pPr>
          </w:p>
        </w:tc>
        <w:tc>
          <w:tcPr>
            <w:tcW w:w="679" w:type="pct"/>
            <w:vAlign w:val="center"/>
          </w:tcPr>
          <w:p w14:paraId="552D85E0">
            <w:pPr>
              <w:spacing w:line="360" w:lineRule="auto"/>
              <w:jc w:val="center"/>
              <w:rPr>
                <w:rFonts w:hint="eastAsia" w:ascii="宋体" w:hAnsi="宋体" w:eastAsia="宋体" w:cs="宋体"/>
                <w:b/>
                <w:bCs/>
                <w:color w:val="auto"/>
                <w:sz w:val="24"/>
                <w:szCs w:val="24"/>
                <w:highlight w:val="none"/>
              </w:rPr>
            </w:pPr>
          </w:p>
        </w:tc>
      </w:tr>
      <w:tr w14:paraId="4385D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579" w:type="pct"/>
            <w:vAlign w:val="center"/>
          </w:tcPr>
          <w:p w14:paraId="7847675C">
            <w:pPr>
              <w:spacing w:line="360" w:lineRule="auto"/>
              <w:jc w:val="center"/>
              <w:rPr>
                <w:rFonts w:hint="eastAsia" w:ascii="宋体" w:hAnsi="宋体" w:eastAsia="宋体" w:cs="宋体"/>
                <w:b/>
                <w:bCs/>
                <w:color w:val="auto"/>
                <w:sz w:val="24"/>
                <w:szCs w:val="24"/>
                <w:highlight w:val="none"/>
              </w:rPr>
            </w:pPr>
          </w:p>
        </w:tc>
        <w:tc>
          <w:tcPr>
            <w:tcW w:w="980" w:type="pct"/>
            <w:vAlign w:val="center"/>
          </w:tcPr>
          <w:p w14:paraId="361F102B">
            <w:pPr>
              <w:spacing w:line="360" w:lineRule="auto"/>
              <w:jc w:val="center"/>
              <w:rPr>
                <w:rFonts w:hint="eastAsia" w:ascii="宋体" w:hAnsi="宋体" w:eastAsia="宋体" w:cs="宋体"/>
                <w:b/>
                <w:bCs/>
                <w:color w:val="auto"/>
                <w:sz w:val="24"/>
                <w:szCs w:val="24"/>
                <w:highlight w:val="none"/>
              </w:rPr>
            </w:pPr>
          </w:p>
        </w:tc>
        <w:tc>
          <w:tcPr>
            <w:tcW w:w="980" w:type="pct"/>
            <w:vAlign w:val="center"/>
          </w:tcPr>
          <w:p w14:paraId="6AC98321">
            <w:pPr>
              <w:spacing w:line="360" w:lineRule="auto"/>
              <w:jc w:val="center"/>
              <w:rPr>
                <w:rFonts w:hint="eastAsia" w:ascii="宋体" w:hAnsi="宋体" w:eastAsia="宋体" w:cs="宋体"/>
                <w:b/>
                <w:bCs/>
                <w:color w:val="auto"/>
                <w:sz w:val="24"/>
                <w:szCs w:val="24"/>
                <w:highlight w:val="none"/>
              </w:rPr>
            </w:pPr>
          </w:p>
        </w:tc>
        <w:tc>
          <w:tcPr>
            <w:tcW w:w="1780" w:type="pct"/>
            <w:vAlign w:val="center"/>
          </w:tcPr>
          <w:p w14:paraId="6B65D24D">
            <w:pPr>
              <w:spacing w:line="360" w:lineRule="auto"/>
              <w:jc w:val="center"/>
              <w:rPr>
                <w:rFonts w:hint="eastAsia" w:ascii="宋体" w:hAnsi="宋体" w:eastAsia="宋体" w:cs="宋体"/>
                <w:b/>
                <w:bCs/>
                <w:color w:val="auto"/>
                <w:sz w:val="24"/>
                <w:szCs w:val="24"/>
                <w:highlight w:val="none"/>
              </w:rPr>
            </w:pPr>
          </w:p>
        </w:tc>
        <w:tc>
          <w:tcPr>
            <w:tcW w:w="679" w:type="pct"/>
            <w:vAlign w:val="center"/>
          </w:tcPr>
          <w:p w14:paraId="6837B7E7">
            <w:pPr>
              <w:spacing w:line="360" w:lineRule="auto"/>
              <w:jc w:val="center"/>
              <w:rPr>
                <w:rFonts w:hint="eastAsia" w:ascii="宋体" w:hAnsi="宋体" w:eastAsia="宋体" w:cs="宋体"/>
                <w:b/>
                <w:bCs/>
                <w:color w:val="auto"/>
                <w:sz w:val="24"/>
                <w:szCs w:val="24"/>
                <w:highlight w:val="none"/>
              </w:rPr>
            </w:pPr>
          </w:p>
        </w:tc>
      </w:tr>
    </w:tbl>
    <w:p w14:paraId="2DC677C8">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备注：供应商</w:t>
      </w:r>
      <w:r>
        <w:rPr>
          <w:rFonts w:hint="eastAsia" w:ascii="宋体" w:hAnsi="宋体" w:eastAsia="宋体" w:cs="宋体"/>
          <w:sz w:val="24"/>
          <w:szCs w:val="24"/>
          <w:u w:val="none"/>
          <w:lang w:val="en-US" w:eastAsia="zh-CN"/>
        </w:rPr>
        <w:t>投标文件</w:t>
      </w:r>
      <w:r>
        <w:rPr>
          <w:rFonts w:hint="default" w:ascii="宋体" w:hAnsi="宋体" w:eastAsia="宋体" w:cs="宋体"/>
          <w:sz w:val="24"/>
          <w:szCs w:val="24"/>
          <w:u w:val="none"/>
          <w:lang w:val="en-US" w:eastAsia="zh-CN"/>
        </w:rPr>
        <w:t>的条款有差异的，则在此表中列明实际响应的内容提要并加以说明，以便查对。无差异说明表示完全响应。</w:t>
      </w:r>
    </w:p>
    <w:p w14:paraId="0B35F09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供应商名称（盖单位公章）：</w:t>
      </w:r>
    </w:p>
    <w:p w14:paraId="7A7CF10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法定代表人（或其授权代表）（签字或盖章）：</w:t>
      </w:r>
    </w:p>
    <w:p w14:paraId="534DE4A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日</w:t>
      </w:r>
    </w:p>
    <w:p w14:paraId="096B63EC">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14:paraId="6713C2C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w:t>
      </w:r>
      <w:r>
        <w:rPr>
          <w:rFonts w:hint="eastAsia" w:ascii="宋体" w:hAnsi="宋体" w:eastAsia="宋体" w:cs="宋体"/>
          <w:sz w:val="24"/>
          <w:szCs w:val="24"/>
          <w:u w:val="none"/>
          <w:lang w:val="en-US" w:eastAsia="zh-CN"/>
        </w:rPr>
        <w:t>三</w:t>
      </w:r>
      <w:r>
        <w:rPr>
          <w:rFonts w:hint="default" w:ascii="宋体" w:hAnsi="宋体" w:eastAsia="宋体" w:cs="宋体"/>
          <w:sz w:val="24"/>
          <w:szCs w:val="24"/>
          <w:u w:val="none"/>
          <w:lang w:val="en-US" w:eastAsia="zh-CN"/>
        </w:rPr>
        <w:t>）技术参数响应及偏离表</w:t>
      </w:r>
    </w:p>
    <w:p w14:paraId="40E2E0B5">
      <w:pPr>
        <w:keepNext w:val="0"/>
        <w:keepLines w:val="0"/>
        <w:pageBreakBefore w:val="0"/>
        <w:widowControl w:val="0"/>
        <w:kinsoku/>
        <w:wordWrap/>
        <w:overflowPunct/>
        <w:topLinePunct w:val="0"/>
        <w:autoSpaceDE/>
        <w:autoSpaceDN/>
        <w:bidi w:val="0"/>
        <w:adjustRightInd/>
        <w:snapToGrid/>
        <w:spacing w:line="480" w:lineRule="auto"/>
        <w:ind w:firstLine="240" w:firstLineChars="100"/>
        <w:jc w:val="both"/>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项目编号：</w:t>
      </w:r>
      <w:r>
        <w:rPr>
          <w:rFonts w:hint="eastAsia" w:ascii="宋体" w:hAnsi="宋体" w:eastAsia="宋体" w:cs="宋体"/>
          <w:sz w:val="24"/>
          <w:szCs w:val="24"/>
          <w:u w:val="single"/>
          <w:lang w:val="en-US" w:eastAsia="zh-CN"/>
        </w:rPr>
        <w:t xml:space="preserve">                       </w:t>
      </w:r>
    </w:p>
    <w:tbl>
      <w:tblPr>
        <w:tblStyle w:val="8"/>
        <w:tblW w:w="99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9"/>
        <w:gridCol w:w="1992"/>
        <w:gridCol w:w="1992"/>
        <w:gridCol w:w="3618"/>
        <w:gridCol w:w="1180"/>
      </w:tblGrid>
      <w:tr w14:paraId="17369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179" w:type="dxa"/>
            <w:vAlign w:val="center"/>
          </w:tcPr>
          <w:p w14:paraId="03D4CB7A">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序号</w:t>
            </w:r>
          </w:p>
        </w:tc>
        <w:tc>
          <w:tcPr>
            <w:tcW w:w="1992" w:type="dxa"/>
            <w:vAlign w:val="center"/>
          </w:tcPr>
          <w:p w14:paraId="771D7ABE">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子项名称</w:t>
            </w:r>
          </w:p>
        </w:tc>
        <w:tc>
          <w:tcPr>
            <w:tcW w:w="1992" w:type="dxa"/>
            <w:vAlign w:val="center"/>
          </w:tcPr>
          <w:p w14:paraId="3CF7F6BF">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磋商规格</w:t>
            </w:r>
          </w:p>
        </w:tc>
        <w:tc>
          <w:tcPr>
            <w:tcW w:w="3618" w:type="dxa"/>
            <w:vAlign w:val="center"/>
          </w:tcPr>
          <w:p w14:paraId="0B1F7CFF">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响应规格</w:t>
            </w:r>
          </w:p>
        </w:tc>
        <w:tc>
          <w:tcPr>
            <w:tcW w:w="1180" w:type="dxa"/>
            <w:vAlign w:val="center"/>
          </w:tcPr>
          <w:p w14:paraId="5CF6E47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备 注</w:t>
            </w:r>
          </w:p>
        </w:tc>
      </w:tr>
      <w:tr w14:paraId="642C0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0" w:type="auto"/>
            <w:vAlign w:val="center"/>
          </w:tcPr>
          <w:p w14:paraId="116FC657">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402BC36F">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35FBDFEC">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6C64059E">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1BE54072">
            <w:pPr>
              <w:spacing w:line="360" w:lineRule="auto"/>
              <w:jc w:val="center"/>
              <w:rPr>
                <w:rFonts w:hint="eastAsia" w:ascii="宋体" w:hAnsi="宋体" w:eastAsia="宋体" w:cs="宋体"/>
                <w:b/>
                <w:bCs/>
                <w:color w:val="auto"/>
                <w:sz w:val="24"/>
                <w:szCs w:val="24"/>
                <w:highlight w:val="none"/>
              </w:rPr>
            </w:pPr>
          </w:p>
        </w:tc>
      </w:tr>
      <w:tr w14:paraId="7AD66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0" w:type="auto"/>
            <w:vAlign w:val="center"/>
          </w:tcPr>
          <w:p w14:paraId="0F02C551">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247D8016">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373B0D4B">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7C17A3B3">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0548E17E">
            <w:pPr>
              <w:spacing w:line="360" w:lineRule="auto"/>
              <w:jc w:val="center"/>
              <w:rPr>
                <w:rFonts w:hint="eastAsia" w:ascii="宋体" w:hAnsi="宋体" w:eastAsia="宋体" w:cs="宋体"/>
                <w:b/>
                <w:bCs/>
                <w:color w:val="auto"/>
                <w:sz w:val="24"/>
                <w:szCs w:val="24"/>
                <w:highlight w:val="none"/>
              </w:rPr>
            </w:pPr>
          </w:p>
        </w:tc>
      </w:tr>
      <w:tr w14:paraId="0244E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0" w:type="auto"/>
            <w:vAlign w:val="center"/>
          </w:tcPr>
          <w:p w14:paraId="371D8A86">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4652A85D">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40F16B8A">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6717E8F5">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2647D83E">
            <w:pPr>
              <w:spacing w:line="360" w:lineRule="auto"/>
              <w:jc w:val="center"/>
              <w:rPr>
                <w:rFonts w:hint="eastAsia" w:ascii="宋体" w:hAnsi="宋体" w:eastAsia="宋体" w:cs="宋体"/>
                <w:b/>
                <w:bCs/>
                <w:color w:val="auto"/>
                <w:sz w:val="24"/>
                <w:szCs w:val="24"/>
                <w:highlight w:val="none"/>
              </w:rPr>
            </w:pPr>
          </w:p>
        </w:tc>
      </w:tr>
      <w:tr w14:paraId="0104E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0" w:type="auto"/>
            <w:vAlign w:val="center"/>
          </w:tcPr>
          <w:p w14:paraId="34FBD21D">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555E9A81">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0CEABFC7">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59BD0F1A">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05BC7A35">
            <w:pPr>
              <w:spacing w:line="360" w:lineRule="auto"/>
              <w:jc w:val="center"/>
              <w:rPr>
                <w:rFonts w:hint="eastAsia" w:ascii="宋体" w:hAnsi="宋体" w:eastAsia="宋体" w:cs="宋体"/>
                <w:b/>
                <w:bCs/>
                <w:color w:val="auto"/>
                <w:sz w:val="24"/>
                <w:szCs w:val="24"/>
                <w:highlight w:val="none"/>
              </w:rPr>
            </w:pPr>
          </w:p>
        </w:tc>
      </w:tr>
      <w:tr w14:paraId="08506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0" w:type="auto"/>
            <w:vAlign w:val="center"/>
          </w:tcPr>
          <w:p w14:paraId="74E525AB">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17BC1544">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7CD3FD4A">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77D7894A">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2668773A">
            <w:pPr>
              <w:spacing w:line="360" w:lineRule="auto"/>
              <w:jc w:val="center"/>
              <w:rPr>
                <w:rFonts w:hint="eastAsia" w:ascii="宋体" w:hAnsi="宋体" w:eastAsia="宋体" w:cs="宋体"/>
                <w:b/>
                <w:bCs/>
                <w:color w:val="auto"/>
                <w:sz w:val="24"/>
                <w:szCs w:val="24"/>
                <w:highlight w:val="none"/>
              </w:rPr>
            </w:pPr>
          </w:p>
        </w:tc>
      </w:tr>
    </w:tbl>
    <w:p w14:paraId="0A01D8D2">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备注：</w:t>
      </w:r>
    </w:p>
    <w:p w14:paraId="208A47FB">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1、按照基本技术要求详细填列。</w:t>
      </w:r>
    </w:p>
    <w:p w14:paraId="69580F72">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2、行数不够，可自行添加。</w:t>
      </w:r>
    </w:p>
    <w:p w14:paraId="7F43419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3、无差异说明表示完全响应。</w:t>
      </w:r>
    </w:p>
    <w:p w14:paraId="19ECD9C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供应商名称（盖章）：</w:t>
      </w:r>
    </w:p>
    <w:p w14:paraId="6078E0E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法定代表人（或其授权代表）（签字或盖章）：</w:t>
      </w:r>
    </w:p>
    <w:p w14:paraId="3F2E1C5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日</w:t>
      </w:r>
    </w:p>
    <w:p w14:paraId="6A2B53A1">
      <w:p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br w:type="page"/>
      </w:r>
    </w:p>
    <w:p w14:paraId="42BE1F8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w:t>
      </w:r>
      <w:r>
        <w:rPr>
          <w:rFonts w:hint="eastAsia" w:ascii="宋体" w:hAnsi="宋体" w:eastAsia="宋体" w:cs="宋体"/>
          <w:sz w:val="24"/>
          <w:szCs w:val="24"/>
          <w:u w:val="none"/>
          <w:lang w:val="en-US" w:eastAsia="zh-CN"/>
        </w:rPr>
        <w:t>四</w:t>
      </w:r>
      <w:r>
        <w:rPr>
          <w:rFonts w:hint="default" w:ascii="宋体" w:hAnsi="宋体" w:eastAsia="宋体" w:cs="宋体"/>
          <w:sz w:val="24"/>
          <w:szCs w:val="24"/>
          <w:u w:val="none"/>
          <w:lang w:val="en-US" w:eastAsia="zh-CN"/>
        </w:rPr>
        <w:t>）评审所需要的商务</w:t>
      </w:r>
      <w:r>
        <w:rPr>
          <w:rFonts w:hint="eastAsia" w:ascii="宋体" w:hAnsi="宋体" w:eastAsia="宋体" w:cs="宋体"/>
          <w:sz w:val="24"/>
          <w:szCs w:val="24"/>
          <w:u w:val="none"/>
          <w:lang w:val="en-US" w:eastAsia="zh-CN"/>
        </w:rPr>
        <w:t>部分</w:t>
      </w:r>
      <w:r>
        <w:rPr>
          <w:rFonts w:hint="default" w:ascii="宋体" w:hAnsi="宋体" w:eastAsia="宋体" w:cs="宋体"/>
          <w:sz w:val="24"/>
          <w:szCs w:val="24"/>
          <w:u w:val="none"/>
          <w:lang w:val="en-US" w:eastAsia="zh-CN"/>
        </w:rPr>
        <w:t>文件</w:t>
      </w:r>
    </w:p>
    <w:p w14:paraId="7EB6E57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类似业绩一览表（2021年1月1日至投标截止时间）</w:t>
      </w:r>
    </w:p>
    <w:p w14:paraId="5024927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企业业绩</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583"/>
        <w:gridCol w:w="1132"/>
        <w:gridCol w:w="1132"/>
        <w:gridCol w:w="1133"/>
        <w:gridCol w:w="1133"/>
        <w:gridCol w:w="2486"/>
        <w:gridCol w:w="682"/>
      </w:tblGrid>
      <w:tr w14:paraId="55EF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5D89C1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0" w:type="auto"/>
            <w:vAlign w:val="center"/>
          </w:tcPr>
          <w:p w14:paraId="79EE428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采购单位名称</w:t>
            </w:r>
          </w:p>
        </w:tc>
        <w:tc>
          <w:tcPr>
            <w:tcW w:w="0" w:type="auto"/>
            <w:vAlign w:val="center"/>
          </w:tcPr>
          <w:p w14:paraId="33C3426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0" w:type="auto"/>
            <w:vAlign w:val="center"/>
          </w:tcPr>
          <w:p w14:paraId="4E17AD9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项目内容</w:t>
            </w:r>
          </w:p>
        </w:tc>
        <w:tc>
          <w:tcPr>
            <w:tcW w:w="0" w:type="auto"/>
            <w:vAlign w:val="center"/>
          </w:tcPr>
          <w:p w14:paraId="2EF0AAB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合同总价</w:t>
            </w:r>
          </w:p>
        </w:tc>
        <w:tc>
          <w:tcPr>
            <w:tcW w:w="0" w:type="auto"/>
            <w:vAlign w:val="center"/>
          </w:tcPr>
          <w:p w14:paraId="166173D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签订日期</w:t>
            </w:r>
          </w:p>
        </w:tc>
        <w:tc>
          <w:tcPr>
            <w:tcW w:w="0" w:type="auto"/>
            <w:vAlign w:val="center"/>
          </w:tcPr>
          <w:p w14:paraId="29F71EE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采购单位联系人及电话</w:t>
            </w:r>
          </w:p>
        </w:tc>
        <w:tc>
          <w:tcPr>
            <w:tcW w:w="0" w:type="auto"/>
            <w:vAlign w:val="center"/>
          </w:tcPr>
          <w:p w14:paraId="4A0D287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5AA8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E4271C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6814390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6DC547D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324F20A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5A159C0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5A836F3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46AC1C5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4FF31D9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r>
      <w:tr w14:paraId="3616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F503A2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338FED4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78C2B9E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3541C9B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35AEA56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5B2AD0B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14B5FC3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380327D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r>
      <w:tr w14:paraId="72C2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3645D0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331C5F1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293E637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58053F4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295826A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1BD91B8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492930C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3E80A18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r>
      <w:tr w14:paraId="6B2A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02D7AC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256819C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5362B87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325998B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231C49D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4A51607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1198DB6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345C522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r>
    </w:tbl>
    <w:p w14:paraId="6C131A3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附：需提供合同彩色扫描件。</w:t>
      </w:r>
    </w:p>
    <w:p w14:paraId="6FD5161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lang w:val="en-US" w:eastAsia="zh-CN"/>
        </w:rPr>
      </w:pPr>
    </w:p>
    <w:p w14:paraId="3096189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项目负责人业绩</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583"/>
        <w:gridCol w:w="1132"/>
        <w:gridCol w:w="1132"/>
        <w:gridCol w:w="1133"/>
        <w:gridCol w:w="1133"/>
        <w:gridCol w:w="2486"/>
        <w:gridCol w:w="682"/>
      </w:tblGrid>
      <w:tr w14:paraId="166B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714EF2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0" w:type="auto"/>
            <w:vAlign w:val="center"/>
          </w:tcPr>
          <w:p w14:paraId="58546A0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采购单位名称</w:t>
            </w:r>
          </w:p>
        </w:tc>
        <w:tc>
          <w:tcPr>
            <w:tcW w:w="0" w:type="auto"/>
            <w:vAlign w:val="center"/>
          </w:tcPr>
          <w:p w14:paraId="1F59C06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0" w:type="auto"/>
            <w:vAlign w:val="center"/>
          </w:tcPr>
          <w:p w14:paraId="1730DD4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项目内容</w:t>
            </w:r>
          </w:p>
        </w:tc>
        <w:tc>
          <w:tcPr>
            <w:tcW w:w="0" w:type="auto"/>
            <w:vAlign w:val="center"/>
          </w:tcPr>
          <w:p w14:paraId="4E6D252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合同总价</w:t>
            </w:r>
          </w:p>
        </w:tc>
        <w:tc>
          <w:tcPr>
            <w:tcW w:w="0" w:type="auto"/>
            <w:vAlign w:val="center"/>
          </w:tcPr>
          <w:p w14:paraId="55E9A61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签订日期</w:t>
            </w:r>
          </w:p>
        </w:tc>
        <w:tc>
          <w:tcPr>
            <w:tcW w:w="0" w:type="auto"/>
            <w:vAlign w:val="center"/>
          </w:tcPr>
          <w:p w14:paraId="66D3D2F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采购单位联系人及电话</w:t>
            </w:r>
          </w:p>
        </w:tc>
        <w:tc>
          <w:tcPr>
            <w:tcW w:w="0" w:type="auto"/>
            <w:vAlign w:val="center"/>
          </w:tcPr>
          <w:p w14:paraId="76FF3A1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491C9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2CF261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2023A86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00F9B96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152BE07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18705FF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746A53E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60D6A96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3C102E4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r>
      <w:tr w14:paraId="1F6A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705E62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2B623A8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7C93378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74F5A5F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2941A70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46C4645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00285DC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6866F8A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r>
      <w:tr w14:paraId="54FC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9F6371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78504E6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2DDAB10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210BFDA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66D0124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5167A47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2D96686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62FC934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r>
      <w:tr w14:paraId="683A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6DD757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4738B64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4B2F0AE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52CA228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7B3BA6F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1E7640F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151BDF5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71A648F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r>
    </w:tbl>
    <w:p w14:paraId="3E95BBD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lang w:val="en-US" w:eastAsia="zh-CN"/>
        </w:rPr>
        <w:t>附：需提供合同彩色扫描件。</w:t>
      </w:r>
    </w:p>
    <w:p w14:paraId="511C3141">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14:paraId="2740000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项目人员配备一览表</w:t>
      </w: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0"/>
        <w:gridCol w:w="887"/>
        <w:gridCol w:w="1501"/>
        <w:gridCol w:w="1501"/>
        <w:gridCol w:w="887"/>
      </w:tblGrid>
      <w:tr w14:paraId="292E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0" w:type="pct"/>
            <w:vAlign w:val="center"/>
          </w:tcPr>
          <w:p w14:paraId="43E4978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岗位职务</w:t>
            </w:r>
          </w:p>
        </w:tc>
        <w:tc>
          <w:tcPr>
            <w:tcW w:w="445" w:type="pct"/>
            <w:vAlign w:val="center"/>
          </w:tcPr>
          <w:p w14:paraId="4985163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753" w:type="pct"/>
            <w:vAlign w:val="center"/>
          </w:tcPr>
          <w:p w14:paraId="64B70C7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身份证号</w:t>
            </w:r>
          </w:p>
        </w:tc>
        <w:tc>
          <w:tcPr>
            <w:tcW w:w="753" w:type="pct"/>
            <w:vAlign w:val="center"/>
          </w:tcPr>
          <w:p w14:paraId="6711567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证书编号</w:t>
            </w:r>
          </w:p>
        </w:tc>
        <w:tc>
          <w:tcPr>
            <w:tcW w:w="445" w:type="pct"/>
            <w:vAlign w:val="center"/>
          </w:tcPr>
          <w:p w14:paraId="67189A8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5CD2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0" w:type="pct"/>
            <w:vAlign w:val="center"/>
          </w:tcPr>
          <w:p w14:paraId="116852C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技术负责人</w:t>
            </w:r>
          </w:p>
        </w:tc>
        <w:tc>
          <w:tcPr>
            <w:tcW w:w="445" w:type="pct"/>
            <w:vAlign w:val="center"/>
          </w:tcPr>
          <w:p w14:paraId="68361E0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753" w:type="pct"/>
            <w:vAlign w:val="center"/>
          </w:tcPr>
          <w:p w14:paraId="2C52538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753" w:type="pct"/>
            <w:vAlign w:val="center"/>
          </w:tcPr>
          <w:p w14:paraId="7E2F2EE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445" w:type="pct"/>
            <w:vAlign w:val="center"/>
          </w:tcPr>
          <w:p w14:paraId="415F484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r>
      <w:tr w14:paraId="7C2A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0" w:type="pct"/>
            <w:vAlign w:val="center"/>
          </w:tcPr>
          <w:p w14:paraId="242247E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专职安全生产管理人员或专职安全员</w:t>
            </w:r>
          </w:p>
        </w:tc>
        <w:tc>
          <w:tcPr>
            <w:tcW w:w="445" w:type="pct"/>
            <w:vAlign w:val="center"/>
          </w:tcPr>
          <w:p w14:paraId="5BFFB45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753" w:type="pct"/>
            <w:vAlign w:val="center"/>
          </w:tcPr>
          <w:p w14:paraId="111BAFB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753" w:type="pct"/>
            <w:vAlign w:val="center"/>
          </w:tcPr>
          <w:p w14:paraId="61C0190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445" w:type="pct"/>
            <w:vAlign w:val="center"/>
          </w:tcPr>
          <w:p w14:paraId="5962305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r>
      <w:tr w14:paraId="7EC9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0" w:type="pct"/>
            <w:vAlign w:val="center"/>
          </w:tcPr>
          <w:p w14:paraId="447B523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质量管理人员</w:t>
            </w:r>
          </w:p>
        </w:tc>
        <w:tc>
          <w:tcPr>
            <w:tcW w:w="445" w:type="pct"/>
            <w:vAlign w:val="center"/>
          </w:tcPr>
          <w:p w14:paraId="3E08044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753" w:type="pct"/>
            <w:vAlign w:val="center"/>
          </w:tcPr>
          <w:p w14:paraId="1A56E5D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753" w:type="pct"/>
            <w:vAlign w:val="center"/>
          </w:tcPr>
          <w:p w14:paraId="3FF14F0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445" w:type="pct"/>
            <w:vAlign w:val="center"/>
          </w:tcPr>
          <w:p w14:paraId="4F5B9B3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r>
      <w:tr w14:paraId="30B8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0" w:type="pct"/>
            <w:vAlign w:val="center"/>
          </w:tcPr>
          <w:p w14:paraId="180D039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造价执业人员</w:t>
            </w:r>
          </w:p>
        </w:tc>
        <w:tc>
          <w:tcPr>
            <w:tcW w:w="445" w:type="pct"/>
            <w:vAlign w:val="center"/>
          </w:tcPr>
          <w:p w14:paraId="70A2317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753" w:type="pct"/>
            <w:vAlign w:val="center"/>
          </w:tcPr>
          <w:p w14:paraId="201C2EB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753" w:type="pct"/>
            <w:vAlign w:val="center"/>
          </w:tcPr>
          <w:p w14:paraId="743C1C0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445" w:type="pct"/>
            <w:vAlign w:val="center"/>
          </w:tcPr>
          <w:p w14:paraId="52372DA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r>
      <w:tr w14:paraId="26A3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0" w:type="pct"/>
            <w:vAlign w:val="center"/>
          </w:tcPr>
          <w:p w14:paraId="4DCEAF2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施工员</w:t>
            </w:r>
          </w:p>
        </w:tc>
        <w:tc>
          <w:tcPr>
            <w:tcW w:w="445" w:type="pct"/>
            <w:vAlign w:val="center"/>
          </w:tcPr>
          <w:p w14:paraId="294D088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753" w:type="pct"/>
            <w:vAlign w:val="center"/>
          </w:tcPr>
          <w:p w14:paraId="153F7CD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753" w:type="pct"/>
            <w:vAlign w:val="center"/>
          </w:tcPr>
          <w:p w14:paraId="5B36F44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445" w:type="pct"/>
            <w:vAlign w:val="center"/>
          </w:tcPr>
          <w:p w14:paraId="62237FE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r>
      <w:tr w14:paraId="1D91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0" w:type="pct"/>
            <w:vAlign w:val="center"/>
          </w:tcPr>
          <w:p w14:paraId="0F01A34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资料员</w:t>
            </w:r>
          </w:p>
        </w:tc>
        <w:tc>
          <w:tcPr>
            <w:tcW w:w="445" w:type="pct"/>
            <w:vAlign w:val="center"/>
          </w:tcPr>
          <w:p w14:paraId="79E3EFA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753" w:type="pct"/>
            <w:vAlign w:val="center"/>
          </w:tcPr>
          <w:p w14:paraId="7CDB91D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753" w:type="pct"/>
            <w:vAlign w:val="center"/>
          </w:tcPr>
          <w:p w14:paraId="3D0C2BE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445" w:type="pct"/>
            <w:vAlign w:val="center"/>
          </w:tcPr>
          <w:p w14:paraId="7422221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r>
      <w:tr w14:paraId="716B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0" w:type="pct"/>
            <w:vAlign w:val="center"/>
          </w:tcPr>
          <w:p w14:paraId="0E6D0BF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材料员</w:t>
            </w:r>
          </w:p>
        </w:tc>
        <w:tc>
          <w:tcPr>
            <w:tcW w:w="445" w:type="pct"/>
            <w:vAlign w:val="center"/>
          </w:tcPr>
          <w:p w14:paraId="7F44A37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753" w:type="pct"/>
            <w:vAlign w:val="center"/>
          </w:tcPr>
          <w:p w14:paraId="3377555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753" w:type="pct"/>
            <w:vAlign w:val="center"/>
          </w:tcPr>
          <w:p w14:paraId="2D8FC4E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c>
          <w:tcPr>
            <w:tcW w:w="445" w:type="pct"/>
            <w:vAlign w:val="center"/>
          </w:tcPr>
          <w:p w14:paraId="705C127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p>
        </w:tc>
      </w:tr>
    </w:tbl>
    <w:p w14:paraId="1B2EF38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w:t>
      </w:r>
    </w:p>
    <w:p w14:paraId="716F30E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vertAlign w:val="baseline"/>
          <w:lang w:val="en-US" w:eastAsia="zh-CN"/>
        </w:rPr>
        <w:t>技术负责人提供具有水利工程相关专业职称证；</w:t>
      </w:r>
    </w:p>
    <w:p w14:paraId="6D8D1E0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2.专职安全生产管理人员或专职安全员提供具有有效的水利行政主管部门核发的施工企业专职安全生产管理人员或专职安全员安全生产考核合格证书（C类）；</w:t>
      </w:r>
    </w:p>
    <w:p w14:paraId="4FBDDFF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3.造价执业人员提供取得国家有效的水利工程造价工程师注册证书；</w:t>
      </w:r>
    </w:p>
    <w:p w14:paraId="4A3C5B5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4.质量管理人员提供水利工程相关专业中级（含）及以上职称；</w:t>
      </w:r>
    </w:p>
    <w:p w14:paraId="431385A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5.施工员、资料员、材料员提供具有水利行政主管部门或水利行业部门颁发的有效岗位证书。</w:t>
      </w:r>
    </w:p>
    <w:p w14:paraId="4CCFC75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lang w:val="en-US" w:eastAsia="zh-CN"/>
        </w:rPr>
        <w:t>注：以上人员还需提供身份证以及供应商为其缴纳最近一个月的社保证明材料。</w:t>
      </w:r>
    </w:p>
    <w:p w14:paraId="57B93772">
      <w:p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br w:type="page"/>
      </w:r>
    </w:p>
    <w:p w14:paraId="62719BD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w:t>
      </w:r>
      <w:r>
        <w:rPr>
          <w:rFonts w:hint="eastAsia" w:ascii="宋体" w:hAnsi="宋体" w:eastAsia="宋体" w:cs="宋体"/>
          <w:sz w:val="24"/>
          <w:szCs w:val="24"/>
          <w:u w:val="none"/>
          <w:lang w:val="en-US" w:eastAsia="zh-CN"/>
        </w:rPr>
        <w:t>五</w:t>
      </w:r>
      <w:r>
        <w:rPr>
          <w:rFonts w:hint="default" w:ascii="宋体" w:hAnsi="宋体" w:eastAsia="宋体" w:cs="宋体"/>
          <w:sz w:val="24"/>
          <w:szCs w:val="24"/>
          <w:u w:val="none"/>
          <w:lang w:val="en-US" w:eastAsia="zh-CN"/>
        </w:rPr>
        <w:t>）评审所需要的</w:t>
      </w:r>
      <w:r>
        <w:rPr>
          <w:rFonts w:hint="eastAsia" w:ascii="宋体" w:hAnsi="宋体" w:eastAsia="宋体" w:cs="宋体"/>
          <w:sz w:val="24"/>
          <w:szCs w:val="24"/>
          <w:u w:val="none"/>
          <w:lang w:val="en-US" w:eastAsia="zh-CN"/>
        </w:rPr>
        <w:t>技术部分</w:t>
      </w:r>
      <w:r>
        <w:rPr>
          <w:rFonts w:hint="default" w:ascii="宋体" w:hAnsi="宋体" w:eastAsia="宋体" w:cs="宋体"/>
          <w:sz w:val="24"/>
          <w:szCs w:val="24"/>
          <w:u w:val="none"/>
          <w:lang w:val="en-US" w:eastAsia="zh-CN"/>
        </w:rPr>
        <w:t>文件</w:t>
      </w:r>
    </w:p>
    <w:p w14:paraId="1608C38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（格式自拟）</w:t>
      </w:r>
    </w:p>
    <w:p w14:paraId="4A31AAA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3951E998">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w:t>
      </w:r>
      <w:r>
        <w:rPr>
          <w:rFonts w:hint="eastAsia" w:ascii="宋体" w:hAnsi="宋体" w:eastAsia="宋体" w:cs="宋体"/>
          <w:sz w:val="24"/>
          <w:szCs w:val="24"/>
          <w:u w:val="none"/>
          <w:lang w:val="en-US" w:eastAsia="zh-CN"/>
        </w:rPr>
        <w:t>六</w:t>
      </w:r>
      <w:r>
        <w:rPr>
          <w:rFonts w:hint="default" w:ascii="宋体" w:hAnsi="宋体" w:eastAsia="宋体" w:cs="宋体"/>
          <w:sz w:val="24"/>
          <w:szCs w:val="24"/>
          <w:u w:val="none"/>
          <w:lang w:val="en-US" w:eastAsia="zh-CN"/>
        </w:rPr>
        <w:t>）供应商认为有必要提供的声明及文件资料</w:t>
      </w:r>
    </w:p>
    <w:p w14:paraId="501472D9">
      <w:p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br w:type="page"/>
      </w:r>
    </w:p>
    <w:p w14:paraId="48F5E1A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w:t>
      </w:r>
      <w:r>
        <w:rPr>
          <w:rFonts w:hint="default" w:ascii="宋体" w:hAnsi="宋体" w:eastAsia="宋体" w:cs="宋体"/>
          <w:sz w:val="24"/>
          <w:szCs w:val="24"/>
          <w:lang w:val="en-US" w:eastAsia="zh-CN"/>
        </w:rPr>
        <w:t>、报价文件</w:t>
      </w:r>
    </w:p>
    <w:p w14:paraId="27315EC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（一）报价</w:t>
      </w:r>
      <w:r>
        <w:rPr>
          <w:rFonts w:hint="default" w:ascii="宋体" w:hAnsi="宋体" w:eastAsia="宋体" w:cs="宋体"/>
          <w:sz w:val="24"/>
          <w:szCs w:val="24"/>
          <w:lang w:val="en-US" w:eastAsia="zh-CN"/>
        </w:rPr>
        <w:t>一览表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7754"/>
      </w:tblGrid>
      <w:tr w14:paraId="388F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0" w:type="auto"/>
            <w:vAlign w:val="center"/>
          </w:tcPr>
          <w:p w14:paraId="65A4F56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总</w:t>
            </w:r>
            <w:r>
              <w:rPr>
                <w:rFonts w:hint="default" w:ascii="宋体" w:hAnsi="宋体" w:eastAsia="宋体" w:cs="宋体"/>
                <w:sz w:val="24"/>
                <w:szCs w:val="24"/>
                <w:vertAlign w:val="baseline"/>
                <w:lang w:val="en-US" w:eastAsia="zh-CN"/>
              </w:rPr>
              <w:t>报价（元）</w:t>
            </w:r>
          </w:p>
        </w:tc>
        <w:tc>
          <w:tcPr>
            <w:tcW w:w="7754" w:type="dxa"/>
            <w:vAlign w:val="center"/>
          </w:tcPr>
          <w:p w14:paraId="484C407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vertAlign w:val="baseline"/>
                <w:lang w:val="en-US" w:eastAsia="zh-CN"/>
              </w:rPr>
              <w:t>元</w:t>
            </w:r>
          </w:p>
          <w:p w14:paraId="6757E29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人民币（大写）：</w:t>
            </w:r>
            <w:r>
              <w:rPr>
                <w:rFonts w:hint="eastAsia" w:ascii="宋体" w:hAnsi="宋体" w:eastAsia="宋体" w:cs="宋体"/>
                <w:sz w:val="24"/>
                <w:szCs w:val="24"/>
                <w:u w:val="single"/>
                <w:vertAlign w:val="baseline"/>
                <w:lang w:val="en-US" w:eastAsia="zh-CN"/>
              </w:rPr>
              <w:t xml:space="preserve">               </w:t>
            </w:r>
          </w:p>
        </w:tc>
      </w:tr>
      <w:tr w14:paraId="3238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0" w:type="auto"/>
            <w:vAlign w:val="center"/>
          </w:tcPr>
          <w:p w14:paraId="1E09815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项目负责人</w:t>
            </w:r>
          </w:p>
        </w:tc>
        <w:tc>
          <w:tcPr>
            <w:tcW w:w="7754" w:type="dxa"/>
            <w:vAlign w:val="center"/>
          </w:tcPr>
          <w:p w14:paraId="276B041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sz w:val="24"/>
                <w:szCs w:val="24"/>
                <w:vertAlign w:val="baseline"/>
                <w:lang w:val="en-US" w:eastAsia="zh-CN"/>
              </w:rPr>
            </w:pPr>
          </w:p>
        </w:tc>
      </w:tr>
      <w:tr w14:paraId="6C28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0" w:type="auto"/>
            <w:vAlign w:val="center"/>
          </w:tcPr>
          <w:p w14:paraId="33E0A36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工期</w:t>
            </w:r>
          </w:p>
        </w:tc>
        <w:tc>
          <w:tcPr>
            <w:tcW w:w="7754" w:type="dxa"/>
            <w:vAlign w:val="center"/>
          </w:tcPr>
          <w:p w14:paraId="72697C6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sz w:val="24"/>
                <w:szCs w:val="24"/>
                <w:vertAlign w:val="baseline"/>
                <w:lang w:val="en-US" w:eastAsia="zh-CN"/>
              </w:rPr>
            </w:pPr>
          </w:p>
        </w:tc>
      </w:tr>
      <w:tr w14:paraId="1438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0" w:type="auto"/>
            <w:vAlign w:val="center"/>
          </w:tcPr>
          <w:p w14:paraId="5686678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c>
          <w:tcPr>
            <w:tcW w:w="7754" w:type="dxa"/>
            <w:vAlign w:val="center"/>
          </w:tcPr>
          <w:p w14:paraId="1B77F98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sz w:val="24"/>
                <w:szCs w:val="24"/>
                <w:vertAlign w:val="baseline"/>
                <w:lang w:val="en-US" w:eastAsia="zh-CN"/>
              </w:rPr>
            </w:pPr>
          </w:p>
        </w:tc>
      </w:tr>
    </w:tbl>
    <w:p w14:paraId="0A53BAA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1、响应总报价应为各分项报价之和。报价须以元为单位，小数点后保留2位。2、响应报价包括供应商为实施本项目所包括的全部含税价格的体现。3、供应商必须自行考虑本项目在实施期间的一切可能产生的费用。</w:t>
      </w:r>
    </w:p>
    <w:p w14:paraId="17927BD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供应商名称（盖单位公章）：</w:t>
      </w:r>
    </w:p>
    <w:p w14:paraId="43876B7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法定代表人（或其授权代表）（签字或盖章）：</w:t>
      </w:r>
    </w:p>
    <w:p w14:paraId="478C60E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日</w:t>
      </w:r>
    </w:p>
    <w:p w14:paraId="174E7649">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14:paraId="4794FC3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w:t>
      </w:r>
      <w:r>
        <w:rPr>
          <w:rFonts w:hint="default" w:ascii="宋体" w:hAnsi="宋体" w:eastAsia="宋体" w:cs="宋体"/>
          <w:sz w:val="24"/>
          <w:szCs w:val="24"/>
          <w:lang w:val="en-US" w:eastAsia="zh-CN"/>
        </w:rPr>
        <w:t>工程量清单报价明细表</w:t>
      </w:r>
    </w:p>
    <w:p w14:paraId="45067A6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详见工程量清单表，按照工程量清单表进行填写。</w:t>
      </w:r>
    </w:p>
    <w:p w14:paraId="4349C12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说明：投标人必须填写报价明细表，否则将导致投标被拒绝。</w:t>
      </w: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245C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FBBD0">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2FBBD0">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3050D"/>
    <w:rsid w:val="0BA13F3D"/>
    <w:rsid w:val="0CA26F63"/>
    <w:rsid w:val="0F954CF7"/>
    <w:rsid w:val="111D7D75"/>
    <w:rsid w:val="11834DCC"/>
    <w:rsid w:val="18EE538B"/>
    <w:rsid w:val="1D746105"/>
    <w:rsid w:val="23B44317"/>
    <w:rsid w:val="241430A6"/>
    <w:rsid w:val="248A3FD5"/>
    <w:rsid w:val="275B0FEC"/>
    <w:rsid w:val="277A3B68"/>
    <w:rsid w:val="2A07330F"/>
    <w:rsid w:val="2A3A75DF"/>
    <w:rsid w:val="2DBD655D"/>
    <w:rsid w:val="2E0930D1"/>
    <w:rsid w:val="2E154F13"/>
    <w:rsid w:val="303643A5"/>
    <w:rsid w:val="32FF13C6"/>
    <w:rsid w:val="392477C4"/>
    <w:rsid w:val="39302CCE"/>
    <w:rsid w:val="39D003D9"/>
    <w:rsid w:val="3A2D5AE4"/>
    <w:rsid w:val="3DBD3CD9"/>
    <w:rsid w:val="3E2C0728"/>
    <w:rsid w:val="42817701"/>
    <w:rsid w:val="44323B8B"/>
    <w:rsid w:val="45607A6D"/>
    <w:rsid w:val="45F91CA4"/>
    <w:rsid w:val="4B667C92"/>
    <w:rsid w:val="4D311BB4"/>
    <w:rsid w:val="51074E73"/>
    <w:rsid w:val="535D7D17"/>
    <w:rsid w:val="537C35F4"/>
    <w:rsid w:val="537E005A"/>
    <w:rsid w:val="53D8739D"/>
    <w:rsid w:val="55A438AB"/>
    <w:rsid w:val="561027FB"/>
    <w:rsid w:val="5714693E"/>
    <w:rsid w:val="587C3576"/>
    <w:rsid w:val="5A917474"/>
    <w:rsid w:val="5B3E6680"/>
    <w:rsid w:val="5C1865D3"/>
    <w:rsid w:val="5CDB7AE7"/>
    <w:rsid w:val="5CF865E1"/>
    <w:rsid w:val="5DB779AC"/>
    <w:rsid w:val="5DBB3FB7"/>
    <w:rsid w:val="5DD7423E"/>
    <w:rsid w:val="5E251431"/>
    <w:rsid w:val="60D456DF"/>
    <w:rsid w:val="611B7B30"/>
    <w:rsid w:val="63FF288A"/>
    <w:rsid w:val="67114C48"/>
    <w:rsid w:val="68E23EE6"/>
    <w:rsid w:val="6C2216A6"/>
    <w:rsid w:val="715C1797"/>
    <w:rsid w:val="71EC4F00"/>
    <w:rsid w:val="79FF3026"/>
    <w:rsid w:val="7A1A24D4"/>
    <w:rsid w:val="7AC97957"/>
    <w:rsid w:val="7AD10C92"/>
    <w:rsid w:val="7CBC7098"/>
    <w:rsid w:val="7D2A6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 w:val="1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99"/>
    <w:pPr>
      <w:spacing w:before="240" w:after="60"/>
      <w:ind w:left="425" w:hanging="425"/>
      <w:jc w:val="center"/>
      <w:outlineLvl w:val="0"/>
    </w:pPr>
    <w:rPr>
      <w:rFonts w:ascii="Arial" w:hAnsi="Arial" w:cs="Arial"/>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basedOn w:val="7"/>
    <w:next w:val="12"/>
    <w:qFormat/>
    <w:uiPriority w:val="0"/>
    <w:pPr>
      <w:autoSpaceDE w:val="0"/>
      <w:autoSpaceDN w:val="0"/>
      <w:adjustRightInd w:val="0"/>
    </w:pPr>
    <w:rPr>
      <w:rFonts w:ascii="宋体" w:hAnsi="Calibri" w:cs="宋体"/>
      <w:color w:val="000000"/>
      <w:sz w:val="24"/>
      <w:szCs w:val="24"/>
    </w:rPr>
  </w:style>
  <w:style w:type="paragraph" w:customStyle="1" w:styleId="12">
    <w:name w:val="索引 51"/>
    <w:basedOn w:val="1"/>
    <w:next w:val="1"/>
    <w:qFormat/>
    <w:uiPriority w:val="0"/>
    <w:pPr>
      <w:ind w:left="1680"/>
    </w:pPr>
  </w:style>
  <w:style w:type="character" w:customStyle="1" w:styleId="13">
    <w:name w:val="三级目录"/>
    <w:qFormat/>
    <w:uiPriority w:val="0"/>
    <w:rPr>
      <w:rFonts w:hint="default" w:ascii="宋体" w:hAnsi="宋体"/>
      <w:b/>
      <w:bCs/>
      <w:sz w:val="2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144</Words>
  <Characters>165</Characters>
  <Lines>0</Lines>
  <Paragraphs>0</Paragraphs>
  <TotalTime>4</TotalTime>
  <ScaleCrop>false</ScaleCrop>
  <LinksUpToDate>false</LinksUpToDate>
  <CharactersWithSpaces>185</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2024-12-27T05:37:00Z</dcterms:created>
  <dc:creator>leesin1</dc:creator>
  <cp:lastModifiedBy>LIANXIANG</cp:lastModifiedBy>
  <dcterms:modified xsi:type="dcterms:W3CDTF">2025-07-04T04:15:46Z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KSOTemplateDocerSaveRecord">
    <vt:lpwstr>eyJoZGlkIjoiMzM0MTYyNWRlOTFjZTNjZTNkZjllZDE0YThmNmM0NGIifQ==</vt:lpwstr>
  </property>
  <property fmtid="{D5CDD505-2E9C-101B-9397-08002B2CF9AE}" pid="4" name="ICV">
    <vt:lpwstr>3A8B48E40BCD41E1B81AFC38EE4D3BA7_12</vt:lpwstr>
  </property>
</Properties>
</file>