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宋体" w:hAnsi="宋体" w:eastAsia="宋体" w:cs="宋体"/>
          <w:color w:val="auto"/>
          <w:sz w:val="32"/>
          <w:szCs w:val="32"/>
          <w:highlight w:val="none"/>
          <w:lang w:eastAsia="zh-CN"/>
        </w:rPr>
      </w:pPr>
    </w:p>
    <w:p w14:paraId="7E039B8B">
      <w:pPr>
        <w:jc w:val="center"/>
        <w:rPr>
          <w:rFonts w:hint="eastAsia" w:ascii="宋体" w:hAnsi="宋体" w:eastAsia="宋体" w:cs="宋体"/>
          <w:color w:val="auto"/>
          <w:spacing w:val="5760"/>
          <w:w w:val="100"/>
          <w:kern w:val="0"/>
          <w:sz w:val="36"/>
          <w:szCs w:val="36"/>
          <w:highlight w:val="none"/>
          <w:fitText w:val="6120" w:id="-1002138880"/>
          <w:lang w:val="en-US" w:eastAsia="zh-CN"/>
        </w:rPr>
      </w:pPr>
    </w:p>
    <w:p w14:paraId="5DC44D9A">
      <w:pPr>
        <w:jc w:val="center"/>
        <w:rPr>
          <w:rFonts w:hint="eastAsia" w:ascii="宋体" w:hAnsi="宋体" w:eastAsia="宋体" w:cs="宋体"/>
          <w:b/>
          <w:bCs/>
          <w:color w:val="auto"/>
          <w:sz w:val="60"/>
          <w:szCs w:val="60"/>
          <w:highlight w:val="none"/>
          <w:lang w:eastAsia="zh-CN"/>
        </w:rPr>
      </w:pPr>
      <w:r>
        <w:rPr>
          <w:rFonts w:hint="eastAsia" w:ascii="宋体" w:hAnsi="宋体" w:eastAsia="宋体" w:cs="宋体"/>
          <w:b/>
          <w:bCs/>
          <w:color w:val="auto"/>
          <w:sz w:val="60"/>
          <w:szCs w:val="60"/>
          <w:highlight w:val="none"/>
          <w:lang w:eastAsia="zh-CN"/>
        </w:rPr>
        <w:t>区属某单位餐厅人工服务</w:t>
      </w:r>
    </w:p>
    <w:p w14:paraId="7757DFAA">
      <w:pPr>
        <w:spacing w:line="240" w:lineRule="auto"/>
        <w:jc w:val="center"/>
        <w:rPr>
          <w:rFonts w:hint="eastAsia" w:ascii="宋体" w:hAnsi="宋体" w:eastAsia="宋体" w:cs="宋体"/>
          <w:color w:val="auto"/>
          <w:sz w:val="52"/>
          <w:szCs w:val="52"/>
          <w:highlight w:val="none"/>
        </w:rPr>
      </w:pPr>
    </w:p>
    <w:p w14:paraId="67E856E7">
      <w:pPr>
        <w:spacing w:line="240" w:lineRule="auto"/>
        <w:jc w:val="center"/>
        <w:rPr>
          <w:rFonts w:hint="eastAsia" w:ascii="宋体" w:hAnsi="宋体" w:eastAsia="宋体" w:cs="宋体"/>
          <w:color w:val="auto"/>
          <w:sz w:val="52"/>
          <w:szCs w:val="52"/>
          <w:highlight w:val="none"/>
        </w:rPr>
      </w:pPr>
    </w:p>
    <w:p w14:paraId="6E97F6A4">
      <w:pPr>
        <w:spacing w:line="240" w:lineRule="auto"/>
        <w:jc w:val="center"/>
        <w:rPr>
          <w:rFonts w:hint="eastAsia" w:ascii="宋体" w:hAnsi="宋体" w:eastAsia="宋体" w:cs="宋体"/>
          <w:color w:val="auto"/>
          <w:sz w:val="52"/>
          <w:szCs w:val="52"/>
          <w:highlight w:val="none"/>
        </w:rPr>
      </w:pPr>
    </w:p>
    <w:p w14:paraId="0F88ECFE">
      <w:pPr>
        <w:ind w:left="420" w:leftChars="175"/>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lang w:eastAsia="zh-CN"/>
        </w:rPr>
        <w:t>WTHH-ZB2025150</w:t>
      </w:r>
    </w:p>
    <w:p w14:paraId="0F84FA94">
      <w:pPr>
        <w:ind w:left="420" w:leftChars="175"/>
        <w:rPr>
          <w:rFonts w:hint="eastAsia" w:ascii="宋体" w:hAnsi="宋体" w:eastAsia="宋体" w:cs="宋体"/>
          <w:color w:val="auto"/>
          <w:sz w:val="36"/>
          <w:szCs w:val="36"/>
          <w:highlight w:val="none"/>
          <w:u w:val="none"/>
        </w:rPr>
      </w:pPr>
      <w:r>
        <w:rPr>
          <w:rFonts w:hint="eastAsia" w:ascii="宋体" w:hAnsi="宋体" w:eastAsia="宋体" w:cs="宋体"/>
          <w:color w:val="auto"/>
          <w:sz w:val="36"/>
          <w:szCs w:val="36"/>
          <w:highlight w:val="none"/>
        </w:rPr>
        <w:t>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none"/>
          <w:lang w:eastAsia="zh-CN"/>
        </w:rPr>
        <w:t>区属某单位</w:t>
      </w:r>
      <w:r>
        <w:rPr>
          <w:rFonts w:hint="eastAsia" w:ascii="宋体" w:hAnsi="宋体" w:eastAsia="宋体" w:cs="宋体"/>
          <w:color w:val="auto"/>
          <w:sz w:val="36"/>
          <w:szCs w:val="36"/>
          <w:highlight w:val="none"/>
          <w:u w:val="none"/>
        </w:rPr>
        <w:t xml:space="preserve">  </w:t>
      </w:r>
    </w:p>
    <w:p w14:paraId="4B180FDF">
      <w:pPr>
        <w:ind w:left="420" w:leftChars="175"/>
        <w:rPr>
          <w:rFonts w:hint="eastAsia" w:ascii="宋体" w:hAnsi="宋体" w:eastAsia="宋体" w:cs="宋体"/>
          <w:color w:val="auto"/>
          <w:sz w:val="36"/>
          <w:szCs w:val="36"/>
          <w:highlight w:val="none"/>
          <w:u w:val="none"/>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u w:val="none"/>
        </w:rPr>
        <w:t xml:space="preserve">新疆沃图恒辉建设工程项目管理有限公司 </w:t>
      </w:r>
    </w:p>
    <w:p w14:paraId="2C93F193">
      <w:pPr>
        <w:rPr>
          <w:rFonts w:hint="eastAsia" w:ascii="宋体" w:hAnsi="宋体" w:eastAsia="宋体" w:cs="宋体"/>
          <w:color w:val="auto"/>
          <w:highlight w:val="none"/>
        </w:rPr>
      </w:pPr>
    </w:p>
    <w:p w14:paraId="320C1BF6">
      <w:pPr>
        <w:ind w:left="420" w:leftChars="175"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3B2CDAF9">
      <w:pPr>
        <w:jc w:val="center"/>
        <w:rPr>
          <w:rFonts w:hint="eastAsia" w:ascii="宋体" w:hAnsi="宋体" w:eastAsia="宋体" w:cs="宋体"/>
          <w:color w:val="auto"/>
          <w:sz w:val="48"/>
          <w:szCs w:val="48"/>
          <w:highlight w:val="none"/>
        </w:rPr>
      </w:pPr>
    </w:p>
    <w:p w14:paraId="309B13BD">
      <w:pPr>
        <w:jc w:val="center"/>
        <w:rPr>
          <w:rFonts w:hint="eastAsia" w:ascii="宋体" w:hAnsi="宋体" w:eastAsia="宋体" w:cs="宋体"/>
          <w:color w:val="auto"/>
          <w:sz w:val="48"/>
          <w:szCs w:val="48"/>
          <w:highlight w:val="none"/>
        </w:rPr>
      </w:pPr>
    </w:p>
    <w:p w14:paraId="67540CEC">
      <w:pPr>
        <w:jc w:val="center"/>
        <w:rPr>
          <w:rFonts w:hint="eastAsia" w:ascii="宋体" w:hAnsi="宋体" w:eastAsia="宋体" w:cs="宋体"/>
          <w:color w:val="auto"/>
          <w:sz w:val="48"/>
          <w:szCs w:val="48"/>
          <w:highlight w:val="none"/>
        </w:rPr>
      </w:pPr>
    </w:p>
    <w:p w14:paraId="0BD23774">
      <w:pPr>
        <w:jc w:val="center"/>
        <w:rPr>
          <w:rFonts w:hint="eastAsia" w:ascii="宋体" w:hAnsi="宋体" w:eastAsia="宋体" w:cs="宋体"/>
          <w:color w:val="auto"/>
          <w:sz w:val="48"/>
          <w:szCs w:val="48"/>
          <w:highlight w:val="none"/>
        </w:rPr>
      </w:pPr>
    </w:p>
    <w:p w14:paraId="7756ACDC">
      <w:pPr>
        <w:pStyle w:val="39"/>
        <w:rPr>
          <w:rFonts w:hint="eastAsia" w:ascii="宋体" w:hAnsi="宋体" w:eastAsia="宋体" w:cs="宋体"/>
          <w:color w:val="auto"/>
          <w:sz w:val="72"/>
          <w:szCs w:val="72"/>
          <w:highlight w:val="none"/>
        </w:rPr>
      </w:pPr>
    </w:p>
    <w:p w14:paraId="59D6EE7B">
      <w:pPr>
        <w:pStyle w:val="39"/>
        <w:rPr>
          <w:rFonts w:hint="eastAsia" w:ascii="宋体" w:hAnsi="宋体" w:eastAsia="宋体" w:cs="宋体"/>
          <w:color w:val="auto"/>
          <w:sz w:val="72"/>
          <w:szCs w:val="72"/>
          <w:highlight w:val="none"/>
        </w:rPr>
        <w:sectPr>
          <w:pgSz w:w="11906" w:h="16838"/>
          <w:pgMar w:top="1440" w:right="1800" w:bottom="1440" w:left="1800" w:header="851" w:footer="879" w:gutter="0"/>
          <w:pgBorders>
            <w:top w:val="none" w:sz="0" w:space="0"/>
            <w:left w:val="none" w:sz="0" w:space="0"/>
            <w:bottom w:val="none" w:sz="0" w:space="0"/>
            <w:right w:val="none" w:sz="0" w:space="0"/>
          </w:pgBorders>
          <w:cols w:space="0" w:num="1"/>
          <w:rtlGutter w:val="0"/>
          <w:docGrid w:type="lines" w:linePitch="312" w:charSpace="0"/>
        </w:sectPr>
      </w:pPr>
    </w:p>
    <w:p w14:paraId="2E6E0FD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目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0F5B750C">
      <w:pPr>
        <w:pStyle w:val="24"/>
        <w:tabs>
          <w:tab w:val="right" w:leader="dot" w:pos="8306"/>
        </w:tabs>
        <w:rPr>
          <w:rFonts w:hint="eastAsia" w:ascii="宋体" w:hAnsi="宋体" w:eastAsia="宋体" w:cs="宋体"/>
          <w:sz w:val="28"/>
          <w:szCs w:val="28"/>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"1-4"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_Toc18464 </w:instrText>
      </w:r>
      <w:r>
        <w:rPr>
          <w:rFonts w:hint="eastAsia" w:ascii="宋体" w:hAnsi="宋体" w:eastAsia="宋体" w:cs="宋体"/>
          <w:sz w:val="28"/>
          <w:szCs w:val="40"/>
          <w:highlight w:val="none"/>
        </w:rPr>
        <w:fldChar w:fldCharType="separate"/>
      </w:r>
      <w:r>
        <w:rPr>
          <w:rFonts w:hint="eastAsia" w:ascii="宋体" w:hAnsi="宋体" w:eastAsia="宋体" w:cs="宋体"/>
          <w:bCs/>
          <w:kern w:val="44"/>
          <w:sz w:val="28"/>
          <w:szCs w:val="52"/>
          <w:highlight w:val="none"/>
          <w:lang w:val="en-US" w:eastAsia="zh-CN" w:bidi="ar-SA"/>
        </w:rPr>
        <w:t xml:space="preserve">第一章 </w:t>
      </w:r>
      <w:r>
        <w:rPr>
          <w:rFonts w:hint="eastAsia" w:ascii="宋体" w:hAnsi="宋体" w:eastAsia="宋体" w:cs="宋体"/>
          <w:sz w:val="28"/>
          <w:szCs w:val="52"/>
          <w:highlight w:val="none"/>
          <w:lang w:val="en-US" w:eastAsia="zh-CN"/>
        </w:rPr>
        <w:t>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_Toc18464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40"/>
          <w:highlight w:val="none"/>
        </w:rPr>
        <w:fldChar w:fldCharType="end"/>
      </w:r>
    </w:p>
    <w:p w14:paraId="6DB32E4B">
      <w:pPr>
        <w:pStyle w:val="24"/>
        <w:tabs>
          <w:tab w:val="right" w:leader="dot" w:pos="8306"/>
        </w:tabs>
        <w:rPr>
          <w:rFonts w:hint="eastAsia" w:ascii="宋体" w:hAnsi="宋体" w:eastAsia="宋体" w:cs="宋体"/>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_Toc16640 </w:instrText>
      </w:r>
      <w:r>
        <w:rPr>
          <w:rFonts w:hint="eastAsia" w:ascii="宋体" w:hAnsi="宋体" w:eastAsia="宋体" w:cs="宋体"/>
          <w:sz w:val="28"/>
          <w:szCs w:val="40"/>
          <w:highlight w:val="none"/>
        </w:rPr>
        <w:fldChar w:fldCharType="separate"/>
      </w:r>
      <w:r>
        <w:rPr>
          <w:rFonts w:hint="eastAsia" w:ascii="宋体" w:hAnsi="宋体" w:eastAsia="宋体" w:cs="宋体"/>
          <w:bCs/>
          <w:kern w:val="44"/>
          <w:sz w:val="28"/>
          <w:szCs w:val="52"/>
          <w:highlight w:val="none"/>
          <w:lang w:val="en-US" w:eastAsia="zh-CN" w:bidi="ar-SA"/>
        </w:rPr>
        <w:t>第二章 投标人须知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_Toc16640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- 4 -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40"/>
          <w:highlight w:val="none"/>
        </w:rPr>
        <w:fldChar w:fldCharType="end"/>
      </w:r>
    </w:p>
    <w:p w14:paraId="59A3D804">
      <w:pPr>
        <w:pStyle w:val="24"/>
        <w:tabs>
          <w:tab w:val="right" w:leader="dot" w:pos="8306"/>
        </w:tabs>
        <w:rPr>
          <w:rFonts w:hint="eastAsia" w:ascii="宋体" w:hAnsi="宋体" w:eastAsia="宋体" w:cs="宋体"/>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_Toc27577 </w:instrText>
      </w:r>
      <w:r>
        <w:rPr>
          <w:rFonts w:hint="eastAsia" w:ascii="宋体" w:hAnsi="宋体" w:eastAsia="宋体" w:cs="宋体"/>
          <w:sz w:val="28"/>
          <w:szCs w:val="40"/>
          <w:highlight w:val="none"/>
        </w:rPr>
        <w:fldChar w:fldCharType="separate"/>
      </w:r>
      <w:r>
        <w:rPr>
          <w:rFonts w:hint="eastAsia" w:ascii="宋体" w:hAnsi="宋体" w:eastAsia="宋体" w:cs="宋体"/>
          <w:bCs/>
          <w:kern w:val="44"/>
          <w:sz w:val="28"/>
          <w:szCs w:val="52"/>
          <w:highlight w:val="none"/>
          <w:lang w:val="en-US" w:eastAsia="zh-CN" w:bidi="ar-SA"/>
        </w:rPr>
        <w:t>第三章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_Toc27577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- 34 -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40"/>
          <w:highlight w:val="none"/>
        </w:rPr>
        <w:fldChar w:fldCharType="end"/>
      </w:r>
    </w:p>
    <w:p w14:paraId="7BCF7D26">
      <w:pPr>
        <w:pStyle w:val="24"/>
        <w:tabs>
          <w:tab w:val="right" w:leader="dot" w:pos="8306"/>
        </w:tabs>
        <w:rPr>
          <w:rFonts w:hint="eastAsia" w:ascii="宋体" w:hAnsi="宋体" w:eastAsia="宋体" w:cs="宋体"/>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_Toc1896 </w:instrText>
      </w:r>
      <w:r>
        <w:rPr>
          <w:rFonts w:hint="eastAsia" w:ascii="宋体" w:hAnsi="宋体" w:eastAsia="宋体" w:cs="宋体"/>
          <w:sz w:val="28"/>
          <w:szCs w:val="40"/>
          <w:highlight w:val="none"/>
        </w:rPr>
        <w:fldChar w:fldCharType="separate"/>
      </w:r>
      <w:r>
        <w:rPr>
          <w:rFonts w:hint="eastAsia" w:ascii="宋体" w:hAnsi="宋体" w:eastAsia="宋体" w:cs="宋体"/>
          <w:bCs/>
          <w:kern w:val="44"/>
          <w:sz w:val="28"/>
          <w:szCs w:val="52"/>
          <w:highlight w:val="none"/>
          <w:lang w:val="en-US" w:eastAsia="zh-CN" w:bidi="ar-SA"/>
        </w:rPr>
        <w:t>第四章 资格审查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_Toc1896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- 39 -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40"/>
          <w:highlight w:val="none"/>
        </w:rPr>
        <w:fldChar w:fldCharType="end"/>
      </w:r>
    </w:p>
    <w:p w14:paraId="27CCD4DA">
      <w:pPr>
        <w:pStyle w:val="24"/>
        <w:tabs>
          <w:tab w:val="right" w:leader="dot" w:pos="8306"/>
        </w:tabs>
        <w:rPr>
          <w:rFonts w:hint="eastAsia" w:ascii="宋体" w:hAnsi="宋体" w:eastAsia="宋体" w:cs="宋体"/>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_Toc8136 </w:instrText>
      </w:r>
      <w:r>
        <w:rPr>
          <w:rFonts w:hint="eastAsia" w:ascii="宋体" w:hAnsi="宋体" w:eastAsia="宋体" w:cs="宋体"/>
          <w:sz w:val="28"/>
          <w:szCs w:val="40"/>
          <w:highlight w:val="none"/>
        </w:rPr>
        <w:fldChar w:fldCharType="separate"/>
      </w:r>
      <w:r>
        <w:rPr>
          <w:rFonts w:hint="eastAsia" w:ascii="宋体" w:hAnsi="宋体" w:eastAsia="宋体" w:cs="宋体"/>
          <w:bCs/>
          <w:kern w:val="44"/>
          <w:sz w:val="28"/>
          <w:szCs w:val="52"/>
          <w:highlight w:val="none"/>
          <w:lang w:val="en-US" w:eastAsia="zh-CN" w:bidi="ar-SA"/>
        </w:rPr>
        <w:t>第五章 评标方法及标准(综合评分法)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_Toc8136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- 41 -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40"/>
          <w:highlight w:val="none"/>
        </w:rPr>
        <w:fldChar w:fldCharType="end"/>
      </w:r>
    </w:p>
    <w:p w14:paraId="5E23E54D">
      <w:pPr>
        <w:pStyle w:val="24"/>
        <w:tabs>
          <w:tab w:val="right" w:leader="dot" w:pos="8306"/>
        </w:tabs>
        <w:rPr>
          <w:rFonts w:hint="eastAsia" w:ascii="宋体" w:hAnsi="宋体" w:eastAsia="宋体" w:cs="宋体"/>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_Toc31042 </w:instrText>
      </w:r>
      <w:r>
        <w:rPr>
          <w:rFonts w:hint="eastAsia" w:ascii="宋体" w:hAnsi="宋体" w:eastAsia="宋体" w:cs="宋体"/>
          <w:sz w:val="28"/>
          <w:szCs w:val="40"/>
          <w:highlight w:val="none"/>
        </w:rPr>
        <w:fldChar w:fldCharType="separate"/>
      </w:r>
      <w:r>
        <w:rPr>
          <w:rFonts w:hint="eastAsia" w:ascii="宋体" w:hAnsi="宋体" w:eastAsia="宋体" w:cs="宋体"/>
          <w:bCs/>
          <w:kern w:val="44"/>
          <w:sz w:val="28"/>
          <w:szCs w:val="52"/>
          <w:highlight w:val="none"/>
          <w:lang w:val="en-US" w:eastAsia="zh-CN" w:bidi="ar-SA"/>
        </w:rPr>
        <w:t>第六章  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_Toc31042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- 51 -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40"/>
          <w:highlight w:val="none"/>
        </w:rPr>
        <w:fldChar w:fldCharType="end"/>
      </w:r>
    </w:p>
    <w:p w14:paraId="0C99FF65">
      <w:pPr>
        <w:pStyle w:val="24"/>
        <w:tabs>
          <w:tab w:val="right" w:leader="dot" w:pos="8306"/>
        </w:tabs>
        <w:rPr>
          <w:rFonts w:hint="eastAsia" w:ascii="宋体" w:hAnsi="宋体" w:eastAsia="宋体" w:cs="宋体"/>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_Toc1759 </w:instrText>
      </w:r>
      <w:r>
        <w:rPr>
          <w:rFonts w:hint="eastAsia" w:ascii="宋体" w:hAnsi="宋体" w:eastAsia="宋体" w:cs="宋体"/>
          <w:sz w:val="28"/>
          <w:szCs w:val="40"/>
          <w:highlight w:val="none"/>
        </w:rPr>
        <w:fldChar w:fldCharType="separate"/>
      </w:r>
      <w:r>
        <w:rPr>
          <w:rFonts w:hint="eastAsia" w:ascii="宋体" w:hAnsi="宋体" w:eastAsia="宋体" w:cs="宋体"/>
          <w:bCs/>
          <w:kern w:val="44"/>
          <w:sz w:val="28"/>
          <w:szCs w:val="52"/>
          <w:highlight w:val="none"/>
          <w:lang w:val="en-US" w:eastAsia="zh-CN" w:bidi="ar-SA"/>
        </w:rPr>
        <w:t>第七章 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_Toc1759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- 58 -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40"/>
          <w:highlight w:val="none"/>
        </w:rPr>
        <w:fldChar w:fldCharType="end"/>
      </w:r>
    </w:p>
    <w:p w14:paraId="1BB1A153">
      <w:pPr>
        <w:pStyle w:val="28"/>
        <w:tabs>
          <w:tab w:val="right" w:leader="dot" w:pos="8306"/>
        </w:tabs>
        <w:rPr>
          <w:rFonts w:hint="eastAsia" w:ascii="宋体" w:hAnsi="宋体" w:eastAsia="宋体" w:cs="宋体"/>
          <w:highlight w:val="none"/>
        </w:rPr>
      </w:pPr>
    </w:p>
    <w:p w14:paraId="0DD905C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14:paraId="464AFCF2">
      <w:pPr>
        <w:spacing w:line="360" w:lineRule="auto"/>
        <w:jc w:val="center"/>
        <w:outlineLvl w:val="1"/>
        <w:rPr>
          <w:rFonts w:hint="eastAsia" w:ascii="宋体" w:hAnsi="宋体" w:eastAsia="宋体" w:cs="宋体"/>
          <w:b/>
          <w:bCs/>
          <w:color w:val="auto"/>
          <w:sz w:val="24"/>
          <w:szCs w:val="24"/>
          <w:highlight w:val="none"/>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9DD1FC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bookmarkStart w:id="0" w:name="_Toc155185859"/>
      <w:bookmarkStart w:id="1" w:name="_Toc18464"/>
      <w:r>
        <w:rPr>
          <w:rFonts w:hint="eastAsia" w:ascii="宋体" w:hAnsi="宋体" w:eastAsia="宋体" w:cs="宋体"/>
          <w:b/>
          <w:bCs/>
          <w:color w:val="auto"/>
          <w:kern w:val="44"/>
          <w:sz w:val="36"/>
          <w:szCs w:val="36"/>
          <w:highlight w:val="none"/>
          <w:lang w:val="en-US" w:eastAsia="zh-CN" w:bidi="ar-SA"/>
        </w:rPr>
        <w:t xml:space="preserve">第一章 </w:t>
      </w:r>
      <w:bookmarkEnd w:id="0"/>
      <w:bookmarkStart w:id="2" w:name="_Hlk130458318"/>
      <w:r>
        <w:rPr>
          <w:rFonts w:hint="eastAsia" w:ascii="宋体" w:hAnsi="宋体" w:eastAsia="宋体" w:cs="宋体"/>
          <w:color w:val="auto"/>
          <w:sz w:val="36"/>
          <w:szCs w:val="36"/>
          <w:highlight w:val="none"/>
          <w:lang w:val="en-US" w:eastAsia="zh-CN"/>
        </w:rPr>
        <w:t>招标公告</w:t>
      </w:r>
      <w:bookmarkEnd w:id="1"/>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682E00">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bookmarkStart w:id="3" w:name="_Toc8264"/>
            <w:bookmarkStart w:id="4" w:name="_Toc6355"/>
            <w:bookmarkStart w:id="5" w:name="_Toc21773"/>
            <w:bookmarkStart w:id="6" w:name="_Toc23233"/>
            <w:bookmarkStart w:id="7" w:name="_Toc155185860"/>
            <w:bookmarkStart w:id="8" w:name="_Toc44583628"/>
            <w:bookmarkStart w:id="9" w:name="_Toc28359089"/>
            <w:bookmarkStart w:id="10" w:name="_Toc28359012"/>
            <w:bookmarkStart w:id="11" w:name="_Toc35393798"/>
            <w:bookmarkStart w:id="12" w:name="_Toc35393629"/>
            <w:bookmarkStart w:id="13" w:name="_Toc109899829"/>
            <w:bookmarkStart w:id="14" w:name="_Toc109900248"/>
            <w:bookmarkStart w:id="15" w:name="_Toc109899410"/>
            <w:bookmarkStart w:id="16" w:name="_Toc140132745"/>
            <w:r>
              <w:rPr>
                <w:rFonts w:hint="eastAsia" w:ascii="宋体" w:hAnsi="宋体" w:eastAsia="宋体" w:cs="宋体"/>
                <w:color w:val="auto"/>
                <w:sz w:val="24"/>
                <w:szCs w:val="24"/>
                <w:highlight w:val="none"/>
                <w:lang w:val="en-US" w:eastAsia="zh-CN"/>
              </w:rPr>
              <w:t>项目概况：</w:t>
            </w:r>
            <w:bookmarkEnd w:id="3"/>
            <w:bookmarkEnd w:id="4"/>
            <w:bookmarkEnd w:id="5"/>
            <w:bookmarkEnd w:id="6"/>
          </w:p>
          <w:p w14:paraId="2852FE91">
            <w:p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iCs/>
                <w:color w:val="auto"/>
                <w:kern w:val="2"/>
                <w:sz w:val="24"/>
                <w:szCs w:val="24"/>
                <w:highlight w:val="none"/>
                <w:u w:val="single"/>
                <w:shd w:val="clear" w:color="auto" w:fill="FFFFFF" w:themeFill="background1"/>
                <w:lang w:val="hr-HR" w:eastAsia="zh-CN" w:bidi="ar-SA"/>
              </w:rPr>
              <w:t xml:space="preserve"> 区属某单位餐厅人工服务 </w:t>
            </w:r>
            <w:r>
              <w:rPr>
                <w:rFonts w:hint="eastAsia" w:ascii="宋体" w:hAnsi="宋体" w:eastAsia="宋体" w:cs="宋体"/>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宋体"/>
                <w:iCs/>
                <w:color w:val="auto"/>
                <w:kern w:val="2"/>
                <w:sz w:val="24"/>
                <w:szCs w:val="24"/>
                <w:highlight w:val="none"/>
                <w:u w:val="single"/>
                <w:shd w:val="clear" w:color="auto" w:fill="FFFFFF" w:themeFill="background1"/>
                <w:lang w:val="hr-HR" w:eastAsia="zh-CN" w:bidi="ar-SA"/>
              </w:rPr>
              <w:t>政采云平台线上</w:t>
            </w:r>
            <w:r>
              <w:rPr>
                <w:rFonts w:hint="eastAsia" w:ascii="宋体" w:hAnsi="宋体" w:eastAsia="宋体" w:cs="宋体"/>
                <w:iCs/>
                <w:color w:val="auto"/>
                <w:kern w:val="2"/>
                <w:sz w:val="24"/>
                <w:szCs w:val="24"/>
                <w:highlight w:val="none"/>
                <w:shd w:val="clear" w:color="auto" w:fill="FFFFFF" w:themeFill="background1"/>
                <w:lang w:val="hr-HR" w:eastAsia="zh-CN" w:bidi="ar-SA"/>
              </w:rPr>
              <w:t>获取招标文件，并于</w:t>
            </w:r>
            <w:r>
              <w:rPr>
                <w:rFonts w:hint="eastAsia" w:ascii="宋体" w:hAnsi="宋体" w:eastAsia="宋体" w:cs="宋体"/>
                <w:iCs/>
                <w:color w:val="auto"/>
                <w:kern w:val="2"/>
                <w:sz w:val="24"/>
                <w:szCs w:val="24"/>
                <w:highlight w:val="none"/>
                <w:u w:val="single"/>
                <w:shd w:val="clear" w:color="auto" w:fill="FFFFFF" w:themeFill="background1"/>
                <w:lang w:val="en-US" w:eastAsia="zh-CN" w:bidi="ar-SA"/>
              </w:rPr>
              <w:t>2025年08月06日10时30分</w:t>
            </w:r>
            <w:r>
              <w:rPr>
                <w:rFonts w:hint="eastAsia" w:ascii="宋体" w:hAnsi="宋体" w:eastAsia="宋体" w:cs="宋体"/>
                <w:iCs/>
                <w:color w:val="auto"/>
                <w:kern w:val="2"/>
                <w:sz w:val="24"/>
                <w:szCs w:val="24"/>
                <w:highlight w:val="none"/>
                <w:shd w:val="clear" w:color="auto" w:fill="FFFFFF" w:themeFill="background1"/>
                <w:lang w:val="hr-HR" w:eastAsia="zh-CN" w:bidi="ar-SA"/>
              </w:rPr>
              <w:t>（北京时间）前递交投标文件。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color w:val="auto"/>
          <w:sz w:val="24"/>
          <w:szCs w:val="24"/>
          <w:highlight w:val="none"/>
          <w:lang w:val="hr-HR"/>
        </w:rPr>
      </w:pPr>
      <w:bookmarkStart w:id="17" w:name="_Toc3880"/>
      <w:bookmarkStart w:id="18" w:name="_Toc23169"/>
      <w:r>
        <w:rPr>
          <w:rFonts w:hint="eastAsia" w:ascii="宋体" w:hAnsi="宋体" w:eastAsia="宋体" w:cs="宋体"/>
          <w:b/>
          <w:bCs/>
          <w:color w:val="auto"/>
          <w:kern w:val="2"/>
          <w:sz w:val="24"/>
          <w:szCs w:val="24"/>
          <w:highlight w:val="none"/>
          <w:lang w:val="hr-HR" w:eastAsia="zh-CN" w:bidi="ar-SA"/>
        </w:rPr>
        <w:t>一、</w:t>
      </w:r>
      <w:r>
        <w:rPr>
          <w:rFonts w:hint="eastAsia" w:ascii="宋体" w:hAnsi="宋体" w:eastAsia="宋体" w:cs="宋体"/>
          <w:color w:val="auto"/>
          <w:sz w:val="24"/>
          <w:szCs w:val="24"/>
          <w:highlight w:val="none"/>
          <w:lang w:val="hr-HR"/>
        </w:rPr>
        <w:t>项目基本情况</w:t>
      </w:r>
      <w:bookmarkEnd w:id="7"/>
      <w:bookmarkEnd w:id="8"/>
      <w:bookmarkEnd w:id="9"/>
      <w:bookmarkEnd w:id="10"/>
      <w:bookmarkEnd w:id="11"/>
      <w:bookmarkEnd w:id="12"/>
      <w:bookmarkEnd w:id="13"/>
      <w:bookmarkEnd w:id="14"/>
      <w:bookmarkEnd w:id="15"/>
      <w:bookmarkEnd w:id="16"/>
      <w:bookmarkEnd w:id="17"/>
      <w:bookmarkEnd w:id="18"/>
    </w:p>
    <w:p w14:paraId="590E39A6">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hr-HR"/>
        </w:rPr>
        <w:t>1.项目编号</w:t>
      </w:r>
      <w:r>
        <w:rPr>
          <w:rFonts w:hint="eastAsia" w:ascii="宋体" w:hAnsi="宋体" w:eastAsia="宋体" w:cs="宋体"/>
          <w:color w:val="auto"/>
          <w:sz w:val="24"/>
          <w:highlight w:val="none"/>
          <w:lang w:val="en-US" w:eastAsia="zh-CN"/>
        </w:rPr>
        <w:t>/包号</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hr-HR" w:eastAsia="zh-CN"/>
        </w:rPr>
        <w:t>WTHH-ZB2025150</w:t>
      </w:r>
    </w:p>
    <w:p w14:paraId="544AA4B7">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hr-HR"/>
        </w:rPr>
        <w:t>.项目名称：</w:t>
      </w:r>
      <w:r>
        <w:rPr>
          <w:rFonts w:hint="eastAsia" w:ascii="宋体" w:hAnsi="宋体" w:eastAsia="宋体" w:cs="宋体"/>
          <w:color w:val="auto"/>
          <w:sz w:val="24"/>
          <w:highlight w:val="none"/>
          <w:lang w:val="hr-HR" w:eastAsia="zh-CN"/>
        </w:rPr>
        <w:t>区属某单位餐厅人工服务</w:t>
      </w:r>
    </w:p>
    <w:p w14:paraId="3CE35A7E">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.采购方式：公开招标</w:t>
      </w:r>
    </w:p>
    <w:p w14:paraId="78A90596">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hr-HR"/>
        </w:rPr>
        <w:t>预算金额：</w:t>
      </w:r>
      <w:r>
        <w:rPr>
          <w:rFonts w:hint="eastAsia" w:ascii="宋体" w:hAnsi="宋体" w:eastAsia="宋体" w:cs="宋体"/>
          <w:color w:val="auto"/>
          <w:sz w:val="24"/>
          <w:highlight w:val="none"/>
          <w:lang w:val="hr-HR" w:eastAsia="zh-CN"/>
        </w:rPr>
        <w:t>180万元</w:t>
      </w:r>
    </w:p>
    <w:p w14:paraId="7851BE2C">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u w:val="none"/>
          <w:lang w:val="en-US" w:eastAsia="zh-CN"/>
        </w:rPr>
        <w:t>180万元</w:t>
      </w:r>
    </w:p>
    <w:p w14:paraId="242750DC">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hr-HR"/>
        </w:rPr>
        <w:t>.采购需求：</w:t>
      </w:r>
      <w:r>
        <w:rPr>
          <w:rFonts w:hint="eastAsia" w:ascii="宋体" w:hAnsi="宋体" w:eastAsia="宋体" w:cs="宋体"/>
          <w:color w:val="auto"/>
          <w:sz w:val="24"/>
          <w:highlight w:val="none"/>
          <w:lang w:val="hr-HR" w:eastAsia="zh-CN"/>
        </w:rPr>
        <w:t>区属某单位餐厅人工服务,具体详情请见招标文件。</w:t>
      </w:r>
    </w:p>
    <w:p w14:paraId="16D8E55F">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.合同履行期限：</w:t>
      </w:r>
      <w:bookmarkStart w:id="19" w:name="_Toc28359090"/>
      <w:bookmarkStart w:id="20" w:name="_Toc28359013"/>
      <w:bookmarkStart w:id="21" w:name="_Toc44583629"/>
      <w:bookmarkStart w:id="22" w:name="_Toc35393630"/>
      <w:bookmarkStart w:id="23" w:name="_Toc35393799"/>
      <w:r>
        <w:rPr>
          <w:rFonts w:hint="eastAsia" w:ascii="宋体" w:hAnsi="宋体" w:eastAsia="宋体" w:cs="宋体"/>
          <w:color w:val="auto"/>
          <w:sz w:val="24"/>
          <w:highlight w:val="none"/>
          <w:lang w:val="en-US" w:eastAsia="zh-CN"/>
        </w:rPr>
        <w:t>详见招标文件</w:t>
      </w:r>
    </w:p>
    <w:p w14:paraId="4B098642">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bookmarkStart w:id="24" w:name="_Hlk162011358"/>
      <w:r>
        <w:rPr>
          <w:rFonts w:hint="eastAsia" w:ascii="宋体" w:hAnsi="宋体" w:eastAsia="宋体" w:cs="宋体"/>
          <w:color w:val="auto"/>
          <w:sz w:val="24"/>
          <w:highlight w:val="none"/>
          <w:lang w:val="en-US" w:eastAsia="zh-CN"/>
        </w:rPr>
        <w:t>本项目是否接受联合体投标：□是</w:t>
      </w:r>
      <w:bookmarkEnd w:id="24"/>
      <w:r>
        <w:rPr>
          <w:rFonts w:hint="eastAsia" w:ascii="宋体" w:hAnsi="宋体" w:eastAsia="宋体" w:cs="宋体"/>
          <w:color w:val="auto"/>
          <w:sz w:val="24"/>
          <w:highlight w:val="none"/>
          <w:lang w:val="en-US" w:eastAsia="zh-CN"/>
        </w:rPr>
        <w:t xml:space="preserve">   ☑否</w:t>
      </w:r>
    </w:p>
    <w:p w14:paraId="1EEB1622">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5" w:name="_Toc109899411"/>
      <w:bookmarkStart w:id="26" w:name="_Toc109900249"/>
      <w:bookmarkStart w:id="27" w:name="_Toc109899830"/>
      <w:bookmarkStart w:id="28" w:name="_Toc140132746"/>
      <w:bookmarkStart w:id="29" w:name="_Toc25678"/>
      <w:bookmarkStart w:id="30" w:name="_Toc155185861"/>
      <w:bookmarkStart w:id="31" w:name="_Toc16935"/>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19"/>
      <w:bookmarkEnd w:id="20"/>
      <w:bookmarkEnd w:id="21"/>
      <w:bookmarkEnd w:id="22"/>
      <w:bookmarkEnd w:id="23"/>
      <w:bookmarkEnd w:id="25"/>
      <w:bookmarkEnd w:id="26"/>
      <w:bookmarkEnd w:id="27"/>
      <w:bookmarkEnd w:id="28"/>
      <w:bookmarkEnd w:id="29"/>
      <w:bookmarkEnd w:id="30"/>
      <w:bookmarkEnd w:id="31"/>
    </w:p>
    <w:p w14:paraId="403333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bookmarkStart w:id="32" w:name="_Toc28359014"/>
      <w:bookmarkStart w:id="33" w:name="_Toc35393631"/>
      <w:bookmarkStart w:id="34" w:name="_Toc35393800"/>
      <w:bookmarkStart w:id="35" w:name="_Toc28359091"/>
      <w:bookmarkStart w:id="36" w:name="_Toc44583630"/>
      <w:r>
        <w:rPr>
          <w:rFonts w:hint="eastAsia" w:ascii="宋体" w:hAnsi="宋体" w:eastAsia="宋体" w:cs="宋体"/>
          <w:color w:val="auto"/>
          <w:sz w:val="24"/>
          <w:highlight w:val="none"/>
          <w:lang w:val="en-US" w:eastAsia="zh-CN"/>
        </w:rPr>
        <w:t>1.满足《中华人民共和国政府采购法》第二十二条规定；</w:t>
      </w:r>
    </w:p>
    <w:p w14:paraId="1C35AF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2.落实政府采购政策需满足的资格要求：专门面向小微企业</w:t>
      </w:r>
    </w:p>
    <w:p w14:paraId="265921D9">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3.本项目的特定资格要求：无</w:t>
      </w:r>
    </w:p>
    <w:p w14:paraId="17F1ED43">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7" w:name="_Toc155185862"/>
      <w:bookmarkStart w:id="38" w:name="_Toc13557"/>
      <w:bookmarkStart w:id="39" w:name="_Toc109899831"/>
      <w:bookmarkStart w:id="40" w:name="_Toc109900250"/>
      <w:bookmarkStart w:id="41" w:name="_Toc140132747"/>
      <w:bookmarkStart w:id="42" w:name="_Toc109899412"/>
      <w:bookmarkStart w:id="43" w:name="_Toc10262"/>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b/>
          <w:bCs/>
          <w:color w:val="auto"/>
          <w:kern w:val="2"/>
          <w:sz w:val="24"/>
          <w:szCs w:val="24"/>
          <w:highlight w:val="none"/>
          <w:lang w:val="hr-HR" w:eastAsia="zh-CN" w:bidi="ar-SA"/>
        </w:rPr>
        <w:t xml:space="preserve"> </w:t>
      </w:r>
    </w:p>
    <w:p w14:paraId="7F0135DE">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bookmarkStart w:id="44" w:name="_Hlk130457234"/>
      <w:bookmarkStart w:id="45" w:name="_Toc35393632"/>
      <w:bookmarkStart w:id="46" w:name="_Toc28359015"/>
      <w:bookmarkStart w:id="47" w:name="_Hlk130457327"/>
      <w:bookmarkStart w:id="48" w:name="_Hlk130457261"/>
      <w:bookmarkStart w:id="49" w:name="_Toc28359092"/>
      <w:bookmarkStart w:id="50" w:name="_Toc35393801"/>
      <w:r>
        <w:rPr>
          <w:rFonts w:hint="eastAsia" w:ascii="宋体" w:hAnsi="宋体" w:eastAsia="宋体" w:cs="宋体"/>
          <w:color w:val="auto"/>
          <w:sz w:val="24"/>
          <w:highlight w:val="none"/>
          <w:lang w:val="hr-HR"/>
        </w:rPr>
        <w:t>1.时间：</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时</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lang w:val="hr-HR"/>
        </w:rPr>
        <w:t>至</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23</w:t>
      </w:r>
      <w:r>
        <w:rPr>
          <w:rFonts w:hint="eastAsia" w:ascii="宋体" w:hAnsi="宋体" w:eastAsia="宋体" w:cs="宋体"/>
          <w:color w:val="auto"/>
          <w:sz w:val="24"/>
          <w:highlight w:val="none"/>
          <w:u w:val="single"/>
        </w:rPr>
        <w:t>时</w:t>
      </w:r>
      <w:r>
        <w:rPr>
          <w:rFonts w:hint="eastAsia" w:ascii="宋体" w:hAnsi="宋体" w:eastAsia="宋体" w:cs="宋体"/>
          <w:color w:val="auto"/>
          <w:sz w:val="24"/>
          <w:highlight w:val="none"/>
          <w:u w:val="single"/>
          <w:lang w:val="en-US" w:eastAsia="zh-CN"/>
        </w:rPr>
        <w:t>59</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lang w:val="hr-HR"/>
        </w:rPr>
        <w:t>（北京时间）。</w:t>
      </w:r>
    </w:p>
    <w:bookmarkEnd w:id="44"/>
    <w:p w14:paraId="34FD69CE">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2.</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hr-HR"/>
        </w:rPr>
        <w:t>：</w:t>
      </w:r>
      <w:bookmarkStart w:id="51" w:name="_Hlk89807779"/>
      <w:r>
        <w:rPr>
          <w:rFonts w:hint="eastAsia" w:ascii="宋体" w:hAnsi="宋体" w:eastAsia="宋体" w:cs="宋体"/>
          <w:color w:val="auto"/>
          <w:sz w:val="24"/>
          <w:highlight w:val="none"/>
          <w:lang w:val="en-US" w:eastAsia="zh-CN"/>
        </w:rPr>
        <w:t>政采云平台线上</w:t>
      </w:r>
      <w:r>
        <w:rPr>
          <w:rFonts w:hint="eastAsia" w:ascii="宋体" w:hAnsi="宋体" w:eastAsia="宋体" w:cs="宋体"/>
          <w:color w:val="auto"/>
          <w:sz w:val="24"/>
          <w:highlight w:val="none"/>
        </w:rPr>
        <w:t>。</w:t>
      </w:r>
      <w:bookmarkEnd w:id="51"/>
    </w:p>
    <w:p w14:paraId="674E7A4D">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hr-HR"/>
        </w:rPr>
        <w:t>3.</w:t>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投标供应商登录政采云平台</w:t>
      </w:r>
      <w:r>
        <w:rPr>
          <w:rFonts w:hint="eastAsia" w:ascii="宋体" w:hAnsi="宋体" w:eastAsia="宋体" w:cs="宋体"/>
          <w:color w:val="auto"/>
          <w:sz w:val="24"/>
          <w:highlight w:val="none"/>
          <w:lang w:val="hr-HR"/>
        </w:rPr>
        <w:t>https</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hr-HR"/>
        </w:rPr>
        <w:t>//www.zcygov.cn/</w:t>
      </w:r>
      <w:r>
        <w:rPr>
          <w:rFonts w:hint="eastAsia" w:ascii="宋体" w:hAnsi="宋体" w:eastAsia="宋体" w:cs="宋体"/>
          <w:color w:val="auto"/>
          <w:sz w:val="24"/>
          <w:highlight w:val="none"/>
          <w:lang w:val="en-US"/>
        </w:rPr>
        <w:t>在线申请</w:t>
      </w:r>
      <w:r>
        <w:rPr>
          <w:rFonts w:hint="eastAsia" w:ascii="宋体" w:hAnsi="宋体" w:eastAsia="宋体" w:cs="宋体"/>
          <w:color w:val="auto"/>
          <w:sz w:val="24"/>
          <w:highlight w:val="none"/>
          <w:lang w:val="en-US" w:eastAsia="zh-CN"/>
        </w:rPr>
        <w:t>，免费</w:t>
      </w:r>
      <w:r>
        <w:rPr>
          <w:rFonts w:hint="eastAsia" w:ascii="宋体" w:hAnsi="宋体" w:eastAsia="宋体" w:cs="宋体"/>
          <w:color w:val="auto"/>
          <w:sz w:val="24"/>
          <w:highlight w:val="none"/>
          <w:lang w:val="en-US"/>
        </w:rPr>
        <w:t>获取</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lang w:val="en-US"/>
        </w:rPr>
        <w:t>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进入</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项目采购</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应用</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在获取采购文件菜单中选择项目</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申请获取采购文件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w:t>
      </w:r>
    </w:p>
    <w:p w14:paraId="21D74D7F">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4.售价：0元。</w:t>
      </w:r>
    </w:p>
    <w:bookmarkEnd w:id="45"/>
    <w:bookmarkEnd w:id="46"/>
    <w:bookmarkEnd w:id="47"/>
    <w:bookmarkEnd w:id="48"/>
    <w:bookmarkEnd w:id="49"/>
    <w:bookmarkEnd w:id="50"/>
    <w:p w14:paraId="6020FAF9">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52" w:name="_Toc109899413"/>
      <w:bookmarkStart w:id="53" w:name="_Toc155185863"/>
      <w:bookmarkStart w:id="54" w:name="_Toc109900251"/>
      <w:bookmarkStart w:id="55" w:name="_Toc109899832"/>
      <w:bookmarkStart w:id="56" w:name="_Toc140132748"/>
      <w:bookmarkStart w:id="57" w:name="_Toc1017"/>
      <w:bookmarkStart w:id="58" w:name="_Toc4095"/>
      <w:r>
        <w:rPr>
          <w:rFonts w:hint="eastAsia" w:ascii="宋体" w:hAnsi="宋体" w:eastAsia="宋体" w:cs="宋体"/>
          <w:b/>
          <w:bCs/>
          <w:color w:val="auto"/>
          <w:kern w:val="2"/>
          <w:sz w:val="24"/>
          <w:szCs w:val="24"/>
          <w:highlight w:val="none"/>
          <w:lang w:val="en-US" w:eastAsia="zh-CN" w:bidi="ar-SA"/>
        </w:rPr>
        <w:t>四、</w:t>
      </w:r>
      <w:bookmarkEnd w:id="52"/>
      <w:bookmarkEnd w:id="53"/>
      <w:bookmarkEnd w:id="54"/>
      <w:bookmarkEnd w:id="55"/>
      <w:bookmarkEnd w:id="56"/>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hr-HR" w:eastAsia="zh-CN" w:bidi="ar-SA"/>
        </w:rPr>
        <w:t>开标时间、递交方式和</w:t>
      </w:r>
      <w:r>
        <w:rPr>
          <w:rFonts w:hint="eastAsia" w:ascii="宋体" w:hAnsi="宋体" w:eastAsia="宋体" w:cs="宋体"/>
          <w:b/>
          <w:bCs/>
          <w:color w:val="auto"/>
          <w:kern w:val="2"/>
          <w:sz w:val="24"/>
          <w:szCs w:val="24"/>
          <w:highlight w:val="none"/>
          <w:lang w:val="en-US" w:eastAsia="zh-CN" w:bidi="ar-SA"/>
        </w:rPr>
        <w:t>开标</w:t>
      </w:r>
      <w:r>
        <w:rPr>
          <w:rFonts w:hint="eastAsia" w:ascii="宋体" w:hAnsi="宋体" w:eastAsia="宋体" w:cs="宋体"/>
          <w:b/>
          <w:bCs/>
          <w:color w:val="auto"/>
          <w:kern w:val="2"/>
          <w:sz w:val="24"/>
          <w:szCs w:val="24"/>
          <w:highlight w:val="none"/>
          <w:lang w:val="hr-HR" w:eastAsia="zh-CN" w:bidi="ar-SA"/>
        </w:rPr>
        <w:t>地点</w:t>
      </w:r>
      <w:bookmarkEnd w:id="57"/>
      <w:bookmarkEnd w:id="58"/>
      <w:bookmarkStart w:id="59" w:name="_Hlk130457395"/>
      <w:bookmarkStart w:id="60" w:name="_Toc28359017"/>
      <w:bookmarkStart w:id="61" w:name="_Toc35393634"/>
      <w:bookmarkStart w:id="62" w:name="_Toc28359094"/>
      <w:bookmarkStart w:id="63" w:name="_Toc44583633"/>
      <w:bookmarkStart w:id="64" w:name="_Toc35393803"/>
    </w:p>
    <w:p w14:paraId="2D110B4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highlight w:val="none"/>
        </w:rPr>
      </w:pPr>
      <w:bookmarkStart w:id="65" w:name="_Toc29336"/>
      <w:bookmarkStart w:id="66" w:name="_Toc20025"/>
      <w:bookmarkStart w:id="67" w:name="_Toc1971"/>
      <w:bookmarkStart w:id="68" w:name="_Toc3967"/>
      <w:bookmarkStart w:id="69" w:name="_Toc27649"/>
      <w:r>
        <w:rPr>
          <w:rFonts w:hint="eastAsia" w:ascii="宋体" w:hAnsi="宋体" w:eastAsia="宋体" w:cs="宋体"/>
          <w:b w:val="0"/>
          <w:bCs w:val="0"/>
          <w:color w:val="auto"/>
          <w:sz w:val="24"/>
          <w:highlight w:val="none"/>
        </w:rPr>
        <w:t>1.截止时间</w:t>
      </w:r>
      <w:r>
        <w:rPr>
          <w:rFonts w:hint="eastAsia" w:ascii="宋体" w:hAnsi="宋体" w:eastAsia="宋体" w:cs="宋体"/>
          <w:b w:val="0"/>
          <w:bCs w:val="0"/>
          <w:color w:val="auto"/>
          <w:sz w:val="24"/>
          <w:highlight w:val="none"/>
          <w:lang w:val="en-US"/>
        </w:rPr>
        <w:t>/</w:t>
      </w:r>
      <w:r>
        <w:rPr>
          <w:rFonts w:hint="eastAsia" w:ascii="宋体" w:hAnsi="宋体" w:eastAsia="宋体" w:cs="宋体"/>
          <w:b w:val="0"/>
          <w:bCs w:val="0"/>
          <w:color w:val="auto"/>
          <w:sz w:val="24"/>
          <w:highlight w:val="none"/>
        </w:rPr>
        <w:t>开标时间：</w:t>
      </w:r>
      <w:r>
        <w:rPr>
          <w:rFonts w:hint="eastAsia" w:ascii="宋体" w:hAnsi="宋体" w:eastAsia="宋体" w:cs="宋体"/>
          <w:b w:val="0"/>
          <w:bCs w:val="0"/>
          <w:color w:val="auto"/>
          <w:sz w:val="24"/>
          <w:highlight w:val="none"/>
          <w:u w:val="single"/>
          <w:lang w:eastAsia="zh-CN"/>
        </w:rPr>
        <w:t>2025年08月06日10时30分</w:t>
      </w:r>
      <w:r>
        <w:rPr>
          <w:rFonts w:hint="eastAsia" w:ascii="宋体" w:hAnsi="宋体" w:eastAsia="宋体" w:cs="宋体"/>
          <w:b w:val="0"/>
          <w:bCs w:val="0"/>
          <w:color w:val="auto"/>
          <w:sz w:val="24"/>
          <w:highlight w:val="none"/>
        </w:rPr>
        <w:t>（北京时间）。</w:t>
      </w:r>
      <w:bookmarkEnd w:id="65"/>
      <w:bookmarkEnd w:id="66"/>
      <w:bookmarkEnd w:id="67"/>
      <w:bookmarkEnd w:id="68"/>
      <w:bookmarkEnd w:id="69"/>
    </w:p>
    <w:p w14:paraId="51B173F3">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2.递交方式：</w:t>
      </w:r>
      <w:bookmarkStart w:id="70" w:name="_Hlk89807823"/>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政采云平台线上</w:t>
      </w:r>
      <w:r>
        <w:rPr>
          <w:rFonts w:hint="eastAsia" w:ascii="宋体" w:hAnsi="宋体" w:eastAsia="宋体" w:cs="宋体"/>
          <w:color w:val="auto"/>
          <w:sz w:val="24"/>
          <w:highlight w:val="none"/>
        </w:rPr>
        <w:t>进入“项目采购”应用，在投标文件上传菜单中选择项目进行上传。</w:t>
      </w:r>
      <w:bookmarkEnd w:id="70"/>
    </w:p>
    <w:p w14:paraId="276D3E17">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w:t>
      </w:r>
      <w:r>
        <w:rPr>
          <w:rFonts w:hint="eastAsia" w:ascii="宋体" w:hAnsi="宋体" w:eastAsia="宋体" w:cs="宋体"/>
          <w:color w:val="auto"/>
          <w:sz w:val="24"/>
          <w:highlight w:val="none"/>
          <w:lang w:val="en-US"/>
        </w:rPr>
        <w:t>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en-US"/>
        </w:rPr>
        <w:t>登录政采云平台https</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//www.zcygov.cn/，进入项目采购-开</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lang w:val="en-US"/>
        </w:rPr>
        <w:t>评标-右边选择对应项目点击“进入项目”进入开标大厅</w:t>
      </w:r>
      <w:r>
        <w:rPr>
          <w:rFonts w:hint="eastAsia" w:ascii="宋体" w:hAnsi="宋体" w:eastAsia="宋体" w:cs="宋体"/>
          <w:color w:val="auto"/>
          <w:sz w:val="24"/>
          <w:highlight w:val="none"/>
        </w:rPr>
        <w:t>。</w:t>
      </w:r>
    </w:p>
    <w:bookmarkEnd w:id="59"/>
    <w:p w14:paraId="679A69E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1" w:name="_Toc155185864"/>
      <w:bookmarkStart w:id="72" w:name="_Toc24036"/>
      <w:bookmarkStart w:id="73" w:name="_Toc30397"/>
      <w:bookmarkStart w:id="74" w:name="_Toc140132749"/>
      <w:bookmarkStart w:id="75" w:name="_Toc109900252"/>
      <w:bookmarkStart w:id="76" w:name="_Toc109899414"/>
      <w:bookmarkStart w:id="77" w:name="_Toc109899833"/>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60"/>
      <w:bookmarkEnd w:id="61"/>
      <w:bookmarkEnd w:id="62"/>
      <w:bookmarkEnd w:id="63"/>
      <w:bookmarkEnd w:id="64"/>
      <w:bookmarkEnd w:id="71"/>
      <w:bookmarkEnd w:id="72"/>
      <w:bookmarkEnd w:id="73"/>
      <w:bookmarkEnd w:id="74"/>
      <w:bookmarkEnd w:id="75"/>
      <w:bookmarkEnd w:id="76"/>
      <w:bookmarkEnd w:id="77"/>
    </w:p>
    <w:p w14:paraId="32028F42">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自招标公告发布之日起5个工作日。</w:t>
      </w:r>
    </w:p>
    <w:p w14:paraId="20DD1AA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8" w:name="_Toc155185865"/>
      <w:bookmarkStart w:id="79" w:name="_Toc109900253"/>
      <w:bookmarkStart w:id="80" w:name="_Toc35393804"/>
      <w:bookmarkStart w:id="81" w:name="_Toc44583634"/>
      <w:bookmarkStart w:id="82" w:name="_Toc22515"/>
      <w:bookmarkStart w:id="83" w:name="_Toc109899415"/>
      <w:bookmarkStart w:id="84" w:name="_Toc109899834"/>
      <w:bookmarkStart w:id="85" w:name="_Toc14815"/>
      <w:bookmarkStart w:id="86" w:name="_Toc35393635"/>
      <w:bookmarkStart w:id="87" w:name="_Toc140132750"/>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78"/>
      <w:bookmarkEnd w:id="79"/>
      <w:bookmarkEnd w:id="80"/>
      <w:bookmarkEnd w:id="81"/>
      <w:bookmarkEnd w:id="82"/>
      <w:bookmarkEnd w:id="83"/>
      <w:bookmarkEnd w:id="84"/>
      <w:bookmarkEnd w:id="85"/>
      <w:bookmarkEnd w:id="86"/>
      <w:bookmarkEnd w:id="87"/>
    </w:p>
    <w:p w14:paraId="39792B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次采购采用电子交易方式，电子交易平台为“小额招采专区平台（https://xezc.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64FD1C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将政采云电子交易客户端下载、安装完成后，可通过账号密码或CA登录客户端进行投标文件制作。在使用政采云投标客户端时，建议使用WIN7及以上操作系统。客户端请至小额招采专区平台（https://xezc.zcygov.cn/）操作指南查看，如有问题可拨打政采云客户服务热线95763进行咨询。</w:t>
      </w:r>
    </w:p>
    <w:p w14:paraId="3929D8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3、加密的电子投标文件（.jmbs格式）应在投标文件递交截止时间前通过政采云平台上传完成。</w:t>
      </w:r>
    </w:p>
    <w:p w14:paraId="518A59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开启当日，投标人无需到达开标现场，仅需通过政采云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14:paraId="1D542355">
      <w:pPr>
        <w:pStyle w:val="4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rPr>
        <w:t>5、逾期上传或者未上传指定地点的投标文件，采购人不予受理。</w:t>
      </w:r>
    </w:p>
    <w:p w14:paraId="723251BD">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8" w:name="_Toc109899835"/>
      <w:bookmarkStart w:id="89" w:name="_Toc155185866"/>
      <w:bookmarkStart w:id="90" w:name="_Toc109900254"/>
      <w:bookmarkStart w:id="91" w:name="_Toc35393805"/>
      <w:bookmarkStart w:id="92" w:name="_Toc140132751"/>
      <w:bookmarkStart w:id="93" w:name="_Toc109899416"/>
      <w:bookmarkStart w:id="94" w:name="_Toc44583635"/>
      <w:bookmarkStart w:id="95" w:name="_Toc35393636"/>
      <w:bookmarkStart w:id="96" w:name="_Toc28359018"/>
      <w:bookmarkStart w:id="97" w:name="_Toc28359095"/>
      <w:bookmarkStart w:id="98" w:name="_Toc18341"/>
      <w:bookmarkStart w:id="99" w:name="_Toc20894"/>
      <w:r>
        <w:rPr>
          <w:rFonts w:hint="eastAsia" w:ascii="宋体" w:hAnsi="宋体" w:eastAsia="宋体" w:cs="宋体"/>
          <w:b/>
          <w:bCs/>
          <w:color w:val="auto"/>
          <w:kern w:val="2"/>
          <w:sz w:val="24"/>
          <w:szCs w:val="24"/>
          <w:highlight w:val="none"/>
          <w:lang w:val="en-US" w:eastAsia="zh-CN" w:bidi="ar-SA"/>
        </w:rPr>
        <w:t>七、</w:t>
      </w:r>
      <w:bookmarkEnd w:id="88"/>
      <w:bookmarkEnd w:id="89"/>
      <w:bookmarkEnd w:id="90"/>
      <w:bookmarkEnd w:id="91"/>
      <w:bookmarkEnd w:id="92"/>
      <w:bookmarkEnd w:id="93"/>
      <w:bookmarkEnd w:id="94"/>
      <w:bookmarkEnd w:id="95"/>
      <w:bookmarkEnd w:id="96"/>
      <w:bookmarkEnd w:id="97"/>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8"/>
      <w:bookmarkEnd w:id="99"/>
    </w:p>
    <w:p w14:paraId="697564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68B8B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区属某单位</w:t>
      </w:r>
    </w:p>
    <w:p w14:paraId="0E3289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w:t>
      </w:r>
    </w:p>
    <w:p w14:paraId="53C948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eastAsia="zh-CN"/>
        </w:rPr>
        <w:t>/</w:t>
      </w:r>
    </w:p>
    <w:p w14:paraId="4919E5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420B5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称：新疆沃图恒辉建设工程项目管理有限公司</w:t>
      </w:r>
    </w:p>
    <w:p w14:paraId="4896B7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址：乌鲁木齐市水磨沟区红光山路2588号绿地中心领海大厦1905A室</w:t>
      </w:r>
    </w:p>
    <w:p w14:paraId="718BC8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w:t>
      </w:r>
      <w:r>
        <w:rPr>
          <w:rFonts w:hint="eastAsia" w:ascii="宋体" w:hAnsi="宋体" w:eastAsia="宋体" w:cs="宋体"/>
          <w:sz w:val="24"/>
          <w:szCs w:val="24"/>
          <w:highlight w:val="none"/>
        </w:rPr>
        <w:t>霍靖萱</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15509945897  </w:t>
      </w:r>
    </w:p>
    <w:p w14:paraId="557E33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09D59D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项目联系人：霍靖萱</w:t>
      </w:r>
      <w:r>
        <w:rPr>
          <w:rFonts w:hint="eastAsia" w:ascii="宋体" w:hAnsi="宋体" w:eastAsia="宋体" w:cs="宋体"/>
          <w:sz w:val="24"/>
          <w:szCs w:val="24"/>
          <w:highlight w:val="none"/>
          <w:lang w:eastAsia="zh-CN"/>
        </w:rPr>
        <w:t xml:space="preserve">  </w:t>
      </w:r>
    </w:p>
    <w:p w14:paraId="0E1E5C0E">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15509945897</w:t>
      </w:r>
    </w:p>
    <w:p w14:paraId="3EF17BC4">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ADF3AE0">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B793992">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4A5BC6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7A53C82D">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D23FB4C">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100" w:name="_Toc16640"/>
      <w:bookmarkStart w:id="101" w:name="_Toc155185867"/>
      <w:r>
        <w:rPr>
          <w:rFonts w:hint="eastAsia" w:ascii="宋体" w:hAnsi="宋体" w:eastAsia="宋体" w:cs="宋体"/>
          <w:b/>
          <w:bCs/>
          <w:color w:val="auto"/>
          <w:kern w:val="44"/>
          <w:sz w:val="36"/>
          <w:szCs w:val="36"/>
          <w:highlight w:val="none"/>
          <w:lang w:val="en-US" w:eastAsia="zh-CN" w:bidi="ar-SA"/>
        </w:rPr>
        <w:t>第二章 投标人须知</w:t>
      </w:r>
      <w:bookmarkEnd w:id="100"/>
      <w:bookmarkEnd w:id="101"/>
    </w:p>
    <w:bookmarkEnd w:id="2"/>
    <w:p w14:paraId="5A1F6903">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ascii="宋体" w:hAnsi="宋体" w:eastAsia="宋体" w:cs="宋体"/>
          <w:b/>
          <w:bCs/>
          <w:color w:val="auto"/>
          <w:kern w:val="2"/>
          <w:sz w:val="28"/>
          <w:szCs w:val="28"/>
          <w:highlight w:val="none"/>
          <w:lang w:val="en-US" w:eastAsia="zh-CN" w:bidi="ar-SA"/>
        </w:rPr>
      </w:pPr>
      <w:bookmarkStart w:id="102" w:name="_Toc6574"/>
      <w:bookmarkStart w:id="103" w:name="_Toc155185868"/>
      <w:bookmarkStart w:id="104" w:name="_Toc13404"/>
      <w:r>
        <w:rPr>
          <w:rFonts w:hint="eastAsia" w:ascii="宋体" w:hAnsi="宋体" w:eastAsia="宋体" w:cs="宋体"/>
          <w:b/>
          <w:bCs/>
          <w:color w:val="auto"/>
          <w:kern w:val="2"/>
          <w:sz w:val="28"/>
          <w:szCs w:val="28"/>
          <w:highlight w:val="none"/>
          <w:lang w:val="en-US" w:eastAsia="zh-CN" w:bidi="ar-SA"/>
        </w:rPr>
        <w:t>一、投标人须知前附表</w:t>
      </w:r>
      <w:bookmarkEnd w:id="102"/>
      <w:bookmarkEnd w:id="103"/>
      <w:bookmarkEnd w:id="104"/>
    </w:p>
    <w:tbl>
      <w:tblPr>
        <w:tblStyle w:val="32"/>
        <w:tblW w:w="9391" w:type="dxa"/>
        <w:tblInd w:w="-45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965"/>
        <w:gridCol w:w="6"/>
        <w:gridCol w:w="6444"/>
        <w:gridCol w:w="6"/>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52"/>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条款号</w:t>
            </w:r>
          </w:p>
        </w:tc>
        <w:tc>
          <w:tcPr>
            <w:tcW w:w="19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52"/>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条款名称</w:t>
            </w:r>
          </w:p>
        </w:tc>
        <w:tc>
          <w:tcPr>
            <w:tcW w:w="645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52"/>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内  容</w:t>
            </w:r>
          </w:p>
        </w:tc>
      </w:tr>
      <w:tr w14:paraId="00CDA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66D2FF53">
            <w:pPr>
              <w:pStyle w:val="52"/>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ACDA765">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项目名称</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090866C0">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区属某单位餐厅人工服务</w:t>
            </w:r>
          </w:p>
        </w:tc>
      </w:tr>
      <w:tr w14:paraId="1A2C3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51B4D3BA">
            <w:pPr>
              <w:pStyle w:val="52"/>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1.2</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3752C0DF">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采购人</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25E18BF9">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区属某单位</w:t>
            </w:r>
          </w:p>
        </w:tc>
      </w:tr>
      <w:tr w14:paraId="4245B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812D225">
            <w:pPr>
              <w:pStyle w:val="52"/>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1.3</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36AE1C4C">
            <w:pPr>
              <w:pStyle w:val="77"/>
              <w:spacing w:before="1" w:line="360" w:lineRule="auto"/>
              <w:ind w:left="120" w:leftChars="0"/>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采购代理人</w:t>
            </w:r>
          </w:p>
        </w:tc>
        <w:tc>
          <w:tcPr>
            <w:tcW w:w="645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684EB5A4">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新疆沃图恒辉建设工程项目管理有限公司</w:t>
            </w:r>
          </w:p>
        </w:tc>
      </w:tr>
      <w:tr w14:paraId="4EE80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44C28C40">
            <w:pPr>
              <w:pStyle w:val="52"/>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1.4</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8FC9224">
            <w:pPr>
              <w:pStyle w:val="77"/>
              <w:spacing w:before="1" w:line="360" w:lineRule="auto"/>
              <w:ind w:left="120" w:leftChars="0"/>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招标范围</w:t>
            </w:r>
          </w:p>
        </w:tc>
        <w:tc>
          <w:tcPr>
            <w:tcW w:w="645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61E1529A">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区属某单位餐厅人工服务,具体详情请见招标文件。</w:t>
            </w:r>
          </w:p>
        </w:tc>
      </w:tr>
      <w:tr w14:paraId="5366B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12D45AFC">
            <w:pPr>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1.5</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07DA6C56">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项目编号</w:t>
            </w:r>
          </w:p>
        </w:tc>
        <w:tc>
          <w:tcPr>
            <w:tcW w:w="645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23BC1A39">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WTHH-ZB2025150</w:t>
            </w:r>
          </w:p>
        </w:tc>
      </w:tr>
      <w:tr w14:paraId="18D98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39F725DA">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1.6</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439635DA">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采购预算金额</w:t>
            </w:r>
          </w:p>
        </w:tc>
        <w:tc>
          <w:tcPr>
            <w:tcW w:w="645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67B4A3C1">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180万元</w:t>
            </w:r>
          </w:p>
        </w:tc>
      </w:tr>
      <w:tr w14:paraId="4EDC9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0F8A4ECF">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1.7</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12C61B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服务期限</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73F677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合同签订之日起一年。</w:t>
            </w:r>
          </w:p>
        </w:tc>
      </w:tr>
      <w:tr w14:paraId="79D03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C3AC979">
            <w:pPr>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1.8</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21ABDE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000000"/>
                <w:szCs w:val="21"/>
                <w:highlight w:val="none"/>
                <w:lang w:val="en-US" w:eastAsia="zh-CN"/>
              </w:rPr>
              <w:t>服务</w:t>
            </w:r>
            <w:r>
              <w:rPr>
                <w:rFonts w:hint="eastAsia" w:ascii="宋体" w:hAnsi="宋体" w:eastAsia="宋体" w:cs="宋体"/>
                <w:snapToGrid w:val="0"/>
                <w:color w:val="000000"/>
                <w:szCs w:val="21"/>
                <w:highlight w:val="none"/>
              </w:rPr>
              <w:t>地点</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6C9938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000000"/>
                <w:szCs w:val="21"/>
                <w:highlight w:val="none"/>
              </w:rPr>
              <w:t>采购人指定地点。</w:t>
            </w:r>
          </w:p>
        </w:tc>
      </w:tr>
      <w:tr w14:paraId="74D0EE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6BC841B1">
            <w:pPr>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1.9</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1EA4E4D7">
            <w:pPr>
              <w:spacing w:line="440" w:lineRule="exact"/>
              <w:jc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付款方式</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75E838E8">
            <w:pPr>
              <w:spacing w:line="440" w:lineRule="exact"/>
              <w:ind w:right="-77" w:rightChars="-32"/>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甲方按季度结算服务费，若遇国家法定节日，相应顺延或提前。乙方提供结算申请，并出据等额普通发票，待甲方资金到位后一次性支付。</w:t>
            </w:r>
          </w:p>
        </w:tc>
      </w:tr>
      <w:tr w14:paraId="46C64B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36767424">
            <w:pPr>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1.10</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62A2E496">
            <w:pPr>
              <w:spacing w:line="440" w:lineRule="exact"/>
              <w:jc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履约保证金</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24F2CC15">
            <w:pPr>
              <w:spacing w:line="440" w:lineRule="exact"/>
              <w:ind w:right="-77" w:rightChars="-32"/>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签订合同后2个工作日内，20000.00元</w:t>
            </w:r>
          </w:p>
        </w:tc>
      </w:tr>
      <w:tr w14:paraId="63F52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31D2F304">
            <w:pPr>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1.11</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33296F52">
            <w:pPr>
              <w:pStyle w:val="77"/>
              <w:spacing w:before="1" w:line="360" w:lineRule="auto"/>
              <w:ind w:left="120" w:left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本项目最高限价</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15B73ACA">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☑有：</w:t>
            </w:r>
          </w:p>
          <w:p w14:paraId="4887C047">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总价最高限价：小写：1800000元 ；</w:t>
            </w:r>
          </w:p>
          <w:p w14:paraId="6ED59110">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单价最高限价：餐厅人工服务15万元/月；</w:t>
            </w:r>
          </w:p>
          <w:p w14:paraId="0FAC3C1D">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最高投标限价不允许超出，若超出限价其投标文件将被否决。</w:t>
            </w:r>
          </w:p>
        </w:tc>
      </w:tr>
      <w:tr w14:paraId="567D4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037301A6">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1.12</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5A611DDE">
            <w:pPr>
              <w:pStyle w:val="77"/>
              <w:spacing w:before="1" w:line="360" w:lineRule="auto"/>
              <w:ind w:left="120" w:leftChars="0"/>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资格要求</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35F42B66">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1.满足《中华人民共和国政府采购法》第二十二条规定；</w:t>
            </w:r>
          </w:p>
          <w:p w14:paraId="30AF3B5B">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2.落实政府采购政策需满足的资格要求：专门面向小微企业</w:t>
            </w:r>
          </w:p>
          <w:p w14:paraId="1BF2481D">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3.本项目的特定资格要求：无</w:t>
            </w:r>
          </w:p>
        </w:tc>
      </w:tr>
      <w:tr w14:paraId="16074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6F292A20">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1.13</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490854B8">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响应文件递交</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7F677693">
            <w:pPr>
              <w:pStyle w:val="8"/>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投标截止时间（开标时间）：2025年08月06日10时30分（北京时间）。</w:t>
            </w:r>
          </w:p>
          <w:p w14:paraId="5D3488DF">
            <w:pPr>
              <w:pStyle w:val="8"/>
              <w:spacing w:before="75" w:beforeAutospacing="0" w:after="75" w:afterAutospacing="0" w:line="360" w:lineRule="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响应文件递交地址：政采云平台http://www.zcygov.cn政采云网上不见面开标系统</w:t>
            </w:r>
          </w:p>
        </w:tc>
      </w:tr>
      <w:tr w14:paraId="0FBCE2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6E0A18D3">
            <w:pPr>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1.14</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4A77AC5">
            <w:pPr>
              <w:pStyle w:val="77"/>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投标有效期</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00E3FC87">
            <w:pPr>
              <w:pStyle w:val="8"/>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90日历日</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3A136892">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965" w:type="dxa"/>
            <w:vAlign w:val="center"/>
          </w:tcPr>
          <w:p w14:paraId="117C18AE">
            <w:pPr>
              <w:pStyle w:val="52"/>
              <w:rPr>
                <w:rFonts w:hint="eastAsia" w:ascii="宋体" w:hAnsi="宋体" w:eastAsia="宋体" w:cs="宋体"/>
                <w:color w:val="auto"/>
                <w:sz w:val="24"/>
                <w:szCs w:val="24"/>
                <w:highlight w:val="none"/>
              </w:rPr>
            </w:pPr>
            <w:bookmarkStart w:id="105" w:name="_Hlk143529175"/>
            <w:r>
              <w:rPr>
                <w:rFonts w:hint="eastAsia" w:ascii="宋体" w:hAnsi="宋体" w:eastAsia="宋体" w:cs="宋体"/>
                <w:color w:val="auto"/>
                <w:sz w:val="24"/>
                <w:szCs w:val="24"/>
                <w:highlight w:val="none"/>
              </w:rPr>
              <w:t>现场考察</w:t>
            </w:r>
            <w:bookmarkEnd w:id="105"/>
          </w:p>
        </w:tc>
        <w:tc>
          <w:tcPr>
            <w:tcW w:w="6450" w:type="dxa"/>
            <w:gridSpan w:val="2"/>
            <w:vAlign w:val="center"/>
          </w:tcPr>
          <w:p w14:paraId="36549596">
            <w:pPr>
              <w:pStyle w:val="5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1CF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0D95D099">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c>
          <w:tcPr>
            <w:tcW w:w="1965" w:type="dxa"/>
            <w:vAlign w:val="center"/>
          </w:tcPr>
          <w:p w14:paraId="4A5FE036">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450" w:type="dxa"/>
            <w:gridSpan w:val="2"/>
            <w:vAlign w:val="center"/>
          </w:tcPr>
          <w:p w14:paraId="6B78B750">
            <w:pPr>
              <w:pStyle w:val="5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3C61F0CD">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1279EA7E">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68AD2C">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1A104107">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965" w:type="dxa"/>
            <w:vAlign w:val="center"/>
          </w:tcPr>
          <w:p w14:paraId="79A1D807">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450" w:type="dxa"/>
            <w:gridSpan w:val="2"/>
            <w:vAlign w:val="center"/>
          </w:tcPr>
          <w:p w14:paraId="41DD7733">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3DB59B05">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965" w:type="dxa"/>
            <w:vAlign w:val="center"/>
          </w:tcPr>
          <w:p w14:paraId="02D54664">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450" w:type="dxa"/>
            <w:gridSpan w:val="2"/>
            <w:vAlign w:val="center"/>
          </w:tcPr>
          <w:p w14:paraId="713A171A">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1FB08F67">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定额收取：人民币18000.00（壹万捌仟元整）</w:t>
            </w:r>
          </w:p>
          <w:p w14:paraId="471258F6">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05FFA194">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供应商可自主选择以支票、汇票、本票、电汇、转账、网银、保函等非现金形式缴纳或提交保证金。</w:t>
            </w:r>
          </w:p>
          <w:p w14:paraId="0DDE2CDE">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开户单位名称：新疆沃图恒辉建设工程项目管理有限公司</w:t>
            </w:r>
          </w:p>
          <w:p w14:paraId="27BBBD9E">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开户银行：中国工商银行股份有限公司乌鲁木齐水磨沟区支行</w:t>
            </w:r>
          </w:p>
          <w:p w14:paraId="47DEC8B6">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账户账号：3002016309200163095</w:t>
            </w:r>
          </w:p>
          <w:p w14:paraId="1F174ACF">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开户行行号：102881001634              </w:t>
            </w:r>
          </w:p>
          <w:p w14:paraId="0C79EF6C">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注意事项：</w:t>
            </w:r>
          </w:p>
          <w:p w14:paraId="6693645A">
            <w:pPr>
              <w:pStyle w:val="56"/>
              <w:numPr>
                <w:ilvl w:val="0"/>
                <w:numId w:val="0"/>
              </w:numPr>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513BD134">
            <w:pPr>
              <w:pStyle w:val="56"/>
              <w:numPr>
                <w:ilvl w:val="0"/>
                <w:numId w:val="0"/>
              </w:numPr>
              <w:spacing w:line="3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使用银行保函的，必须从供应商基本账户开具，若是第三方代开的保函，开具保函时给第三方公司缴纳的保费必须从其基本账户支付，否则视为未从基本户转出投标保证金。出据企业注册地之外保函的，供应商还必须提供给第三方公司缴纳保费的资金往来业务银行流水单并加盖银行行名条章。投标保证金须在</w:t>
            </w:r>
            <w:r>
              <w:rPr>
                <w:rFonts w:hint="eastAsia" w:ascii="宋体" w:hAnsi="宋体" w:eastAsia="宋体" w:cs="宋体"/>
                <w:i w:val="0"/>
                <w:iCs w:val="0"/>
                <w:color w:val="auto"/>
                <w:sz w:val="24"/>
                <w:szCs w:val="24"/>
                <w:highlight w:val="none"/>
                <w:lang w:val="en-US" w:eastAsia="zh-CN"/>
              </w:rPr>
              <w:t>投标截止时间</w:t>
            </w:r>
            <w:r>
              <w:rPr>
                <w:rFonts w:hint="eastAsia" w:ascii="宋体" w:hAnsi="宋体" w:eastAsia="宋体" w:cs="宋体"/>
                <w:i w:val="0"/>
                <w:iCs w:val="0"/>
                <w:color w:val="auto"/>
                <w:sz w:val="24"/>
                <w:szCs w:val="24"/>
                <w:highlight w:val="none"/>
              </w:rPr>
              <w:t>前到账</w:t>
            </w:r>
            <w:r>
              <w:rPr>
                <w:rFonts w:hint="eastAsia" w:ascii="宋体" w:hAnsi="宋体" w:eastAsia="宋体" w:cs="宋体"/>
                <w:i w:val="0"/>
                <w:iCs w:val="0"/>
                <w:color w:val="auto"/>
                <w:sz w:val="24"/>
                <w:szCs w:val="24"/>
                <w:highlight w:val="none"/>
                <w:lang w:eastAsia="zh-CN"/>
              </w:rPr>
              <w:t>。</w:t>
            </w:r>
          </w:p>
          <w:p w14:paraId="479408EB">
            <w:pPr>
              <w:pStyle w:val="56"/>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w:t>
            </w:r>
            <w:r>
              <w:rPr>
                <w:rFonts w:hint="eastAsia" w:ascii="宋体" w:hAnsi="宋体" w:eastAsia="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保证金的，受益人和收取单位须为采购人。</w:t>
            </w:r>
          </w:p>
          <w:p w14:paraId="68CDB1C9">
            <w:pPr>
              <w:pStyle w:val="56"/>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投标保证金有效期：自投标截止之日起90天。</w:t>
            </w:r>
          </w:p>
          <w:p w14:paraId="2CC548F2">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FF0000"/>
                <w:sz w:val="24"/>
                <w:szCs w:val="24"/>
                <w:highlight w:val="none"/>
                <w:lang w:val="en-US" w:eastAsia="zh-CN"/>
              </w:rPr>
              <w:t>4.</w:t>
            </w:r>
            <w:r>
              <w:rPr>
                <w:rFonts w:hint="eastAsia" w:ascii="宋体" w:hAnsi="宋体" w:eastAsia="宋体" w:cs="宋体"/>
                <w:b/>
                <w:bCs/>
                <w:i w:val="0"/>
                <w:iCs w:val="0"/>
                <w:color w:val="FF0000"/>
                <w:sz w:val="24"/>
                <w:szCs w:val="24"/>
                <w:highlight w:val="none"/>
              </w:rPr>
              <w:t>投标保证金须在电汇凭据附言栏中写明采购编号或采购项目简称及用途(投标保证金)。其复印件放在投标文件中其复印件放在投标文件中。</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0FAEE6C9">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965" w:type="dxa"/>
            <w:vAlign w:val="center"/>
          </w:tcPr>
          <w:p w14:paraId="1A5D11C5">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450" w:type="dxa"/>
            <w:gridSpan w:val="2"/>
            <w:vAlign w:val="center"/>
          </w:tcPr>
          <w:p w14:paraId="29F70D2B">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75ABDCC9">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1.样品制作的标准和要求：_________； </w:t>
            </w:r>
          </w:p>
          <w:p w14:paraId="636410A9">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2.是否需要随样品提交相关检测报告： </w:t>
            </w:r>
          </w:p>
          <w:p w14:paraId="4042F79A">
            <w:pPr>
              <w:pStyle w:val="5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69ACDCB3">
            <w:pPr>
              <w:pStyle w:val="5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365C0AF">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4.未中标人样品退还：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5.中标人样品保管、封存及退还：_________； </w:t>
            </w:r>
          </w:p>
          <w:p w14:paraId="5F60BBB0">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6.其他要求（如有）：_________。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03DA43E2">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965" w:type="dxa"/>
            <w:vAlign w:val="center"/>
          </w:tcPr>
          <w:p w14:paraId="2250462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450" w:type="dxa"/>
            <w:gridSpan w:val="2"/>
            <w:vAlign w:val="center"/>
          </w:tcPr>
          <w:p w14:paraId="7B2FDAC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4CE72DC4">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965" w:type="dxa"/>
            <w:vAlign w:val="center"/>
          </w:tcPr>
          <w:p w14:paraId="35FB661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450" w:type="dxa"/>
            <w:gridSpan w:val="2"/>
            <w:vAlign w:val="center"/>
          </w:tcPr>
          <w:p w14:paraId="44601FEC">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01B25268">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23FC94CD">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965" w:type="dxa"/>
            <w:vAlign w:val="center"/>
          </w:tcPr>
          <w:p w14:paraId="5A1E858C">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450" w:type="dxa"/>
            <w:gridSpan w:val="2"/>
            <w:vAlign w:val="center"/>
          </w:tcPr>
          <w:p w14:paraId="49F2488F">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42D57B39">
            <w:pPr>
              <w:pStyle w:val="5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965" w:type="dxa"/>
            <w:vAlign w:val="center"/>
          </w:tcPr>
          <w:p w14:paraId="109515DE">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450" w:type="dxa"/>
            <w:gridSpan w:val="2"/>
            <w:vAlign w:val="center"/>
          </w:tcPr>
          <w:p w14:paraId="0DB0E73E">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4EEEE9B4">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965" w:type="dxa"/>
            <w:vAlign w:val="center"/>
          </w:tcPr>
          <w:p w14:paraId="266C355B">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450" w:type="dxa"/>
            <w:gridSpan w:val="2"/>
            <w:vAlign w:val="center"/>
          </w:tcPr>
          <w:p w14:paraId="3AF868A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35A01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1D722A96">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965" w:type="dxa"/>
            <w:vAlign w:val="center"/>
          </w:tcPr>
          <w:p w14:paraId="0A6B190B">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450" w:type="dxa"/>
            <w:gridSpan w:val="2"/>
            <w:vAlign w:val="center"/>
          </w:tcPr>
          <w:p w14:paraId="52B73BFF">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2D4AA05F">
            <w:pPr>
              <w:pStyle w:val="5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85FFD88">
            <w:pPr>
              <w:pStyle w:val="5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□合同价的   %</w:t>
            </w:r>
          </w:p>
          <w:p w14:paraId="7DCA35D2">
            <w:pPr>
              <w:pStyle w:val="5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78911AAD">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12B7F8B1">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20AB6ECE">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 xml:space="preserve">收取单位：                            </w:t>
            </w:r>
          </w:p>
          <w:p w14:paraId="4D83FA75">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ascii="宋体" w:hAnsi="宋体" w:eastAsia="宋体" w:cs="宋体"/>
                <w:color w:val="auto"/>
                <w:sz w:val="24"/>
                <w:szCs w:val="24"/>
                <w:highlight w:val="none"/>
              </w:rPr>
              <w:t xml:space="preserve">              </w:t>
            </w:r>
          </w:p>
          <w:p w14:paraId="2CF8CC08">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 xml:space="preserve">退还时间：              </w:t>
            </w:r>
          </w:p>
          <w:p w14:paraId="5BA146AB">
            <w:pPr>
              <w:pStyle w:val="5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43FE4EC8">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191E3959">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600814BC">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965" w:type="dxa"/>
            <w:vAlign w:val="center"/>
          </w:tcPr>
          <w:p w14:paraId="74D19386">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450" w:type="dxa"/>
            <w:gridSpan w:val="2"/>
            <w:vAlign w:val="center"/>
          </w:tcPr>
          <w:p w14:paraId="4344EC45">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5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☑不允许 </w:t>
            </w:r>
          </w:p>
          <w:p w14:paraId="56DFA0F7">
            <w:pPr>
              <w:pStyle w:val="5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1.可以分包履行的具体内容：_____； </w:t>
            </w:r>
          </w:p>
          <w:p w14:paraId="71BE067E">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2.允许分包的金额或者比例：_____； </w:t>
            </w:r>
          </w:p>
          <w:p w14:paraId="2F04DF99">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3.其他要求：_____。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5BFFADC2">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965" w:type="dxa"/>
            <w:vAlign w:val="center"/>
          </w:tcPr>
          <w:p w14:paraId="6B25F509">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450" w:type="dxa"/>
            <w:gridSpan w:val="2"/>
            <w:vAlign w:val="center"/>
          </w:tcPr>
          <w:p w14:paraId="16FDE3E5">
            <w:pPr>
              <w:pStyle w:val="6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递交方式：</w:t>
            </w:r>
            <w:r>
              <w:rPr>
                <w:rFonts w:hint="eastAsia" w:ascii="宋体" w:hAnsi="宋体" w:eastAsia="宋体" w:cs="宋体"/>
                <w:b w:val="0"/>
                <w:bCs w:val="0"/>
                <w:i w:val="0"/>
                <w:iCs w:val="0"/>
                <w:color w:val="auto"/>
                <w:sz w:val="24"/>
                <w:szCs w:val="24"/>
                <w:highlight w:val="none"/>
                <w:u w:val="none"/>
                <w:lang w:val="en-US" w:eastAsia="zh-CN"/>
              </w:rPr>
              <w:t>书面形式</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kern w:val="2"/>
                <w:sz w:val="24"/>
                <w:szCs w:val="24"/>
                <w:highlight w:val="none"/>
                <w:u w:val="none"/>
                <w:lang w:val="zh-CN" w:eastAsia="zh-CN" w:bidi="ar-SA"/>
              </w:rPr>
              <w:t xml:space="preserve">              </w:t>
            </w:r>
          </w:p>
          <w:p w14:paraId="28135767">
            <w:pPr>
              <w:pStyle w:val="6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i w:val="0"/>
                <w:iCs w:val="0"/>
                <w:color w:val="auto"/>
                <w:kern w:val="2"/>
                <w:sz w:val="24"/>
                <w:szCs w:val="24"/>
                <w:highlight w:val="none"/>
                <w:u w:val="none"/>
                <w:lang w:val="zh-CN" w:eastAsia="zh-CN" w:bidi="ar-SA"/>
              </w:rPr>
            </w:pPr>
            <w:r>
              <w:rPr>
                <w:rFonts w:hint="eastAsia" w:ascii="宋体" w:hAnsi="宋体" w:eastAsia="宋体" w:cs="宋体"/>
                <w:b w:val="0"/>
                <w:bCs w:val="0"/>
                <w:i w:val="0"/>
                <w:iCs w:val="0"/>
                <w:color w:val="auto"/>
                <w:kern w:val="2"/>
                <w:sz w:val="24"/>
                <w:szCs w:val="24"/>
                <w:highlight w:val="none"/>
                <w:u w:val="none"/>
                <w:lang w:val="zh-CN" w:eastAsia="zh-CN" w:bidi="ar-SA"/>
              </w:rPr>
              <w:t xml:space="preserve">接收部门：新疆沃图恒辉建设工程项目管理有限公司              </w:t>
            </w:r>
          </w:p>
          <w:p w14:paraId="661D8A6C">
            <w:pPr>
              <w:pStyle w:val="6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i w:val="0"/>
                <w:iCs w:val="0"/>
                <w:color w:val="auto"/>
                <w:kern w:val="2"/>
                <w:sz w:val="24"/>
                <w:szCs w:val="24"/>
                <w:highlight w:val="none"/>
                <w:u w:val="none"/>
                <w:lang w:val="zh-CN" w:eastAsia="zh-CN" w:bidi="ar-SA"/>
              </w:rPr>
            </w:pPr>
            <w:r>
              <w:rPr>
                <w:rFonts w:hint="eastAsia" w:ascii="宋体" w:hAnsi="宋体" w:eastAsia="宋体" w:cs="宋体"/>
                <w:b w:val="0"/>
                <w:bCs w:val="0"/>
                <w:i w:val="0"/>
                <w:iCs w:val="0"/>
                <w:color w:val="auto"/>
                <w:kern w:val="2"/>
                <w:sz w:val="24"/>
                <w:szCs w:val="24"/>
                <w:highlight w:val="none"/>
                <w:u w:val="none"/>
                <w:lang w:val="zh-CN" w:eastAsia="zh-CN" w:bidi="ar-SA"/>
              </w:rPr>
              <w:t>联系电话：</w:t>
            </w:r>
            <w:r>
              <w:rPr>
                <w:rFonts w:hint="eastAsia" w:ascii="宋体" w:hAnsi="宋体" w:eastAsia="宋体" w:cs="宋体"/>
                <w:b w:val="0"/>
                <w:bCs w:val="0"/>
                <w:i w:val="0"/>
                <w:iCs w:val="0"/>
                <w:color w:val="auto"/>
                <w:kern w:val="2"/>
                <w:sz w:val="24"/>
                <w:szCs w:val="24"/>
                <w:highlight w:val="none"/>
                <w:u w:val="none"/>
                <w:lang w:val="en-US" w:eastAsia="zh-CN" w:bidi="ar-SA"/>
              </w:rPr>
              <w:t>15509945897</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kern w:val="2"/>
                <w:sz w:val="24"/>
                <w:szCs w:val="24"/>
                <w:highlight w:val="none"/>
                <w:u w:val="none"/>
                <w:lang w:val="zh-CN" w:eastAsia="zh-CN" w:bidi="ar-SA"/>
              </w:rPr>
              <w:t xml:space="preserve">              </w:t>
            </w:r>
          </w:p>
          <w:p w14:paraId="30211831">
            <w:pPr>
              <w:pStyle w:val="61"/>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val="0"/>
                <w:bCs w:val="0"/>
                <w:i w:val="0"/>
                <w:iCs w:val="0"/>
                <w:color w:val="auto"/>
                <w:kern w:val="2"/>
                <w:sz w:val="24"/>
                <w:szCs w:val="24"/>
                <w:highlight w:val="none"/>
                <w:u w:val="none"/>
                <w:lang w:val="zh-CN" w:eastAsia="zh-CN" w:bidi="ar-SA"/>
              </w:rPr>
              <w:t>通讯地址：新疆乌鲁木齐市水磨沟区红光山路2588号绿地中心领海101楼1</w:t>
            </w:r>
            <w:r>
              <w:rPr>
                <w:rFonts w:hint="eastAsia" w:ascii="宋体" w:hAnsi="宋体" w:eastAsia="宋体" w:cs="宋体"/>
                <w:b w:val="0"/>
                <w:bCs w:val="0"/>
                <w:i w:val="0"/>
                <w:iCs w:val="0"/>
                <w:color w:val="auto"/>
                <w:kern w:val="2"/>
                <w:sz w:val="24"/>
                <w:szCs w:val="24"/>
                <w:highlight w:val="none"/>
                <w:u w:val="none"/>
                <w:lang w:val="en-US" w:eastAsia="zh-CN" w:bidi="ar-SA"/>
              </w:rPr>
              <w:t>9</w:t>
            </w:r>
            <w:r>
              <w:rPr>
                <w:rFonts w:hint="eastAsia" w:ascii="宋体" w:hAnsi="宋体" w:eastAsia="宋体" w:cs="宋体"/>
                <w:b w:val="0"/>
                <w:bCs w:val="0"/>
                <w:i w:val="0"/>
                <w:iCs w:val="0"/>
                <w:color w:val="auto"/>
                <w:kern w:val="2"/>
                <w:sz w:val="24"/>
                <w:szCs w:val="24"/>
                <w:highlight w:val="none"/>
                <w:u w:val="none"/>
                <w:lang w:val="zh-CN" w:eastAsia="zh-CN" w:bidi="ar-SA"/>
              </w:rPr>
              <w:t>05A室</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422A3CDD">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965" w:type="dxa"/>
            <w:vAlign w:val="center"/>
          </w:tcPr>
          <w:p w14:paraId="1782DE5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450" w:type="dxa"/>
            <w:gridSpan w:val="2"/>
            <w:vAlign w:val="center"/>
          </w:tcPr>
          <w:p w14:paraId="572A09AD">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收</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采购人支付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中标人支付 </w:t>
            </w:r>
          </w:p>
          <w:p w14:paraId="4694409F">
            <w:pPr>
              <w:pStyle w:val="52"/>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i w:val="0"/>
                <w:iCs w:val="0"/>
                <w:color w:val="auto"/>
                <w:sz w:val="24"/>
                <w:szCs w:val="24"/>
                <w:highlight w:val="none"/>
                <w:lang w:eastAsia="zh-CN"/>
              </w:rPr>
              <w:t>按国家计费标准文件《招标代理服务收费管理暂行办法》（计价格【2002】1980号）文件</w:t>
            </w:r>
            <w:r>
              <w:rPr>
                <w:rFonts w:hint="eastAsia" w:ascii="宋体" w:hAnsi="宋体" w:eastAsia="宋体" w:cs="宋体"/>
                <w:i w:val="0"/>
                <w:iCs w:val="0"/>
                <w:color w:val="auto"/>
                <w:sz w:val="24"/>
                <w:szCs w:val="24"/>
                <w:highlight w:val="none"/>
                <w:lang w:val="en-US" w:eastAsia="zh-CN"/>
              </w:rPr>
              <w:t>收费标准下浮30%。</w:t>
            </w:r>
          </w:p>
          <w:p w14:paraId="1368AF2C">
            <w:pPr>
              <w:pStyle w:val="52"/>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时间：</w:t>
            </w:r>
            <w:r>
              <w:rPr>
                <w:rFonts w:hint="eastAsia" w:ascii="宋体" w:hAnsi="宋体" w:eastAsia="宋体" w:cs="宋体"/>
                <w:i w:val="0"/>
                <w:iCs w:val="0"/>
                <w:color w:val="auto"/>
                <w:sz w:val="24"/>
                <w:szCs w:val="24"/>
                <w:highlight w:val="none"/>
                <w:lang w:val="en-US" w:eastAsia="zh-CN"/>
              </w:rPr>
              <w:t>领取中标通知书之前</w:t>
            </w:r>
          </w:p>
          <w:p w14:paraId="76384588">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方式：</w:t>
            </w:r>
            <w:r>
              <w:rPr>
                <w:rFonts w:hint="eastAsia" w:ascii="宋体" w:hAnsi="宋体" w:eastAsia="宋体" w:cs="宋体"/>
                <w:i w:val="0"/>
                <w:iCs w:val="0"/>
                <w:color w:val="auto"/>
                <w:sz w:val="24"/>
                <w:szCs w:val="24"/>
                <w:highlight w:val="none"/>
                <w:lang w:val="en-US" w:eastAsia="zh-CN"/>
              </w:rPr>
              <w:t>现金或转账</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6F1BF374">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965" w:type="dxa"/>
            <w:vAlign w:val="center"/>
          </w:tcPr>
          <w:p w14:paraId="5D860FC6">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450" w:type="dxa"/>
            <w:gridSpan w:val="2"/>
            <w:vAlign w:val="center"/>
          </w:tcPr>
          <w:p w14:paraId="438B47D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06648806">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965" w:type="dxa"/>
            <w:vAlign w:val="center"/>
          </w:tcPr>
          <w:p w14:paraId="34AA448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5"/>
                <w:rFonts w:hint="eastAsia" w:ascii="宋体" w:hAnsi="宋体" w:eastAsia="宋体" w:cs="宋体"/>
                <w:b w:val="0"/>
                <w:color w:val="auto"/>
                <w:sz w:val="24"/>
                <w:szCs w:val="24"/>
                <w:highlight w:val="none"/>
                <w:lang w:val="en-US" w:eastAsia="zh-CN"/>
              </w:rPr>
              <w:t>（非专门面向中小企业采购项目适用）</w:t>
            </w:r>
          </w:p>
        </w:tc>
        <w:tc>
          <w:tcPr>
            <w:tcW w:w="6450" w:type="dxa"/>
            <w:gridSpan w:val="2"/>
            <w:vAlign w:val="center"/>
          </w:tcPr>
          <w:p w14:paraId="736B9D94">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  </w:t>
            </w:r>
            <w:r>
              <w:rPr>
                <w:rFonts w:hint="eastAsia" w:ascii="宋体" w:hAnsi="宋体" w:eastAsia="宋体" w:cs="宋体"/>
                <w:b w:val="0"/>
                <w:color w:val="auto"/>
                <w:sz w:val="24"/>
                <w:szCs w:val="24"/>
                <w:highlight w:val="none"/>
              </w:rPr>
              <w:t>。</w:t>
            </w:r>
          </w:p>
          <w:p w14:paraId="3A14D5AD">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1B996B16">
            <w:pPr>
              <w:pStyle w:val="73"/>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3AAFC5B3">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965" w:type="dxa"/>
            <w:vAlign w:val="center"/>
          </w:tcPr>
          <w:p w14:paraId="59931474">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52"/>
              <w:rPr>
                <w:rFonts w:hint="eastAsia" w:ascii="宋体" w:hAnsi="宋体" w:eastAsia="宋体" w:cs="宋体"/>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参照后附</w:t>
            </w:r>
            <w:r>
              <w:rPr>
                <w:rStyle w:val="35"/>
                <w:rFonts w:hint="eastAsia" w:ascii="宋体" w:hAnsi="宋体" w:eastAsia="宋体" w:cs="宋体"/>
                <w:b w:val="0"/>
                <w:color w:val="auto"/>
                <w:sz w:val="24"/>
                <w:szCs w:val="24"/>
                <w:highlight w:val="none"/>
                <w:lang w:eastAsia="zh-CN"/>
              </w:rPr>
              <w:t>《</w:t>
            </w:r>
            <w:r>
              <w:rPr>
                <w:rStyle w:val="35"/>
                <w:rFonts w:hint="eastAsia" w:ascii="宋体" w:hAnsi="宋体" w:eastAsia="宋体" w:cs="宋体"/>
                <w:b w:val="0"/>
                <w:color w:val="auto"/>
                <w:sz w:val="24"/>
                <w:szCs w:val="24"/>
                <w:highlight w:val="none"/>
              </w:rPr>
              <w:t>工信部联企业〔2011〕300号</w:t>
            </w:r>
            <w:r>
              <w:rPr>
                <w:rStyle w:val="35"/>
                <w:rFonts w:hint="eastAsia" w:ascii="宋体" w:hAnsi="宋体" w:eastAsia="宋体" w:cs="宋体"/>
                <w:b w:val="0"/>
                <w:color w:val="auto"/>
                <w:sz w:val="24"/>
                <w:szCs w:val="24"/>
                <w:highlight w:val="none"/>
                <w:lang w:eastAsia="zh-CN"/>
              </w:rPr>
              <w:t>》</w:t>
            </w:r>
          </w:p>
        </w:tc>
        <w:tc>
          <w:tcPr>
            <w:tcW w:w="6450" w:type="dxa"/>
            <w:gridSpan w:val="2"/>
            <w:vAlign w:val="center"/>
          </w:tcPr>
          <w:p w14:paraId="661B3847">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本项目采购标的对应的中小企业划分标准所属行业：租赁和商务服务行业</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tcBorders>
              <w:right w:val="single" w:color="auto" w:sz="4" w:space="0"/>
            </w:tcBorders>
            <w:vAlign w:val="center"/>
          </w:tcPr>
          <w:p w14:paraId="59449E7E">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965" w:type="dxa"/>
            <w:tcBorders>
              <w:right w:val="single" w:color="auto" w:sz="4" w:space="0"/>
            </w:tcBorders>
            <w:vAlign w:val="center"/>
          </w:tcPr>
          <w:p w14:paraId="7068A1E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450" w:type="dxa"/>
            <w:gridSpan w:val="2"/>
            <w:tcBorders>
              <w:left w:val="single" w:color="auto" w:sz="4" w:space="0"/>
            </w:tcBorders>
            <w:vAlign w:val="center"/>
          </w:tcPr>
          <w:p w14:paraId="14DB71C0">
            <w:pPr>
              <w:pStyle w:val="52"/>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本项目为不见面开标，开标当天不需要提供纸质版投标文件，开标结束后根据招标人或招标代理要求提供纸质版投标文件及电子投标文件。</w:t>
            </w:r>
          </w:p>
        </w:tc>
      </w:tr>
    </w:tbl>
    <w:p w14:paraId="452C548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10914FC">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ascii="宋体" w:hAnsi="宋体" w:eastAsia="宋体" w:cs="宋体"/>
          <w:b/>
          <w:bCs/>
          <w:color w:val="auto"/>
          <w:kern w:val="2"/>
          <w:sz w:val="28"/>
          <w:szCs w:val="28"/>
          <w:highlight w:val="none"/>
          <w:lang w:val="en-US" w:eastAsia="zh-CN" w:bidi="ar-SA"/>
        </w:rPr>
      </w:pPr>
      <w:bookmarkStart w:id="106" w:name="_Toc9646"/>
      <w:bookmarkStart w:id="107" w:name="_Toc25718"/>
      <w:bookmarkStart w:id="108" w:name="_Toc155185869"/>
      <w:r>
        <w:rPr>
          <w:rFonts w:hint="eastAsia" w:ascii="宋体" w:hAnsi="宋体" w:eastAsia="宋体" w:cs="宋体"/>
          <w:b/>
          <w:bCs/>
          <w:color w:val="auto"/>
          <w:kern w:val="2"/>
          <w:sz w:val="28"/>
          <w:szCs w:val="28"/>
          <w:highlight w:val="none"/>
          <w:lang w:val="en-US" w:eastAsia="zh-CN" w:bidi="ar-SA"/>
        </w:rPr>
        <w:t>二、投标人须知</w:t>
      </w:r>
      <w:bookmarkEnd w:id="106"/>
      <w:bookmarkEnd w:id="107"/>
      <w:bookmarkEnd w:id="108"/>
    </w:p>
    <w:p w14:paraId="604D77A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color w:val="auto"/>
          <w:sz w:val="24"/>
          <w:highlight w:val="none"/>
        </w:rPr>
      </w:pPr>
      <w:bookmarkStart w:id="109" w:name="_Toc27067"/>
      <w:bookmarkStart w:id="110" w:name="_Toc23355"/>
      <w:bookmarkStart w:id="111" w:name="_Toc163492822"/>
      <w:bookmarkStart w:id="112" w:name="_Toc27686"/>
      <w:bookmarkStart w:id="113" w:name="_Toc155185870"/>
      <w:bookmarkStart w:id="114" w:name="_Toc29307"/>
      <w:bookmarkStart w:id="115" w:name="_Toc26511"/>
      <w:r>
        <w:rPr>
          <w:rFonts w:hint="eastAsia" w:ascii="宋体" w:hAnsi="宋体" w:eastAsia="宋体" w:cs="宋体"/>
          <w:b/>
          <w:bCs/>
          <w:color w:val="auto"/>
          <w:kern w:val="2"/>
          <w:sz w:val="24"/>
          <w:szCs w:val="32"/>
          <w:highlight w:val="none"/>
          <w:lang w:val="en-US" w:eastAsia="zh-CN" w:bidi="ar-SA"/>
        </w:rPr>
        <w:t>（一）</w:t>
      </w:r>
      <w:r>
        <w:rPr>
          <w:rFonts w:hint="eastAsia" w:ascii="宋体" w:hAnsi="宋体" w:eastAsia="宋体" w:cs="宋体"/>
          <w:color w:val="auto"/>
          <w:sz w:val="24"/>
          <w:highlight w:val="none"/>
        </w:rPr>
        <w:t>总则</w:t>
      </w:r>
      <w:bookmarkEnd w:id="109"/>
      <w:bookmarkEnd w:id="110"/>
      <w:bookmarkEnd w:id="111"/>
      <w:bookmarkEnd w:id="112"/>
      <w:bookmarkEnd w:id="113"/>
      <w:bookmarkEnd w:id="114"/>
      <w:bookmarkEnd w:id="115"/>
    </w:p>
    <w:p w14:paraId="788765C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color w:val="auto"/>
          <w:sz w:val="24"/>
          <w:highlight w:val="none"/>
        </w:rPr>
      </w:pPr>
      <w:bookmarkStart w:id="116" w:name="_Toc155095689"/>
      <w:bookmarkStart w:id="117" w:name="_Toc163492823"/>
      <w:bookmarkStart w:id="118" w:name="_Toc109897532"/>
      <w:bookmarkStart w:id="119" w:name="_Toc8451"/>
      <w:bookmarkStart w:id="120" w:name="_Toc109900050"/>
      <w:bookmarkStart w:id="121" w:name="_Toc31233"/>
      <w:bookmarkStart w:id="122" w:name="_Toc29103"/>
      <w:bookmarkStart w:id="123" w:name="_Toc109900469"/>
      <w:bookmarkStart w:id="124" w:name="_Toc24824"/>
      <w:bookmarkStart w:id="125" w:name="_Toc26566"/>
      <w:bookmarkStart w:id="126" w:name="_Toc9584"/>
      <w:bookmarkStart w:id="127" w:name="_Toc109899631"/>
      <w:r>
        <w:rPr>
          <w:rFonts w:hint="eastAsia" w:ascii="宋体" w:hAnsi="宋体" w:eastAsia="宋体" w:cs="宋体"/>
          <w:b/>
          <w:bCs/>
          <w:color w:val="auto"/>
          <w:kern w:val="2"/>
          <w:sz w:val="24"/>
          <w:szCs w:val="28"/>
          <w:highlight w:val="none"/>
          <w:lang w:val="en-US" w:eastAsia="zh-CN" w:bidi="ar-SA"/>
        </w:rPr>
        <w:t>1.</w:t>
      </w:r>
      <w:r>
        <w:rPr>
          <w:rFonts w:hint="eastAsia" w:ascii="宋体" w:hAnsi="宋体" w:eastAsia="宋体" w:cs="宋体"/>
          <w:color w:val="auto"/>
          <w:sz w:val="24"/>
          <w:highlight w:val="none"/>
        </w:rPr>
        <w:t>适用范围</w:t>
      </w:r>
      <w:bookmarkEnd w:id="116"/>
      <w:bookmarkEnd w:id="117"/>
      <w:bookmarkEnd w:id="118"/>
      <w:bookmarkEnd w:id="119"/>
      <w:bookmarkEnd w:id="120"/>
      <w:bookmarkEnd w:id="121"/>
      <w:bookmarkEnd w:id="122"/>
      <w:bookmarkEnd w:id="123"/>
      <w:bookmarkEnd w:id="124"/>
      <w:bookmarkEnd w:id="125"/>
      <w:bookmarkEnd w:id="126"/>
      <w:bookmarkEnd w:id="127"/>
    </w:p>
    <w:p w14:paraId="3896363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1.1本招标文件仅适用于本项目的采购活动。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28" w:name="_Toc11923"/>
      <w:bookmarkStart w:id="129" w:name="_Toc20400"/>
      <w:bookmarkStart w:id="130" w:name="_Toc163492824"/>
      <w:bookmarkStart w:id="131" w:name="_Toc32274"/>
      <w:bookmarkStart w:id="132" w:name="_Toc26282"/>
      <w:bookmarkStart w:id="133" w:name="_Toc12612"/>
      <w:r>
        <w:rPr>
          <w:rFonts w:hint="eastAsia" w:ascii="宋体" w:hAnsi="宋体" w:eastAsia="宋体" w:cs="宋体"/>
          <w:b/>
          <w:bCs/>
          <w:color w:val="auto"/>
          <w:kern w:val="2"/>
          <w:sz w:val="24"/>
          <w:szCs w:val="28"/>
          <w:highlight w:val="none"/>
          <w:lang w:val="en-US" w:eastAsia="zh-CN" w:bidi="ar-SA"/>
        </w:rPr>
        <w:t>2.基本定义</w:t>
      </w:r>
      <w:bookmarkEnd w:id="128"/>
      <w:bookmarkEnd w:id="129"/>
      <w:bookmarkEnd w:id="130"/>
      <w:bookmarkEnd w:id="131"/>
      <w:bookmarkEnd w:id="132"/>
      <w:bookmarkEnd w:id="133"/>
    </w:p>
    <w:p w14:paraId="768D70C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highlight w:val="none"/>
          <w:lang w:val="en-US" w:eastAsia="zh-CN"/>
        </w:rPr>
        <w:t>委托的采购代理机构</w:t>
      </w:r>
      <w:r>
        <w:rPr>
          <w:rFonts w:hint="eastAsia" w:ascii="宋体" w:hAnsi="宋体" w:eastAsia="宋体" w:cs="宋体"/>
          <w:color w:val="auto"/>
          <w:sz w:val="24"/>
          <w:highlight w:val="none"/>
        </w:rPr>
        <w:t>。</w:t>
      </w:r>
    </w:p>
    <w:p w14:paraId="26D5074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 核心产品见</w:t>
      </w:r>
      <w:r>
        <w:rPr>
          <w:rFonts w:hint="eastAsia" w:ascii="宋体" w:hAnsi="宋体" w:eastAsia="宋体" w:cs="宋体"/>
          <w:color w:val="auto"/>
          <w:sz w:val="24"/>
          <w:highlight w:val="none"/>
        </w:rPr>
        <w:t>“投标人须知前附表”</w:t>
      </w:r>
      <w:r>
        <w:rPr>
          <w:rFonts w:hint="eastAsia" w:ascii="宋体" w:hAnsi="宋体" w:eastAsia="宋体" w:cs="宋体"/>
          <w:color w:val="auto"/>
          <w:sz w:val="24"/>
          <w:highlight w:val="none"/>
          <w:lang w:val="en-US" w:eastAsia="zh-CN"/>
        </w:rPr>
        <w:t>。</w:t>
      </w:r>
    </w:p>
    <w:p w14:paraId="6557BF3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2.6是否属于</w:t>
      </w:r>
      <w:r>
        <w:rPr>
          <w:rFonts w:hint="eastAsia" w:ascii="宋体" w:hAnsi="宋体" w:eastAsia="宋体" w:cs="宋体"/>
          <w:color w:val="auto"/>
          <w:kern w:val="0"/>
          <w:sz w:val="24"/>
          <w:szCs w:val="24"/>
          <w:highlight w:val="none"/>
          <w:lang w:val="en-US" w:eastAsia="zh-CN" w:bidi="ar"/>
        </w:rPr>
        <w:t>科研仪器设备采购</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须知前附表”</w:t>
      </w:r>
      <w:r>
        <w:rPr>
          <w:rFonts w:hint="eastAsia" w:ascii="宋体" w:hAnsi="宋体" w:eastAsia="宋体" w:cs="宋体"/>
          <w:color w:val="auto"/>
          <w:sz w:val="24"/>
          <w:highlight w:val="none"/>
          <w:lang w:val="en-US" w:eastAsia="zh-CN"/>
        </w:rPr>
        <w:t>。</w:t>
      </w:r>
    </w:p>
    <w:p w14:paraId="214DD75F">
      <w:pPr>
        <w:ind w:firstLine="480" w:firstLineChars="200"/>
        <w:rPr>
          <w:rFonts w:hint="eastAsia" w:ascii="宋体" w:hAnsi="宋体" w:eastAsia="宋体" w:cs="宋体"/>
          <w:color w:val="auto"/>
          <w:sz w:val="24"/>
          <w:highlight w:val="none"/>
        </w:rPr>
      </w:pPr>
      <w:r>
        <w:rPr>
          <w:rFonts w:hint="eastAsia" w:ascii="宋体" w:hAnsi="宋体" w:eastAsia="宋体" w:cs="宋体"/>
          <w:iCs/>
          <w:color w:val="auto"/>
          <w:sz w:val="24"/>
          <w:highlight w:val="none"/>
          <w:shd w:val="clear" w:color="auto" w:fill="FFFFFF" w:themeFill="background1"/>
        </w:rPr>
        <w:t>2.</w:t>
      </w:r>
      <w:r>
        <w:rPr>
          <w:rFonts w:hint="eastAsia" w:ascii="宋体" w:hAnsi="宋体" w:eastAsia="宋体" w:cs="宋体"/>
          <w:iCs/>
          <w:color w:val="auto"/>
          <w:sz w:val="24"/>
          <w:highlight w:val="none"/>
          <w:shd w:val="clear" w:color="auto" w:fill="FFFFFF" w:themeFill="background1"/>
          <w:lang w:val="en-US" w:eastAsia="zh-CN"/>
        </w:rPr>
        <w:t>7</w:t>
      </w:r>
      <w:r>
        <w:rPr>
          <w:rFonts w:hint="eastAsia" w:ascii="宋体" w:hAnsi="宋体" w:eastAsia="宋体" w:cs="宋体"/>
          <w:iCs/>
          <w:color w:val="auto"/>
          <w:sz w:val="24"/>
          <w:highlight w:val="none"/>
          <w:shd w:val="clear" w:color="auto" w:fill="FFFFFF" w:themeFill="background1"/>
        </w:rPr>
        <w:t>投标人（也称“供应商”、“申请人”）：指向采购人提供货物、工程或者服务的法人、其他组织或者自然人。</w:t>
      </w:r>
      <w:r>
        <w:rPr>
          <w:rFonts w:hint="eastAsia" w:ascii="宋体" w:hAnsi="宋体" w:eastAsia="宋体" w:cs="宋体"/>
          <w:color w:val="auto"/>
          <w:sz w:val="24"/>
          <w:highlight w:val="none"/>
        </w:rPr>
        <w:t>分支机构不得参加政府采购活动，但银行、保险、石油石化、电力、电信等</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rPr>
        <w:t>行业特殊</w:t>
      </w:r>
      <w:r>
        <w:rPr>
          <w:rFonts w:hint="eastAsia" w:ascii="宋体" w:hAnsi="宋体" w:eastAsia="宋体" w:cs="宋体"/>
          <w:color w:val="auto"/>
          <w:sz w:val="24"/>
          <w:highlight w:val="none"/>
          <w:lang w:val="en-US" w:eastAsia="zh-CN"/>
        </w:rPr>
        <w:t>情况的</w:t>
      </w:r>
      <w:r>
        <w:rPr>
          <w:rFonts w:hint="eastAsia" w:ascii="宋体" w:hAnsi="宋体" w:eastAsia="宋体" w:cs="宋体"/>
          <w:color w:val="auto"/>
          <w:sz w:val="24"/>
          <w:highlight w:val="none"/>
        </w:rPr>
        <w:t>除外。本项目的投标人须满足以下条件：</w:t>
      </w:r>
    </w:p>
    <w:p w14:paraId="2518C53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.1具备《中华人民共和国政府采购法》第二十二条规定的条件，遵守本项目采购人本级和上级财政部门政府采购的有关规定。</w:t>
      </w:r>
    </w:p>
    <w:p w14:paraId="76745163">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.2以招标公告中发布的方式依法获得了本项目的招标文件。</w:t>
      </w:r>
    </w:p>
    <w:p w14:paraId="0DE24F0D">
      <w:p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2.7.3符合本招标文件规定并参加投标的供应商。</w:t>
      </w:r>
    </w:p>
    <w:p w14:paraId="5FC27D1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w:t>
      </w:r>
      <w:r>
        <w:rPr>
          <w:rFonts w:hint="eastAsia" w:ascii="宋体" w:hAnsi="宋体" w:eastAsia="宋体" w:cs="宋体"/>
          <w:iCs/>
          <w:color w:val="auto"/>
          <w:sz w:val="24"/>
          <w:highlight w:val="none"/>
          <w:shd w:val="clear" w:color="auto" w:fill="FFFFFF" w:themeFill="background1"/>
        </w:rPr>
        <w:t>潜在投标人、潜在供应商</w:t>
      </w:r>
      <w:r>
        <w:rPr>
          <w:rFonts w:hint="eastAsia" w:ascii="宋体" w:hAnsi="宋体" w:eastAsia="宋体" w:cs="宋体"/>
          <w:iCs/>
          <w:color w:val="auto"/>
          <w:sz w:val="24"/>
          <w:highlight w:val="none"/>
          <w:shd w:val="clear" w:color="auto" w:fill="FFFFFF" w:themeFill="background1"/>
          <w:lang w:eastAsia="zh-CN"/>
        </w:rPr>
        <w:t>：</w:t>
      </w:r>
      <w:r>
        <w:rPr>
          <w:rFonts w:hint="eastAsia" w:ascii="宋体" w:hAnsi="宋体" w:eastAsia="宋体" w:cs="宋体"/>
          <w:iCs/>
          <w:color w:val="auto"/>
          <w:sz w:val="24"/>
          <w:highlight w:val="none"/>
          <w:shd w:val="clear" w:color="auto" w:fill="FFFFFF" w:themeFill="background1"/>
          <w:lang w:val="en-US" w:eastAsia="zh-CN"/>
        </w:rPr>
        <w:t>指</w:t>
      </w:r>
      <w:r>
        <w:rPr>
          <w:rFonts w:hint="eastAsia" w:ascii="宋体" w:hAnsi="宋体" w:eastAsia="宋体" w:cs="宋体"/>
          <w:color w:val="auto"/>
          <w:sz w:val="24"/>
          <w:highlight w:val="none"/>
          <w:lang w:val="en-US" w:eastAsia="zh-CN"/>
        </w:rPr>
        <w:t>符合本招标文件规定的供应商。</w:t>
      </w:r>
    </w:p>
    <w:p w14:paraId="7BECD8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4" w:name="_Toc9283"/>
      <w:bookmarkStart w:id="135" w:name="_Toc28067"/>
      <w:bookmarkStart w:id="136" w:name="_Toc5535"/>
      <w:bookmarkStart w:id="137" w:name="_Toc16195"/>
      <w:bookmarkStart w:id="138" w:name="_Toc140132758"/>
      <w:bookmarkStart w:id="139" w:name="_Toc24003"/>
      <w:bookmarkStart w:id="140" w:name="_Toc163492825"/>
      <w:r>
        <w:rPr>
          <w:rFonts w:hint="eastAsia" w:ascii="宋体" w:hAnsi="宋体" w:eastAsia="宋体" w:cs="宋体"/>
          <w:b/>
          <w:bCs/>
          <w:color w:val="auto"/>
          <w:kern w:val="2"/>
          <w:sz w:val="24"/>
          <w:szCs w:val="28"/>
          <w:highlight w:val="none"/>
          <w:lang w:val="en-US" w:eastAsia="zh-CN" w:bidi="ar-SA"/>
        </w:rPr>
        <w:t>3.资金来源</w:t>
      </w:r>
      <w:bookmarkEnd w:id="134"/>
      <w:bookmarkEnd w:id="135"/>
      <w:bookmarkEnd w:id="136"/>
      <w:bookmarkEnd w:id="137"/>
      <w:bookmarkEnd w:id="138"/>
      <w:bookmarkEnd w:id="139"/>
      <w:bookmarkEnd w:id="140"/>
    </w:p>
    <w:p w14:paraId="76E8C14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3.1资金来源：</w:t>
      </w:r>
      <w:r>
        <w:rPr>
          <w:rFonts w:hint="eastAsia" w:ascii="宋体" w:hAnsi="宋体" w:eastAsia="宋体" w:cs="宋体"/>
          <w:color w:val="auto"/>
          <w:sz w:val="24"/>
          <w:highlight w:val="none"/>
          <w:lang w:val="en-US" w:eastAsia="zh-CN"/>
        </w:rPr>
        <w:t>为财政性资金即</w:t>
      </w:r>
      <w:r>
        <w:rPr>
          <w:rFonts w:hint="eastAsia" w:ascii="宋体" w:hAnsi="宋体" w:eastAsia="宋体" w:cs="宋体"/>
          <w:color w:val="auto"/>
          <w:sz w:val="24"/>
          <w:highlight w:val="none"/>
        </w:rPr>
        <w:t>纳入预算管理的资金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以财政性资金作为还款来源的借贷资金，视同财政性资金。财政性资金与非财政性资金无法分割采购的，统一适用《中华人民共和国政府采购法》及其实施条例。</w:t>
      </w:r>
    </w:p>
    <w:p w14:paraId="17722C4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1" w:name="_Toc23672"/>
      <w:bookmarkStart w:id="142" w:name="_Toc28175"/>
      <w:bookmarkStart w:id="143" w:name="_Toc14888"/>
      <w:bookmarkStart w:id="144" w:name="_Toc4999"/>
      <w:bookmarkStart w:id="145" w:name="_Toc163492826"/>
      <w:bookmarkStart w:id="146" w:name="_Toc17305"/>
      <w:bookmarkStart w:id="147" w:name="_Toc140132760"/>
      <w:r>
        <w:rPr>
          <w:rFonts w:hint="eastAsia" w:ascii="宋体" w:hAnsi="宋体" w:eastAsia="宋体" w:cs="宋体"/>
          <w:b/>
          <w:bCs/>
          <w:color w:val="auto"/>
          <w:kern w:val="2"/>
          <w:sz w:val="24"/>
          <w:szCs w:val="28"/>
          <w:highlight w:val="none"/>
          <w:lang w:val="en-US" w:eastAsia="zh-CN" w:bidi="ar-SA"/>
        </w:rPr>
        <w:t>4.投标人资格要求</w:t>
      </w:r>
      <w:bookmarkEnd w:id="141"/>
      <w:bookmarkEnd w:id="142"/>
      <w:bookmarkEnd w:id="143"/>
      <w:bookmarkEnd w:id="144"/>
      <w:bookmarkEnd w:id="145"/>
      <w:bookmarkEnd w:id="146"/>
      <w:bookmarkEnd w:id="147"/>
    </w:p>
    <w:p w14:paraId="522AD9C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4.1投标人资格要求：见“</w:t>
      </w:r>
      <w:r>
        <w:rPr>
          <w:rFonts w:hint="eastAsia" w:ascii="宋体" w:hAnsi="宋体" w:eastAsia="宋体" w:cs="宋体"/>
          <w:color w:val="auto"/>
          <w:sz w:val="24"/>
          <w:highlight w:val="none"/>
          <w:lang w:val="en-US" w:eastAsia="zh-CN"/>
        </w:rPr>
        <w:t>第一章 招标公告</w:t>
      </w:r>
      <w:r>
        <w:rPr>
          <w:rFonts w:hint="eastAsia" w:ascii="宋体" w:hAnsi="宋体" w:eastAsia="宋体" w:cs="宋体"/>
          <w:color w:val="auto"/>
          <w:sz w:val="24"/>
          <w:highlight w:val="none"/>
        </w:rPr>
        <w:t>”；</w:t>
      </w:r>
    </w:p>
    <w:p w14:paraId="3B57853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第一章 招标公告</w:t>
      </w:r>
      <w:r>
        <w:rPr>
          <w:rFonts w:hint="eastAsia" w:ascii="宋体" w:hAnsi="宋体" w:eastAsia="宋体" w:cs="宋体"/>
          <w:color w:val="auto"/>
          <w:sz w:val="24"/>
          <w:highlight w:val="none"/>
          <w:lang w:val="zh-CN" w:eastAsia="zh-CN"/>
        </w:rPr>
        <w:t>”规定接受联合体投标的，还应遵守以下规定：</w:t>
      </w:r>
    </w:p>
    <w:p w14:paraId="512308F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2"/>
          <w:highlight w:val="none"/>
          <w:shd w:val="clear" w:color="auto" w:fill="FFFFFF" w:themeFill="background1"/>
          <w:lang w:val="zh-CN" w:eastAsia="zh-CN" w:bidi="ar-SA"/>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1两个以上的自然人、法人或者其他组织可以组成一个联合体，以一个</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CN" w:eastAsia="zh-CN"/>
        </w:rPr>
        <w:t>的身份共同参加政府采购。</w:t>
      </w:r>
      <w:r>
        <w:rPr>
          <w:rFonts w:hint="eastAsia" w:ascii="宋体" w:hAnsi="宋体" w:eastAsia="宋体" w:cs="宋体"/>
          <w:iCs/>
          <w:color w:val="auto"/>
          <w:kern w:val="2"/>
          <w:sz w:val="24"/>
          <w:szCs w:val="22"/>
          <w:highlight w:val="none"/>
          <w:shd w:val="clear" w:color="auto" w:fill="FFFFFF" w:themeFill="background1"/>
          <w:lang w:val="zh-CN" w:eastAsia="zh-CN" w:bidi="ar-SA"/>
        </w:rPr>
        <w:t>以联合体形式进行政府采购的，参加联合体的供应商均应当具备《</w:t>
      </w:r>
      <w:r>
        <w:rPr>
          <w:rFonts w:hint="eastAsia" w:ascii="宋体" w:hAnsi="宋体" w:eastAsia="宋体" w:cs="宋体"/>
          <w:color w:val="auto"/>
          <w:sz w:val="24"/>
          <w:highlight w:val="none"/>
        </w:rPr>
        <w:t>中华人民共和国政府采购法</w:t>
      </w:r>
      <w:r>
        <w:rPr>
          <w:rFonts w:hint="eastAsia" w:ascii="宋体" w:hAnsi="宋体" w:eastAsia="宋体" w:cs="宋体"/>
          <w:iCs/>
          <w:color w:val="auto"/>
          <w:kern w:val="2"/>
          <w:sz w:val="24"/>
          <w:szCs w:val="22"/>
          <w:highlight w:val="none"/>
          <w:shd w:val="clear" w:color="auto" w:fill="FFFFFF" w:themeFill="background1"/>
          <w:lang w:val="zh-CN" w:eastAsia="zh-CN" w:bidi="ar-SA"/>
        </w:rPr>
        <w:t>》第二十二条规定的条件。</w:t>
      </w:r>
    </w:p>
    <w:p w14:paraId="7EFB49B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2"/>
          <w:highlight w:val="none"/>
          <w:shd w:val="clear" w:color="auto" w:fill="FFFFFF" w:themeFill="background1"/>
          <w:lang w:val="zh-CN"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4</w:t>
      </w:r>
      <w:r>
        <w:rPr>
          <w:rFonts w:hint="eastAsia" w:ascii="宋体" w:hAnsi="宋体" w:eastAsia="宋体" w:cs="宋体"/>
          <w:iCs/>
          <w:color w:val="auto"/>
          <w:kern w:val="2"/>
          <w:sz w:val="24"/>
          <w:szCs w:val="22"/>
          <w:highlight w:val="none"/>
          <w:shd w:val="clear" w:color="auto" w:fill="FFFFFF" w:themeFill="background1"/>
          <w:lang w:val="zh-CN" w:eastAsia="zh-CN" w:bidi="ar-SA"/>
        </w:rPr>
        <w:t>.</w:t>
      </w:r>
      <w:r>
        <w:rPr>
          <w:rFonts w:hint="eastAsia" w:ascii="宋体" w:hAnsi="宋体" w:eastAsia="宋体" w:cs="宋体"/>
          <w:iCs/>
          <w:color w:val="auto"/>
          <w:kern w:val="2"/>
          <w:sz w:val="24"/>
          <w:szCs w:val="22"/>
          <w:highlight w:val="none"/>
          <w:shd w:val="clear" w:color="auto" w:fill="FFFFFF" w:themeFill="background1"/>
          <w:lang w:val="en-US" w:eastAsia="zh-CN" w:bidi="ar-SA"/>
        </w:rPr>
        <w:t>2.2</w:t>
      </w:r>
      <w:r>
        <w:rPr>
          <w:rFonts w:hint="eastAsia" w:ascii="宋体" w:hAnsi="宋体" w:eastAsia="宋体" w:cs="宋体"/>
          <w:iCs/>
          <w:color w:val="auto"/>
          <w:kern w:val="2"/>
          <w:sz w:val="24"/>
          <w:szCs w:val="22"/>
          <w:highlight w:val="none"/>
          <w:shd w:val="clear" w:color="auto" w:fill="FFFFFF" w:themeFill="background1"/>
          <w:lang w:val="zh-CN" w:eastAsia="zh-CN" w:bidi="ar-SA"/>
        </w:rPr>
        <w:t>联合体各方应按招标文件提供的格式签订联合</w:t>
      </w:r>
      <w:r>
        <w:rPr>
          <w:rFonts w:hint="eastAsia" w:ascii="宋体" w:hAnsi="宋体" w:eastAsia="宋体" w:cs="宋体"/>
          <w:iCs/>
          <w:color w:val="auto"/>
          <w:kern w:val="2"/>
          <w:sz w:val="24"/>
          <w:szCs w:val="22"/>
          <w:highlight w:val="none"/>
          <w:shd w:val="clear" w:color="auto" w:fill="FFFFFF" w:themeFill="background1"/>
          <w:lang w:val="en-US" w:eastAsia="zh-CN" w:bidi="ar-SA"/>
        </w:rPr>
        <w:t>体</w:t>
      </w:r>
      <w:r>
        <w:rPr>
          <w:rFonts w:hint="eastAsia" w:ascii="宋体" w:hAnsi="宋体" w:eastAsia="宋体" w:cs="宋体"/>
          <w:iCs/>
          <w:color w:val="auto"/>
          <w:kern w:val="2"/>
          <w:sz w:val="24"/>
          <w:szCs w:val="22"/>
          <w:highlight w:val="none"/>
          <w:shd w:val="clear" w:color="auto" w:fill="FFFFFF" w:themeFill="background1"/>
          <w:lang w:val="zh-CN" w:eastAsia="zh-CN" w:bidi="ar-SA"/>
        </w:rPr>
        <w:t>协议</w:t>
      </w:r>
      <w:r>
        <w:rPr>
          <w:rFonts w:hint="eastAsia" w:ascii="宋体" w:hAnsi="宋体" w:eastAsia="宋体" w:cs="宋体"/>
          <w:iCs/>
          <w:color w:val="auto"/>
          <w:kern w:val="2"/>
          <w:sz w:val="24"/>
          <w:szCs w:val="22"/>
          <w:highlight w:val="none"/>
          <w:shd w:val="clear" w:color="auto" w:fill="FFFFFF" w:themeFill="background1"/>
          <w:lang w:val="en-US" w:eastAsia="zh-CN" w:bidi="ar-SA"/>
        </w:rPr>
        <w:t>书</w:t>
      </w:r>
      <w:r>
        <w:rPr>
          <w:rFonts w:hint="eastAsia" w:ascii="宋体" w:hAnsi="宋体" w:eastAsia="宋体" w:cs="宋体"/>
          <w:iCs/>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Cs/>
          <w:color w:val="auto"/>
          <w:kern w:val="2"/>
          <w:sz w:val="24"/>
          <w:szCs w:val="22"/>
          <w:highlight w:val="none"/>
          <w:shd w:val="clear" w:color="auto" w:fill="FFFFFF" w:themeFill="background1"/>
          <w:lang w:val="en-US" w:eastAsia="zh-CN" w:bidi="ar-SA"/>
        </w:rPr>
        <w:t>体</w:t>
      </w:r>
      <w:r>
        <w:rPr>
          <w:rFonts w:hint="eastAsia" w:ascii="宋体" w:hAnsi="宋体" w:eastAsia="宋体" w:cs="宋体"/>
          <w:iCs/>
          <w:color w:val="auto"/>
          <w:kern w:val="2"/>
          <w:sz w:val="24"/>
          <w:szCs w:val="22"/>
          <w:highlight w:val="none"/>
          <w:shd w:val="clear" w:color="auto" w:fill="FFFFFF" w:themeFill="background1"/>
          <w:lang w:val="zh-CN" w:eastAsia="zh-CN" w:bidi="ar-SA"/>
        </w:rPr>
        <w:t>协议</w:t>
      </w:r>
      <w:r>
        <w:rPr>
          <w:rFonts w:hint="eastAsia" w:ascii="宋体" w:hAnsi="宋体" w:eastAsia="宋体" w:cs="宋体"/>
          <w:iCs/>
          <w:color w:val="auto"/>
          <w:kern w:val="2"/>
          <w:sz w:val="24"/>
          <w:szCs w:val="22"/>
          <w:highlight w:val="none"/>
          <w:shd w:val="clear" w:color="auto" w:fill="FFFFFF" w:themeFill="background1"/>
          <w:lang w:val="en-US" w:eastAsia="zh-CN" w:bidi="ar-SA"/>
        </w:rPr>
        <w:t>书</w:t>
      </w:r>
      <w:r>
        <w:rPr>
          <w:rFonts w:hint="eastAsia" w:ascii="宋体" w:hAnsi="宋体" w:eastAsia="宋体" w:cs="宋体"/>
          <w:iCs/>
          <w:color w:val="auto"/>
          <w:kern w:val="2"/>
          <w:sz w:val="24"/>
          <w:szCs w:val="22"/>
          <w:highlight w:val="none"/>
          <w:shd w:val="clear" w:color="auto" w:fill="FFFFFF" w:themeFill="background1"/>
          <w:lang w:val="zh-CN" w:eastAsia="zh-CN" w:bidi="ar-SA"/>
        </w:rPr>
        <w:t>作为投标文件的一部分提交，该协议书对联合</w:t>
      </w:r>
      <w:r>
        <w:rPr>
          <w:rFonts w:hint="eastAsia" w:ascii="宋体" w:hAnsi="宋体" w:eastAsia="宋体" w:cs="宋体"/>
          <w:iCs/>
          <w:color w:val="auto"/>
          <w:kern w:val="2"/>
          <w:sz w:val="24"/>
          <w:szCs w:val="22"/>
          <w:highlight w:val="none"/>
          <w:shd w:val="clear" w:color="auto" w:fill="FFFFFF" w:themeFill="background1"/>
          <w:lang w:val="en-US" w:eastAsia="zh-CN" w:bidi="ar-SA"/>
        </w:rPr>
        <w:t>体所有成员</w:t>
      </w:r>
      <w:r>
        <w:rPr>
          <w:rFonts w:hint="eastAsia" w:ascii="宋体" w:hAnsi="宋体" w:eastAsia="宋体" w:cs="宋体"/>
          <w:iCs/>
          <w:color w:val="auto"/>
          <w:kern w:val="2"/>
          <w:sz w:val="24"/>
          <w:szCs w:val="22"/>
          <w:highlight w:val="none"/>
          <w:shd w:val="clear" w:color="auto" w:fill="FFFFFF" w:themeFill="background1"/>
          <w:lang w:val="zh-CN" w:eastAsia="zh-CN" w:bidi="ar-SA"/>
        </w:rPr>
        <w:t>均具有法律约束力。</w:t>
      </w:r>
    </w:p>
    <w:p w14:paraId="5343E5B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2"/>
          <w:highlight w:val="none"/>
          <w:shd w:val="clear" w:color="auto" w:fill="FFFFFF" w:themeFill="background1"/>
          <w:lang w:val="zh-CN"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4.2.3</w:t>
      </w:r>
      <w:r>
        <w:rPr>
          <w:rFonts w:hint="eastAsia" w:ascii="宋体" w:hAnsi="宋体" w:eastAsia="宋体" w:cs="宋体"/>
          <w:iCs/>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2"/>
          <w:highlight w:val="none"/>
          <w:shd w:val="clear" w:color="auto" w:fill="FFFFFF" w:themeFill="background1"/>
          <w:lang w:val="zh-CN"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4.2</w:t>
      </w:r>
      <w:r>
        <w:rPr>
          <w:rFonts w:hint="eastAsia" w:ascii="宋体" w:hAnsi="宋体" w:eastAsia="宋体" w:cs="宋体"/>
          <w:iCs/>
          <w:color w:val="auto"/>
          <w:kern w:val="2"/>
          <w:sz w:val="24"/>
          <w:szCs w:val="22"/>
          <w:highlight w:val="none"/>
          <w:shd w:val="clear" w:color="auto" w:fill="FFFFFF" w:themeFill="background1"/>
          <w:lang w:val="zh-CN" w:eastAsia="zh-CN" w:bidi="ar-SA"/>
        </w:rPr>
        <w:t>.</w:t>
      </w:r>
      <w:r>
        <w:rPr>
          <w:rFonts w:hint="eastAsia" w:ascii="宋体" w:hAnsi="宋体" w:eastAsia="宋体" w:cs="宋体"/>
          <w:iCs/>
          <w:color w:val="auto"/>
          <w:kern w:val="2"/>
          <w:sz w:val="24"/>
          <w:szCs w:val="22"/>
          <w:highlight w:val="none"/>
          <w:shd w:val="clear" w:color="auto" w:fill="FFFFFF" w:themeFill="background1"/>
          <w:lang w:val="en-US" w:eastAsia="zh-CN" w:bidi="ar-SA"/>
        </w:rPr>
        <w:t>4</w:t>
      </w:r>
      <w:r>
        <w:rPr>
          <w:rFonts w:hint="eastAsia" w:ascii="宋体" w:hAnsi="宋体" w:eastAsia="宋体" w:cs="宋体"/>
          <w:iCs/>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Cs/>
          <w:color w:val="auto"/>
          <w:kern w:val="2"/>
          <w:sz w:val="24"/>
          <w:szCs w:val="22"/>
          <w:highlight w:val="none"/>
          <w:shd w:val="clear" w:color="auto" w:fill="FFFFFF" w:themeFill="background1"/>
          <w:lang w:val="en-US" w:eastAsia="zh-CN" w:bidi="ar-SA"/>
        </w:rPr>
        <w:t>同一合同项下的</w:t>
      </w:r>
      <w:r>
        <w:rPr>
          <w:rFonts w:hint="eastAsia" w:ascii="宋体" w:hAnsi="宋体" w:eastAsia="宋体" w:cs="宋体"/>
          <w:iCs/>
          <w:color w:val="auto"/>
          <w:kern w:val="2"/>
          <w:sz w:val="24"/>
          <w:szCs w:val="22"/>
          <w:highlight w:val="none"/>
          <w:shd w:val="clear" w:color="auto" w:fill="FFFFFF" w:themeFill="background1"/>
          <w:lang w:val="zh-CN" w:eastAsia="zh-CN" w:bidi="ar-SA"/>
        </w:rPr>
        <w:t>投标，否则相关投标将被认定为</w:t>
      </w:r>
      <w:r>
        <w:rPr>
          <w:rFonts w:hint="eastAsia" w:ascii="宋体" w:hAnsi="宋体" w:eastAsia="宋体" w:cs="宋体"/>
          <w:b/>
          <w:bCs/>
          <w:iCs/>
          <w:color w:val="auto"/>
          <w:kern w:val="2"/>
          <w:sz w:val="24"/>
          <w:szCs w:val="22"/>
          <w:highlight w:val="none"/>
          <w:shd w:val="clear" w:color="auto" w:fill="FFFFFF" w:themeFill="background1"/>
          <w:lang w:val="zh-CN" w:eastAsia="zh-CN" w:bidi="ar-SA"/>
        </w:rPr>
        <w:t>投标无效</w:t>
      </w:r>
      <w:r>
        <w:rPr>
          <w:rFonts w:hint="eastAsia" w:ascii="宋体" w:hAnsi="宋体" w:eastAsia="宋体" w:cs="宋体"/>
          <w:iCs/>
          <w:color w:val="auto"/>
          <w:kern w:val="2"/>
          <w:sz w:val="24"/>
          <w:szCs w:val="22"/>
          <w:highlight w:val="none"/>
          <w:shd w:val="clear" w:color="auto" w:fill="FFFFFF" w:themeFill="background1"/>
          <w:lang w:val="zh-CN" w:eastAsia="zh-CN" w:bidi="ar-SA"/>
        </w:rPr>
        <w:t>。</w:t>
      </w:r>
    </w:p>
    <w:p w14:paraId="2E60D00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2"/>
          <w:highlight w:val="none"/>
          <w:shd w:val="clear" w:color="auto" w:fill="FFFFFF" w:themeFill="background1"/>
          <w:lang w:val="zh-CN"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4.2</w:t>
      </w:r>
      <w:r>
        <w:rPr>
          <w:rFonts w:hint="eastAsia" w:ascii="宋体" w:hAnsi="宋体" w:eastAsia="宋体" w:cs="宋体"/>
          <w:iCs/>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宋体"/>
          <w:iCs/>
          <w:color w:val="auto"/>
          <w:kern w:val="2"/>
          <w:sz w:val="24"/>
          <w:szCs w:val="22"/>
          <w:highlight w:val="none"/>
          <w:shd w:val="clear" w:color="auto" w:fill="FFFFFF" w:themeFill="background1"/>
          <w:lang w:val="en-US" w:eastAsia="zh-CN" w:bidi="ar-SA"/>
        </w:rPr>
        <w:t>的</w:t>
      </w:r>
      <w:r>
        <w:rPr>
          <w:rFonts w:hint="eastAsia" w:ascii="宋体" w:hAnsi="宋体" w:eastAsia="宋体" w:cs="宋体"/>
          <w:iCs/>
          <w:color w:val="auto"/>
          <w:kern w:val="2"/>
          <w:sz w:val="24"/>
          <w:szCs w:val="22"/>
          <w:highlight w:val="none"/>
          <w:shd w:val="clear" w:color="auto" w:fill="FFFFFF" w:themeFill="background1"/>
          <w:lang w:val="zh-CN" w:eastAsia="zh-CN" w:bidi="ar-SA"/>
        </w:rPr>
        <w:t>，联合</w:t>
      </w:r>
      <w:r>
        <w:rPr>
          <w:rFonts w:hint="eastAsia" w:ascii="宋体" w:hAnsi="宋体" w:eastAsia="宋体" w:cs="宋体"/>
          <w:iCs/>
          <w:color w:val="auto"/>
          <w:kern w:val="2"/>
          <w:sz w:val="24"/>
          <w:szCs w:val="22"/>
          <w:highlight w:val="none"/>
          <w:shd w:val="clear" w:color="auto" w:fill="FFFFFF" w:themeFill="background1"/>
          <w:lang w:val="en-US" w:eastAsia="zh-CN" w:bidi="ar-SA"/>
        </w:rPr>
        <w:t>体</w:t>
      </w:r>
      <w:r>
        <w:rPr>
          <w:rFonts w:hint="eastAsia" w:ascii="宋体" w:hAnsi="宋体" w:eastAsia="宋体" w:cs="宋体"/>
          <w:iCs/>
          <w:color w:val="auto"/>
          <w:kern w:val="2"/>
          <w:sz w:val="24"/>
          <w:szCs w:val="22"/>
          <w:highlight w:val="none"/>
          <w:shd w:val="clear" w:color="auto" w:fill="FFFFFF" w:themeFill="background1"/>
          <w:lang w:val="zh-CN" w:eastAsia="zh-CN" w:bidi="ar-SA"/>
        </w:rPr>
        <w:t>协议</w:t>
      </w:r>
      <w:r>
        <w:rPr>
          <w:rFonts w:hint="eastAsia" w:ascii="宋体" w:hAnsi="宋体" w:eastAsia="宋体" w:cs="宋体"/>
          <w:iCs/>
          <w:color w:val="auto"/>
          <w:kern w:val="2"/>
          <w:sz w:val="24"/>
          <w:szCs w:val="22"/>
          <w:highlight w:val="none"/>
          <w:shd w:val="clear" w:color="auto" w:fill="FFFFFF" w:themeFill="background1"/>
          <w:lang w:val="en-US" w:eastAsia="zh-CN" w:bidi="ar-SA"/>
        </w:rPr>
        <w:t>书</w:t>
      </w:r>
      <w:r>
        <w:rPr>
          <w:rFonts w:hint="eastAsia" w:ascii="宋体" w:hAnsi="宋体" w:eastAsia="宋体" w:cs="宋体"/>
          <w:iCs/>
          <w:color w:val="auto"/>
          <w:kern w:val="2"/>
          <w:sz w:val="24"/>
          <w:szCs w:val="22"/>
          <w:highlight w:val="none"/>
          <w:shd w:val="clear" w:color="auto" w:fill="FFFFFF" w:themeFill="background1"/>
          <w:lang w:val="zh-CN" w:eastAsia="zh-CN" w:bidi="ar-SA"/>
        </w:rPr>
        <w:t>中应写明小型、微型企业的合同金额占到联合</w:t>
      </w:r>
      <w:r>
        <w:rPr>
          <w:rFonts w:hint="eastAsia" w:ascii="宋体" w:hAnsi="宋体" w:eastAsia="宋体" w:cs="宋体"/>
          <w:iCs/>
          <w:color w:val="auto"/>
          <w:kern w:val="2"/>
          <w:sz w:val="24"/>
          <w:szCs w:val="22"/>
          <w:highlight w:val="none"/>
          <w:shd w:val="clear" w:color="auto" w:fill="FFFFFF" w:themeFill="background1"/>
          <w:lang w:val="en-US" w:eastAsia="zh-CN" w:bidi="ar-SA"/>
        </w:rPr>
        <w:t>体</w:t>
      </w:r>
      <w:r>
        <w:rPr>
          <w:rFonts w:hint="eastAsia" w:ascii="宋体" w:hAnsi="宋体" w:eastAsia="宋体" w:cs="宋体"/>
          <w:iCs/>
          <w:color w:val="auto"/>
          <w:kern w:val="2"/>
          <w:sz w:val="24"/>
          <w:szCs w:val="22"/>
          <w:highlight w:val="none"/>
          <w:shd w:val="clear" w:color="auto" w:fill="FFFFFF" w:themeFill="background1"/>
          <w:lang w:val="zh-CN" w:eastAsia="zh-CN" w:bidi="ar-SA"/>
        </w:rPr>
        <w:t>投标</w:t>
      </w:r>
      <w:r>
        <w:rPr>
          <w:rFonts w:hint="eastAsia" w:ascii="宋体" w:hAnsi="宋体" w:eastAsia="宋体" w:cs="宋体"/>
          <w:iCs/>
          <w:color w:val="auto"/>
          <w:kern w:val="2"/>
          <w:sz w:val="24"/>
          <w:szCs w:val="22"/>
          <w:highlight w:val="none"/>
          <w:shd w:val="clear" w:color="auto" w:fill="FFFFFF" w:themeFill="background1"/>
          <w:lang w:val="en-US" w:eastAsia="zh-CN" w:bidi="ar-SA"/>
        </w:rPr>
        <w:t>合同</w:t>
      </w:r>
      <w:r>
        <w:rPr>
          <w:rFonts w:hint="eastAsia" w:ascii="宋体" w:hAnsi="宋体" w:eastAsia="宋体" w:cs="宋体"/>
          <w:iCs/>
          <w:color w:val="auto"/>
          <w:kern w:val="2"/>
          <w:sz w:val="24"/>
          <w:szCs w:val="22"/>
          <w:highlight w:val="none"/>
          <w:shd w:val="clear" w:color="auto" w:fill="FFFFFF" w:themeFill="background1"/>
          <w:lang w:val="zh-CN" w:eastAsia="zh-CN" w:bidi="ar-SA"/>
        </w:rPr>
        <w:t>总金额的比例。</w:t>
      </w:r>
    </w:p>
    <w:p w14:paraId="7127D16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2"/>
          <w:highlight w:val="none"/>
          <w:shd w:val="clear" w:color="auto" w:fill="FFFFFF" w:themeFill="background1"/>
          <w:lang w:val="zh-CN" w:eastAsia="zh-CN" w:bidi="ar-SA"/>
        </w:rPr>
      </w:pPr>
      <w:r>
        <w:rPr>
          <w:rFonts w:hint="eastAsia" w:ascii="宋体" w:hAnsi="宋体" w:eastAsia="宋体" w:cs="宋体"/>
          <w:iCs/>
          <w:color w:val="auto"/>
          <w:kern w:val="2"/>
          <w:sz w:val="24"/>
          <w:szCs w:val="22"/>
          <w:highlight w:val="none"/>
          <w:shd w:val="clear" w:color="auto" w:fill="FFFFFF" w:themeFill="background1"/>
          <w:lang w:val="zh-CN" w:eastAsia="zh-CN" w:bidi="ar-SA"/>
        </w:rPr>
        <w:t>4.2</w:t>
      </w:r>
      <w:r>
        <w:rPr>
          <w:rFonts w:hint="eastAsia" w:ascii="宋体" w:hAnsi="宋体" w:eastAsia="宋体" w:cs="宋体"/>
          <w:iCs/>
          <w:color w:val="auto"/>
          <w:kern w:val="2"/>
          <w:sz w:val="24"/>
          <w:szCs w:val="22"/>
          <w:highlight w:val="none"/>
          <w:shd w:val="clear" w:color="auto" w:fill="FFFFFF" w:themeFill="background1"/>
          <w:lang w:val="en-US" w:eastAsia="zh-CN" w:bidi="ar-SA"/>
        </w:rPr>
        <w:t>.6</w:t>
      </w:r>
      <w:r>
        <w:rPr>
          <w:rFonts w:hint="eastAsia" w:ascii="宋体" w:hAnsi="宋体" w:eastAsia="宋体" w:cs="宋体"/>
          <w:iCs/>
          <w:color w:val="auto"/>
          <w:kern w:val="2"/>
          <w:sz w:val="24"/>
          <w:szCs w:val="22"/>
          <w:highlight w:val="none"/>
          <w:shd w:val="clear" w:color="auto" w:fill="FFFFFF" w:themeFill="background1"/>
          <w:lang w:val="zh-CN" w:eastAsia="zh-CN" w:bidi="ar-SA"/>
        </w:rPr>
        <w:t>联合体中标</w:t>
      </w:r>
      <w:r>
        <w:rPr>
          <w:rFonts w:hint="eastAsia" w:ascii="宋体" w:hAnsi="宋体" w:eastAsia="宋体" w:cs="宋体"/>
          <w:iCs/>
          <w:color w:val="auto"/>
          <w:kern w:val="2"/>
          <w:sz w:val="24"/>
          <w:szCs w:val="22"/>
          <w:highlight w:val="none"/>
          <w:shd w:val="clear" w:color="auto" w:fill="FFFFFF" w:themeFill="background1"/>
          <w:lang w:val="en-US" w:eastAsia="zh-CN" w:bidi="ar-SA"/>
        </w:rPr>
        <w:t>的</w:t>
      </w:r>
      <w:r>
        <w:rPr>
          <w:rFonts w:hint="eastAsia" w:ascii="宋体" w:hAnsi="宋体" w:eastAsia="宋体" w:cs="宋体"/>
          <w:iCs/>
          <w:color w:val="auto"/>
          <w:kern w:val="2"/>
          <w:sz w:val="24"/>
          <w:szCs w:val="22"/>
          <w:highlight w:val="none"/>
          <w:shd w:val="clear" w:color="auto" w:fill="FFFFFF" w:themeFill="background1"/>
          <w:lang w:val="zh-CN" w:eastAsia="zh-CN" w:bidi="ar-SA"/>
        </w:rPr>
        <w:t>，</w:t>
      </w:r>
      <w:r>
        <w:rPr>
          <w:rFonts w:hint="eastAsia" w:ascii="宋体" w:hAnsi="宋体" w:eastAsia="宋体" w:cs="宋体"/>
          <w:iCs/>
          <w:color w:val="auto"/>
          <w:kern w:val="2"/>
          <w:sz w:val="24"/>
          <w:szCs w:val="22"/>
          <w:highlight w:val="none"/>
          <w:shd w:val="clear" w:color="auto" w:fill="FFFFFF" w:themeFill="background1"/>
          <w:lang w:val="en-US" w:eastAsia="zh-CN" w:bidi="ar-SA"/>
        </w:rPr>
        <w:t>采购</w:t>
      </w:r>
      <w:r>
        <w:rPr>
          <w:rFonts w:hint="eastAsia" w:ascii="宋体" w:hAnsi="宋体" w:eastAsia="宋体" w:cs="宋体"/>
          <w:iCs/>
          <w:color w:val="auto"/>
          <w:kern w:val="2"/>
          <w:sz w:val="24"/>
          <w:szCs w:val="22"/>
          <w:highlight w:val="none"/>
          <w:shd w:val="clear" w:color="auto" w:fill="FFFFFF" w:themeFill="background1"/>
          <w:lang w:val="zh-CN" w:eastAsia="zh-CN" w:bidi="ar-SA"/>
        </w:rPr>
        <w:t>合同应由</w:t>
      </w:r>
      <w:r>
        <w:rPr>
          <w:rFonts w:hint="eastAsia" w:ascii="宋体" w:hAnsi="宋体" w:eastAsia="宋体" w:cs="宋体"/>
          <w:iCs/>
          <w:color w:val="auto"/>
          <w:kern w:val="2"/>
          <w:sz w:val="24"/>
          <w:szCs w:val="22"/>
          <w:highlight w:val="none"/>
          <w:shd w:val="clear" w:color="auto" w:fill="FFFFFF" w:themeFill="background1"/>
          <w:lang w:val="en-US" w:eastAsia="zh-CN" w:bidi="ar-SA"/>
        </w:rPr>
        <w:t>联合体</w:t>
      </w:r>
      <w:r>
        <w:rPr>
          <w:rFonts w:hint="eastAsia" w:ascii="宋体" w:hAnsi="宋体" w:eastAsia="宋体" w:cs="宋体"/>
          <w:iCs/>
          <w:color w:val="auto"/>
          <w:kern w:val="2"/>
          <w:sz w:val="24"/>
          <w:szCs w:val="22"/>
          <w:highlight w:val="none"/>
          <w:shd w:val="clear" w:color="auto" w:fill="FFFFFF" w:themeFill="background1"/>
          <w:lang w:val="zh-CN" w:eastAsia="zh-CN" w:bidi="ar-SA"/>
        </w:rPr>
        <w:t>各成员的合法授权代表签字</w:t>
      </w:r>
      <w:r>
        <w:rPr>
          <w:rFonts w:hint="eastAsia" w:ascii="宋体" w:hAnsi="宋体" w:eastAsia="宋体" w:cs="宋体"/>
          <w:iCs/>
          <w:color w:val="auto"/>
          <w:kern w:val="2"/>
          <w:sz w:val="24"/>
          <w:szCs w:val="22"/>
          <w:highlight w:val="none"/>
          <w:shd w:val="clear" w:color="auto" w:fill="FFFFFF" w:themeFill="background1"/>
          <w:lang w:val="en-US" w:eastAsia="zh-CN" w:bidi="ar-SA"/>
        </w:rPr>
        <w:t>及</w:t>
      </w:r>
      <w:r>
        <w:rPr>
          <w:rFonts w:hint="eastAsia" w:ascii="宋体" w:hAnsi="宋体" w:eastAsia="宋体" w:cs="宋体"/>
          <w:iCs/>
          <w:color w:val="auto"/>
          <w:kern w:val="2"/>
          <w:sz w:val="24"/>
          <w:szCs w:val="22"/>
          <w:highlight w:val="none"/>
          <w:shd w:val="clear" w:color="auto" w:fill="FFFFFF" w:themeFill="background1"/>
          <w:lang w:val="zh-CN" w:eastAsia="zh-CN" w:bidi="ar-SA"/>
        </w:rPr>
        <w:t>加盖</w:t>
      </w:r>
      <w:r>
        <w:rPr>
          <w:rFonts w:hint="eastAsia" w:ascii="宋体" w:hAnsi="宋体" w:eastAsia="宋体" w:cs="宋体"/>
          <w:iCs/>
          <w:color w:val="auto"/>
          <w:kern w:val="2"/>
          <w:sz w:val="24"/>
          <w:szCs w:val="22"/>
          <w:highlight w:val="none"/>
          <w:shd w:val="clear" w:color="auto" w:fill="FFFFFF" w:themeFill="background1"/>
          <w:lang w:val="en-US" w:eastAsia="zh-CN" w:bidi="ar-SA"/>
        </w:rPr>
        <w:t>联合体</w:t>
      </w:r>
      <w:r>
        <w:rPr>
          <w:rFonts w:hint="eastAsia" w:ascii="宋体" w:hAnsi="宋体" w:eastAsia="宋体" w:cs="宋体"/>
          <w:iCs/>
          <w:color w:val="auto"/>
          <w:kern w:val="2"/>
          <w:sz w:val="24"/>
          <w:szCs w:val="22"/>
          <w:highlight w:val="none"/>
          <w:shd w:val="clear" w:color="auto" w:fill="FFFFFF" w:themeFill="background1"/>
          <w:lang w:val="zh-CN" w:eastAsia="zh-CN" w:bidi="ar-SA"/>
        </w:rPr>
        <w:t>各成员公章，</w:t>
      </w:r>
      <w:r>
        <w:rPr>
          <w:rFonts w:hint="eastAsia" w:ascii="宋体" w:hAnsi="宋体" w:eastAsia="宋体" w:cs="宋体"/>
          <w:iCs/>
          <w:color w:val="auto"/>
          <w:kern w:val="2"/>
          <w:sz w:val="24"/>
          <w:szCs w:val="22"/>
          <w:highlight w:val="none"/>
          <w:shd w:val="clear" w:color="auto" w:fill="FFFFFF" w:themeFill="background1"/>
          <w:lang w:val="en-US" w:eastAsia="zh-CN" w:bidi="ar-SA"/>
        </w:rPr>
        <w:t>并</w:t>
      </w:r>
      <w:r>
        <w:rPr>
          <w:rFonts w:hint="eastAsia" w:ascii="宋体" w:hAnsi="宋体" w:eastAsia="宋体" w:cs="宋体"/>
          <w:iCs/>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2"/>
          <w:highlight w:val="none"/>
          <w:shd w:val="clear" w:color="auto" w:fill="FFFFFF" w:themeFill="background1"/>
          <w:lang w:val="zh-CN" w:eastAsia="zh-CN" w:bidi="ar-SA"/>
        </w:rPr>
      </w:pPr>
      <w:r>
        <w:rPr>
          <w:rFonts w:hint="eastAsia" w:ascii="宋体" w:hAnsi="宋体" w:eastAsia="宋体" w:cs="宋体"/>
          <w:iCs/>
          <w:color w:val="auto"/>
          <w:kern w:val="2"/>
          <w:sz w:val="24"/>
          <w:szCs w:val="22"/>
          <w:highlight w:val="none"/>
          <w:shd w:val="clear" w:color="auto" w:fill="FFFFFF" w:themeFill="background1"/>
          <w:lang w:val="zh-CN" w:eastAsia="zh-CN" w:bidi="ar-SA"/>
        </w:rPr>
        <w:t>4.2</w:t>
      </w:r>
      <w:r>
        <w:rPr>
          <w:rFonts w:hint="eastAsia" w:ascii="宋体" w:hAnsi="宋体" w:eastAsia="宋体" w:cs="宋体"/>
          <w:iCs/>
          <w:color w:val="auto"/>
          <w:kern w:val="2"/>
          <w:sz w:val="24"/>
          <w:szCs w:val="22"/>
          <w:highlight w:val="none"/>
          <w:shd w:val="clear" w:color="auto" w:fill="FFFFFF" w:themeFill="background1"/>
          <w:lang w:val="en-US" w:eastAsia="zh-CN" w:bidi="ar-SA"/>
        </w:rPr>
        <w:t>.7</w:t>
      </w:r>
      <w:r>
        <w:rPr>
          <w:rFonts w:hint="eastAsia" w:ascii="宋体" w:hAnsi="宋体" w:eastAsia="宋体" w:cs="宋体"/>
          <w:iCs/>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Cs/>
          <w:color w:val="auto"/>
          <w:kern w:val="2"/>
          <w:sz w:val="24"/>
          <w:szCs w:val="22"/>
          <w:highlight w:val="none"/>
          <w:shd w:val="clear" w:color="auto" w:fill="FFFFFF" w:themeFill="background1"/>
          <w:lang w:val="en-US" w:eastAsia="zh-CN" w:bidi="ar-SA"/>
        </w:rPr>
        <w:t>人</w:t>
      </w:r>
      <w:r>
        <w:rPr>
          <w:rFonts w:hint="eastAsia" w:ascii="宋体" w:hAnsi="宋体" w:eastAsia="宋体" w:cs="宋体"/>
          <w:iCs/>
          <w:color w:val="auto"/>
          <w:kern w:val="2"/>
          <w:sz w:val="24"/>
          <w:szCs w:val="22"/>
          <w:highlight w:val="none"/>
          <w:shd w:val="clear" w:color="auto" w:fill="FFFFFF" w:themeFill="background1"/>
          <w:lang w:val="zh-CN" w:eastAsia="zh-CN" w:bidi="ar-SA"/>
        </w:rPr>
        <w:t>书面同意并且须遵守相关法律、法规、本次招标的全部相关规定。</w:t>
      </w:r>
    </w:p>
    <w:p w14:paraId="7D2803A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2"/>
          <w:highlight w:val="none"/>
          <w:shd w:val="clear" w:color="auto" w:fill="FFFFFF" w:themeFill="background1"/>
          <w:lang w:val="zh-CN"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4.2</w:t>
      </w:r>
      <w:r>
        <w:rPr>
          <w:rFonts w:hint="eastAsia" w:ascii="宋体" w:hAnsi="宋体" w:eastAsia="宋体" w:cs="宋体"/>
          <w:iCs/>
          <w:color w:val="auto"/>
          <w:kern w:val="2"/>
          <w:sz w:val="24"/>
          <w:szCs w:val="22"/>
          <w:highlight w:val="none"/>
          <w:shd w:val="clear" w:color="auto" w:fill="FFFFFF" w:themeFill="background1"/>
          <w:lang w:val="zh-CN" w:eastAsia="zh-CN" w:bidi="ar-SA"/>
        </w:rPr>
        <w:t>.</w:t>
      </w:r>
      <w:r>
        <w:rPr>
          <w:rFonts w:hint="eastAsia" w:ascii="宋体" w:hAnsi="宋体" w:eastAsia="宋体" w:cs="宋体"/>
          <w:iCs/>
          <w:color w:val="auto"/>
          <w:kern w:val="2"/>
          <w:sz w:val="24"/>
          <w:szCs w:val="22"/>
          <w:highlight w:val="none"/>
          <w:shd w:val="clear" w:color="auto" w:fill="FFFFFF" w:themeFill="background1"/>
          <w:lang w:val="en-US" w:eastAsia="zh-CN" w:bidi="ar-SA"/>
        </w:rPr>
        <w:t>8</w:t>
      </w:r>
      <w:r>
        <w:rPr>
          <w:rFonts w:hint="eastAsia" w:ascii="宋体" w:hAnsi="宋体" w:eastAsia="宋体" w:cs="宋体"/>
          <w:iCs/>
          <w:color w:val="auto"/>
          <w:kern w:val="2"/>
          <w:sz w:val="24"/>
          <w:szCs w:val="22"/>
          <w:highlight w:val="none"/>
          <w:shd w:val="clear" w:color="auto" w:fill="FFFFFF" w:themeFill="background1"/>
          <w:lang w:val="zh-CN" w:eastAsia="zh-CN" w:bidi="ar-SA"/>
        </w:rPr>
        <w:t>对联合体投标的其他资格要求见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第一章 招标公告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中的“二、</w:t>
      </w:r>
      <w:r>
        <w:rPr>
          <w:rFonts w:hint="eastAsia" w:ascii="宋体" w:hAnsi="宋体" w:eastAsia="宋体" w:cs="宋体"/>
          <w:iCs/>
          <w:color w:val="auto"/>
          <w:kern w:val="2"/>
          <w:sz w:val="24"/>
          <w:szCs w:val="22"/>
          <w:highlight w:val="none"/>
          <w:shd w:val="clear" w:color="auto" w:fill="FFFFFF" w:themeFill="background1"/>
          <w:lang w:val="en-US" w:eastAsia="zh-CN" w:bidi="ar-SA"/>
        </w:rPr>
        <w:t>申请人的</w:t>
      </w:r>
      <w:r>
        <w:rPr>
          <w:rFonts w:hint="eastAsia" w:ascii="宋体" w:hAnsi="宋体" w:eastAsia="宋体" w:cs="宋体"/>
          <w:iCs/>
          <w:color w:val="auto"/>
          <w:kern w:val="2"/>
          <w:sz w:val="24"/>
          <w:szCs w:val="22"/>
          <w:highlight w:val="none"/>
          <w:shd w:val="clear" w:color="auto" w:fill="FFFFFF" w:themeFill="background1"/>
          <w:lang w:val="zh-CN" w:eastAsia="zh-CN" w:bidi="ar-SA"/>
        </w:rPr>
        <w:t>资格</w:t>
      </w:r>
      <w:r>
        <w:rPr>
          <w:rFonts w:hint="eastAsia" w:ascii="宋体" w:hAnsi="宋体" w:eastAsia="宋体" w:cs="宋体"/>
          <w:iCs/>
          <w:color w:val="auto"/>
          <w:kern w:val="2"/>
          <w:sz w:val="24"/>
          <w:szCs w:val="22"/>
          <w:highlight w:val="none"/>
          <w:shd w:val="clear" w:color="auto" w:fill="FFFFFF" w:themeFill="background1"/>
          <w:lang w:val="en-US" w:eastAsia="zh-CN" w:bidi="ar-SA"/>
        </w:rPr>
        <w:t>要求”</w:t>
      </w:r>
      <w:r>
        <w:rPr>
          <w:rFonts w:hint="eastAsia" w:ascii="宋体" w:hAnsi="宋体" w:eastAsia="宋体" w:cs="宋体"/>
          <w:iCs/>
          <w:color w:val="auto"/>
          <w:kern w:val="2"/>
          <w:sz w:val="24"/>
          <w:szCs w:val="22"/>
          <w:highlight w:val="none"/>
          <w:shd w:val="clear" w:color="auto" w:fill="FFFFFF" w:themeFill="background1"/>
          <w:lang w:val="zh-CN" w:eastAsia="zh-CN" w:bidi="ar-SA"/>
        </w:rPr>
        <w:t>。</w:t>
      </w:r>
    </w:p>
    <w:p w14:paraId="4DE644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8" w:name="_Toc2393"/>
      <w:bookmarkStart w:id="149" w:name="_Toc29186"/>
      <w:bookmarkStart w:id="150" w:name="_Toc21085"/>
      <w:bookmarkStart w:id="151" w:name="_Toc163492827"/>
      <w:bookmarkStart w:id="152" w:name="_Toc8952"/>
      <w:bookmarkStart w:id="153" w:name="_Toc14011"/>
      <w:r>
        <w:rPr>
          <w:rFonts w:hint="eastAsia" w:ascii="宋体" w:hAnsi="宋体" w:eastAsia="宋体" w:cs="宋体"/>
          <w:b/>
          <w:bCs/>
          <w:color w:val="auto"/>
          <w:kern w:val="2"/>
          <w:sz w:val="24"/>
          <w:szCs w:val="28"/>
          <w:highlight w:val="none"/>
          <w:lang w:val="en-US" w:eastAsia="zh-CN" w:bidi="ar-SA"/>
        </w:rPr>
        <w:t>5.费用承担</w:t>
      </w:r>
      <w:bookmarkEnd w:id="148"/>
      <w:bookmarkEnd w:id="149"/>
      <w:bookmarkEnd w:id="150"/>
      <w:bookmarkEnd w:id="151"/>
      <w:bookmarkEnd w:id="152"/>
      <w:bookmarkEnd w:id="153"/>
    </w:p>
    <w:p w14:paraId="3C6741ED">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color w:val="auto"/>
          <w:sz w:val="24"/>
          <w:highlight w:val="none"/>
          <w:lang w:val="en-US" w:eastAsia="zh-CN"/>
        </w:rPr>
        <w:t>不论投标的结果如何，投标人应承担所有与准备和参加投标有关的费用。</w:t>
      </w:r>
    </w:p>
    <w:p w14:paraId="0CE9A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4" w:name="_Toc9489"/>
      <w:bookmarkStart w:id="155" w:name="_Toc163492828"/>
      <w:bookmarkStart w:id="156" w:name="_Toc12379"/>
      <w:bookmarkStart w:id="157" w:name="_Toc7681"/>
      <w:bookmarkStart w:id="158" w:name="_Toc30861"/>
      <w:bookmarkStart w:id="159" w:name="_Toc140132761"/>
      <w:bookmarkStart w:id="160" w:name="_Toc18248"/>
      <w:r>
        <w:rPr>
          <w:rFonts w:hint="eastAsia" w:ascii="宋体" w:hAnsi="宋体" w:eastAsia="宋体" w:cs="宋体"/>
          <w:b/>
          <w:bCs/>
          <w:color w:val="auto"/>
          <w:kern w:val="2"/>
          <w:sz w:val="24"/>
          <w:szCs w:val="28"/>
          <w:highlight w:val="none"/>
          <w:lang w:val="en-US" w:eastAsia="zh-CN" w:bidi="ar-SA"/>
        </w:rPr>
        <w:t>6.保密</w:t>
      </w:r>
      <w:bookmarkEnd w:id="154"/>
      <w:bookmarkEnd w:id="155"/>
      <w:bookmarkEnd w:id="156"/>
      <w:bookmarkEnd w:id="157"/>
      <w:bookmarkEnd w:id="158"/>
      <w:bookmarkEnd w:id="159"/>
      <w:bookmarkEnd w:id="160"/>
    </w:p>
    <w:p w14:paraId="7CBA93F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参与招标投标活动的各方应对招标文件和投标文件中的商业和技术等秘密保密，否则应承担相应的法律责任。</w:t>
      </w:r>
    </w:p>
    <w:p w14:paraId="2947ABF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2 </w:t>
      </w:r>
      <w:r>
        <w:rPr>
          <w:rFonts w:hint="eastAsia" w:ascii="宋体" w:hAnsi="宋体" w:eastAsia="宋体" w:cs="宋体"/>
          <w:color w:val="auto"/>
          <w:kern w:val="2"/>
          <w:sz w:val="24"/>
          <w:szCs w:val="22"/>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3 </w:t>
      </w:r>
      <w:r>
        <w:rPr>
          <w:rFonts w:hint="eastAsia" w:ascii="宋体" w:hAnsi="宋体" w:eastAsia="宋体" w:cs="宋体"/>
          <w:color w:val="auto"/>
          <w:kern w:val="2"/>
          <w:sz w:val="24"/>
          <w:szCs w:val="22"/>
          <w:highlight w:val="none"/>
        </w:rPr>
        <w:t>采购代理机构有权将投标人提供的所有资料向有关政府部门或评审</w:t>
      </w:r>
      <w:r>
        <w:rPr>
          <w:rFonts w:hint="eastAsia" w:ascii="宋体" w:hAnsi="宋体" w:eastAsia="宋体" w:cs="宋体"/>
          <w:color w:val="auto"/>
          <w:kern w:val="2"/>
          <w:sz w:val="24"/>
          <w:szCs w:val="22"/>
          <w:highlight w:val="none"/>
          <w:lang w:val="en-US" w:eastAsia="zh-CN"/>
        </w:rPr>
        <w:t>投标文件</w:t>
      </w:r>
      <w:r>
        <w:rPr>
          <w:rFonts w:hint="eastAsia" w:ascii="宋体" w:hAnsi="宋体" w:eastAsia="宋体" w:cs="宋体"/>
          <w:color w:val="auto"/>
          <w:kern w:val="2"/>
          <w:sz w:val="24"/>
          <w:szCs w:val="22"/>
          <w:highlight w:val="none"/>
        </w:rPr>
        <w:t>的有关人员披露。</w:t>
      </w:r>
    </w:p>
    <w:p w14:paraId="7D9AB2D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4 各级人民政府财政部门对政府采购活动进行监督检查，有权查阅、复制有关文件、资料，相关单位和人员应当予以配合。</w:t>
      </w:r>
    </w:p>
    <w:p w14:paraId="284B114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1" w:name="_Toc30926"/>
      <w:bookmarkStart w:id="162" w:name="_Toc140132762"/>
      <w:bookmarkStart w:id="163" w:name="_Toc29628"/>
      <w:bookmarkStart w:id="164" w:name="_Toc15553"/>
      <w:bookmarkStart w:id="165" w:name="_Toc163492829"/>
      <w:bookmarkStart w:id="166" w:name="_Toc30433"/>
      <w:bookmarkStart w:id="167" w:name="_Toc31425"/>
      <w:r>
        <w:rPr>
          <w:rFonts w:hint="eastAsia" w:ascii="宋体" w:hAnsi="宋体" w:eastAsia="宋体" w:cs="宋体"/>
          <w:b/>
          <w:bCs/>
          <w:color w:val="auto"/>
          <w:kern w:val="2"/>
          <w:sz w:val="24"/>
          <w:szCs w:val="28"/>
          <w:highlight w:val="none"/>
          <w:lang w:val="en-US" w:eastAsia="zh-CN" w:bidi="ar-SA"/>
        </w:rPr>
        <w:t>7.语言文字</w:t>
      </w:r>
      <w:bookmarkEnd w:id="161"/>
      <w:bookmarkEnd w:id="162"/>
      <w:bookmarkEnd w:id="163"/>
      <w:bookmarkEnd w:id="164"/>
      <w:bookmarkEnd w:id="165"/>
      <w:bookmarkEnd w:id="166"/>
      <w:bookmarkEnd w:id="167"/>
    </w:p>
    <w:p w14:paraId="2514093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7.1招标投标</w:t>
      </w:r>
      <w:r>
        <w:rPr>
          <w:rFonts w:hint="eastAsia" w:ascii="宋体" w:hAnsi="宋体" w:eastAsia="宋体" w:cs="宋体"/>
          <w:color w:val="auto"/>
          <w:sz w:val="24"/>
          <w:highlight w:val="none"/>
          <w:lang w:val="en-US" w:eastAsia="zh-CN"/>
        </w:rPr>
        <w:t>过程</w:t>
      </w:r>
      <w:r>
        <w:rPr>
          <w:rFonts w:hint="eastAsia" w:ascii="宋体" w:hAnsi="宋体" w:eastAsia="宋体" w:cs="宋体"/>
          <w:color w:val="auto"/>
          <w:sz w:val="24"/>
          <w:highlight w:val="none"/>
        </w:rPr>
        <w:t>文件使用的语言文字为中文。专用术语使用外文的，应附有中文注释。</w:t>
      </w:r>
      <w:r>
        <w:rPr>
          <w:rFonts w:hint="eastAsia" w:ascii="宋体" w:hAnsi="宋体" w:eastAsia="宋体" w:cs="宋体"/>
          <w:color w:val="auto"/>
          <w:sz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8" w:name="_Toc140132763"/>
      <w:bookmarkStart w:id="169" w:name="_Toc31019"/>
      <w:bookmarkStart w:id="170" w:name="_Toc16458"/>
      <w:bookmarkStart w:id="171" w:name="_Toc2409"/>
      <w:bookmarkStart w:id="172" w:name="_Toc163492830"/>
      <w:bookmarkStart w:id="173" w:name="_Toc19184"/>
      <w:bookmarkStart w:id="174" w:name="_Toc28427"/>
      <w:r>
        <w:rPr>
          <w:rFonts w:hint="eastAsia" w:ascii="宋体" w:hAnsi="宋体" w:eastAsia="宋体" w:cs="宋体"/>
          <w:b/>
          <w:bCs/>
          <w:color w:val="auto"/>
          <w:kern w:val="2"/>
          <w:sz w:val="24"/>
          <w:szCs w:val="28"/>
          <w:highlight w:val="none"/>
          <w:lang w:val="en-US" w:eastAsia="zh-CN" w:bidi="ar-SA"/>
        </w:rPr>
        <w:t>8.计量单位</w:t>
      </w:r>
      <w:bookmarkEnd w:id="168"/>
      <w:bookmarkEnd w:id="169"/>
      <w:bookmarkEnd w:id="170"/>
      <w:bookmarkEnd w:id="171"/>
      <w:bookmarkEnd w:id="172"/>
      <w:bookmarkEnd w:id="173"/>
      <w:bookmarkEnd w:id="174"/>
    </w:p>
    <w:p w14:paraId="45A7AE5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8.1所有计量均采用中华人民共和国法定计量单位。</w:t>
      </w:r>
    </w:p>
    <w:p w14:paraId="099F3EF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5" w:name="_Toc28428"/>
      <w:bookmarkStart w:id="176" w:name="_Toc30077"/>
      <w:bookmarkStart w:id="177" w:name="_Toc30434"/>
      <w:bookmarkStart w:id="178" w:name="_Toc163492831"/>
      <w:bookmarkStart w:id="179" w:name="_Toc8827"/>
      <w:bookmarkStart w:id="180" w:name="_Toc140132764"/>
      <w:bookmarkStart w:id="181" w:name="_Toc7961"/>
      <w:r>
        <w:rPr>
          <w:rFonts w:hint="eastAsia" w:ascii="宋体" w:hAnsi="宋体" w:eastAsia="宋体" w:cs="宋体"/>
          <w:b/>
          <w:bCs/>
          <w:color w:val="auto"/>
          <w:kern w:val="2"/>
          <w:sz w:val="24"/>
          <w:szCs w:val="28"/>
          <w:highlight w:val="none"/>
          <w:lang w:val="en-US" w:eastAsia="zh-CN" w:bidi="ar-SA"/>
        </w:rPr>
        <w:t>9.现场考察和答疑会</w:t>
      </w:r>
      <w:bookmarkEnd w:id="175"/>
      <w:bookmarkEnd w:id="176"/>
      <w:bookmarkEnd w:id="177"/>
      <w:bookmarkEnd w:id="178"/>
      <w:bookmarkEnd w:id="179"/>
      <w:bookmarkEnd w:id="180"/>
      <w:bookmarkEnd w:id="181"/>
    </w:p>
    <w:p w14:paraId="5A8B8C4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bookmarkStart w:id="182" w:name="_Hlk143529198"/>
      <w:r>
        <w:rPr>
          <w:rFonts w:hint="eastAsia" w:ascii="宋体" w:hAnsi="宋体" w:eastAsia="宋体" w:cs="宋体"/>
          <w:color w:val="auto"/>
          <w:sz w:val="24"/>
          <w:highlight w:val="none"/>
        </w:rPr>
        <w:t xml:space="preserve">9.1 “投标人须知前附表”规定组织现场考察的，采购代理机构按“投标人须知前附表”规定的时间、地点组织投标人项目现场考察。 </w:t>
      </w:r>
    </w:p>
    <w:p w14:paraId="5F8A235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9.2 投标人现场考察发生的费用自理。</w:t>
      </w:r>
    </w:p>
    <w:p w14:paraId="199A48B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9.3 在现场考察中，因投标人自身原因发生的人员伤亡和财产损失，由投标人自行负责。</w:t>
      </w:r>
    </w:p>
    <w:p w14:paraId="6F1F6A2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9.5 “投标人须知前附表”规定召开答疑会的，采购代理机构按“投标人须知前附表”规定的时间和地点召开答疑会，澄清投标人提出的问题。</w:t>
      </w:r>
    </w:p>
    <w:p w14:paraId="0094384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82"/>
    <w:p w14:paraId="015C1ED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83" w:name="_Toc1905"/>
      <w:bookmarkStart w:id="184" w:name="_Toc155185858"/>
      <w:bookmarkStart w:id="185" w:name="_Toc31066"/>
      <w:bookmarkStart w:id="186" w:name="_Toc1695"/>
      <w:bookmarkStart w:id="187" w:name="_Toc2189"/>
      <w:bookmarkStart w:id="188" w:name="_Toc26824"/>
      <w:bookmarkStart w:id="189" w:name="_Toc163492833"/>
      <w:bookmarkStart w:id="190" w:name="_Toc155185871"/>
      <w:r>
        <w:rPr>
          <w:rFonts w:hint="eastAsia" w:ascii="宋体" w:hAnsi="宋体" w:eastAsia="宋体" w:cs="宋体"/>
          <w:b/>
          <w:bCs/>
          <w:color w:val="auto"/>
          <w:kern w:val="2"/>
          <w:sz w:val="24"/>
          <w:szCs w:val="28"/>
          <w:highlight w:val="none"/>
          <w:lang w:val="en-US" w:eastAsia="zh-CN" w:bidi="ar-SA"/>
        </w:rPr>
        <w:t>10.电子投标说明</w:t>
      </w:r>
      <w:bookmarkEnd w:id="183"/>
      <w:bookmarkEnd w:id="184"/>
      <w:bookmarkEnd w:id="185"/>
      <w:bookmarkEnd w:id="186"/>
      <w:bookmarkEnd w:id="187"/>
      <w:bookmarkEnd w:id="188"/>
      <w:bookmarkEnd w:id="189"/>
      <w:r>
        <w:rPr>
          <w:rFonts w:hint="eastAsia" w:ascii="宋体" w:hAnsi="宋体" w:eastAsia="宋体" w:cs="宋体"/>
          <w:b/>
          <w:bCs/>
          <w:color w:val="auto"/>
          <w:kern w:val="2"/>
          <w:sz w:val="24"/>
          <w:szCs w:val="28"/>
          <w:highlight w:val="none"/>
          <w:lang w:val="en-US" w:eastAsia="zh-CN" w:bidi="ar-SA"/>
        </w:rPr>
        <w:t xml:space="preserve">   </w:t>
      </w:r>
    </w:p>
    <w:p w14:paraId="111A156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10.1 </w:t>
      </w:r>
      <w:r>
        <w:rPr>
          <w:rFonts w:hint="eastAsia" w:ascii="宋体" w:hAnsi="宋体" w:eastAsia="宋体" w:cs="宋体"/>
          <w:color w:val="auto"/>
          <w:sz w:val="24"/>
          <w:highlight w:val="none"/>
        </w:rPr>
        <w:t>本次采购采用电子交易方式，电子交易平台为</w:t>
      </w:r>
      <w:r>
        <w:rPr>
          <w:rFonts w:hint="eastAsia" w:ascii="宋体" w:hAnsi="宋体" w:eastAsia="宋体" w:cs="宋体"/>
          <w:color w:val="auto"/>
          <w:sz w:val="24"/>
          <w:highlight w:val="none"/>
          <w:lang w:val="en-US" w:eastAsia="zh-CN"/>
        </w:rPr>
        <w:t>政采云平台线上</w:t>
      </w:r>
      <w:r>
        <w:rPr>
          <w:rFonts w:hint="eastAsia" w:ascii="宋体" w:hAnsi="宋体" w:eastAsia="宋体" w:cs="宋体"/>
          <w:color w:val="auto"/>
          <w:sz w:val="24"/>
          <w:highlight w:val="none"/>
        </w:rPr>
        <w:t>。投标人参与本项目电子交易活动前，应</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政</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en-US"/>
        </w:rPr>
        <w:t>云</w:t>
      </w:r>
      <w:r>
        <w:rPr>
          <w:rFonts w:hint="eastAsia" w:ascii="宋体" w:hAnsi="宋体" w:eastAsia="宋体" w:cs="宋体"/>
          <w:color w:val="auto"/>
          <w:sz w:val="24"/>
          <w:highlight w:val="none"/>
        </w:rPr>
        <w:t>平台</w:t>
      </w:r>
      <w:r>
        <w:rPr>
          <w:rFonts w:hint="eastAsia" w:ascii="宋体" w:hAnsi="宋体" w:eastAsia="宋体" w:cs="宋体"/>
          <w:color w:val="auto"/>
          <w:sz w:val="24"/>
          <w:highlight w:val="none"/>
          <w:lang w:val="en-US" w:eastAsia="zh-CN"/>
        </w:rPr>
        <w:t>上</w:t>
      </w:r>
      <w:r>
        <w:rPr>
          <w:rFonts w:hint="eastAsia" w:ascii="宋体" w:hAnsi="宋体" w:eastAsia="宋体" w:cs="宋体"/>
          <w:color w:val="auto"/>
          <w:sz w:val="24"/>
          <w:highlight w:val="none"/>
        </w:rPr>
        <w:t>注册</w:t>
      </w:r>
      <w:r>
        <w:rPr>
          <w:rFonts w:hint="eastAsia" w:ascii="宋体" w:hAnsi="宋体" w:eastAsia="宋体" w:cs="宋体"/>
          <w:color w:val="auto"/>
          <w:sz w:val="24"/>
          <w:highlight w:val="none"/>
          <w:lang w:val="en-US" w:eastAsia="zh-CN"/>
        </w:rPr>
        <w:t>供应商账号</w:t>
      </w:r>
      <w:r>
        <w:rPr>
          <w:rFonts w:hint="eastAsia" w:ascii="宋体" w:hAnsi="宋体" w:eastAsia="宋体" w:cs="宋体"/>
          <w:color w:val="auto"/>
          <w:sz w:val="24"/>
          <w:highlight w:val="none"/>
        </w:rPr>
        <w:t>。编制电子</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文件前还需</w:t>
      </w:r>
      <w:r>
        <w:rPr>
          <w:rFonts w:hint="eastAsia" w:ascii="宋体" w:hAnsi="宋体" w:eastAsia="宋体" w:cs="宋体"/>
          <w:color w:val="auto"/>
          <w:sz w:val="24"/>
          <w:highlight w:val="none"/>
          <w:lang w:val="en-US" w:eastAsia="zh-CN"/>
        </w:rPr>
        <w:t>申领CA证书并绑定帐号。投标人应充分考虑完成平台注册、申领CA证书等所需的时间。</w:t>
      </w:r>
      <w:r>
        <w:rPr>
          <w:rFonts w:hint="eastAsia" w:ascii="宋体" w:hAnsi="宋体" w:eastAsia="宋体" w:cs="宋体"/>
          <w:color w:val="auto"/>
          <w:sz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CN" w:eastAsia="zh-CN"/>
        </w:rPr>
        <w:t>登录新疆政府采购网“供应商注册”—“新疆生产建设新疆政府采购供应商入驻登记”—“立即登记”进行自助注册绑定。</w:t>
      </w:r>
    </w:p>
    <w:p w14:paraId="18ECC26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投标人将</w:t>
      </w:r>
      <w:r>
        <w:rPr>
          <w:rFonts w:hint="eastAsia" w:ascii="宋体" w:hAnsi="宋体" w:eastAsia="宋体" w:cs="宋体"/>
          <w:color w:val="auto"/>
          <w:sz w:val="24"/>
          <w:highlight w:val="none"/>
          <w:lang w:val="en-US" w:eastAsia="zh-CN"/>
        </w:rPr>
        <w:t>新疆政府采购</w:t>
      </w:r>
      <w:r>
        <w:rPr>
          <w:rFonts w:hint="eastAsia" w:ascii="宋体" w:hAnsi="宋体" w:eastAsia="宋体" w:cs="宋体"/>
          <w:color w:val="auto"/>
          <w:sz w:val="24"/>
          <w:highlight w:val="none"/>
          <w:lang w:val="en-US"/>
        </w:rPr>
        <w:t>电子交易云</w:t>
      </w:r>
      <w:r>
        <w:rPr>
          <w:rFonts w:hint="eastAsia" w:ascii="宋体" w:hAnsi="宋体" w:eastAsia="宋体" w:cs="宋体"/>
          <w:color w:val="auto"/>
          <w:sz w:val="24"/>
          <w:highlight w:val="none"/>
        </w:rPr>
        <w:t>平台电子交易客户端下载、安装完成后，可通过账号密码或CA登录客户端进行</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制作。在使用政采云投标客户端时，建议使用WIN7及以上操作系统。</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登录</w:t>
      </w:r>
      <w:r>
        <w:rPr>
          <w:rFonts w:hint="eastAsia" w:ascii="宋体" w:hAnsi="宋体" w:eastAsia="宋体" w:cs="宋体"/>
          <w:color w:val="auto"/>
          <w:sz w:val="24"/>
          <w:highlight w:val="none"/>
          <w:lang w:eastAsia="zh-CN"/>
        </w:rPr>
        <w:t>新疆政府采购网</w:t>
      </w:r>
      <w:r>
        <w:rPr>
          <w:rFonts w:hint="eastAsia" w:ascii="宋体" w:hAnsi="宋体" w:eastAsia="宋体" w:cs="宋体"/>
          <w:color w:val="auto"/>
          <w:sz w:val="24"/>
          <w:highlight w:val="none"/>
        </w:rPr>
        <w:t>“下载专区”—“电子招投标客户端下载”下载相关客户端，如有问题可拨打政采云客户服务热线95763进行咨询。</w:t>
      </w:r>
    </w:p>
    <w:p w14:paraId="1E16A3E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加密的电子</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递交截止时间前通过政采云平台上传完成。逾期上传或者未上传指定地点的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，不予受理。</w:t>
      </w:r>
    </w:p>
    <w:p w14:paraId="53B2896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投标人在开标前须提前配置好电脑</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浏览器，开标时请使用制作加密电子</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的CA锁进行解密及报价确认。本项目</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解密时间</w:t>
      </w:r>
      <w:r>
        <w:rPr>
          <w:rFonts w:hint="eastAsia" w:ascii="宋体" w:hAnsi="宋体" w:eastAsia="宋体" w:cs="宋体"/>
          <w:color w:val="auto"/>
          <w:sz w:val="24"/>
          <w:highlight w:val="none"/>
          <w:lang w:val="en-US" w:eastAsia="zh-CN"/>
        </w:rPr>
        <w:t>详见“投标人须知前附表”</w:t>
      </w:r>
      <w:r>
        <w:rPr>
          <w:rFonts w:hint="eastAsia" w:ascii="宋体" w:hAnsi="宋体" w:eastAsia="宋体" w:cs="宋体"/>
          <w:color w:val="auto"/>
          <w:sz w:val="24"/>
          <w:highlight w:val="none"/>
        </w:rPr>
        <w:t>，如因自身原因导致无法正常解密，后果由投标人自行承担。</w:t>
      </w:r>
    </w:p>
    <w:p w14:paraId="469768F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如遇“</w:t>
      </w:r>
      <w:r>
        <w:rPr>
          <w:rFonts w:hint="eastAsia" w:ascii="宋体" w:hAnsi="宋体" w:eastAsia="宋体" w:cs="宋体"/>
          <w:color w:val="auto"/>
          <w:sz w:val="24"/>
          <w:highlight w:val="none"/>
          <w:lang w:val="en-US" w:eastAsia="zh-CN"/>
        </w:rPr>
        <w:t>政采云平台线上</w:t>
      </w:r>
      <w:r>
        <w:rPr>
          <w:rFonts w:hint="eastAsia" w:ascii="宋体" w:hAnsi="宋体" w:eastAsia="宋体" w:cs="宋体"/>
          <w:color w:val="auto"/>
          <w:sz w:val="24"/>
          <w:highlight w:val="none"/>
        </w:rPr>
        <w:t>”电子交易规则调整，以最新要求为准。</w:t>
      </w:r>
    </w:p>
    <w:p w14:paraId="08AA0AB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10.6 电子交易系统咨询：投标人应当充分考虑到电子投标可能会发生的各种问题和风险，特别是投标文件签署、提交等问题，可按照“第一章 招标公告”的联系方式咨询相关人员。</w:t>
      </w:r>
    </w:p>
    <w:p w14:paraId="39CA103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10.7 由于本项目采用电子招标方式，潜在投标人的名单将在提交投标文件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191" w:name="_Toc25633"/>
      <w:bookmarkStart w:id="192" w:name="_Toc27586"/>
      <w:bookmarkStart w:id="193" w:name="_Toc2058"/>
      <w:bookmarkStart w:id="194" w:name="_Toc163492834"/>
      <w:bookmarkStart w:id="195" w:name="_Toc2606"/>
      <w:bookmarkStart w:id="196" w:name="_Toc25857"/>
      <w:r>
        <w:rPr>
          <w:rFonts w:hint="eastAsia" w:ascii="宋体" w:hAnsi="宋体" w:eastAsia="宋体" w:cs="宋体"/>
          <w:b/>
          <w:bCs/>
          <w:color w:val="auto"/>
          <w:kern w:val="2"/>
          <w:sz w:val="24"/>
          <w:szCs w:val="32"/>
          <w:highlight w:val="none"/>
          <w:lang w:val="en-US" w:eastAsia="zh-CN" w:bidi="ar-SA"/>
        </w:rPr>
        <w:t>（二）招标文件</w:t>
      </w:r>
      <w:bookmarkEnd w:id="190"/>
      <w:bookmarkEnd w:id="191"/>
      <w:bookmarkEnd w:id="192"/>
      <w:bookmarkEnd w:id="193"/>
      <w:bookmarkEnd w:id="194"/>
      <w:bookmarkEnd w:id="195"/>
      <w:bookmarkEnd w:id="196"/>
    </w:p>
    <w:p w14:paraId="08A2C6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97" w:name="_Toc7916"/>
      <w:bookmarkStart w:id="198" w:name="_Toc11591"/>
      <w:bookmarkStart w:id="199" w:name="_Toc27444"/>
      <w:bookmarkStart w:id="200" w:name="_Toc24167"/>
      <w:bookmarkStart w:id="201" w:name="_Toc140132768"/>
      <w:bookmarkStart w:id="202" w:name="_Toc7878"/>
      <w:bookmarkStart w:id="203" w:name="_Toc163492835"/>
      <w:r>
        <w:rPr>
          <w:rFonts w:hint="eastAsia" w:ascii="宋体" w:hAnsi="宋体" w:eastAsia="宋体" w:cs="宋体"/>
          <w:b/>
          <w:bCs/>
          <w:color w:val="auto"/>
          <w:kern w:val="2"/>
          <w:sz w:val="24"/>
          <w:szCs w:val="28"/>
          <w:highlight w:val="none"/>
          <w:lang w:val="en-US" w:eastAsia="zh-CN" w:bidi="ar-SA"/>
        </w:rPr>
        <w:t>11.招标文件的组成</w:t>
      </w:r>
      <w:bookmarkEnd w:id="197"/>
      <w:bookmarkEnd w:id="198"/>
      <w:bookmarkEnd w:id="199"/>
      <w:bookmarkEnd w:id="200"/>
      <w:bookmarkEnd w:id="201"/>
      <w:bookmarkEnd w:id="202"/>
      <w:bookmarkEnd w:id="203"/>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.1本招标文件包括下列文件及根据本章第9款、第1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合同</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投标文件的格式</w:t>
      </w:r>
    </w:p>
    <w:p w14:paraId="78CADEE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04" w:name="_Toc30241"/>
      <w:bookmarkStart w:id="205" w:name="_Toc14064"/>
      <w:bookmarkStart w:id="206" w:name="_Toc30904"/>
      <w:bookmarkStart w:id="207" w:name="_Toc140132769"/>
      <w:bookmarkStart w:id="208" w:name="_Toc13699"/>
      <w:bookmarkStart w:id="209" w:name="_Toc163492836"/>
      <w:bookmarkStart w:id="210" w:name="_Toc20196"/>
      <w:r>
        <w:rPr>
          <w:rFonts w:hint="eastAsia" w:ascii="宋体" w:hAnsi="宋体" w:eastAsia="宋体" w:cs="宋体"/>
          <w:b/>
          <w:bCs/>
          <w:color w:val="auto"/>
          <w:kern w:val="2"/>
          <w:sz w:val="24"/>
          <w:szCs w:val="28"/>
          <w:highlight w:val="none"/>
          <w:lang w:val="en-US" w:eastAsia="zh-CN" w:bidi="ar-SA"/>
        </w:rPr>
        <w:t>12.招标文件的询问、澄清或者修改</w:t>
      </w:r>
      <w:bookmarkEnd w:id="204"/>
      <w:bookmarkEnd w:id="205"/>
      <w:bookmarkEnd w:id="206"/>
      <w:bookmarkEnd w:id="207"/>
      <w:bookmarkEnd w:id="208"/>
      <w:bookmarkEnd w:id="209"/>
      <w:bookmarkEnd w:id="210"/>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投标人在规定的时间内未对招标文件提出疑问或要求澄清的，采购代理机构将视其为同意，对在“投标人须知前附表”中“</w:t>
      </w:r>
      <w:r>
        <w:rPr>
          <w:rFonts w:hint="eastAsia" w:ascii="宋体" w:hAnsi="宋体" w:eastAsia="宋体" w:cs="宋体"/>
          <w:color w:val="auto"/>
          <w:sz w:val="24"/>
          <w:szCs w:val="24"/>
          <w:highlight w:val="none"/>
          <w:lang w:val="en-US" w:eastAsia="zh-CN"/>
        </w:rPr>
        <w:t>提出询问的</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采购人或者采购代理机构可以对已发出的招标文件进行必要的澄清或者修改。</w:t>
      </w:r>
      <w:r>
        <w:rPr>
          <w:rFonts w:hint="eastAsia" w:ascii="宋体" w:hAnsi="宋体" w:eastAsia="宋体" w:cs="宋体"/>
          <w:color w:val="auto"/>
          <w:sz w:val="24"/>
          <w:highlight w:val="none"/>
        </w:rPr>
        <w:t>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招标文件的澄清或者修改以当面交接、邮寄、传真或电子邮件、网站披露等其中至少一种方式，发给所有领取招标文件的</w:t>
      </w:r>
      <w:r>
        <w:rPr>
          <w:rFonts w:hint="eastAsia" w:ascii="宋体" w:hAnsi="宋体" w:eastAsia="宋体" w:cs="宋体"/>
          <w:color w:val="auto"/>
          <w:sz w:val="24"/>
          <w:szCs w:val="24"/>
          <w:highlight w:val="none"/>
          <w:lang w:val="en-US" w:eastAsia="zh-CN"/>
        </w:rPr>
        <w:t>潜在</w:t>
      </w:r>
      <w:r>
        <w:rPr>
          <w:rFonts w:hint="eastAsia" w:ascii="宋体" w:hAnsi="宋体" w:eastAsia="宋体" w:cs="宋体"/>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.4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投标人须知”所称“</w:t>
      </w:r>
      <w:r>
        <w:rPr>
          <w:rFonts w:hint="eastAsia" w:ascii="宋体" w:hAnsi="宋体" w:eastAsia="宋体" w:cs="宋体"/>
          <w:color w:val="auto"/>
          <w:sz w:val="24"/>
          <w:highlight w:val="none"/>
        </w:rPr>
        <w:t>书面形式</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包括系统消息、政府采购</w:t>
      </w:r>
      <w:r>
        <w:rPr>
          <w:rFonts w:hint="eastAsia" w:ascii="宋体" w:hAnsi="宋体" w:eastAsia="宋体" w:cs="宋体"/>
          <w:color w:val="auto"/>
          <w:sz w:val="24"/>
          <w:highlight w:val="none"/>
          <w:lang w:val="en-US" w:eastAsia="zh-CN"/>
        </w:rPr>
        <w:t>云平台</w:t>
      </w:r>
      <w:r>
        <w:rPr>
          <w:rFonts w:hint="eastAsia" w:ascii="宋体" w:hAnsi="宋体" w:eastAsia="宋体" w:cs="宋体"/>
          <w:color w:val="auto"/>
          <w:sz w:val="24"/>
          <w:highlight w:val="none"/>
        </w:rPr>
        <w:t>发布的公告。</w:t>
      </w:r>
    </w:p>
    <w:p w14:paraId="1E6D774C">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211" w:name="_Toc3060"/>
      <w:bookmarkStart w:id="212" w:name="_Toc195"/>
      <w:bookmarkStart w:id="213" w:name="_Toc13035"/>
      <w:bookmarkStart w:id="214" w:name="_Toc163492837"/>
      <w:bookmarkStart w:id="215" w:name="_Toc155185872"/>
      <w:bookmarkStart w:id="216" w:name="_Toc5393"/>
      <w:bookmarkStart w:id="217" w:name="_Toc9097"/>
      <w:r>
        <w:rPr>
          <w:rFonts w:hint="eastAsia" w:ascii="宋体" w:hAnsi="宋体" w:eastAsia="宋体" w:cs="宋体"/>
          <w:b/>
          <w:bCs/>
          <w:color w:val="auto"/>
          <w:kern w:val="2"/>
          <w:sz w:val="24"/>
          <w:szCs w:val="32"/>
          <w:highlight w:val="none"/>
          <w:lang w:val="en-US" w:eastAsia="zh-CN" w:bidi="ar-SA"/>
        </w:rPr>
        <w:t>（三）投标文件</w:t>
      </w:r>
      <w:bookmarkEnd w:id="211"/>
      <w:bookmarkEnd w:id="212"/>
      <w:bookmarkEnd w:id="213"/>
      <w:bookmarkEnd w:id="214"/>
      <w:bookmarkEnd w:id="215"/>
      <w:bookmarkEnd w:id="216"/>
      <w:bookmarkEnd w:id="217"/>
    </w:p>
    <w:p w14:paraId="67D7E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8" w:name="_Toc24818"/>
      <w:bookmarkStart w:id="219" w:name="_Toc13879"/>
      <w:bookmarkStart w:id="220" w:name="_Toc163492838"/>
      <w:bookmarkStart w:id="221" w:name="_Toc30794"/>
      <w:bookmarkStart w:id="222" w:name="_Toc28744"/>
      <w:bookmarkStart w:id="223" w:name="_Toc1776"/>
      <w:r>
        <w:rPr>
          <w:rFonts w:hint="eastAsia" w:ascii="宋体" w:hAnsi="宋体" w:eastAsia="宋体" w:cs="宋体"/>
          <w:b/>
          <w:bCs/>
          <w:color w:val="auto"/>
          <w:kern w:val="2"/>
          <w:sz w:val="24"/>
          <w:szCs w:val="28"/>
          <w:highlight w:val="none"/>
          <w:lang w:val="en-US" w:eastAsia="zh-CN" w:bidi="ar-SA"/>
        </w:rPr>
        <w:t>13.投标文件的组成</w:t>
      </w:r>
      <w:bookmarkEnd w:id="218"/>
      <w:bookmarkEnd w:id="219"/>
      <w:bookmarkEnd w:id="220"/>
      <w:bookmarkEnd w:id="221"/>
      <w:bookmarkEnd w:id="222"/>
      <w:bookmarkEnd w:id="223"/>
    </w:p>
    <w:p w14:paraId="174A0A3D">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bookmarkStart w:id="224" w:name="_Toc163492839"/>
      <w:bookmarkStart w:id="225" w:name="_Toc140132772"/>
      <w:r>
        <w:rPr>
          <w:rFonts w:hint="eastAsia" w:ascii="宋体" w:hAnsi="宋体" w:eastAsia="宋体" w:cs="宋体"/>
          <w:color w:val="auto"/>
          <w:kern w:val="2"/>
          <w:sz w:val="24"/>
          <w:szCs w:val="22"/>
          <w:highlight w:val="none"/>
          <w:lang w:val="en-US" w:eastAsia="zh-CN"/>
        </w:rPr>
        <w:t>13</w:t>
      </w:r>
      <w:r>
        <w:rPr>
          <w:rFonts w:hint="eastAsia" w:ascii="宋体" w:hAnsi="宋体" w:eastAsia="宋体" w:cs="宋体"/>
          <w:color w:val="auto"/>
          <w:kern w:val="2"/>
          <w:sz w:val="24"/>
          <w:szCs w:val="22"/>
          <w:highlight w:val="none"/>
        </w:rPr>
        <w:t>.1投标人应完整地按招标文件提供的投标文件格式及要求编写投标文件，具体内容详见</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lang w:val="en-US" w:eastAsia="zh-CN"/>
        </w:rPr>
        <w:t xml:space="preserve">第七章 </w:t>
      </w:r>
      <w:r>
        <w:rPr>
          <w:rFonts w:hint="eastAsia" w:ascii="宋体" w:hAnsi="宋体" w:eastAsia="宋体" w:cs="宋体"/>
          <w:color w:val="auto"/>
          <w:kern w:val="2"/>
          <w:sz w:val="24"/>
          <w:szCs w:val="22"/>
          <w:highlight w:val="none"/>
        </w:rPr>
        <w:t>投标文件格式</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的相关内容。</w:t>
      </w:r>
    </w:p>
    <w:p w14:paraId="3BB3A0B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13.2</w:t>
      </w:r>
      <w:r>
        <w:rPr>
          <w:rFonts w:hint="eastAsia" w:ascii="宋体" w:hAnsi="宋体" w:eastAsia="宋体" w:cs="宋体"/>
          <w:color w:val="auto"/>
          <w:kern w:val="2"/>
          <w:sz w:val="24"/>
          <w:szCs w:val="22"/>
          <w:highlight w:val="none"/>
        </w:rPr>
        <w:t>投标人应提交招标文件要求的证明文件，证明其投标内容符合招标文件规定</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该证明文件是投标文件的一部分</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证明文件</w:t>
      </w:r>
      <w:r>
        <w:rPr>
          <w:rFonts w:hint="eastAsia" w:ascii="宋体" w:hAnsi="宋体" w:eastAsia="宋体" w:cs="宋体"/>
          <w:color w:val="auto"/>
          <w:kern w:val="2"/>
          <w:sz w:val="24"/>
          <w:szCs w:val="22"/>
          <w:highlight w:val="none"/>
          <w:lang w:val="en-US" w:eastAsia="zh-CN"/>
        </w:rPr>
        <w:t>形式</w:t>
      </w:r>
      <w:r>
        <w:rPr>
          <w:rFonts w:hint="eastAsia" w:ascii="宋体" w:hAnsi="宋体" w:eastAsia="宋体" w:cs="宋体"/>
          <w:color w:val="auto"/>
          <w:kern w:val="2"/>
          <w:sz w:val="24"/>
          <w:szCs w:val="22"/>
          <w:highlight w:val="none"/>
        </w:rPr>
        <w:t>可以是文字资料、图纸和数据</w:t>
      </w:r>
      <w:bookmarkStart w:id="226" w:name="_Hlk11703583"/>
      <w:r>
        <w:rPr>
          <w:rFonts w:hint="eastAsia" w:ascii="宋体" w:hAnsi="宋体" w:eastAsia="宋体" w:cs="宋体"/>
          <w:color w:val="auto"/>
          <w:kern w:val="2"/>
          <w:sz w:val="24"/>
          <w:szCs w:val="22"/>
          <w:highlight w:val="none"/>
          <w:lang w:val="en-US" w:eastAsia="zh-CN"/>
        </w:rPr>
        <w:t>等。</w:t>
      </w:r>
    </w:p>
    <w:bookmarkEnd w:id="226"/>
    <w:p w14:paraId="781BBAE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13.3</w:t>
      </w:r>
      <w:r>
        <w:rPr>
          <w:rFonts w:hint="eastAsia" w:ascii="宋体" w:hAnsi="宋体" w:eastAsia="宋体" w:cs="宋体"/>
          <w:color w:val="auto"/>
          <w:kern w:val="2"/>
          <w:sz w:val="24"/>
          <w:szCs w:val="22"/>
          <w:highlight w:val="none"/>
        </w:rPr>
        <w:t>为保证公平公正，除非</w:t>
      </w:r>
      <w:r>
        <w:rPr>
          <w:rFonts w:hint="eastAsia" w:ascii="宋体" w:hAnsi="宋体" w:eastAsia="宋体" w:cs="宋体"/>
          <w:color w:val="auto"/>
          <w:kern w:val="2"/>
          <w:sz w:val="24"/>
          <w:szCs w:val="22"/>
          <w:highlight w:val="none"/>
          <w:lang w:val="en-US" w:eastAsia="zh-CN"/>
        </w:rPr>
        <w:t>本招标文件</w:t>
      </w:r>
      <w:r>
        <w:rPr>
          <w:rFonts w:hint="eastAsia" w:ascii="宋体" w:hAnsi="宋体" w:eastAsia="宋体" w:cs="宋体"/>
          <w:color w:val="auto"/>
          <w:kern w:val="2"/>
          <w:sz w:val="24"/>
          <w:szCs w:val="22"/>
          <w:highlight w:val="none"/>
        </w:rPr>
        <w:t>另有规定或说明，投标人对同一项目投标时，不得同时提供备选投标方案。</w:t>
      </w:r>
    </w:p>
    <w:p w14:paraId="2DB5A9E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27" w:name="_Toc10265"/>
      <w:bookmarkStart w:id="228" w:name="_Toc1406"/>
      <w:bookmarkStart w:id="229" w:name="_Toc12233"/>
      <w:bookmarkStart w:id="230" w:name="_Toc16697"/>
      <w:bookmarkStart w:id="231" w:name="_Toc893"/>
      <w:r>
        <w:rPr>
          <w:rFonts w:hint="eastAsia" w:ascii="宋体" w:hAnsi="宋体" w:eastAsia="宋体" w:cs="宋体"/>
          <w:b/>
          <w:bCs/>
          <w:color w:val="auto"/>
          <w:kern w:val="2"/>
          <w:sz w:val="24"/>
          <w:szCs w:val="28"/>
          <w:highlight w:val="none"/>
          <w:lang w:val="en-US" w:eastAsia="zh-CN" w:bidi="ar-SA"/>
        </w:rPr>
        <w:t>14.投标报价</w:t>
      </w:r>
      <w:bookmarkEnd w:id="224"/>
      <w:bookmarkEnd w:id="225"/>
      <w:bookmarkEnd w:id="227"/>
      <w:bookmarkEnd w:id="228"/>
      <w:bookmarkEnd w:id="229"/>
      <w:bookmarkEnd w:id="230"/>
      <w:bookmarkEnd w:id="231"/>
    </w:p>
    <w:p w14:paraId="0C6772BB">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lang w:val="zh-CN"/>
        </w:rPr>
      </w:pPr>
      <w:bookmarkStart w:id="232" w:name="_Toc4011"/>
      <w:bookmarkStart w:id="233" w:name="_Toc2907"/>
      <w:bookmarkStart w:id="234" w:name="_Toc140132773"/>
      <w:bookmarkStart w:id="235" w:name="_Toc163492840"/>
      <w:bookmarkStart w:id="236" w:name="_Toc15358"/>
      <w:bookmarkStart w:id="237" w:name="_Toc11990"/>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val="zh-CN"/>
        </w:rPr>
        <w:t>投标人的报价均应以人民币进行报价。</w:t>
      </w:r>
    </w:p>
    <w:p w14:paraId="001F22C2">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投标人应按照本招标文件规定的报价方式进行报价，投标报价中不得包含招标文件要求以外的内容，否则，在评标时不予核减。投标报价中也不得遗漏招标文件所要求的内容，否则其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p>
    <w:p w14:paraId="658F1D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kern w:val="2"/>
          <w:sz w:val="24"/>
          <w:szCs w:val="24"/>
          <w:highlight w:val="none"/>
          <w:lang w:val="en-US" w:eastAsia="zh-CN"/>
        </w:rPr>
        <w:t>14.3</w:t>
      </w:r>
      <w:r>
        <w:rPr>
          <w:rFonts w:hint="eastAsia" w:ascii="宋体" w:hAnsi="宋体" w:eastAsia="宋体" w:cs="宋体"/>
          <w:snapToGrid w:val="0"/>
          <w:color w:val="auto"/>
          <w:sz w:val="24"/>
          <w:szCs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宋体" w:hAnsi="宋体" w:eastAsia="宋体" w:cs="宋体"/>
          <w:snapToGrid w:val="0"/>
          <w:color w:val="auto"/>
          <w:sz w:val="24"/>
          <w:szCs w:val="24"/>
          <w:highlight w:val="none"/>
        </w:rPr>
        <w:t>。</w:t>
      </w:r>
    </w:p>
    <w:p w14:paraId="29AAB874">
      <w:pPr>
        <w:pStyle w:val="1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14.4投标人的报价应包括但不限于按照招标文件要求完成本项目的全部相关费用。</w:t>
      </w:r>
    </w:p>
    <w:p w14:paraId="049AF5FA">
      <w:pPr>
        <w:ind w:firstLine="480" w:firstLineChars="200"/>
        <w:rPr>
          <w:rFonts w:hint="eastAsia" w:ascii="宋体" w:hAnsi="宋体" w:eastAsia="宋体" w:cs="宋体"/>
          <w:snapToGrid w:val="0"/>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 xml:space="preserve">14.5 </w:t>
      </w:r>
      <w:r>
        <w:rPr>
          <w:rFonts w:hint="eastAsia" w:ascii="宋体" w:hAnsi="宋体"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058EFD12">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14.6 投标人在投标文件中注明免费的项目将视为包含在投标报价中。</w:t>
      </w:r>
    </w:p>
    <w:p w14:paraId="6DF8B2FA">
      <w:pPr>
        <w:pStyle w:val="1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14.7 每一种采购内容只允许</w:t>
      </w:r>
      <w:r>
        <w:rPr>
          <w:rFonts w:hint="eastAsia" w:ascii="宋体" w:hAnsi="宋体" w:eastAsia="宋体" w:cs="宋体"/>
          <w:snapToGrid w:val="0"/>
          <w:color w:val="auto"/>
          <w:sz w:val="24"/>
          <w:szCs w:val="24"/>
          <w:highlight w:val="none"/>
        </w:rPr>
        <w:t>有一个报价，否则其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r>
        <w:rPr>
          <w:rFonts w:hint="eastAsia" w:ascii="宋体" w:hAnsi="宋体" w:eastAsia="宋体" w:cs="宋体"/>
          <w:color w:val="auto"/>
          <w:kern w:val="2"/>
          <w:sz w:val="24"/>
          <w:szCs w:val="24"/>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4"/>
          <w:highlight w:val="none"/>
          <w:lang w:val="en-US" w:eastAsia="zh-CN"/>
        </w:rPr>
        <w:t>实质性</w:t>
      </w:r>
      <w:r>
        <w:rPr>
          <w:rFonts w:hint="eastAsia" w:ascii="宋体" w:hAnsi="宋体" w:eastAsia="宋体" w:cs="宋体"/>
          <w:color w:val="auto"/>
          <w:kern w:val="2"/>
          <w:sz w:val="24"/>
          <w:szCs w:val="24"/>
          <w:highlight w:val="none"/>
        </w:rPr>
        <w:t>响应</w:t>
      </w:r>
      <w:r>
        <w:rPr>
          <w:rFonts w:hint="eastAsia" w:ascii="宋体" w:hAnsi="宋体" w:eastAsia="宋体" w:cs="宋体"/>
          <w:color w:val="auto"/>
          <w:kern w:val="2"/>
          <w:sz w:val="24"/>
          <w:szCs w:val="24"/>
          <w:highlight w:val="none"/>
          <w:lang w:val="en-US" w:eastAsia="zh-CN"/>
        </w:rPr>
        <w:t>招标文件,其</w:t>
      </w:r>
      <w:r>
        <w:rPr>
          <w:rFonts w:hint="eastAsia" w:ascii="宋体" w:hAnsi="宋体" w:eastAsia="宋体" w:cs="宋体"/>
          <w:b/>
          <w:bCs/>
          <w:color w:val="auto"/>
          <w:kern w:val="2"/>
          <w:sz w:val="24"/>
          <w:szCs w:val="24"/>
          <w:highlight w:val="none"/>
          <w:lang w:eastAsia="zh-CN"/>
        </w:rPr>
        <w:t>投标无效</w:t>
      </w:r>
      <w:r>
        <w:rPr>
          <w:rFonts w:hint="eastAsia" w:ascii="宋体" w:hAnsi="宋体" w:eastAsia="宋体" w:cs="宋体"/>
          <w:color w:val="auto"/>
          <w:kern w:val="2"/>
          <w:sz w:val="24"/>
          <w:szCs w:val="24"/>
          <w:highlight w:val="none"/>
        </w:rPr>
        <w:t>。</w:t>
      </w:r>
    </w:p>
    <w:p w14:paraId="192E0BF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投标报价不得超过“</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”中规定的最高投标限价</w:t>
      </w:r>
      <w:r>
        <w:rPr>
          <w:rFonts w:hint="eastAsia" w:ascii="宋体" w:hAnsi="宋体" w:eastAsia="宋体" w:cs="宋体"/>
          <w:color w:val="auto"/>
          <w:sz w:val="24"/>
          <w:szCs w:val="24"/>
          <w:highlight w:val="none"/>
          <w:lang w:val="en-US" w:eastAsia="zh-CN"/>
        </w:rPr>
        <w:t>或者预算金额</w:t>
      </w:r>
      <w:r>
        <w:rPr>
          <w:rFonts w:hint="eastAsia" w:ascii="宋体" w:hAnsi="宋体" w:eastAsia="宋体" w:cs="宋体"/>
          <w:color w:val="auto"/>
          <w:sz w:val="24"/>
          <w:szCs w:val="24"/>
          <w:highlight w:val="none"/>
        </w:rPr>
        <w:t>，否则评标委员会将</w:t>
      </w:r>
      <w:r>
        <w:rPr>
          <w:rFonts w:hint="eastAsia" w:ascii="宋体" w:hAnsi="宋体" w:eastAsia="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rPr>
        <w:t>其</w:t>
      </w:r>
      <w:r>
        <w:rPr>
          <w:rFonts w:hint="eastAsia" w:ascii="宋体" w:hAnsi="宋体" w:eastAsia="宋体" w:cs="宋体"/>
          <w:b w:val="0"/>
          <w:bCs w:val="0"/>
          <w:color w:val="auto"/>
          <w:sz w:val="24"/>
          <w:szCs w:val="24"/>
          <w:highlight w:val="none"/>
          <w:lang w:val="en-US" w:eastAsia="zh-CN"/>
        </w:rPr>
        <w:t>作</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color w:val="auto"/>
          <w:sz w:val="24"/>
          <w:szCs w:val="24"/>
          <w:highlight w:val="none"/>
        </w:rPr>
        <w:t>。</w:t>
      </w:r>
    </w:p>
    <w:p w14:paraId="1DC40C77">
      <w:pPr>
        <w:pStyle w:val="57"/>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9 </w:t>
      </w:r>
      <w:r>
        <w:rPr>
          <w:rFonts w:hint="eastAsia" w:ascii="宋体" w:hAnsi="宋体" w:eastAsia="宋体" w:cs="宋体"/>
          <w:color w:val="auto"/>
          <w:kern w:val="2"/>
          <w:sz w:val="24"/>
          <w:szCs w:val="24"/>
          <w:highlight w:val="none"/>
        </w:rPr>
        <w:t>投标人对投标报价若有说明应在投标文件中显著处注明。</w:t>
      </w:r>
    </w:p>
    <w:p w14:paraId="69F7C97A">
      <w:pPr>
        <w:pStyle w:val="57"/>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除政策性文件规定以外，投标人所报价格在合同实施期间不因市场变化因素而变动。</w:t>
      </w:r>
    </w:p>
    <w:p w14:paraId="3D2E52CC">
      <w:pPr>
        <w:pStyle w:val="57"/>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10 </w:t>
      </w:r>
      <w:r>
        <w:rPr>
          <w:rFonts w:hint="eastAsia" w:ascii="宋体" w:hAnsi="宋体" w:eastAsia="宋体" w:cs="宋体"/>
          <w:color w:val="auto"/>
          <w:kern w:val="2"/>
          <w:sz w:val="24"/>
          <w:szCs w:val="24"/>
          <w:highlight w:val="none"/>
        </w:rPr>
        <w:t>最低报价不能作为中标的保证。</w:t>
      </w:r>
    </w:p>
    <w:p w14:paraId="307EFC21">
      <w:pPr>
        <w:pStyle w:val="57"/>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14.11采购人不得向投标人索要或者接受其给予的赠品、回扣或者与采购无关的其他商品、服务。</w:t>
      </w:r>
    </w:p>
    <w:p w14:paraId="691BBD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8" w:name="_Toc9339"/>
      <w:r>
        <w:rPr>
          <w:rFonts w:hint="eastAsia" w:ascii="宋体" w:hAnsi="宋体" w:eastAsia="宋体" w:cs="宋体"/>
          <w:b/>
          <w:bCs/>
          <w:color w:val="auto"/>
          <w:kern w:val="2"/>
          <w:sz w:val="24"/>
          <w:szCs w:val="28"/>
          <w:highlight w:val="none"/>
          <w:lang w:val="en-US" w:eastAsia="zh-CN" w:bidi="ar-SA"/>
        </w:rPr>
        <w:t>15.投标有效期</w:t>
      </w:r>
      <w:bookmarkEnd w:id="232"/>
      <w:bookmarkEnd w:id="233"/>
      <w:bookmarkEnd w:id="234"/>
      <w:bookmarkEnd w:id="235"/>
      <w:bookmarkEnd w:id="236"/>
      <w:bookmarkEnd w:id="237"/>
      <w:bookmarkEnd w:id="238"/>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color w:val="auto"/>
          <w:kern w:val="0"/>
          <w:sz w:val="24"/>
          <w:szCs w:val="21"/>
          <w:highlight w:val="none"/>
          <w:lang w:val="en"/>
        </w:rPr>
        <w:t>投标有效期</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 xml:space="preserve">第二章 </w:t>
      </w:r>
      <w:r>
        <w:rPr>
          <w:rFonts w:hint="eastAsia" w:ascii="宋体" w:hAnsi="宋体" w:eastAsia="宋体" w:cs="宋体"/>
          <w:color w:val="auto"/>
          <w:sz w:val="24"/>
          <w:szCs w:val="24"/>
          <w:highlight w:val="none"/>
        </w:rPr>
        <w:t>投标人须知前附表”，投标人承诺的投标有效期</w:t>
      </w:r>
      <w:r>
        <w:rPr>
          <w:rFonts w:hint="eastAsia" w:ascii="宋体" w:hAnsi="宋体" w:eastAsia="宋体" w:cs="宋体"/>
          <w:snapToGrid w:val="0"/>
          <w:color w:val="auto"/>
          <w:sz w:val="24"/>
          <w:highlight w:val="none"/>
          <w:lang w:val="zh-CN" w:eastAsia="zh-CN"/>
        </w:rPr>
        <w:t>少于</w:t>
      </w:r>
      <w:r>
        <w:rPr>
          <w:rFonts w:hint="eastAsia" w:ascii="宋体" w:hAnsi="宋体" w:eastAsia="宋体" w:cs="宋体"/>
          <w:snapToGrid w:val="0"/>
          <w:color w:val="auto"/>
          <w:sz w:val="24"/>
          <w:highlight w:val="none"/>
          <w:lang w:val="en-US" w:eastAsia="zh-CN"/>
        </w:rPr>
        <w:t>招标</w:t>
      </w:r>
      <w:r>
        <w:rPr>
          <w:rFonts w:hint="eastAsia" w:ascii="宋体" w:hAnsi="宋体" w:eastAsia="宋体" w:cs="宋体"/>
          <w:snapToGrid w:val="0"/>
          <w:color w:val="auto"/>
          <w:sz w:val="24"/>
          <w:highlight w:val="none"/>
          <w:lang w:val="zh-CN" w:eastAsia="zh-CN"/>
        </w:rPr>
        <w:t>文件规定期限的，其</w:t>
      </w:r>
      <w:r>
        <w:rPr>
          <w:rFonts w:hint="eastAsia" w:ascii="宋体" w:hAnsi="宋体" w:eastAsia="宋体" w:cs="宋体"/>
          <w:b/>
          <w:bCs/>
          <w:snapToGrid w:val="0"/>
          <w:color w:val="auto"/>
          <w:sz w:val="24"/>
          <w:highlight w:val="none"/>
          <w:lang w:val="en-US" w:eastAsia="zh-CN"/>
        </w:rPr>
        <w:t>投标</w:t>
      </w:r>
      <w:r>
        <w:rPr>
          <w:rFonts w:hint="eastAsia" w:ascii="宋体" w:hAnsi="宋体" w:eastAsia="宋体" w:cs="宋体"/>
          <w:b/>
          <w:bCs/>
          <w:snapToGrid w:val="0"/>
          <w:color w:val="auto"/>
          <w:sz w:val="24"/>
          <w:highlight w:val="none"/>
          <w:lang w:val="zh-CN" w:eastAsia="zh-CN"/>
        </w:rPr>
        <w:t>无效</w:t>
      </w:r>
      <w:r>
        <w:rPr>
          <w:rFonts w:hint="eastAsia" w:ascii="宋体" w:hAnsi="宋体" w:eastAsia="宋体" w:cs="宋体"/>
          <w:snapToGrid w:val="0"/>
          <w:color w:val="auto"/>
          <w:sz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投标人同意延长的，</w:t>
      </w:r>
      <w:r>
        <w:rPr>
          <w:rFonts w:hint="eastAsia" w:ascii="宋体" w:hAnsi="宋体" w:eastAsia="宋体" w:cs="宋体"/>
          <w:color w:val="auto"/>
          <w:kern w:val="2"/>
          <w:sz w:val="24"/>
          <w:szCs w:val="22"/>
          <w:highlight w:val="none"/>
          <w:lang w:val="en-US" w:eastAsia="zh-CN"/>
        </w:rPr>
        <w:t>其</w:t>
      </w:r>
      <w:r>
        <w:rPr>
          <w:rFonts w:hint="eastAsia" w:ascii="宋体" w:hAnsi="宋体" w:eastAsia="宋体" w:cs="宋体"/>
          <w:color w:val="auto"/>
          <w:kern w:val="2"/>
          <w:sz w:val="24"/>
          <w:szCs w:val="22"/>
          <w:highlight w:val="none"/>
        </w:rPr>
        <w:t>投标保证金的有效期也相应延长</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lang w:val="en-US" w:eastAsia="zh-CN"/>
        </w:rPr>
        <w:t>但</w:t>
      </w:r>
      <w:r>
        <w:rPr>
          <w:rFonts w:hint="eastAsia" w:ascii="宋体" w:hAnsi="宋体" w:eastAsia="宋体" w:cs="宋体"/>
          <w:color w:val="auto"/>
          <w:sz w:val="24"/>
          <w:szCs w:val="24"/>
          <w:highlight w:val="none"/>
        </w:rPr>
        <w:t>不得要求或被允许修改或撤销其投标文件；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拒绝延长的，其投标文件在原投标有效期满后将不再有效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但其提交的投标保证金可予以退还</w:t>
      </w:r>
      <w:r>
        <w:rPr>
          <w:rFonts w:hint="eastAsia" w:ascii="宋体" w:hAnsi="宋体" w:eastAsia="宋体" w:cs="宋体"/>
          <w:color w:val="auto"/>
          <w:sz w:val="24"/>
          <w:szCs w:val="24"/>
          <w:highlight w:val="none"/>
        </w:rPr>
        <w:t>。</w:t>
      </w:r>
    </w:p>
    <w:p w14:paraId="51F7C8D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9" w:name="_Toc140132774"/>
      <w:bookmarkStart w:id="240" w:name="_Toc17233"/>
      <w:bookmarkStart w:id="241" w:name="_Toc163492841"/>
      <w:bookmarkStart w:id="242" w:name="_Toc18088"/>
      <w:bookmarkStart w:id="243" w:name="_Toc25519"/>
      <w:bookmarkStart w:id="244" w:name="_Toc22098"/>
      <w:bookmarkStart w:id="245" w:name="_Toc29208"/>
      <w:r>
        <w:rPr>
          <w:rFonts w:hint="eastAsia" w:ascii="宋体" w:hAnsi="宋体" w:eastAsia="宋体" w:cs="宋体"/>
          <w:b/>
          <w:bCs/>
          <w:color w:val="auto"/>
          <w:kern w:val="2"/>
          <w:sz w:val="24"/>
          <w:szCs w:val="28"/>
          <w:highlight w:val="none"/>
          <w:lang w:val="en-US" w:eastAsia="zh-CN" w:bidi="ar-SA"/>
        </w:rPr>
        <w:t>16.投标文件的编制</w:t>
      </w:r>
      <w:bookmarkEnd w:id="239"/>
      <w:bookmarkEnd w:id="240"/>
      <w:bookmarkEnd w:id="241"/>
      <w:bookmarkEnd w:id="242"/>
      <w:bookmarkEnd w:id="243"/>
      <w:bookmarkEnd w:id="244"/>
      <w:bookmarkEnd w:id="245"/>
    </w:p>
    <w:p w14:paraId="3F417AD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.1投标文件应在供应商客户端中进行编制，在投标文件中要求加盖印章的，除有特殊说明之外，</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使用电子签章签署。</w:t>
      </w:r>
    </w:p>
    <w:p w14:paraId="5AE6C8D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Start w:id="246" w:name="_Hlk143528557"/>
      <w:r>
        <w:rPr>
          <w:rFonts w:hint="eastAsia" w:ascii="宋体" w:hAnsi="宋体" w:eastAsia="宋体" w:cs="宋体"/>
          <w:color w:val="auto"/>
          <w:sz w:val="24"/>
          <w:szCs w:val="24"/>
          <w:highlight w:val="none"/>
        </w:rPr>
        <w:t>2投标人在供应商客户端中按照供应商客户端中的格式要求填写响应内容后，生成投标文件。投标人须按照招标文件的要求使用电子签章对要求加盖印章的部分逐一进行签章。</w:t>
      </w:r>
      <w:bookmarkEnd w:id="246"/>
    </w:p>
    <w:p w14:paraId="788C98E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cs="宋体"/>
          <w:b/>
          <w:bCs/>
          <w:color w:val="auto"/>
          <w:sz w:val="24"/>
          <w:szCs w:val="24"/>
          <w:highlight w:val="none"/>
        </w:rPr>
        <w:t>导致</w:t>
      </w:r>
      <w:r>
        <w:rPr>
          <w:rFonts w:hint="eastAsia" w:ascii="宋体" w:hAnsi="宋体" w:eastAsia="宋体" w:cs="宋体"/>
          <w:b/>
          <w:bCs/>
          <w:color w:val="auto"/>
          <w:sz w:val="24"/>
          <w:szCs w:val="24"/>
          <w:highlight w:val="none"/>
          <w:lang w:val="en-US" w:eastAsia="zh-CN"/>
        </w:rPr>
        <w:t>其</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rPr>
        <w:t>。</w:t>
      </w:r>
    </w:p>
    <w:p w14:paraId="2A93E21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投标文件须严格按照</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招标文件第</w:t>
      </w:r>
      <w:r>
        <w:rPr>
          <w:rFonts w:hint="eastAsia" w:ascii="宋体" w:hAnsi="宋体" w:eastAsia="宋体" w:cs="宋体"/>
          <w:color w:val="auto"/>
          <w:sz w:val="24"/>
          <w:szCs w:val="24"/>
          <w:highlight w:val="none"/>
          <w:lang w:val="en-US" w:eastAsia="zh-CN"/>
        </w:rPr>
        <w:t>七章</w:t>
      </w:r>
      <w:r>
        <w:rPr>
          <w:rFonts w:hint="eastAsia" w:ascii="宋体" w:hAnsi="宋体" w:eastAsia="宋体" w:cs="宋体"/>
          <w:color w:val="auto"/>
          <w:sz w:val="24"/>
          <w:szCs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16AEC4B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开标一览表为在开标</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唱标的内容，要求按格式统一填写，不得自行增减内容。</w:t>
      </w:r>
    </w:p>
    <w:p w14:paraId="3C9F9E1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ascii="宋体" w:hAnsi="宋体" w:eastAsia="宋体" w:cs="宋体"/>
          <w:color w:val="auto"/>
          <w:sz w:val="24"/>
          <w:szCs w:val="24"/>
          <w:highlight w:val="none"/>
          <w:lang w:val="en-US" w:eastAsia="zh-CN"/>
        </w:rPr>
        <w:t>按</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color w:val="auto"/>
          <w:sz w:val="24"/>
          <w:szCs w:val="24"/>
          <w:highlight w:val="none"/>
        </w:rPr>
        <w:t>处理。</w:t>
      </w:r>
    </w:p>
    <w:p w14:paraId="48AD55B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投标人必须保证投标文件所提供的全部资料真实可靠，并接受采购</w:t>
      </w:r>
      <w:r>
        <w:rPr>
          <w:rFonts w:hint="eastAsia" w:ascii="宋体" w:hAnsi="宋体" w:eastAsia="宋体" w:cs="宋体"/>
          <w:color w:val="auto"/>
          <w:sz w:val="24"/>
          <w:szCs w:val="24"/>
          <w:highlight w:val="none"/>
          <w:lang w:val="en-US" w:eastAsia="zh-CN"/>
        </w:rPr>
        <w:t>人、采购</w:t>
      </w:r>
      <w:r>
        <w:rPr>
          <w:rFonts w:hint="eastAsia" w:ascii="宋体" w:hAnsi="宋体" w:eastAsia="宋体" w:cs="宋体"/>
          <w:color w:val="auto"/>
          <w:sz w:val="24"/>
          <w:szCs w:val="24"/>
          <w:highlight w:val="none"/>
        </w:rPr>
        <w:t>代理机构或评标委员会对其中任何资料进一步审查的要求。</w:t>
      </w:r>
    </w:p>
    <w:p w14:paraId="5741581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62C1C45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16.9电子投标文件的编制</w:t>
      </w:r>
    </w:p>
    <w:p w14:paraId="12BBE64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16.9.1电子投标文件需按招标文件要求进行制作编制。投标文件制作时，不同内容按标签提示制作导入，按照招标文件中明确的投标文件目录和格式进行编制，保证目录清晰、内容完整；           </w:t>
      </w:r>
    </w:p>
    <w:p w14:paraId="51F1928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宋体"/>
          <w:b/>
          <w:bCs/>
          <w:iCs/>
          <w:color w:val="auto"/>
          <w:kern w:val="2"/>
          <w:sz w:val="24"/>
          <w:szCs w:val="24"/>
          <w:highlight w:val="none"/>
          <w:shd w:val="clear" w:color="auto" w:fill="FFFFFF" w:themeFill="background1"/>
          <w:lang w:val="en-US" w:eastAsia="zh-CN" w:bidi="ar-SA"/>
        </w:rPr>
        <w:t>其投标无效</w:t>
      </w:r>
      <w:r>
        <w:rPr>
          <w:rFonts w:hint="eastAsia" w:ascii="宋体" w:hAnsi="宋体" w:eastAsia="宋体" w:cs="宋体"/>
          <w:iCs/>
          <w:color w:val="auto"/>
          <w:kern w:val="2"/>
          <w:sz w:val="24"/>
          <w:szCs w:val="24"/>
          <w:highlight w:val="none"/>
          <w:shd w:val="clear" w:color="auto" w:fill="FFFFFF" w:themeFill="background1"/>
          <w:lang w:val="en-US" w:eastAsia="zh-CN" w:bidi="ar-SA"/>
        </w:rPr>
        <w:t>。</w:t>
      </w:r>
      <w:r>
        <w:rPr>
          <w:rFonts w:hint="eastAsia" w:ascii="宋体" w:hAnsi="宋体" w:eastAsia="宋体" w:cs="宋体"/>
          <w:iCs/>
          <w:color w:val="auto"/>
          <w:kern w:val="2"/>
          <w:sz w:val="24"/>
          <w:szCs w:val="22"/>
          <w:highlight w:val="none"/>
          <w:shd w:val="clear" w:color="auto" w:fill="FFFFFF" w:themeFill="background1"/>
          <w:lang w:val="en-US" w:eastAsia="zh-CN" w:bidi="ar-SA"/>
        </w:rPr>
        <w:t xml:space="preserve"> </w:t>
      </w:r>
    </w:p>
    <w:p w14:paraId="6B2E6D6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247" w:name="_Toc4470"/>
      <w:bookmarkStart w:id="248" w:name="_Toc155185873"/>
      <w:bookmarkStart w:id="249" w:name="_Toc30263"/>
      <w:bookmarkStart w:id="250" w:name="_Toc3198"/>
      <w:bookmarkStart w:id="251" w:name="_Toc29237"/>
      <w:bookmarkStart w:id="252" w:name="_Toc163492842"/>
      <w:bookmarkStart w:id="253" w:name="_Toc17210"/>
      <w:r>
        <w:rPr>
          <w:rFonts w:hint="eastAsia" w:ascii="宋体" w:hAnsi="宋体" w:eastAsia="宋体" w:cs="宋体"/>
          <w:b/>
          <w:bCs/>
          <w:color w:val="auto"/>
          <w:kern w:val="2"/>
          <w:sz w:val="24"/>
          <w:szCs w:val="32"/>
          <w:highlight w:val="none"/>
          <w:lang w:val="en-US" w:eastAsia="zh-CN" w:bidi="ar-SA"/>
        </w:rPr>
        <w:t>（四）投标</w:t>
      </w:r>
      <w:bookmarkEnd w:id="247"/>
      <w:bookmarkEnd w:id="248"/>
      <w:bookmarkEnd w:id="249"/>
      <w:bookmarkEnd w:id="250"/>
      <w:bookmarkEnd w:id="251"/>
      <w:bookmarkEnd w:id="252"/>
      <w:bookmarkEnd w:id="253"/>
    </w:p>
    <w:p w14:paraId="386CC8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4" w:name="_Toc4876"/>
      <w:bookmarkStart w:id="255" w:name="_Toc18595"/>
      <w:bookmarkStart w:id="256" w:name="_Toc28270"/>
      <w:bookmarkStart w:id="257" w:name="_Toc7401"/>
      <w:bookmarkStart w:id="258" w:name="_Toc22324"/>
      <w:bookmarkStart w:id="259" w:name="_Toc163492843"/>
      <w:r>
        <w:rPr>
          <w:rFonts w:hint="eastAsia" w:ascii="宋体" w:hAnsi="宋体" w:eastAsia="宋体" w:cs="宋体"/>
          <w:b/>
          <w:bCs/>
          <w:color w:val="auto"/>
          <w:kern w:val="2"/>
          <w:sz w:val="24"/>
          <w:szCs w:val="28"/>
          <w:highlight w:val="none"/>
          <w:lang w:val="en-US" w:eastAsia="zh-CN" w:bidi="ar-SA"/>
        </w:rPr>
        <w:t>17.投标保证金</w:t>
      </w:r>
      <w:bookmarkEnd w:id="254"/>
      <w:bookmarkEnd w:id="255"/>
      <w:bookmarkEnd w:id="256"/>
      <w:bookmarkEnd w:id="257"/>
      <w:bookmarkEnd w:id="258"/>
    </w:p>
    <w:p w14:paraId="1182B9B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17.2提交投标保证金可采用的形式：政府采购法律法规接受的支票、汇票、本票、网上银行支付或者金融机构、担保机构出具的保函等非现金形式。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2"/>
          <w:highlight w:val="none"/>
          <w:lang w:val="en-US" w:eastAsia="zh-CN" w:bidi="ar-SA"/>
        </w:rPr>
        <w:t>投标人未按照招标文件要求提交投标保证金的，其</w:t>
      </w:r>
      <w:r>
        <w:rPr>
          <w:rFonts w:hint="eastAsia" w:ascii="宋体" w:hAnsi="宋体" w:eastAsia="宋体" w:cs="宋体"/>
          <w:b/>
          <w:bCs/>
          <w:color w:val="auto"/>
          <w:kern w:val="2"/>
          <w:sz w:val="24"/>
          <w:szCs w:val="22"/>
          <w:highlight w:val="none"/>
          <w:lang w:val="en-US" w:eastAsia="zh-CN" w:bidi="ar-SA"/>
        </w:rPr>
        <w:t>投标无效</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sz w:val="24"/>
          <w:highlight w:val="none"/>
          <w:lang w:val="en-US" w:eastAsia="zh-CN"/>
        </w:rPr>
        <w:t>投标保证金有效期同投标有效期。</w:t>
      </w:r>
    </w:p>
    <w:p w14:paraId="54BD0912">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2"/>
          <w:highlight w:val="none"/>
          <w:lang w:val="en-US" w:eastAsia="zh-CN"/>
        </w:rPr>
        <w:t>投标无效</w:t>
      </w:r>
      <w:r>
        <w:rPr>
          <w:rFonts w:hint="eastAsia" w:ascii="宋体" w:hAnsi="宋体" w:eastAsia="宋体" w:cs="宋体"/>
          <w:color w:val="auto"/>
          <w:kern w:val="2"/>
          <w:sz w:val="24"/>
          <w:szCs w:val="22"/>
          <w:highlight w:val="none"/>
          <w:lang w:val="en-US" w:eastAsia="zh-CN"/>
        </w:rPr>
        <w:t>。</w:t>
      </w:r>
    </w:p>
    <w:p w14:paraId="3BAA958D">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17.4 投标人为联合体的，可以由联合体中的一方或者多方共同提交投标保证金，其提交的投标保证金对联合体各方均具有约束力。</w:t>
      </w:r>
    </w:p>
    <w:p w14:paraId="27BA1101">
      <w:pPr>
        <w:pStyle w:val="57"/>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 xml:space="preserve">    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 </w:t>
      </w:r>
    </w:p>
    <w:p w14:paraId="6CFB121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 xml:space="preserve">17.6 投标人在投标截止时间前撤回已提交的投标文件的，自收到投标人书面撤回通知之日起 5 个工作日内，退还已收取的投标保证金，但因投标人自身原因导致无法及时退还的除外。 </w:t>
      </w:r>
    </w:p>
    <w:p w14:paraId="28156F6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17.7 终止招标项目已经收取投标保证金的，自终止采购活动后 5 个工作日内退还已收取的投标保证金及其在银行产生的孳息。</w:t>
      </w:r>
    </w:p>
    <w:p w14:paraId="0B6A028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17.8 有下列情形之一的，采购人或采购代理机构可以不予退还投标保证金,</w:t>
      </w:r>
      <w:r>
        <w:rPr>
          <w:rFonts w:hint="eastAsia" w:ascii="宋体" w:hAnsi="宋体" w:eastAsia="宋体" w:cs="宋体"/>
          <w:color w:val="auto"/>
          <w:kern w:val="2"/>
          <w:sz w:val="24"/>
          <w:szCs w:val="22"/>
          <w:highlight w:val="none"/>
        </w:rPr>
        <w:t>情节严重的将其列入不良记录名单</w:t>
      </w:r>
      <w:r>
        <w:rPr>
          <w:rFonts w:hint="eastAsia" w:ascii="宋体" w:hAnsi="宋体" w:eastAsia="宋体" w:cs="宋体"/>
          <w:iCs/>
          <w:color w:val="auto"/>
          <w:kern w:val="2"/>
          <w:sz w:val="24"/>
          <w:szCs w:val="22"/>
          <w:highlight w:val="none"/>
          <w:shd w:val="clear" w:color="auto" w:fill="FFFFFF" w:themeFill="background1"/>
          <w:lang w:val="en-US" w:eastAsia="zh-CN" w:bidi="ar-SA"/>
        </w:rPr>
        <w:t xml:space="preserve">： </w:t>
      </w:r>
    </w:p>
    <w:p w14:paraId="02F7ADE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 xml:space="preserve">17.8.1 </w:t>
      </w:r>
      <w:r>
        <w:rPr>
          <w:rFonts w:hint="eastAsia" w:ascii="宋体" w:hAnsi="宋体" w:eastAsia="宋体" w:cs="宋体"/>
          <w:color w:val="auto"/>
          <w:kern w:val="2"/>
          <w:sz w:val="24"/>
          <w:szCs w:val="22"/>
          <w:highlight w:val="none"/>
        </w:rPr>
        <w:t>开标后在投标有效期内，投标人撤</w:t>
      </w:r>
      <w:r>
        <w:rPr>
          <w:rFonts w:hint="eastAsia" w:ascii="宋体" w:hAnsi="宋体" w:eastAsia="宋体" w:cs="宋体"/>
          <w:color w:val="auto"/>
          <w:kern w:val="2"/>
          <w:sz w:val="24"/>
          <w:szCs w:val="22"/>
          <w:highlight w:val="none"/>
          <w:lang w:val="en-US" w:eastAsia="zh-CN"/>
        </w:rPr>
        <w:t>销</w:t>
      </w:r>
      <w:r>
        <w:rPr>
          <w:rFonts w:hint="eastAsia" w:ascii="宋体" w:hAnsi="宋体" w:eastAsia="宋体" w:cs="宋体"/>
          <w:color w:val="auto"/>
          <w:kern w:val="2"/>
          <w:sz w:val="24"/>
          <w:szCs w:val="22"/>
          <w:highlight w:val="none"/>
        </w:rPr>
        <w:t>其投标</w:t>
      </w:r>
      <w:r>
        <w:rPr>
          <w:rFonts w:hint="eastAsia" w:ascii="宋体" w:hAnsi="宋体" w:eastAsia="宋体" w:cs="宋体"/>
          <w:color w:val="auto"/>
          <w:kern w:val="2"/>
          <w:sz w:val="24"/>
          <w:szCs w:val="22"/>
          <w:highlight w:val="none"/>
          <w:lang w:val="en-US" w:eastAsia="zh-CN"/>
        </w:rPr>
        <w:t>的</w:t>
      </w:r>
      <w:r>
        <w:rPr>
          <w:rFonts w:hint="eastAsia" w:ascii="宋体" w:hAnsi="宋体" w:eastAsia="宋体" w:cs="宋体"/>
          <w:color w:val="auto"/>
          <w:kern w:val="2"/>
          <w:sz w:val="24"/>
          <w:szCs w:val="22"/>
          <w:highlight w:val="none"/>
        </w:rPr>
        <w:t>；</w:t>
      </w:r>
      <w:r>
        <w:rPr>
          <w:rFonts w:hint="eastAsia" w:ascii="宋体" w:hAnsi="宋体" w:eastAsia="宋体" w:cs="宋体"/>
          <w:iCs/>
          <w:color w:val="auto"/>
          <w:kern w:val="2"/>
          <w:sz w:val="24"/>
          <w:szCs w:val="22"/>
          <w:highlight w:val="none"/>
          <w:shd w:val="clear" w:color="auto" w:fill="FFFFFF" w:themeFill="background1"/>
          <w:lang w:val="en-US" w:eastAsia="zh-CN" w:bidi="ar-SA"/>
        </w:rPr>
        <w:t xml:space="preserve"> </w:t>
      </w:r>
    </w:p>
    <w:p w14:paraId="36FC9D7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 xml:space="preserve">17.8.2 </w:t>
      </w:r>
      <w:r>
        <w:rPr>
          <w:rFonts w:hint="eastAsia" w:ascii="宋体" w:hAnsi="宋体" w:eastAsia="宋体" w:cs="宋体"/>
          <w:color w:val="auto"/>
          <w:kern w:val="2"/>
          <w:sz w:val="24"/>
          <w:szCs w:val="22"/>
          <w:highlight w:val="none"/>
        </w:rPr>
        <w:t>中标后无正当理由不与采购人签订合同的；</w:t>
      </w:r>
    </w:p>
    <w:p w14:paraId="3694295C">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iCs/>
          <w:color w:val="auto"/>
          <w:kern w:val="2"/>
          <w:sz w:val="24"/>
          <w:szCs w:val="22"/>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2"/>
          <w:highlight w:val="none"/>
        </w:rPr>
        <w:t>中标人与采购人订立背离合同实质性内容的其他协议；</w:t>
      </w:r>
    </w:p>
    <w:p w14:paraId="54583F23">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4</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将中标项目转让给他人，或者在投标文件中未说明，且未经采购</w:t>
      </w:r>
      <w:r>
        <w:rPr>
          <w:rFonts w:hint="eastAsia" w:ascii="宋体" w:hAnsi="宋体" w:eastAsia="宋体" w:cs="宋体"/>
          <w:color w:val="auto"/>
          <w:kern w:val="2"/>
          <w:sz w:val="24"/>
          <w:szCs w:val="22"/>
          <w:highlight w:val="none"/>
          <w:lang w:val="en-US" w:eastAsia="zh-CN"/>
        </w:rPr>
        <w:t>人</w:t>
      </w:r>
      <w:r>
        <w:rPr>
          <w:rFonts w:hint="eastAsia" w:ascii="宋体" w:hAnsi="宋体" w:eastAsia="宋体" w:cs="宋体"/>
          <w:color w:val="auto"/>
          <w:kern w:val="2"/>
          <w:sz w:val="24"/>
          <w:szCs w:val="22"/>
          <w:highlight w:val="none"/>
        </w:rPr>
        <w:t>同意，将中标项目分包给他人的；</w:t>
      </w:r>
    </w:p>
    <w:p w14:paraId="433DB211">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5</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存在串通投标行为的；</w:t>
      </w:r>
    </w:p>
    <w:p w14:paraId="0A3E2CC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6</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存在弄虚作假或提供虚假材料谋取中标的；</w:t>
      </w:r>
    </w:p>
    <w:p w14:paraId="3CBF915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7</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投标人其他未按招标文件规定和合同约定履行义务的行为。</w:t>
      </w:r>
    </w:p>
    <w:p w14:paraId="330E240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新疆政府采购网”—顶部通栏“信用融资”或者“新疆政府采购网”首页“政采贷｜电子保函”快捷模块查看：</w:t>
      </w:r>
    </w:p>
    <w:p w14:paraId="1F3A8C5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直达链接（电子保函）：</w:t>
      </w:r>
    </w:p>
    <w:p w14:paraId="15E30E92">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2"/>
          <w:highlight w:val="none"/>
          <w:shd w:val="clear" w:color="auto" w:fill="FFFFFF" w:themeFill="background1"/>
          <w:lang w:val="en-US" w:eastAsia="zh-CN" w:bidi="ar-SA"/>
        </w:rPr>
        <w:t>金融服务支撑热线：</w:t>
      </w:r>
      <w:r>
        <w:rPr>
          <w:rFonts w:hint="eastAsia" w:ascii="宋体" w:hAnsi="宋体" w:eastAsia="宋体" w:cs="宋体"/>
          <w:b/>
          <w:bCs/>
          <w:iCs/>
          <w:color w:val="auto"/>
          <w:kern w:val="2"/>
          <w:sz w:val="24"/>
          <w:szCs w:val="22"/>
          <w:highlight w:val="none"/>
          <w:shd w:val="clear" w:color="auto" w:fill="FFFFFF" w:themeFill="background1"/>
          <w:lang w:val="en-US" w:eastAsia="zh-CN" w:bidi="ar-SA"/>
        </w:rPr>
        <w:t>0991-2661159</w:t>
      </w:r>
      <w:r>
        <w:rPr>
          <w:rFonts w:hint="eastAsia" w:ascii="宋体" w:hAnsi="宋体" w:eastAsia="宋体" w:cs="宋体"/>
          <w:iCs/>
          <w:color w:val="auto"/>
          <w:kern w:val="2"/>
          <w:sz w:val="24"/>
          <w:szCs w:val="22"/>
          <w:highlight w:val="none"/>
          <w:shd w:val="clear" w:color="auto" w:fill="FFFFFF" w:themeFill="background1"/>
          <w:lang w:val="en-US" w:eastAsia="zh-CN" w:bidi="ar-SA"/>
        </w:rPr>
        <w:t xml:space="preserve">     </w:t>
      </w:r>
    </w:p>
    <w:p w14:paraId="3586E85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60" w:name="_Toc8188"/>
      <w:bookmarkStart w:id="261" w:name="_Toc25047"/>
      <w:bookmarkStart w:id="262" w:name="_Toc16247"/>
      <w:bookmarkStart w:id="263" w:name="_Toc26606"/>
      <w:bookmarkStart w:id="264" w:name="_Toc28464"/>
      <w:r>
        <w:rPr>
          <w:rFonts w:hint="eastAsia" w:ascii="宋体" w:hAnsi="宋体" w:eastAsia="宋体" w:cs="宋体"/>
          <w:b/>
          <w:bCs/>
          <w:color w:val="auto"/>
          <w:kern w:val="2"/>
          <w:sz w:val="24"/>
          <w:szCs w:val="28"/>
          <w:highlight w:val="none"/>
          <w:lang w:val="en-US" w:eastAsia="zh-CN" w:bidi="ar-SA"/>
        </w:rPr>
        <w:t>18.投标文件的加密</w:t>
      </w:r>
      <w:bookmarkEnd w:id="259"/>
      <w:bookmarkEnd w:id="260"/>
      <w:bookmarkEnd w:id="261"/>
      <w:bookmarkEnd w:id="262"/>
      <w:bookmarkEnd w:id="263"/>
      <w:bookmarkEnd w:id="264"/>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u w:val="single"/>
        </w:rPr>
      </w:pPr>
      <w:bookmarkStart w:id="265" w:name="_Hlk14353186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时间前通过</w:t>
      </w:r>
      <w:r>
        <w:rPr>
          <w:rFonts w:hint="eastAsia" w:ascii="宋体" w:hAnsi="宋体" w:eastAsia="宋体" w:cs="宋体"/>
          <w:color w:val="auto"/>
          <w:sz w:val="24"/>
          <w:szCs w:val="24"/>
          <w:highlight w:val="none"/>
          <w:lang w:val="en-US" w:eastAsia="zh-CN"/>
        </w:rPr>
        <w:t>新疆政府采购网</w:t>
      </w:r>
      <w:r>
        <w:rPr>
          <w:rFonts w:hint="eastAsia" w:ascii="宋体" w:hAnsi="宋体" w:eastAsia="宋体" w:cs="宋体"/>
          <w:color w:val="auto"/>
          <w:sz w:val="24"/>
          <w:szCs w:val="24"/>
          <w:highlight w:val="none"/>
        </w:rPr>
        <w:t>（http://ccgp-bingtuan.gov.cn/）的”政采云登录入口”登录后，将加密电子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（为.jmbs后缀格式）上传到对应项目的指定位置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如果投标人未按上述要求</w:t>
      </w:r>
      <w:r>
        <w:rPr>
          <w:rFonts w:hint="eastAsia" w:ascii="宋体" w:hAnsi="宋体" w:eastAsia="宋体" w:cs="宋体"/>
          <w:color w:val="auto"/>
          <w:sz w:val="24"/>
          <w:szCs w:val="24"/>
          <w:highlight w:val="none"/>
          <w:lang w:val="en-US" w:eastAsia="zh-CN"/>
        </w:rPr>
        <w:t>加密并上传</w:t>
      </w:r>
      <w:r>
        <w:rPr>
          <w:rFonts w:hint="eastAsia" w:ascii="宋体" w:hAnsi="宋体" w:eastAsia="宋体" w:cs="宋体"/>
          <w:color w:val="auto"/>
          <w:sz w:val="24"/>
          <w:szCs w:val="24"/>
          <w:highlight w:val="none"/>
        </w:rPr>
        <w:t>，采购代理机构对投标文件的误投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无法解密、传输错误等问题</w:t>
      </w:r>
      <w:r>
        <w:rPr>
          <w:rFonts w:hint="eastAsia" w:ascii="宋体" w:hAnsi="宋体" w:eastAsia="宋体" w:cs="宋体"/>
          <w:color w:val="auto"/>
          <w:sz w:val="24"/>
          <w:szCs w:val="24"/>
          <w:highlight w:val="none"/>
        </w:rPr>
        <w:t>概不负责。对由此造成</w:t>
      </w:r>
      <w:r>
        <w:rPr>
          <w:rFonts w:hint="eastAsia" w:ascii="宋体" w:hAnsi="宋体" w:eastAsia="宋体" w:cs="宋体"/>
          <w:color w:val="auto"/>
          <w:sz w:val="24"/>
          <w:szCs w:val="24"/>
          <w:highlight w:val="none"/>
          <w:lang w:val="en-US" w:eastAsia="zh-CN"/>
        </w:rPr>
        <w:t>无法正常开启</w:t>
      </w:r>
      <w:r>
        <w:rPr>
          <w:rFonts w:hint="eastAsia" w:ascii="宋体" w:hAnsi="宋体" w:eastAsia="宋体" w:cs="宋体"/>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本项目采用不见面开标，无需提供电子投标文件U盘。</w:t>
      </w:r>
    </w:p>
    <w:bookmarkEnd w:id="265"/>
    <w:p w14:paraId="31ED663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66" w:name="_Toc140132777"/>
      <w:bookmarkStart w:id="267" w:name="_Toc163492844"/>
      <w:bookmarkStart w:id="268" w:name="_Toc27844"/>
      <w:bookmarkStart w:id="269" w:name="_Toc12658"/>
      <w:bookmarkStart w:id="270" w:name="_Toc16258"/>
      <w:bookmarkStart w:id="271" w:name="_Toc32423"/>
      <w:bookmarkStart w:id="272" w:name="_Toc29763"/>
      <w:r>
        <w:rPr>
          <w:rFonts w:hint="eastAsia" w:ascii="宋体" w:hAnsi="宋体" w:eastAsia="宋体" w:cs="宋体"/>
          <w:b/>
          <w:bCs/>
          <w:color w:val="auto"/>
          <w:kern w:val="2"/>
          <w:sz w:val="24"/>
          <w:szCs w:val="28"/>
          <w:highlight w:val="none"/>
          <w:lang w:val="en-US" w:eastAsia="zh-CN" w:bidi="ar-SA"/>
        </w:rPr>
        <w:t>19.投标文件的递交</w:t>
      </w:r>
      <w:bookmarkEnd w:id="266"/>
      <w:r>
        <w:rPr>
          <w:rFonts w:hint="eastAsia" w:ascii="宋体" w:hAnsi="宋体" w:eastAsia="宋体" w:cs="宋体"/>
          <w:b/>
          <w:bCs/>
          <w:color w:val="auto"/>
          <w:kern w:val="2"/>
          <w:sz w:val="24"/>
          <w:szCs w:val="28"/>
          <w:highlight w:val="none"/>
          <w:lang w:val="en-US" w:eastAsia="zh-CN" w:bidi="ar-SA"/>
        </w:rPr>
        <w:t>（上传）</w:t>
      </w:r>
      <w:bookmarkEnd w:id="267"/>
      <w:bookmarkEnd w:id="268"/>
      <w:bookmarkEnd w:id="269"/>
      <w:bookmarkEnd w:id="270"/>
      <w:bookmarkEnd w:id="271"/>
      <w:bookmarkEnd w:id="272"/>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bookmarkStart w:id="273" w:name="_Hlk143531977"/>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投标人应在“</w:t>
      </w:r>
      <w:r>
        <w:rPr>
          <w:rFonts w:hint="eastAsia" w:ascii="宋体" w:hAnsi="宋体" w:eastAsia="宋体" w:cs="宋体"/>
          <w:color w:val="auto"/>
          <w:sz w:val="24"/>
          <w:szCs w:val="24"/>
          <w:highlight w:val="none"/>
          <w:lang w:val="en-US" w:eastAsia="zh-CN"/>
        </w:rPr>
        <w:t xml:space="preserve">第一章 </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投标人递交（上传）投标文件的地点见“</w:t>
      </w:r>
      <w:r>
        <w:rPr>
          <w:rFonts w:hint="eastAsia" w:ascii="宋体" w:hAnsi="宋体" w:eastAsia="宋体" w:cs="宋体"/>
          <w:color w:val="auto"/>
          <w:sz w:val="24"/>
          <w:szCs w:val="24"/>
          <w:highlight w:val="none"/>
          <w:lang w:val="en-US" w:eastAsia="zh-CN"/>
        </w:rPr>
        <w:t xml:space="preserve">第一章 </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.5投标人所递交的投标文件不予退还。</w:t>
      </w:r>
    </w:p>
    <w:bookmarkEnd w:id="273"/>
    <w:p w14:paraId="6AD7096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74" w:name="_Toc4892"/>
      <w:bookmarkStart w:id="275" w:name="_Toc30939"/>
      <w:bookmarkStart w:id="276" w:name="_Toc163492845"/>
      <w:bookmarkStart w:id="277" w:name="_Toc32306"/>
      <w:bookmarkStart w:id="278" w:name="_Toc29074"/>
      <w:bookmarkStart w:id="279" w:name="_Toc19234"/>
      <w:r>
        <w:rPr>
          <w:rFonts w:hint="eastAsia" w:ascii="宋体" w:hAnsi="宋体" w:eastAsia="宋体" w:cs="宋体"/>
          <w:b/>
          <w:bCs/>
          <w:color w:val="auto"/>
          <w:kern w:val="2"/>
          <w:sz w:val="24"/>
          <w:szCs w:val="28"/>
          <w:highlight w:val="none"/>
          <w:lang w:val="en-US" w:eastAsia="zh-CN" w:bidi="ar-SA"/>
        </w:rPr>
        <w:t>20.拒收</w:t>
      </w:r>
      <w:bookmarkEnd w:id="274"/>
      <w:bookmarkEnd w:id="275"/>
      <w:bookmarkEnd w:id="276"/>
      <w:bookmarkEnd w:id="277"/>
      <w:bookmarkEnd w:id="278"/>
      <w:bookmarkEnd w:id="279"/>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超过投标文件提交截止时间</w:t>
      </w:r>
      <w:bookmarkStart w:id="280" w:name="_Hlk143532404"/>
      <w:r>
        <w:rPr>
          <w:rFonts w:hint="eastAsia" w:ascii="宋体" w:hAnsi="宋体" w:eastAsia="宋体" w:cs="宋体"/>
          <w:color w:val="auto"/>
          <w:sz w:val="24"/>
          <w:szCs w:val="24"/>
          <w:highlight w:val="none"/>
        </w:rPr>
        <w:t>或者不按照本章要求加密的投标文件，交易系统应当拒收</w:t>
      </w:r>
      <w:bookmarkEnd w:id="280"/>
      <w:r>
        <w:rPr>
          <w:rFonts w:hint="eastAsia" w:ascii="宋体" w:hAnsi="宋体" w:eastAsia="宋体" w:cs="宋体"/>
          <w:color w:val="auto"/>
          <w:sz w:val="24"/>
          <w:szCs w:val="24"/>
          <w:highlight w:val="none"/>
        </w:rPr>
        <w:t>。</w:t>
      </w:r>
    </w:p>
    <w:p w14:paraId="0356121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81" w:name="_Toc26768"/>
      <w:bookmarkStart w:id="282" w:name="_Toc140132778"/>
      <w:bookmarkStart w:id="283" w:name="_Toc29200"/>
      <w:bookmarkStart w:id="284" w:name="_Toc2528"/>
      <w:bookmarkStart w:id="285" w:name="_Toc4072"/>
      <w:bookmarkStart w:id="286" w:name="_Toc163492846"/>
      <w:bookmarkStart w:id="287" w:name="_Toc31104"/>
      <w:r>
        <w:rPr>
          <w:rFonts w:hint="eastAsia" w:ascii="宋体" w:hAnsi="宋体" w:eastAsia="宋体" w:cs="宋体"/>
          <w:b/>
          <w:bCs/>
          <w:color w:val="auto"/>
          <w:kern w:val="2"/>
          <w:sz w:val="24"/>
          <w:szCs w:val="28"/>
          <w:highlight w:val="none"/>
          <w:lang w:val="en-US" w:eastAsia="zh-CN" w:bidi="ar-SA"/>
        </w:rPr>
        <w:t>21.投标文件的修改与撤回</w:t>
      </w:r>
      <w:bookmarkEnd w:id="281"/>
      <w:bookmarkEnd w:id="282"/>
      <w:bookmarkEnd w:id="283"/>
      <w:bookmarkEnd w:id="284"/>
      <w:bookmarkEnd w:id="285"/>
      <w:bookmarkEnd w:id="286"/>
      <w:bookmarkEnd w:id="287"/>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bookmarkStart w:id="288" w:name="_Hlk143532466"/>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第一章 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递交截止时间之前，可在</w:t>
      </w:r>
      <w:r>
        <w:rPr>
          <w:rFonts w:hint="eastAsia" w:ascii="宋体" w:hAnsi="宋体" w:eastAsia="宋体" w:cs="宋体"/>
          <w:color w:val="auto"/>
          <w:sz w:val="24"/>
          <w:szCs w:val="24"/>
          <w:highlight w:val="none"/>
          <w:lang w:eastAsia="zh-CN"/>
        </w:rPr>
        <w:t>新疆政府采购</w:t>
      </w:r>
      <w:r>
        <w:rPr>
          <w:rFonts w:hint="eastAsia" w:ascii="宋体" w:hAnsi="宋体" w:eastAsia="宋体" w:cs="宋体"/>
          <w:color w:val="auto"/>
          <w:sz w:val="24"/>
          <w:szCs w:val="24"/>
          <w:highlight w:val="none"/>
        </w:rPr>
        <w:t>电子交易云平台上随时撤回已上传的电子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，将修改好的电子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递交截止时间前重新上传到</w:t>
      </w:r>
      <w:r>
        <w:rPr>
          <w:rFonts w:hint="eastAsia" w:ascii="宋体" w:hAnsi="宋体" w:eastAsia="宋体" w:cs="宋体"/>
          <w:color w:val="auto"/>
          <w:sz w:val="24"/>
          <w:szCs w:val="24"/>
          <w:highlight w:val="none"/>
          <w:lang w:eastAsia="zh-CN"/>
        </w:rPr>
        <w:t>新疆政府采购</w:t>
      </w:r>
      <w:r>
        <w:rPr>
          <w:rFonts w:hint="eastAsia" w:ascii="宋体" w:hAnsi="宋体" w:eastAsia="宋体" w:cs="宋体"/>
          <w:color w:val="auto"/>
          <w:sz w:val="24"/>
          <w:szCs w:val="24"/>
          <w:highlight w:val="none"/>
        </w:rPr>
        <w:t>电子交易云平台的</w:t>
      </w:r>
      <w:r>
        <w:rPr>
          <w:rFonts w:hint="eastAsia" w:ascii="宋体" w:hAnsi="宋体" w:eastAsia="宋体" w:cs="宋体"/>
          <w:color w:val="auto"/>
          <w:sz w:val="24"/>
          <w:szCs w:val="24"/>
          <w:highlight w:val="none"/>
          <w:lang w:val="en-US" w:eastAsia="zh-CN"/>
        </w:rPr>
        <w:t>指</w:t>
      </w:r>
      <w:r>
        <w:rPr>
          <w:rFonts w:hint="eastAsia" w:ascii="宋体" w:hAnsi="宋体" w:eastAsia="宋体" w:cs="宋体"/>
          <w:color w:val="auto"/>
          <w:sz w:val="24"/>
          <w:szCs w:val="24"/>
          <w:highlight w:val="none"/>
        </w:rPr>
        <w:t>定位置。</w:t>
      </w:r>
    </w:p>
    <w:bookmarkEnd w:id="288"/>
    <w:p w14:paraId="20434D8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89" w:name="_Toc32073"/>
      <w:bookmarkStart w:id="290" w:name="_Toc163492847"/>
      <w:bookmarkStart w:id="291" w:name="_Toc155185874"/>
      <w:bookmarkStart w:id="292" w:name="_Toc19338"/>
      <w:bookmarkStart w:id="293" w:name="_Toc6575"/>
      <w:bookmarkStart w:id="294" w:name="_Toc24996"/>
      <w:bookmarkStart w:id="295" w:name="_Toc9242"/>
      <w:r>
        <w:rPr>
          <w:rFonts w:hint="eastAsia" w:ascii="宋体" w:hAnsi="宋体" w:eastAsia="宋体" w:cs="宋体"/>
          <w:b/>
          <w:bCs/>
          <w:color w:val="auto"/>
          <w:kern w:val="2"/>
          <w:sz w:val="24"/>
          <w:szCs w:val="28"/>
          <w:highlight w:val="none"/>
          <w:lang w:val="en-US" w:eastAsia="zh-CN" w:bidi="ar-SA"/>
        </w:rPr>
        <w:t>22.实物样品</w:t>
      </w:r>
      <w:bookmarkEnd w:id="289"/>
      <w:bookmarkEnd w:id="290"/>
      <w:bookmarkEnd w:id="291"/>
      <w:bookmarkEnd w:id="292"/>
      <w:bookmarkEnd w:id="293"/>
      <w:bookmarkEnd w:id="294"/>
      <w:bookmarkEnd w:id="295"/>
    </w:p>
    <w:p w14:paraId="52D4EAF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.1“投标人须知前附表”要求提供样品的，样品的具体要求及评审详见“第三章 采购需求”和“第五章 评标</w:t>
      </w:r>
      <w:r>
        <w:rPr>
          <w:rFonts w:hint="eastAsia" w:ascii="宋体" w:hAnsi="宋体" w:eastAsia="宋体" w:cs="宋体"/>
          <w:color w:val="auto"/>
          <w:sz w:val="24"/>
          <w:highlight w:val="none"/>
          <w:lang w:val="en-US" w:eastAsia="zh-CN"/>
        </w:rPr>
        <w:t>方</w:t>
      </w:r>
      <w:r>
        <w:rPr>
          <w:rFonts w:hint="eastAsia" w:ascii="宋体" w:hAnsi="宋体" w:eastAsia="宋体" w:cs="宋体"/>
          <w:color w:val="auto"/>
          <w:sz w:val="24"/>
          <w:highlight w:val="none"/>
        </w:rPr>
        <w:t>法及标准”。</w:t>
      </w:r>
    </w:p>
    <w:p w14:paraId="2D6ED3F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.2样品退还：未中标的投标人应</w:t>
      </w:r>
      <w:r>
        <w:rPr>
          <w:rFonts w:hint="eastAsia" w:ascii="宋体" w:hAnsi="宋体" w:eastAsia="宋体" w:cs="宋体"/>
          <w:color w:val="auto"/>
          <w:sz w:val="24"/>
          <w:highlight w:val="none"/>
          <w:lang w:val="en-US" w:eastAsia="zh-CN"/>
        </w:rPr>
        <w:t>按照</w:t>
      </w:r>
      <w:r>
        <w:rPr>
          <w:rFonts w:hint="eastAsia" w:ascii="宋体" w:hAnsi="宋体" w:eastAsia="宋体" w:cs="宋体"/>
          <w:color w:val="auto"/>
          <w:sz w:val="24"/>
          <w:highlight w:val="none"/>
        </w:rPr>
        <w:t>“投标人须知前附表”</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自行联系采购人取回投标样品；中标人的样品由采购人进行保管、封存，并作为履约验收的参考（招标文件另有规定的从其规定）。</w:t>
      </w:r>
    </w:p>
    <w:p w14:paraId="7DD3C3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96" w:name="_Toc29711"/>
      <w:bookmarkStart w:id="297" w:name="_Toc432"/>
      <w:bookmarkStart w:id="298" w:name="_Toc163492848"/>
      <w:bookmarkStart w:id="299" w:name="_Toc25755"/>
      <w:bookmarkStart w:id="300" w:name="_Toc31127"/>
      <w:bookmarkStart w:id="301" w:name="_Toc28857"/>
      <w:bookmarkStart w:id="302" w:name="_Toc155185875"/>
      <w:r>
        <w:rPr>
          <w:rFonts w:hint="eastAsia" w:ascii="宋体" w:hAnsi="宋体" w:eastAsia="宋体" w:cs="宋体"/>
          <w:b/>
          <w:bCs/>
          <w:color w:val="auto"/>
          <w:kern w:val="2"/>
          <w:sz w:val="24"/>
          <w:szCs w:val="28"/>
          <w:highlight w:val="none"/>
          <w:lang w:val="en-US" w:eastAsia="zh-CN" w:bidi="ar-SA"/>
        </w:rPr>
        <w:t>23.演示</w:t>
      </w:r>
      <w:bookmarkEnd w:id="296"/>
      <w:bookmarkEnd w:id="297"/>
      <w:bookmarkEnd w:id="298"/>
      <w:bookmarkEnd w:id="299"/>
      <w:bookmarkEnd w:id="300"/>
      <w:bookmarkEnd w:id="301"/>
      <w:bookmarkEnd w:id="302"/>
    </w:p>
    <w:p w14:paraId="1A234B3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.1要求投标人进行演示的，演示要求详见“投标人须知前附表”。</w:t>
      </w:r>
    </w:p>
    <w:p w14:paraId="527E903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.2演示的评审详见“第三章 采购需求”和“第五章 评标</w:t>
      </w:r>
      <w:r>
        <w:rPr>
          <w:rFonts w:hint="eastAsia" w:ascii="宋体" w:hAnsi="宋体" w:eastAsia="宋体" w:cs="宋体"/>
          <w:color w:val="auto"/>
          <w:sz w:val="24"/>
          <w:highlight w:val="none"/>
          <w:lang w:val="en-US" w:eastAsia="zh-CN"/>
        </w:rPr>
        <w:t>方</w:t>
      </w:r>
      <w:r>
        <w:rPr>
          <w:rFonts w:hint="eastAsia" w:ascii="宋体" w:hAnsi="宋体" w:eastAsia="宋体" w:cs="宋体"/>
          <w:color w:val="auto"/>
          <w:sz w:val="24"/>
          <w:highlight w:val="none"/>
        </w:rPr>
        <w:t>法及标准”。</w:t>
      </w:r>
    </w:p>
    <w:p w14:paraId="4482868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303" w:name="_Toc25557"/>
      <w:bookmarkStart w:id="304" w:name="_Toc155185876"/>
      <w:bookmarkStart w:id="305" w:name="_Toc140132779"/>
      <w:bookmarkStart w:id="306" w:name="_Toc6826"/>
      <w:bookmarkStart w:id="307" w:name="_Toc163492849"/>
      <w:bookmarkStart w:id="308" w:name="_Toc20451"/>
      <w:bookmarkStart w:id="309" w:name="_Toc21792"/>
      <w:bookmarkStart w:id="310" w:name="_Toc7097"/>
      <w:r>
        <w:rPr>
          <w:rFonts w:hint="eastAsia" w:ascii="宋体" w:hAnsi="宋体" w:eastAsia="宋体" w:cs="宋体"/>
          <w:b/>
          <w:bCs/>
          <w:color w:val="auto"/>
          <w:kern w:val="2"/>
          <w:sz w:val="24"/>
          <w:szCs w:val="32"/>
          <w:highlight w:val="none"/>
          <w:lang w:val="en-US" w:eastAsia="zh-CN" w:bidi="ar-SA"/>
        </w:rPr>
        <w:t>（五）开标</w:t>
      </w:r>
      <w:bookmarkEnd w:id="303"/>
      <w:bookmarkEnd w:id="304"/>
      <w:bookmarkEnd w:id="305"/>
      <w:bookmarkEnd w:id="306"/>
      <w:bookmarkEnd w:id="307"/>
      <w:bookmarkEnd w:id="308"/>
      <w:bookmarkEnd w:id="309"/>
      <w:bookmarkEnd w:id="310"/>
    </w:p>
    <w:p w14:paraId="1705A8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11" w:name="_Toc29445"/>
      <w:bookmarkStart w:id="312" w:name="_Toc25197"/>
      <w:bookmarkStart w:id="313" w:name="_Toc31983"/>
      <w:bookmarkStart w:id="314" w:name="_Toc140132780"/>
      <w:bookmarkStart w:id="315" w:name="_Toc163492850"/>
      <w:bookmarkStart w:id="316" w:name="_Toc16939"/>
      <w:bookmarkStart w:id="317" w:name="_Toc29962"/>
      <w:r>
        <w:rPr>
          <w:rFonts w:hint="eastAsia" w:ascii="宋体" w:hAnsi="宋体" w:eastAsia="宋体" w:cs="宋体"/>
          <w:b/>
          <w:bCs/>
          <w:color w:val="auto"/>
          <w:kern w:val="2"/>
          <w:sz w:val="24"/>
          <w:szCs w:val="28"/>
          <w:highlight w:val="none"/>
          <w:lang w:val="en-US" w:eastAsia="zh-CN" w:bidi="ar-SA"/>
        </w:rPr>
        <w:t>24.开标会议</w:t>
      </w:r>
      <w:bookmarkEnd w:id="311"/>
      <w:bookmarkEnd w:id="312"/>
      <w:bookmarkEnd w:id="313"/>
      <w:bookmarkEnd w:id="314"/>
      <w:bookmarkEnd w:id="315"/>
      <w:bookmarkEnd w:id="316"/>
      <w:bookmarkEnd w:id="317"/>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eastAsia="zh-CN"/>
        </w:rPr>
      </w:pPr>
      <w:bookmarkStart w:id="318" w:name="_Toc14013278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开标会按“</w:t>
      </w:r>
      <w:r>
        <w:rPr>
          <w:rFonts w:hint="eastAsia" w:ascii="宋体" w:hAnsi="宋体" w:eastAsia="宋体" w:cs="宋体"/>
          <w:color w:val="auto"/>
          <w:sz w:val="24"/>
          <w:szCs w:val="24"/>
          <w:highlight w:val="none"/>
          <w:lang w:val="en-US" w:eastAsia="zh-CN"/>
        </w:rPr>
        <w:t xml:space="preserve">第一章 </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szCs w:val="24"/>
          <w:highlight w:val="none"/>
        </w:rPr>
        <w:t>”规定的开标时间和地点准时举行，采购人、采购代理机构邀请所有投标人准时参加开标会。</w:t>
      </w:r>
      <w:r>
        <w:rPr>
          <w:rFonts w:hint="eastAsia" w:ascii="宋体" w:hAnsi="宋体" w:eastAsia="宋体" w:cs="宋体"/>
          <w:color w:val="auto"/>
          <w:sz w:val="24"/>
          <w:highlight w:val="none"/>
        </w:rPr>
        <w:t>投标人应按照</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的要求参与</w:t>
      </w:r>
      <w:r>
        <w:rPr>
          <w:rFonts w:hint="eastAsia" w:ascii="宋体" w:hAnsi="宋体" w:eastAsia="宋体" w:cs="宋体"/>
          <w:color w:val="auto"/>
          <w:sz w:val="24"/>
          <w:highlight w:val="none"/>
          <w:lang w:val="en-US" w:eastAsia="zh-CN"/>
        </w:rPr>
        <w:t>不见面开标</w:t>
      </w:r>
      <w:r>
        <w:rPr>
          <w:rFonts w:hint="eastAsia" w:ascii="宋体" w:hAnsi="宋体" w:eastAsia="宋体" w:cs="宋体"/>
          <w:color w:val="auto"/>
          <w:sz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bookmarkEnd w:id="318"/>
      <w:r>
        <w:rPr>
          <w:rFonts w:hint="eastAsia" w:ascii="宋体" w:hAnsi="宋体" w:eastAsia="宋体" w:cs="宋体"/>
          <w:color w:val="auto"/>
          <w:kern w:val="2"/>
          <w:sz w:val="24"/>
          <w:szCs w:val="22"/>
          <w:highlight w:val="none"/>
        </w:rPr>
        <w:t>采购代理机构按照招标文件规定的时间、地点主持开标。采购人在规定的</w:t>
      </w:r>
      <w:r>
        <w:rPr>
          <w:rFonts w:hint="eastAsia" w:ascii="宋体" w:hAnsi="宋体" w:eastAsia="宋体" w:cs="宋体"/>
          <w:color w:val="auto"/>
          <w:kern w:val="2"/>
          <w:sz w:val="24"/>
          <w:szCs w:val="22"/>
          <w:highlight w:val="none"/>
          <w:lang w:eastAsia="zh-CN"/>
        </w:rPr>
        <w:t>投标文件</w:t>
      </w:r>
      <w:r>
        <w:rPr>
          <w:rFonts w:hint="eastAsia" w:ascii="宋体" w:hAnsi="宋体" w:eastAsia="宋体" w:cs="宋体"/>
          <w:color w:val="auto"/>
          <w:kern w:val="2"/>
          <w:sz w:val="24"/>
          <w:szCs w:val="22"/>
          <w:highlight w:val="none"/>
        </w:rPr>
        <w:t>递交截止时间（开标时间）和地点进行不见面远程开标。</w:t>
      </w:r>
      <w:r>
        <w:rPr>
          <w:rFonts w:hint="eastAsia" w:ascii="宋体" w:hAnsi="宋体" w:eastAsia="宋体" w:cs="宋体"/>
          <w:color w:val="auto"/>
          <w:kern w:val="2"/>
          <w:sz w:val="24"/>
          <w:szCs w:val="22"/>
          <w:highlight w:val="none"/>
          <w:lang w:eastAsia="zh-CN"/>
        </w:rPr>
        <w:t>投标人</w:t>
      </w:r>
      <w:r>
        <w:rPr>
          <w:rFonts w:hint="eastAsia" w:ascii="宋体" w:hAnsi="宋体" w:eastAsia="宋体" w:cs="宋体"/>
          <w:color w:val="auto"/>
          <w:kern w:val="2"/>
          <w:sz w:val="24"/>
          <w:szCs w:val="22"/>
          <w:highlight w:val="none"/>
        </w:rPr>
        <w:t>的法定代表人或其委托代理人无需到达开标现场，仅需在任意地点通过</w:t>
      </w:r>
      <w:r>
        <w:rPr>
          <w:rFonts w:hint="eastAsia" w:ascii="宋体" w:hAnsi="宋体" w:eastAsia="宋体" w:cs="宋体"/>
          <w:color w:val="auto"/>
          <w:kern w:val="2"/>
          <w:sz w:val="24"/>
          <w:szCs w:val="22"/>
          <w:highlight w:val="none"/>
          <w:lang w:val="en-US" w:eastAsia="zh-CN"/>
        </w:rPr>
        <w:t>政采云平台线上</w:t>
      </w:r>
      <w:r>
        <w:rPr>
          <w:rFonts w:hint="eastAsia" w:ascii="宋体" w:hAnsi="宋体" w:eastAsia="宋体" w:cs="宋体"/>
          <w:color w:val="auto"/>
          <w:kern w:val="2"/>
          <w:sz w:val="24"/>
          <w:szCs w:val="22"/>
          <w:highlight w:val="none"/>
        </w:rPr>
        <w:t>的</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 xml:space="preserve">24.3开标过程将宣布投标人名称、投标价格和招标文件规定的需要宣布的其他内容并进行记录，并由参加开标的各投标人确认。投标人未在规定时间内提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19" w:name="_Toc140132783"/>
      <w:bookmarkStart w:id="320" w:name="_Toc30827"/>
      <w:bookmarkStart w:id="321" w:name="_Toc12764"/>
      <w:bookmarkStart w:id="322" w:name="_Toc17474"/>
      <w:bookmarkStart w:id="323" w:name="_Toc20710"/>
      <w:bookmarkStart w:id="324" w:name="_Toc163492852"/>
      <w:bookmarkStart w:id="325" w:name="_Toc16544"/>
      <w:r>
        <w:rPr>
          <w:rFonts w:hint="eastAsia" w:ascii="宋体" w:hAnsi="宋体" w:eastAsia="宋体" w:cs="宋体"/>
          <w:b/>
          <w:bCs/>
          <w:color w:val="auto"/>
          <w:kern w:val="2"/>
          <w:sz w:val="24"/>
          <w:szCs w:val="28"/>
          <w:highlight w:val="none"/>
          <w:lang w:val="en-US" w:eastAsia="zh-CN" w:bidi="ar-SA"/>
        </w:rPr>
        <w:t>25.开标程序</w:t>
      </w:r>
      <w:bookmarkEnd w:id="319"/>
      <w:bookmarkEnd w:id="320"/>
      <w:bookmarkEnd w:id="321"/>
      <w:bookmarkEnd w:id="322"/>
      <w:bookmarkEnd w:id="323"/>
      <w:bookmarkEnd w:id="324"/>
      <w:bookmarkEnd w:id="325"/>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（5）系统自动生成开标记录表，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应在线对开标记录进行签署确认</w:t>
      </w:r>
      <w:r>
        <w:rPr>
          <w:rFonts w:hint="eastAsia" w:ascii="宋体" w:hAnsi="宋体" w:eastAsia="宋体" w:cs="宋体"/>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（6）开标会结束。</w:t>
      </w:r>
      <w:bookmarkStart w:id="326" w:name="_Toc140132784"/>
      <w:bookmarkStart w:id="327" w:name="_Toc163492853"/>
    </w:p>
    <w:p w14:paraId="459D358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28" w:name="_Toc10387"/>
      <w:bookmarkStart w:id="329" w:name="_Toc21053"/>
      <w:bookmarkStart w:id="330" w:name="_Toc15283"/>
      <w:bookmarkStart w:id="331" w:name="_Toc20123"/>
      <w:bookmarkStart w:id="332" w:name="_Toc19420"/>
      <w:r>
        <w:rPr>
          <w:rFonts w:hint="eastAsia" w:ascii="宋体" w:hAnsi="宋体" w:eastAsia="宋体" w:cs="宋体"/>
          <w:b/>
          <w:bCs/>
          <w:color w:val="auto"/>
          <w:kern w:val="2"/>
          <w:sz w:val="24"/>
          <w:szCs w:val="28"/>
          <w:highlight w:val="none"/>
          <w:lang w:val="en-US" w:eastAsia="zh-CN" w:bidi="ar-SA"/>
        </w:rPr>
        <w:t>26.开标疑义及回避情形</w:t>
      </w:r>
      <w:bookmarkEnd w:id="326"/>
      <w:bookmarkEnd w:id="327"/>
      <w:bookmarkEnd w:id="328"/>
      <w:bookmarkEnd w:id="329"/>
      <w:bookmarkEnd w:id="330"/>
      <w:bookmarkEnd w:id="331"/>
      <w:bookmarkEnd w:id="332"/>
    </w:p>
    <w:p w14:paraId="04573EB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.2投标人未参加开标的，视同认可开标结果。</w:t>
      </w:r>
    </w:p>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333" w:name="_Toc140132785"/>
      <w:bookmarkStart w:id="334" w:name="_Toc2893"/>
      <w:bookmarkStart w:id="335" w:name="_Toc20084"/>
      <w:bookmarkStart w:id="336" w:name="_Toc163492854"/>
      <w:bookmarkStart w:id="337" w:name="_Toc4047"/>
      <w:bookmarkStart w:id="338" w:name="_Toc155185877"/>
      <w:bookmarkStart w:id="339" w:name="_Toc19512"/>
      <w:bookmarkStart w:id="340" w:name="_Toc11421"/>
      <w:r>
        <w:rPr>
          <w:rFonts w:hint="eastAsia" w:ascii="宋体" w:hAnsi="宋体" w:eastAsia="宋体" w:cs="宋体"/>
          <w:b/>
          <w:bCs/>
          <w:color w:val="auto"/>
          <w:kern w:val="2"/>
          <w:sz w:val="24"/>
          <w:szCs w:val="32"/>
          <w:highlight w:val="none"/>
          <w:lang w:val="en-US" w:eastAsia="zh-CN" w:bidi="ar-SA"/>
        </w:rPr>
        <w:t>（六）资格审查</w:t>
      </w:r>
      <w:bookmarkEnd w:id="333"/>
      <w:bookmarkEnd w:id="334"/>
      <w:bookmarkEnd w:id="335"/>
      <w:bookmarkEnd w:id="336"/>
      <w:bookmarkEnd w:id="337"/>
      <w:bookmarkEnd w:id="338"/>
      <w:bookmarkEnd w:id="339"/>
      <w:bookmarkEnd w:id="340"/>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41" w:name="_Toc163492855"/>
      <w:bookmarkStart w:id="342" w:name="_Toc9963"/>
      <w:bookmarkStart w:id="343" w:name="_Toc6858"/>
      <w:bookmarkStart w:id="344" w:name="_Toc162"/>
      <w:bookmarkStart w:id="345" w:name="_Toc1466"/>
      <w:bookmarkStart w:id="346" w:name="_Toc13821"/>
      <w:r>
        <w:rPr>
          <w:rFonts w:hint="eastAsia" w:ascii="宋体" w:hAnsi="宋体" w:eastAsia="宋体" w:cs="宋体"/>
          <w:b/>
          <w:bCs/>
          <w:color w:val="auto"/>
          <w:kern w:val="2"/>
          <w:sz w:val="24"/>
          <w:szCs w:val="28"/>
          <w:highlight w:val="none"/>
          <w:lang w:val="en-US" w:eastAsia="zh-CN" w:bidi="ar-SA"/>
        </w:rPr>
        <w:t>27.资格审查及审查主体</w:t>
      </w:r>
      <w:bookmarkEnd w:id="341"/>
      <w:bookmarkEnd w:id="342"/>
      <w:bookmarkEnd w:id="343"/>
      <w:bookmarkEnd w:id="344"/>
      <w:bookmarkEnd w:id="345"/>
      <w:bookmarkEnd w:id="346"/>
    </w:p>
    <w:p w14:paraId="3F6E8AD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bookmarkStart w:id="347" w:name="_Toc140132786"/>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bookmarkEnd w:id="347"/>
      <w:r>
        <w:rPr>
          <w:rFonts w:hint="eastAsia" w:ascii="宋体" w:hAnsi="宋体" w:eastAsia="宋体" w:cs="宋体"/>
          <w:color w:val="auto"/>
          <w:sz w:val="24"/>
          <w:highlight w:val="none"/>
        </w:rPr>
        <w:t>开标结束后，采购人或者采购代理机构应当依法对投标人的资格进行审查。</w:t>
      </w:r>
    </w:p>
    <w:p w14:paraId="6F7626D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bookmarkStart w:id="348" w:name="_Toc140132787"/>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.2资格审查按“第四章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资格审查”的规定进行。</w:t>
      </w:r>
      <w:bookmarkEnd w:id="348"/>
    </w:p>
    <w:p w14:paraId="44D43B8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bookmarkStart w:id="349" w:name="_Toc140132788"/>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.3资格审查结束后，应及时对资格审查结果进行复核，对资格审查错误进行及时纠正并记录。</w:t>
      </w:r>
      <w:bookmarkEnd w:id="349"/>
    </w:p>
    <w:p w14:paraId="272F167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27.4</w:t>
      </w:r>
      <w:r>
        <w:rPr>
          <w:rFonts w:hint="eastAsia" w:ascii="宋体" w:hAnsi="宋体" w:eastAsia="宋体" w:cs="宋体"/>
          <w:color w:val="auto"/>
          <w:sz w:val="24"/>
          <w:highlight w:val="none"/>
        </w:rPr>
        <w:t>资格审查合格投标人不足3家的，不得评标。</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350" w:name="_Toc7667"/>
      <w:bookmarkStart w:id="351" w:name="_Toc30290"/>
      <w:bookmarkStart w:id="352" w:name="_Toc14198"/>
      <w:bookmarkStart w:id="353" w:name="_Toc155185878"/>
      <w:bookmarkStart w:id="354" w:name="_Toc31247"/>
      <w:bookmarkStart w:id="355" w:name="_Toc140132789"/>
      <w:bookmarkStart w:id="356" w:name="_Toc8249"/>
      <w:bookmarkStart w:id="357" w:name="_Toc163492856"/>
      <w:r>
        <w:rPr>
          <w:rFonts w:hint="eastAsia" w:ascii="宋体" w:hAnsi="宋体" w:eastAsia="宋体" w:cs="宋体"/>
          <w:b/>
          <w:bCs/>
          <w:color w:val="auto"/>
          <w:kern w:val="2"/>
          <w:sz w:val="24"/>
          <w:szCs w:val="32"/>
          <w:highlight w:val="none"/>
          <w:lang w:val="en-US" w:eastAsia="zh-CN" w:bidi="ar-SA"/>
        </w:rPr>
        <w:t>（七）评标</w:t>
      </w:r>
      <w:bookmarkEnd w:id="350"/>
      <w:bookmarkEnd w:id="351"/>
      <w:bookmarkEnd w:id="352"/>
      <w:bookmarkEnd w:id="353"/>
      <w:bookmarkEnd w:id="354"/>
      <w:bookmarkEnd w:id="355"/>
      <w:bookmarkEnd w:id="356"/>
      <w:bookmarkEnd w:id="357"/>
    </w:p>
    <w:p w14:paraId="7EBE7AB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58" w:name="_Toc20462"/>
      <w:bookmarkStart w:id="359" w:name="_Toc163492857"/>
      <w:bookmarkStart w:id="360" w:name="_Toc4659"/>
      <w:bookmarkStart w:id="361" w:name="_Toc16858"/>
      <w:bookmarkStart w:id="362" w:name="_Toc6812"/>
      <w:bookmarkStart w:id="363" w:name="_Toc140132790"/>
      <w:bookmarkStart w:id="364" w:name="_Toc32434"/>
      <w:r>
        <w:rPr>
          <w:rFonts w:hint="eastAsia" w:ascii="宋体" w:hAnsi="宋体" w:eastAsia="宋体" w:cs="宋体"/>
          <w:b/>
          <w:bCs/>
          <w:color w:val="auto"/>
          <w:kern w:val="2"/>
          <w:sz w:val="24"/>
          <w:szCs w:val="28"/>
          <w:highlight w:val="none"/>
          <w:lang w:val="en-US" w:eastAsia="zh-CN" w:bidi="ar-SA"/>
        </w:rPr>
        <w:t>28.评标委员会</w:t>
      </w:r>
      <w:bookmarkEnd w:id="358"/>
      <w:bookmarkEnd w:id="359"/>
      <w:bookmarkEnd w:id="360"/>
      <w:bookmarkEnd w:id="361"/>
      <w:bookmarkEnd w:id="362"/>
      <w:bookmarkEnd w:id="363"/>
      <w:bookmarkEnd w:id="364"/>
    </w:p>
    <w:p w14:paraId="1EA2B13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 评标由采购人依法组建的评标委员会负责。评标委员会由采购人代表和评审专家组成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成员人数应当为5</w:t>
      </w:r>
      <w:r>
        <w:rPr>
          <w:rFonts w:hint="eastAsia" w:ascii="宋体" w:hAnsi="宋体" w:eastAsia="宋体" w:cs="宋体"/>
          <w:color w:val="auto"/>
          <w:sz w:val="24"/>
          <w:highlight w:val="none"/>
        </w:rPr>
        <w:t>人以上单数，其中</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专家不</w:t>
      </w:r>
      <w:r>
        <w:rPr>
          <w:rFonts w:hint="eastAsia" w:ascii="宋体" w:hAnsi="宋体" w:eastAsia="宋体" w:cs="宋体"/>
          <w:color w:val="auto"/>
          <w:sz w:val="24"/>
          <w:highlight w:val="none"/>
          <w:lang w:val="en-US" w:eastAsia="zh-CN"/>
        </w:rPr>
        <w:t>得</w:t>
      </w:r>
      <w:r>
        <w:rPr>
          <w:rFonts w:hint="eastAsia" w:ascii="宋体" w:hAnsi="宋体" w:eastAsia="宋体" w:cs="宋体"/>
          <w:color w:val="auto"/>
          <w:sz w:val="24"/>
          <w:highlight w:val="none"/>
        </w:rPr>
        <w:t>少于</w:t>
      </w:r>
      <w:r>
        <w:rPr>
          <w:rFonts w:hint="eastAsia" w:ascii="宋体" w:hAnsi="宋体" w:eastAsia="宋体" w:cs="宋体"/>
          <w:color w:val="auto"/>
          <w:sz w:val="24"/>
          <w:highlight w:val="none"/>
          <w:lang w:val="en-US" w:eastAsia="zh-CN"/>
        </w:rPr>
        <w:t>成员总数的</w:t>
      </w:r>
      <w:r>
        <w:rPr>
          <w:rFonts w:hint="eastAsia" w:ascii="宋体" w:hAnsi="宋体" w:eastAsia="宋体" w:cs="宋体"/>
          <w:color w:val="auto"/>
          <w:sz w:val="24"/>
          <w:highlight w:val="none"/>
        </w:rPr>
        <w:t>三分之二。</w:t>
      </w:r>
      <w:r>
        <w:rPr>
          <w:rFonts w:hint="eastAsia" w:ascii="宋体" w:hAnsi="宋体" w:eastAsia="宋体" w:cs="宋体"/>
          <w:color w:val="auto"/>
          <w:sz w:val="24"/>
          <w:highlight w:val="none"/>
          <w:lang w:val="en-US" w:eastAsia="zh-CN"/>
        </w:rPr>
        <w:t>采购人或者采购代理机构应当从省级以上财政部门设立的政府采购评审专家库中，通过随机方式抽取评审专家。</w:t>
      </w:r>
    </w:p>
    <w:p w14:paraId="32DE780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28.2 采购项目符合下列情形之一的，评标委员会成员人数应当为7人以上单数：</w:t>
      </w:r>
    </w:p>
    <w:p w14:paraId="05C639B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（1）采购预算金额在1000万元以上；</w:t>
      </w:r>
    </w:p>
    <w:p w14:paraId="67DFE62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（2）技术复杂；</w:t>
      </w:r>
    </w:p>
    <w:p w14:paraId="6B9FB10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（3）社会影响较大。</w:t>
      </w:r>
    </w:p>
    <w:p w14:paraId="4590A67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28.4评标委员会成员名单在评标结果公告前应当保密。</w:t>
      </w:r>
    </w:p>
    <w:p w14:paraId="2F8842E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28.5评标中因评标委员会成员缺席、回避或者健康等特殊原因导致评标委员会组成不符合本办法规定的，采购人或者采购代理机构应当依法补足后继续评标。被更换的评标委员会成员所作出的评标意见无效。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28.6无法及时补足评标委员会成员的，采购人或者采购代理机构应当停止评标活动，封存所有投标文件和开标、评标资料，依法重新组建评标委员会进行评标。原评标委员会所作出的评标意见无效。</w:t>
      </w:r>
    </w:p>
    <w:p w14:paraId="301CAD8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 评标委员会成员有下列情形之一的，应当回避：</w:t>
      </w:r>
    </w:p>
    <w:p w14:paraId="0656ACE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（1）参加采购活动前3年内与投标人存在劳动关系；</w:t>
      </w:r>
    </w:p>
    <w:p w14:paraId="55B6A1B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（2）参加采购活动前3年内担任投标人的董事、监事；</w:t>
      </w:r>
    </w:p>
    <w:p w14:paraId="61A1D2B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（3）参加采购活动前3年内是投标人的控股股东或实际控制人；</w:t>
      </w:r>
    </w:p>
    <w:p w14:paraId="2961D58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（4）与投标人的法定代表人或者负责人有夫妻、直系血亲、三代以内旁系血亲或者近姻亲关系；</w:t>
      </w:r>
    </w:p>
    <w:p w14:paraId="20FB9B7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（5）与投标人有其他可能影响采购活动公平、公正进行的关系。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65" w:name="_Toc163492858"/>
      <w:bookmarkStart w:id="366" w:name="_Toc15103"/>
      <w:bookmarkStart w:id="367" w:name="_Toc23723"/>
      <w:bookmarkStart w:id="368" w:name="_Toc3667"/>
      <w:bookmarkStart w:id="369" w:name="_Toc31465"/>
      <w:bookmarkStart w:id="370" w:name="_Toc26969"/>
      <w:bookmarkStart w:id="371" w:name="_Toc140132791"/>
      <w:r>
        <w:rPr>
          <w:rFonts w:hint="eastAsia" w:ascii="宋体" w:hAnsi="宋体" w:eastAsia="宋体" w:cs="宋体"/>
          <w:b/>
          <w:bCs/>
          <w:color w:val="auto"/>
          <w:kern w:val="2"/>
          <w:sz w:val="24"/>
          <w:szCs w:val="28"/>
          <w:highlight w:val="none"/>
          <w:lang w:val="en-US" w:eastAsia="zh-CN" w:bidi="ar-SA"/>
        </w:rPr>
        <w:t>29.评标</w:t>
      </w:r>
      <w:bookmarkEnd w:id="365"/>
      <w:bookmarkEnd w:id="366"/>
      <w:bookmarkEnd w:id="367"/>
      <w:bookmarkEnd w:id="368"/>
      <w:bookmarkEnd w:id="369"/>
      <w:bookmarkEnd w:id="370"/>
      <w:bookmarkEnd w:id="371"/>
    </w:p>
    <w:p w14:paraId="6D0B095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评标方法分为综合评分法和</w:t>
      </w:r>
      <w:r>
        <w:rPr>
          <w:rFonts w:hint="eastAsia" w:ascii="宋体" w:hAnsi="宋体" w:eastAsia="宋体" w:cs="宋体"/>
          <w:color w:val="auto"/>
          <w:sz w:val="24"/>
          <w:highlight w:val="none"/>
        </w:rPr>
        <w:t>最低评标价法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本项目评标</w:t>
      </w:r>
      <w:r>
        <w:rPr>
          <w:rFonts w:hint="eastAsia" w:ascii="宋体" w:hAnsi="宋体" w:eastAsia="宋体" w:cs="宋体"/>
          <w:color w:val="auto"/>
          <w:sz w:val="24"/>
          <w:highlight w:val="none"/>
          <w:lang w:val="en-US" w:eastAsia="zh-CN"/>
        </w:rPr>
        <w:t>方法详见</w:t>
      </w:r>
      <w:r>
        <w:rPr>
          <w:rFonts w:hint="eastAsia" w:ascii="宋体" w:hAnsi="宋体" w:eastAsia="宋体" w:cs="宋体"/>
          <w:color w:val="auto"/>
          <w:sz w:val="24"/>
          <w:highlight w:val="none"/>
        </w:rPr>
        <w:t>“投标人须知前附表”</w:t>
      </w:r>
      <w:r>
        <w:rPr>
          <w:rFonts w:hint="eastAsia" w:ascii="宋体" w:hAnsi="宋体" w:eastAsia="宋体" w:cs="宋体"/>
          <w:color w:val="auto"/>
          <w:sz w:val="24"/>
          <w:highlight w:val="none"/>
          <w:lang w:eastAsia="zh-CN"/>
        </w:rPr>
        <w:t>。</w:t>
      </w:r>
    </w:p>
    <w:p w14:paraId="2BC22B3E">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9.1.1</w:t>
      </w:r>
      <w:r>
        <w:rPr>
          <w:rFonts w:hint="eastAsia" w:ascii="宋体" w:hAnsi="宋体" w:eastAsia="宋体" w:cs="宋体"/>
          <w:color w:val="auto"/>
          <w:sz w:val="24"/>
          <w:highlight w:val="none"/>
        </w:rPr>
        <w:t>综合评分法，是指投标文件满足招标文件全部实质性要求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且按照评审因素的量化指标评审得分最高的投标人为中标候选人的评标方法。</w:t>
      </w:r>
    </w:p>
    <w:p w14:paraId="0E3867E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29.1.2.</w:t>
      </w:r>
      <w:r>
        <w:rPr>
          <w:rFonts w:hint="eastAsia" w:ascii="宋体" w:hAnsi="宋体" w:eastAsia="宋体" w:cs="宋体"/>
          <w:color w:val="auto"/>
          <w:sz w:val="24"/>
          <w:highlight w:val="none"/>
        </w:rPr>
        <w:t>最低评标价法，是指投标文件满足招标文件全部实质性要求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且投标报价最低的投标人为中标候选人的评标方法。</w:t>
      </w:r>
    </w:p>
    <w:p w14:paraId="418DE4C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rPr>
        <w:t>评标委员会按照“第五章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评标</w:t>
      </w:r>
      <w:r>
        <w:rPr>
          <w:rFonts w:hint="eastAsia" w:ascii="宋体" w:hAnsi="宋体" w:eastAsia="宋体" w:cs="宋体"/>
          <w:color w:val="auto"/>
          <w:sz w:val="24"/>
          <w:highlight w:val="none"/>
          <w:lang w:val="en-US" w:eastAsia="zh-CN"/>
        </w:rPr>
        <w:t>方</w:t>
      </w:r>
      <w:r>
        <w:rPr>
          <w:rFonts w:hint="eastAsia" w:ascii="宋体" w:hAnsi="宋体" w:eastAsia="宋体" w:cs="宋体"/>
          <w:color w:val="auto"/>
          <w:sz w:val="24"/>
          <w:highlight w:val="none"/>
        </w:rPr>
        <w:t>法及标准”</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规定对投标文件进行评审。“第五章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评标</w:t>
      </w:r>
      <w:r>
        <w:rPr>
          <w:rFonts w:hint="eastAsia" w:ascii="宋体" w:hAnsi="宋体" w:eastAsia="宋体" w:cs="宋体"/>
          <w:color w:val="auto"/>
          <w:sz w:val="24"/>
          <w:highlight w:val="none"/>
          <w:lang w:val="en-US" w:eastAsia="zh-CN"/>
        </w:rPr>
        <w:t>方</w:t>
      </w:r>
      <w:r>
        <w:rPr>
          <w:rFonts w:hint="eastAsia" w:ascii="宋体" w:hAnsi="宋体" w:eastAsia="宋体" w:cs="宋体"/>
          <w:color w:val="auto"/>
          <w:sz w:val="24"/>
          <w:highlight w:val="none"/>
        </w:rPr>
        <w:t>法及标准”没有规定的方法、评审因素和标准，不作为评标依据。</w:t>
      </w:r>
    </w:p>
    <w:p w14:paraId="1A9007D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3 </w:t>
      </w:r>
      <w:r>
        <w:rPr>
          <w:rFonts w:hint="eastAsia" w:ascii="宋体" w:hAnsi="宋体" w:eastAsia="宋体" w:cs="宋体"/>
          <w:color w:val="auto"/>
          <w:sz w:val="24"/>
          <w:highlight w:val="none"/>
        </w:rPr>
        <w:t>评标委员会按“投标人须知前附表”规定的中标候选人数量在评标报告中向采购人推荐中标候选人。</w:t>
      </w:r>
    </w:p>
    <w:p w14:paraId="1E63454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29.5 在确定中标人之前，投标人试图在投标文件审查、澄清、比较和评标时对评标委员会、采购人和采购代理机构施加任何影响都可能导致其</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w:t>
      </w:r>
    </w:p>
    <w:p w14:paraId="32A3200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29.6 电子招投标的应急措施</w:t>
      </w:r>
    </w:p>
    <w:p w14:paraId="52525CD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29.6.1电子开标、评标如出现下列原因，导致系统无法正常运行或无法正常评标时，应采取应急措施。</w:t>
      </w:r>
    </w:p>
    <w:p w14:paraId="3D99F56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（1）系统服务器发生故障，无法访问或无法使用系统；</w:t>
      </w:r>
    </w:p>
    <w:p w14:paraId="518B308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（2）系统的软件或数据库出现错误，不能进行正常操作；</w:t>
      </w:r>
    </w:p>
    <w:p w14:paraId="657BA7B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（3）系统发现有安全漏洞，有潜在的泄密危险；</w:t>
      </w:r>
    </w:p>
    <w:p w14:paraId="26B1539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（4）病毒发作或受到外来病毒的攻击；</w:t>
      </w:r>
    </w:p>
    <w:p w14:paraId="6BCA43D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（5）出现其他不可抗拒的客观原因造成开评标系统无法正常使用。</w:t>
      </w:r>
    </w:p>
    <w:p w14:paraId="2BA3CE0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出现上述情况时，应对未开标的暂停开标。已在系统内开标、评标的立即停止。采取应急措施时，必须对原有资料及信息作出妥善保密处理。</w:t>
      </w:r>
    </w:p>
    <w:p w14:paraId="791CC4F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29.7 投标人瑕疵滞后发现的处理规则</w:t>
      </w:r>
    </w:p>
    <w:p w14:paraId="11E85EA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29.7.1无论基于何种原因，各项本应作</w:t>
      </w:r>
      <w:r>
        <w:rPr>
          <w:rFonts w:hint="eastAsia" w:ascii="宋体" w:hAnsi="宋体" w:eastAsia="宋体" w:cs="宋体"/>
          <w:b/>
          <w:bCs/>
          <w:color w:val="auto"/>
          <w:sz w:val="24"/>
          <w:highlight w:val="none"/>
          <w:lang w:val="en-US" w:eastAsia="zh-CN"/>
        </w:rPr>
        <w:t>无效投标</w:t>
      </w:r>
      <w:r>
        <w:rPr>
          <w:rFonts w:hint="eastAsia" w:ascii="宋体" w:hAnsi="宋体" w:eastAsia="宋体" w:cs="宋体"/>
          <w:color w:val="auto"/>
          <w:sz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372" w:name="_Toc1414"/>
      <w:bookmarkStart w:id="373" w:name="_Toc22170"/>
      <w:bookmarkStart w:id="374" w:name="_Toc4255"/>
      <w:bookmarkStart w:id="375" w:name="_Toc23831"/>
      <w:bookmarkStart w:id="376" w:name="_Toc8349"/>
      <w:bookmarkStart w:id="377" w:name="_Toc155185879"/>
      <w:bookmarkStart w:id="378" w:name="_Toc163492859"/>
      <w:bookmarkStart w:id="379" w:name="_Toc140132792"/>
      <w:r>
        <w:rPr>
          <w:rFonts w:hint="eastAsia" w:ascii="宋体" w:hAnsi="宋体" w:eastAsia="宋体" w:cs="宋体"/>
          <w:b/>
          <w:bCs/>
          <w:color w:val="auto"/>
          <w:kern w:val="2"/>
          <w:sz w:val="24"/>
          <w:szCs w:val="32"/>
          <w:highlight w:val="none"/>
          <w:lang w:val="en-US" w:eastAsia="zh-CN" w:bidi="ar-SA"/>
        </w:rPr>
        <w:t>（八）中标</w:t>
      </w:r>
      <w:bookmarkEnd w:id="372"/>
      <w:bookmarkEnd w:id="373"/>
      <w:bookmarkEnd w:id="374"/>
      <w:bookmarkEnd w:id="375"/>
      <w:bookmarkEnd w:id="376"/>
      <w:bookmarkEnd w:id="377"/>
      <w:bookmarkEnd w:id="378"/>
      <w:bookmarkEnd w:id="379"/>
    </w:p>
    <w:p w14:paraId="37B6B95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80" w:name="_Toc4784"/>
      <w:bookmarkStart w:id="381" w:name="_Toc9777"/>
      <w:bookmarkStart w:id="382" w:name="_Toc140132793"/>
      <w:bookmarkStart w:id="383" w:name="_Toc26318"/>
      <w:bookmarkStart w:id="384" w:name="_Toc23420"/>
      <w:bookmarkStart w:id="385" w:name="_Toc31516"/>
      <w:bookmarkStart w:id="386" w:name="_Toc163492860"/>
      <w:r>
        <w:rPr>
          <w:rFonts w:hint="eastAsia" w:ascii="宋体" w:hAnsi="宋体" w:eastAsia="宋体" w:cs="宋体"/>
          <w:b/>
          <w:bCs/>
          <w:color w:val="auto"/>
          <w:kern w:val="2"/>
          <w:sz w:val="24"/>
          <w:szCs w:val="28"/>
          <w:highlight w:val="none"/>
          <w:lang w:val="en-US" w:eastAsia="zh-CN" w:bidi="ar-SA"/>
        </w:rPr>
        <w:t>30.确定中标人</w:t>
      </w:r>
      <w:bookmarkEnd w:id="380"/>
      <w:bookmarkEnd w:id="381"/>
      <w:bookmarkEnd w:id="382"/>
      <w:bookmarkEnd w:id="383"/>
      <w:bookmarkEnd w:id="384"/>
      <w:bookmarkEnd w:id="385"/>
      <w:bookmarkEnd w:id="386"/>
    </w:p>
    <w:p w14:paraId="4A5A7398">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 xml:space="preserve">。 </w:t>
      </w:r>
    </w:p>
    <w:p w14:paraId="189714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87" w:name="_Toc24795"/>
      <w:bookmarkStart w:id="388" w:name="_Toc19155"/>
      <w:bookmarkStart w:id="389" w:name="_Toc7431"/>
      <w:bookmarkStart w:id="390" w:name="_Toc163492861"/>
      <w:bookmarkStart w:id="391" w:name="_Toc9969"/>
      <w:bookmarkStart w:id="392" w:name="_Toc6330"/>
      <w:bookmarkStart w:id="393" w:name="_Toc140132794"/>
      <w:r>
        <w:rPr>
          <w:rFonts w:hint="eastAsia" w:ascii="宋体" w:hAnsi="宋体" w:eastAsia="宋体" w:cs="宋体"/>
          <w:b/>
          <w:bCs/>
          <w:color w:val="auto"/>
          <w:kern w:val="2"/>
          <w:sz w:val="24"/>
          <w:szCs w:val="28"/>
          <w:highlight w:val="none"/>
          <w:lang w:val="en-US" w:eastAsia="zh-CN" w:bidi="ar-SA"/>
        </w:rPr>
        <w:t>31.中标结果公告</w:t>
      </w:r>
      <w:bookmarkEnd w:id="387"/>
      <w:bookmarkEnd w:id="388"/>
      <w:bookmarkEnd w:id="389"/>
      <w:bookmarkEnd w:id="390"/>
      <w:bookmarkEnd w:id="391"/>
      <w:bookmarkEnd w:id="392"/>
      <w:bookmarkEnd w:id="393"/>
    </w:p>
    <w:p w14:paraId="712AF3E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采购人或</w:t>
      </w:r>
      <w:r>
        <w:rPr>
          <w:rFonts w:hint="eastAsia" w:ascii="宋体" w:hAnsi="宋体" w:eastAsia="宋体" w:cs="宋体"/>
          <w:color w:val="auto"/>
          <w:sz w:val="24"/>
          <w:highlight w:val="none"/>
        </w:rPr>
        <w:t>采购代理机构应当自中标人确定之日起2个工作日内，在</w:t>
      </w:r>
      <w:r>
        <w:rPr>
          <w:rFonts w:hint="eastAsia" w:ascii="宋体" w:hAnsi="宋体" w:eastAsia="宋体" w:cs="宋体"/>
          <w:color w:val="auto"/>
          <w:sz w:val="24"/>
          <w:highlight w:val="none"/>
          <w:lang w:val="en-US" w:eastAsia="zh-CN"/>
        </w:rPr>
        <w:t>发布招标公告的同一</w:t>
      </w:r>
      <w:r>
        <w:rPr>
          <w:rFonts w:hint="eastAsia" w:ascii="宋体" w:hAnsi="宋体" w:eastAsia="宋体" w:cs="宋体"/>
          <w:color w:val="auto"/>
          <w:sz w:val="24"/>
          <w:highlight w:val="none"/>
        </w:rPr>
        <w:t>媒体上发布中标结果公告，</w:t>
      </w:r>
      <w:r>
        <w:rPr>
          <w:rFonts w:hint="eastAsia" w:ascii="宋体" w:hAnsi="宋体" w:eastAsia="宋体" w:cs="宋体"/>
          <w:color w:val="auto"/>
          <w:sz w:val="24"/>
          <w:highlight w:val="none"/>
          <w:lang w:val="en-US" w:eastAsia="zh-CN"/>
        </w:rPr>
        <w:t>同时向中标人</w:t>
      </w:r>
      <w:r>
        <w:rPr>
          <w:rFonts w:hint="eastAsia" w:ascii="宋体" w:hAnsi="宋体" w:eastAsia="宋体" w:cs="宋体"/>
          <w:color w:val="auto"/>
          <w:sz w:val="24"/>
          <w:highlight w:val="none"/>
        </w:rPr>
        <w:t>发出中标通知书</w:t>
      </w:r>
      <w:r>
        <w:rPr>
          <w:rFonts w:hint="eastAsia" w:ascii="宋体" w:hAnsi="宋体" w:eastAsia="宋体" w:cs="宋体"/>
          <w:color w:val="auto"/>
          <w:sz w:val="24"/>
          <w:highlight w:val="none"/>
          <w:lang w:eastAsia="zh-CN"/>
        </w:rPr>
        <w:t>。招标文件随中标结果同时公告，</w:t>
      </w:r>
      <w:r>
        <w:rPr>
          <w:rFonts w:hint="eastAsia" w:ascii="宋体" w:hAnsi="宋体" w:eastAsia="宋体" w:cs="宋体"/>
          <w:color w:val="auto"/>
          <w:sz w:val="24"/>
          <w:highlight w:val="none"/>
        </w:rPr>
        <w:t>中标结果公告期限为1个工作日。</w:t>
      </w:r>
    </w:p>
    <w:p w14:paraId="5352A1F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中标</w:t>
      </w:r>
      <w:r>
        <w:rPr>
          <w:rFonts w:hint="eastAsia" w:ascii="宋体" w:hAnsi="宋体" w:eastAsia="宋体" w:cs="宋体"/>
          <w:bCs/>
          <w:color w:val="auto"/>
          <w:sz w:val="24"/>
          <w:highlight w:val="none"/>
          <w:lang w:val="en-US" w:eastAsia="zh-CN"/>
        </w:rPr>
        <w:t>人</w:t>
      </w:r>
      <w:r>
        <w:rPr>
          <w:rFonts w:hint="eastAsia" w:ascii="宋体" w:hAnsi="宋体" w:eastAsia="宋体" w:cs="宋体"/>
          <w:bCs/>
          <w:color w:val="auto"/>
          <w:sz w:val="24"/>
          <w:highlight w:val="none"/>
          <w:lang w:eastAsia="zh-CN"/>
        </w:rPr>
        <w:t>为中小企业</w:t>
      </w:r>
      <w:r>
        <w:rPr>
          <w:rFonts w:hint="eastAsia" w:ascii="宋体" w:hAnsi="宋体" w:eastAsia="宋体" w:cs="宋体"/>
          <w:bCs/>
          <w:color w:val="auto"/>
          <w:sz w:val="24"/>
          <w:highlight w:val="none"/>
          <w:lang w:val="en-US" w:eastAsia="zh-CN"/>
        </w:rPr>
        <w:t>享受中小企业扶持政策的</w:t>
      </w:r>
      <w:r>
        <w:rPr>
          <w:rFonts w:hint="eastAsia" w:ascii="宋体" w:hAnsi="宋体" w:eastAsia="宋体" w:cs="宋体"/>
          <w:bCs/>
          <w:color w:val="auto"/>
          <w:sz w:val="24"/>
          <w:highlight w:val="none"/>
          <w:lang w:eastAsia="zh-CN"/>
        </w:rPr>
        <w:t>，其“中小企业声明函”随中标结果同时公告。中标</w:t>
      </w:r>
      <w:r>
        <w:rPr>
          <w:rFonts w:hint="eastAsia" w:ascii="宋体" w:hAnsi="宋体" w:eastAsia="宋体" w:cs="宋体"/>
          <w:bCs/>
          <w:color w:val="auto"/>
          <w:sz w:val="24"/>
          <w:highlight w:val="none"/>
          <w:lang w:val="en-US" w:eastAsia="zh-CN"/>
        </w:rPr>
        <w:t>人</w:t>
      </w:r>
      <w:r>
        <w:rPr>
          <w:rFonts w:hint="eastAsia" w:ascii="宋体" w:hAnsi="宋体" w:eastAsia="宋体" w:cs="宋体"/>
          <w:bCs/>
          <w:color w:val="auto"/>
          <w:sz w:val="24"/>
          <w:highlight w:val="none"/>
          <w:lang w:eastAsia="zh-CN"/>
        </w:rPr>
        <w:t>为残疾人福利性单位的，其“残疾人福利性单位声明函”随中标结果同时公告。</w:t>
      </w:r>
    </w:p>
    <w:p w14:paraId="284DD9E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31.3</w:t>
      </w:r>
      <w:r>
        <w:rPr>
          <w:rFonts w:hint="eastAsia" w:ascii="宋体" w:hAnsi="宋体" w:eastAsia="宋体" w:cs="宋体"/>
          <w:bCs/>
          <w:color w:val="auto"/>
          <w:sz w:val="24"/>
          <w:highlight w:val="none"/>
        </w:rPr>
        <w:t>项目采购采用最低评标价法的，公告中标结果时同时公告因落实政府采购政策等原因进行价格扣除后中标</w:t>
      </w:r>
      <w:r>
        <w:rPr>
          <w:rFonts w:hint="eastAsia" w:ascii="宋体" w:hAnsi="宋体" w:eastAsia="宋体" w:cs="宋体"/>
          <w:bCs/>
          <w:color w:val="auto"/>
          <w:sz w:val="24"/>
          <w:highlight w:val="none"/>
          <w:lang w:val="en-US" w:eastAsia="zh-CN"/>
        </w:rPr>
        <w:t>人</w:t>
      </w:r>
      <w:r>
        <w:rPr>
          <w:rFonts w:hint="eastAsia" w:ascii="宋体" w:hAnsi="宋体" w:eastAsia="宋体" w:cs="宋体"/>
          <w:bCs/>
          <w:color w:val="auto"/>
          <w:sz w:val="24"/>
          <w:highlight w:val="none"/>
        </w:rPr>
        <w:t>的评审报价；项目采购采用综合评分法的，公告中标结果时同时公告中标</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的评审总得分。</w:t>
      </w:r>
    </w:p>
    <w:p w14:paraId="24E8EB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94" w:name="_Toc7104"/>
      <w:bookmarkStart w:id="395" w:name="_Toc17586"/>
      <w:bookmarkStart w:id="396" w:name="_Toc4182"/>
      <w:bookmarkStart w:id="397" w:name="_Toc140132795"/>
      <w:bookmarkStart w:id="398" w:name="_Toc2830"/>
      <w:bookmarkStart w:id="399" w:name="_Toc163492862"/>
      <w:bookmarkStart w:id="400" w:name="_Toc17569"/>
      <w:r>
        <w:rPr>
          <w:rFonts w:hint="eastAsia" w:ascii="宋体" w:hAnsi="宋体" w:eastAsia="宋体" w:cs="宋体"/>
          <w:b/>
          <w:bCs/>
          <w:color w:val="auto"/>
          <w:kern w:val="2"/>
          <w:sz w:val="24"/>
          <w:szCs w:val="28"/>
          <w:highlight w:val="none"/>
          <w:lang w:val="en-US" w:eastAsia="zh-CN" w:bidi="ar-SA"/>
        </w:rPr>
        <w:t>32.中标通知</w:t>
      </w:r>
      <w:bookmarkEnd w:id="394"/>
      <w:bookmarkEnd w:id="395"/>
      <w:bookmarkEnd w:id="396"/>
      <w:bookmarkEnd w:id="397"/>
      <w:bookmarkEnd w:id="398"/>
      <w:bookmarkEnd w:id="399"/>
      <w:bookmarkEnd w:id="400"/>
    </w:p>
    <w:p w14:paraId="41D33E1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2</w:t>
      </w:r>
      <w:r>
        <w:rPr>
          <w:rFonts w:hint="eastAsia" w:ascii="宋体" w:hAnsi="宋体" w:eastAsia="宋体" w:cs="宋体"/>
          <w:color w:val="auto"/>
          <w:sz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004C264E">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401" w:name="_Toc4010"/>
      <w:bookmarkStart w:id="402" w:name="_Toc28090"/>
      <w:bookmarkStart w:id="403" w:name="_Toc27448"/>
      <w:bookmarkStart w:id="404" w:name="_Toc20940"/>
      <w:bookmarkStart w:id="405" w:name="_Toc9494"/>
      <w:bookmarkStart w:id="406" w:name="_Toc163492863"/>
      <w:r>
        <w:rPr>
          <w:rFonts w:hint="eastAsia" w:ascii="宋体" w:hAnsi="宋体" w:eastAsia="宋体" w:cs="宋体"/>
          <w:b/>
          <w:bCs/>
          <w:color w:val="auto"/>
          <w:kern w:val="2"/>
          <w:sz w:val="24"/>
          <w:szCs w:val="32"/>
          <w:highlight w:val="none"/>
          <w:lang w:val="en-US" w:eastAsia="zh-CN" w:bidi="ar-SA"/>
        </w:rPr>
        <w:t>（九）签订</w:t>
      </w:r>
      <w:bookmarkStart w:id="407" w:name="_Toc140132796"/>
      <w:bookmarkStart w:id="408" w:name="_Toc155185880"/>
      <w:r>
        <w:rPr>
          <w:rFonts w:hint="eastAsia" w:ascii="宋体" w:hAnsi="宋体" w:eastAsia="宋体" w:cs="宋体"/>
          <w:b/>
          <w:bCs/>
          <w:color w:val="auto"/>
          <w:kern w:val="2"/>
          <w:sz w:val="24"/>
          <w:szCs w:val="32"/>
          <w:highlight w:val="none"/>
          <w:lang w:val="en-US" w:eastAsia="zh-CN" w:bidi="ar-SA"/>
        </w:rPr>
        <w:t>合同</w:t>
      </w:r>
      <w:bookmarkEnd w:id="401"/>
      <w:bookmarkEnd w:id="402"/>
      <w:bookmarkEnd w:id="403"/>
      <w:bookmarkEnd w:id="404"/>
      <w:bookmarkEnd w:id="405"/>
      <w:bookmarkEnd w:id="406"/>
      <w:bookmarkEnd w:id="407"/>
      <w:bookmarkEnd w:id="408"/>
    </w:p>
    <w:p w14:paraId="547E6B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09" w:name="_Toc18923"/>
      <w:bookmarkStart w:id="410" w:name="_Toc163492864"/>
      <w:bookmarkStart w:id="411" w:name="_Toc12713"/>
      <w:bookmarkStart w:id="412" w:name="_Toc6972"/>
      <w:bookmarkStart w:id="413" w:name="_Toc18377"/>
      <w:bookmarkStart w:id="414" w:name="_Toc140132797"/>
      <w:bookmarkStart w:id="415" w:name="_Toc22178"/>
      <w:r>
        <w:rPr>
          <w:rFonts w:hint="eastAsia" w:ascii="宋体" w:hAnsi="宋体" w:eastAsia="宋体" w:cs="宋体"/>
          <w:b/>
          <w:bCs/>
          <w:color w:val="auto"/>
          <w:kern w:val="2"/>
          <w:sz w:val="24"/>
          <w:szCs w:val="28"/>
          <w:highlight w:val="none"/>
          <w:lang w:val="en-US" w:eastAsia="zh-CN" w:bidi="ar-SA"/>
        </w:rPr>
        <w:t>33.履约保证金</w:t>
      </w:r>
      <w:bookmarkEnd w:id="409"/>
      <w:bookmarkEnd w:id="410"/>
      <w:bookmarkEnd w:id="411"/>
      <w:bookmarkEnd w:id="412"/>
      <w:bookmarkEnd w:id="413"/>
      <w:bookmarkEnd w:id="414"/>
      <w:bookmarkEnd w:id="415"/>
    </w:p>
    <w:p w14:paraId="77717F0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3</w:t>
      </w:r>
      <w:r>
        <w:rPr>
          <w:rFonts w:hint="eastAsia" w:ascii="宋体" w:hAnsi="宋体" w:eastAsia="宋体" w:cs="宋体"/>
          <w:color w:val="auto"/>
          <w:sz w:val="24"/>
          <w:highlight w:val="none"/>
        </w:rPr>
        <w:t>.1在签订合同前，中标人应按“投标人须知前附表”规定的金额、担保形式和采购人认可的履约担保格式向采购人提交履约保证金。</w:t>
      </w:r>
    </w:p>
    <w:p w14:paraId="73BC7DA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3</w:t>
      </w:r>
      <w:r>
        <w:rPr>
          <w:rFonts w:hint="eastAsia" w:ascii="宋体" w:hAnsi="宋体" w:eastAsia="宋体" w:cs="宋体"/>
          <w:color w:val="auto"/>
          <w:sz w:val="24"/>
          <w:highlight w:val="none"/>
        </w:rPr>
        <w:t>.2中标人不能按本章第3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.1项要求提交履约担保的，视为放弃中标，给采购人造成损失的，中标人还应当承担民事责任。</w:t>
      </w:r>
    </w:p>
    <w:p w14:paraId="4B3DD6F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16" w:name="_Toc140132798"/>
      <w:bookmarkStart w:id="417" w:name="_Toc25821"/>
      <w:bookmarkStart w:id="418" w:name="_Toc2818"/>
      <w:bookmarkStart w:id="419" w:name="_Toc163492865"/>
      <w:bookmarkStart w:id="420" w:name="_Toc19464"/>
      <w:bookmarkStart w:id="421" w:name="_Toc3523"/>
      <w:bookmarkStart w:id="422" w:name="_Toc30681"/>
      <w:r>
        <w:rPr>
          <w:rFonts w:hint="eastAsia" w:ascii="宋体" w:hAnsi="宋体" w:eastAsia="宋体" w:cs="宋体"/>
          <w:b/>
          <w:bCs/>
          <w:color w:val="auto"/>
          <w:kern w:val="2"/>
          <w:sz w:val="24"/>
          <w:szCs w:val="28"/>
          <w:highlight w:val="none"/>
          <w:lang w:val="en-US" w:eastAsia="zh-CN" w:bidi="ar-SA"/>
        </w:rPr>
        <w:t>34.签订合同</w:t>
      </w:r>
      <w:bookmarkEnd w:id="416"/>
      <w:bookmarkEnd w:id="417"/>
      <w:bookmarkEnd w:id="418"/>
      <w:bookmarkEnd w:id="419"/>
      <w:bookmarkEnd w:id="420"/>
      <w:bookmarkEnd w:id="421"/>
      <w:bookmarkEnd w:id="422"/>
    </w:p>
    <w:p w14:paraId="77507EB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4</w:t>
      </w:r>
      <w:r>
        <w:rPr>
          <w:rFonts w:hint="eastAsia" w:ascii="宋体" w:hAnsi="宋体" w:eastAsia="宋体" w:cs="宋体"/>
          <w:color w:val="auto"/>
          <w:sz w:val="24"/>
          <w:highlight w:val="none"/>
        </w:rPr>
        <w:t>.1 采购人和中标人应当自中标通知书发出之日起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72CF4FD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采购人和中标人不得向对方提出任何不合理的要求，作为签订合同的条件，双方不得私下订立背离合同实质性内容的协议。</w:t>
      </w:r>
    </w:p>
    <w:p w14:paraId="5551DDA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34.4 联合体中标的，联合体各方应当共同与采购人签订合同，就采购合同约定的事项向采购人承担连带责任。</w:t>
      </w:r>
    </w:p>
    <w:p w14:paraId="2BA187E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。中标人就采购项目和分包项目向采购人负责，分包供应商就分包项目承担责任。</w:t>
      </w:r>
      <w:r>
        <w:rPr>
          <w:rFonts w:hint="eastAsia" w:ascii="宋体" w:hAnsi="宋体" w:eastAsia="宋体" w:cs="宋体"/>
          <w:b/>
          <w:bCs/>
          <w:color w:val="auto"/>
          <w:sz w:val="24"/>
          <w:highlight w:val="none"/>
          <w:lang w:val="en-US" w:eastAsia="zh-CN"/>
        </w:rPr>
        <w:t>政府采购合同不能转包。</w:t>
      </w:r>
    </w:p>
    <w:p w14:paraId="13D12B8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采购合同履行中，采购人需追加与合同标的相同的</w:t>
      </w:r>
      <w:r>
        <w:rPr>
          <w:rFonts w:hint="eastAsia" w:ascii="宋体" w:hAnsi="宋体" w:eastAsia="宋体" w:cs="宋体"/>
          <w:color w:val="auto"/>
          <w:sz w:val="24"/>
          <w:highlight w:val="none"/>
          <w:lang w:val="en-US" w:eastAsia="zh-CN"/>
        </w:rPr>
        <w:t>货物、工程或者服务</w:t>
      </w:r>
      <w:r>
        <w:rPr>
          <w:rFonts w:hint="eastAsia" w:ascii="宋体" w:hAnsi="宋体" w:eastAsia="宋体" w:cs="宋体"/>
          <w:color w:val="auto"/>
          <w:sz w:val="24"/>
          <w:highlight w:val="none"/>
        </w:rPr>
        <w:t>的，在不改变合同其他条款的前提下，可以与中标人协商签订补充合同，但所有补充合同的采购金额不得超过原合同采购金额的百分之十。</w:t>
      </w:r>
    </w:p>
    <w:p w14:paraId="259D0E8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34.7 采购人应于签订合同之日起2个工作日内在政采云平台备案公示。</w:t>
      </w:r>
    </w:p>
    <w:p w14:paraId="12490EB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423" w:name="_Toc16755"/>
      <w:bookmarkStart w:id="424" w:name="_Toc3470"/>
      <w:bookmarkStart w:id="425" w:name="_Toc140132799"/>
      <w:bookmarkStart w:id="426" w:name="_Toc3345"/>
      <w:bookmarkStart w:id="427" w:name="_Toc9575"/>
      <w:bookmarkStart w:id="428" w:name="_Toc155185881"/>
      <w:bookmarkStart w:id="429" w:name="_Toc163492866"/>
      <w:bookmarkStart w:id="430" w:name="_Toc16618"/>
      <w:r>
        <w:rPr>
          <w:rFonts w:hint="eastAsia" w:ascii="宋体" w:hAnsi="宋体" w:eastAsia="宋体" w:cs="宋体"/>
          <w:b/>
          <w:bCs/>
          <w:color w:val="auto"/>
          <w:kern w:val="2"/>
          <w:sz w:val="24"/>
          <w:szCs w:val="32"/>
          <w:highlight w:val="none"/>
          <w:lang w:val="en-US" w:eastAsia="zh-CN" w:bidi="ar-SA"/>
        </w:rPr>
        <w:t>（十）质疑和投诉</w:t>
      </w:r>
      <w:bookmarkEnd w:id="423"/>
      <w:bookmarkEnd w:id="424"/>
      <w:bookmarkEnd w:id="425"/>
      <w:bookmarkEnd w:id="426"/>
      <w:bookmarkEnd w:id="427"/>
      <w:bookmarkEnd w:id="428"/>
      <w:bookmarkEnd w:id="429"/>
      <w:bookmarkEnd w:id="430"/>
    </w:p>
    <w:p w14:paraId="23BE6A9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31" w:name="_Toc26264"/>
      <w:bookmarkStart w:id="432" w:name="_Toc8211"/>
      <w:bookmarkStart w:id="433" w:name="_Toc71"/>
      <w:bookmarkStart w:id="434" w:name="_Toc1814"/>
      <w:bookmarkStart w:id="435" w:name="_Toc163492867"/>
      <w:bookmarkStart w:id="436" w:name="_Toc5638"/>
      <w:bookmarkStart w:id="437" w:name="_Toc140132800"/>
      <w:r>
        <w:rPr>
          <w:rFonts w:hint="eastAsia" w:ascii="宋体" w:hAnsi="宋体" w:eastAsia="宋体" w:cs="宋体"/>
          <w:b/>
          <w:bCs/>
          <w:color w:val="auto"/>
          <w:kern w:val="2"/>
          <w:sz w:val="24"/>
          <w:szCs w:val="28"/>
          <w:highlight w:val="none"/>
          <w:lang w:val="en-US" w:eastAsia="zh-CN" w:bidi="ar-SA"/>
        </w:rPr>
        <w:t>35.质疑</w:t>
      </w:r>
      <w:bookmarkEnd w:id="431"/>
      <w:bookmarkEnd w:id="432"/>
      <w:bookmarkEnd w:id="433"/>
      <w:bookmarkEnd w:id="434"/>
      <w:bookmarkEnd w:id="435"/>
      <w:bookmarkEnd w:id="436"/>
      <w:bookmarkEnd w:id="437"/>
    </w:p>
    <w:p w14:paraId="097AA16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详见“投标人须知前附表”</w:t>
      </w:r>
      <w:r>
        <w:rPr>
          <w:rFonts w:hint="eastAsia" w:ascii="宋体" w:hAnsi="宋体" w:eastAsia="宋体" w:cs="宋体"/>
          <w:color w:val="auto"/>
          <w:sz w:val="24"/>
          <w:highlight w:val="none"/>
        </w:rPr>
        <w:t>。供应商在法定质疑期内一次性提出针对同一采购程序环节的质疑。</w:t>
      </w:r>
    </w:p>
    <w:p w14:paraId="35972B9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.2提出质疑的供应商（以下简称质疑供应商）应当是参与所质疑项目采购活动的供应商。</w:t>
      </w:r>
    </w:p>
    <w:p w14:paraId="6503DC7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35.3</w:t>
      </w:r>
      <w:r>
        <w:rPr>
          <w:rFonts w:hint="eastAsia" w:ascii="宋体" w:hAnsi="宋体" w:eastAsia="宋体" w:cs="宋体"/>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14:paraId="7A916D6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35.4</w:t>
      </w:r>
      <w:r>
        <w:rPr>
          <w:rFonts w:hint="eastAsia" w:ascii="宋体" w:hAnsi="宋体" w:eastAsia="宋体" w:cs="宋体"/>
          <w:color w:val="auto"/>
          <w:sz w:val="24"/>
          <w:highlight w:val="none"/>
        </w:rPr>
        <w:t>供应商提出质疑应当提交质疑函和必要的证明材料。质疑函应当包括下列内容：</w:t>
      </w:r>
    </w:p>
    <w:p w14:paraId="57C1F48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）供应商的姓名或者名称、地址、邮编、联系人及联系电话；</w:t>
      </w:r>
    </w:p>
    <w:p w14:paraId="2B1F4E6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val="en-US" w:eastAsia="zh-CN"/>
        </w:rPr>
        <w:t>/包号</w:t>
      </w:r>
      <w:r>
        <w:rPr>
          <w:rFonts w:hint="eastAsia" w:ascii="宋体" w:hAnsi="宋体" w:eastAsia="宋体" w:cs="宋体"/>
          <w:color w:val="auto"/>
          <w:sz w:val="24"/>
          <w:highlight w:val="none"/>
        </w:rPr>
        <w:t>；</w:t>
      </w:r>
    </w:p>
    <w:p w14:paraId="1AA8BB7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）具体、明确的质疑事项和与质疑事项相关的请求；</w:t>
      </w:r>
    </w:p>
    <w:p w14:paraId="6456E8B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）事实依据；</w:t>
      </w:r>
    </w:p>
    <w:p w14:paraId="4D032AB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）必要的法律依据；</w:t>
      </w:r>
    </w:p>
    <w:p w14:paraId="2E14DE4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）提出质疑的日期。</w:t>
      </w:r>
    </w:p>
    <w:p w14:paraId="553B627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供应商为自然人的，应当由本人签字；供应商为法人或者其他组织的，应当由法定代表人、主要负责人，或者其授权代表签字或者盖章，并加盖公章。</w:t>
      </w:r>
    </w:p>
    <w:p w14:paraId="5F1352A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.5质疑函不符合上述要求的，采购人或代理机构应书面告知具体事项，质疑人应当按要求进行修改或补充，并在质疑有效期限内提交。</w:t>
      </w:r>
    </w:p>
    <w:p w14:paraId="4A4B924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w:t>
      </w:r>
      <w:r>
        <w:rPr>
          <w:rFonts w:hint="eastAsia" w:ascii="宋体" w:hAnsi="宋体" w:eastAsia="宋体" w:cs="宋体"/>
          <w:snapToGrid w:val="0"/>
          <w:color w:val="auto"/>
          <w:sz w:val="24"/>
          <w:highlight w:val="none"/>
          <w:lang w:val="en-US" w:eastAsia="zh-CN"/>
        </w:rPr>
        <w:t>5</w:t>
      </w:r>
      <w:r>
        <w:rPr>
          <w:rFonts w:hint="eastAsia" w:ascii="宋体" w:hAnsi="宋体" w:eastAsia="宋体" w:cs="宋体"/>
          <w:snapToGrid w:val="0"/>
          <w:color w:val="auto"/>
          <w:sz w:val="24"/>
          <w:highlight w:val="none"/>
        </w:rPr>
        <w:t>.</w:t>
      </w:r>
      <w:r>
        <w:rPr>
          <w:rFonts w:hint="eastAsia" w:ascii="宋体" w:hAnsi="宋体" w:eastAsia="宋体" w:cs="宋体"/>
          <w:snapToGrid w:val="0"/>
          <w:color w:val="auto"/>
          <w:sz w:val="24"/>
          <w:highlight w:val="none"/>
          <w:lang w:val="en-US" w:eastAsia="zh-CN"/>
        </w:rPr>
        <w:t>6</w:t>
      </w:r>
      <w:r>
        <w:rPr>
          <w:rFonts w:hint="eastAsia" w:ascii="宋体" w:hAnsi="宋体" w:eastAsia="宋体" w:cs="宋体"/>
          <w:snapToGrid w:val="0"/>
          <w:color w:val="auto"/>
          <w:sz w:val="24"/>
          <w:highlight w:val="none"/>
        </w:rPr>
        <w:t>投标人进行虚假和恶意</w:t>
      </w:r>
      <w:r>
        <w:rPr>
          <w:rFonts w:hint="eastAsia" w:ascii="宋体" w:hAnsi="宋体" w:eastAsia="宋体" w:cs="宋体"/>
          <w:snapToGrid w:val="0"/>
          <w:color w:val="auto"/>
          <w:sz w:val="24"/>
          <w:highlight w:val="none"/>
          <w:lang w:val="en-US" w:eastAsia="zh-CN"/>
        </w:rPr>
        <w:t>质疑投诉</w:t>
      </w:r>
      <w:r>
        <w:rPr>
          <w:rFonts w:hint="eastAsia" w:ascii="宋体" w:hAnsi="宋体" w:eastAsia="宋体" w:cs="宋体"/>
          <w:snapToGrid w:val="0"/>
          <w:color w:val="auto"/>
          <w:sz w:val="24"/>
          <w:highlight w:val="none"/>
        </w:rPr>
        <w:t>的，采购代理机构将提请有关部门将其列入不良记录名单，在一至三年内禁止参加政府采购活动，并将处理决定在相关政府采购媒体上公布。</w:t>
      </w:r>
    </w:p>
    <w:p w14:paraId="3E72DE8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35.7</w:t>
      </w:r>
      <w:r>
        <w:rPr>
          <w:rFonts w:hint="eastAsia" w:ascii="宋体" w:hAnsi="宋体" w:eastAsia="宋体" w:cs="宋体"/>
          <w:color w:val="auto"/>
          <w:sz w:val="24"/>
          <w:highlight w:val="none"/>
        </w:rPr>
        <w:t>质疑函</w:t>
      </w:r>
      <w:r>
        <w:rPr>
          <w:rFonts w:hint="eastAsia" w:ascii="宋体" w:hAnsi="宋体" w:eastAsia="宋体" w:cs="宋体"/>
          <w:color w:val="auto"/>
          <w:sz w:val="24"/>
          <w:highlight w:val="none"/>
          <w:lang w:val="en-US" w:eastAsia="zh-CN"/>
        </w:rPr>
        <w:t>应当使用中文，并采用财政部门制定的范本。</w:t>
      </w:r>
    </w:p>
    <w:p w14:paraId="57BB856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38" w:name="_Toc3953"/>
      <w:bookmarkStart w:id="439" w:name="_Toc163492868"/>
      <w:bookmarkStart w:id="440" w:name="_Toc13773"/>
      <w:bookmarkStart w:id="441" w:name="_Toc28277"/>
      <w:bookmarkStart w:id="442" w:name="_Toc140132801"/>
      <w:bookmarkStart w:id="443" w:name="_Toc2311"/>
      <w:bookmarkStart w:id="444" w:name="_Toc21790"/>
      <w:r>
        <w:rPr>
          <w:rFonts w:hint="eastAsia" w:ascii="宋体" w:hAnsi="宋体" w:eastAsia="宋体" w:cs="宋体"/>
          <w:b/>
          <w:bCs/>
          <w:color w:val="auto"/>
          <w:kern w:val="2"/>
          <w:sz w:val="24"/>
          <w:szCs w:val="28"/>
          <w:highlight w:val="none"/>
          <w:lang w:val="en-US" w:eastAsia="zh-CN" w:bidi="ar-SA"/>
        </w:rPr>
        <w:t>36.质疑答复</w:t>
      </w:r>
      <w:bookmarkEnd w:id="438"/>
      <w:bookmarkEnd w:id="439"/>
      <w:bookmarkEnd w:id="440"/>
      <w:bookmarkEnd w:id="441"/>
      <w:bookmarkEnd w:id="442"/>
      <w:bookmarkEnd w:id="443"/>
      <w:bookmarkEnd w:id="444"/>
    </w:p>
    <w:p w14:paraId="43D7F91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.1采购人、采购代理机构不得拒收质疑供应商在法定质疑期内发出的质疑函，应当在收到质疑函后7个工作日内作出答复，并以书面形式通知质疑供应商和其他有关供应商。</w:t>
      </w:r>
    </w:p>
    <w:p w14:paraId="6776834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36.2供应商对评审过程、中标结果提出质疑的，采购人、采购代理机构可以组织原评标委员会协助答复质疑。</w:t>
      </w:r>
    </w:p>
    <w:p w14:paraId="14E02AA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zh-CN" w:eastAsia="zh-CN"/>
        </w:rPr>
      </w:pPr>
      <w:bookmarkStart w:id="445" w:name="_Toc140132802"/>
      <w:bookmarkStart w:id="446" w:name="_Toc163492869"/>
      <w:r>
        <w:rPr>
          <w:rFonts w:hint="eastAsia" w:ascii="宋体" w:hAnsi="宋体" w:eastAsia="宋体" w:cs="宋体"/>
          <w:color w:val="auto"/>
          <w:sz w:val="24"/>
          <w:highlight w:val="none"/>
          <w:lang w:val="zh-CN" w:eastAsia="zh-CN"/>
        </w:rPr>
        <w:t>质疑答复应当包括下列内容：</w:t>
      </w:r>
    </w:p>
    <w:p w14:paraId="457CAA6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）质疑供应商的姓名或者名称；</w:t>
      </w:r>
    </w:p>
    <w:p w14:paraId="462FCFC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）收到质疑函的日期、质疑项目名称及</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zh-CN" w:eastAsia="zh-CN"/>
        </w:rPr>
        <w:t>编号/包号；</w:t>
      </w:r>
    </w:p>
    <w:p w14:paraId="18D7215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）质疑事项、质疑答复的具体内容、事实依据和法律依据；</w:t>
      </w:r>
    </w:p>
    <w:p w14:paraId="416368F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）告知质疑供应商依法投诉的权利；</w:t>
      </w:r>
    </w:p>
    <w:p w14:paraId="36EE796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）质疑答复人名称；</w:t>
      </w:r>
    </w:p>
    <w:p w14:paraId="7E632C0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）答复质疑的日期。</w:t>
      </w:r>
    </w:p>
    <w:p w14:paraId="56A5E1E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质疑答复的内容不得涉及商业秘密。</w:t>
      </w:r>
    </w:p>
    <w:p w14:paraId="6D6B407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47" w:name="_Toc11920"/>
      <w:bookmarkStart w:id="448" w:name="_Toc32321"/>
      <w:bookmarkStart w:id="449" w:name="_Toc13056"/>
      <w:bookmarkStart w:id="450" w:name="_Toc13357"/>
      <w:bookmarkStart w:id="451" w:name="_Toc32007"/>
      <w:r>
        <w:rPr>
          <w:rFonts w:hint="eastAsia" w:ascii="宋体" w:hAnsi="宋体" w:eastAsia="宋体" w:cs="宋体"/>
          <w:b/>
          <w:bCs/>
          <w:color w:val="auto"/>
          <w:kern w:val="2"/>
          <w:sz w:val="24"/>
          <w:szCs w:val="28"/>
          <w:highlight w:val="none"/>
          <w:lang w:val="en-US" w:eastAsia="zh-CN" w:bidi="ar-SA"/>
        </w:rPr>
        <w:t>37.投诉</w:t>
      </w:r>
      <w:bookmarkEnd w:id="445"/>
      <w:bookmarkEnd w:id="446"/>
      <w:bookmarkEnd w:id="447"/>
      <w:bookmarkEnd w:id="448"/>
      <w:bookmarkEnd w:id="449"/>
      <w:bookmarkEnd w:id="450"/>
      <w:bookmarkEnd w:id="451"/>
    </w:p>
    <w:p w14:paraId="5BD0CD3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37.1</w:t>
      </w:r>
      <w:r>
        <w:rPr>
          <w:rFonts w:hint="eastAsia" w:ascii="宋体" w:hAnsi="宋体" w:eastAsia="宋体" w:cs="宋体"/>
          <w:color w:val="auto"/>
          <w:sz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color w:val="auto"/>
          <w:sz w:val="24"/>
          <w:highlight w:val="none"/>
          <w:lang w:val="en-US" w:eastAsia="zh-CN"/>
        </w:rPr>
        <w:t>同级政府采购监督管理部门</w:t>
      </w:r>
      <w:r>
        <w:rPr>
          <w:rFonts w:hint="eastAsia" w:ascii="宋体" w:hAnsi="宋体" w:eastAsia="宋体" w:cs="宋体"/>
          <w:color w:val="auto"/>
          <w:sz w:val="24"/>
          <w:highlight w:val="none"/>
        </w:rPr>
        <w:t>提起投诉。</w:t>
      </w:r>
    </w:p>
    <w:p w14:paraId="348027D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37.2</w:t>
      </w:r>
      <w:r>
        <w:rPr>
          <w:rFonts w:hint="eastAsia" w:ascii="宋体" w:hAnsi="宋体" w:eastAsia="宋体" w:cs="宋体"/>
          <w:color w:val="auto"/>
          <w:sz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057A5A9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）投诉人和被投诉人的姓名或者名称、通讯地址、邮编、联系人及联系电话；</w:t>
      </w:r>
    </w:p>
    <w:p w14:paraId="4B75385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）质疑和质疑答复情况说明及相关证明材料；</w:t>
      </w:r>
    </w:p>
    <w:p w14:paraId="086B060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）具体、明确的投诉事项和与投诉事项相关的投诉请求；</w:t>
      </w:r>
    </w:p>
    <w:p w14:paraId="78BC80F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）事实依据；</w:t>
      </w:r>
    </w:p>
    <w:p w14:paraId="2AD666C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）法律依据；</w:t>
      </w:r>
    </w:p>
    <w:p w14:paraId="28B1919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）提起投诉的日期。</w:t>
      </w:r>
    </w:p>
    <w:p w14:paraId="29B1C18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投诉人为自然人的，应当由本人签字；投诉人为法人或者其他组织的，应当由法定代表人、主要负责人，或者其授权代表签字或者盖章，并加盖公章。</w:t>
      </w:r>
    </w:p>
    <w:p w14:paraId="2A3BCE0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37.3</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质疑、</w:t>
      </w:r>
      <w:r>
        <w:rPr>
          <w:rFonts w:hint="eastAsia" w:ascii="宋体" w:hAnsi="宋体" w:eastAsia="宋体" w:cs="宋体"/>
          <w:color w:val="auto"/>
          <w:sz w:val="24"/>
          <w:highlight w:val="none"/>
        </w:rPr>
        <w:t>投诉</w:t>
      </w:r>
      <w:r>
        <w:rPr>
          <w:rFonts w:hint="eastAsia" w:ascii="宋体" w:hAnsi="宋体" w:eastAsia="宋体" w:cs="宋体"/>
          <w:color w:val="auto"/>
          <w:sz w:val="24"/>
          <w:highlight w:val="none"/>
          <w:lang w:val="en-US" w:eastAsia="zh-CN"/>
        </w:rPr>
        <w:t>应当有明确的请求和必要的证明材料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供应商投诉的事项不得超出</w:t>
      </w:r>
      <w:r>
        <w:rPr>
          <w:rFonts w:hint="eastAsia" w:ascii="宋体" w:hAnsi="宋体" w:eastAsia="宋体" w:cs="宋体"/>
          <w:color w:val="auto"/>
          <w:sz w:val="24"/>
          <w:highlight w:val="none"/>
          <w:lang w:val="en-US" w:eastAsia="zh-CN"/>
        </w:rPr>
        <w:t>已</w:t>
      </w:r>
      <w:r>
        <w:rPr>
          <w:rFonts w:hint="eastAsia" w:ascii="宋体" w:hAnsi="宋体" w:eastAsia="宋体" w:cs="宋体"/>
          <w:color w:val="auto"/>
          <w:sz w:val="24"/>
          <w:highlight w:val="none"/>
        </w:rPr>
        <w:t>质疑事项的范围，但基于质疑答复内容提出的投诉事项除外。</w:t>
      </w:r>
    </w:p>
    <w:p w14:paraId="4A2CC2E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en-US" w:eastAsia="zh-CN"/>
        </w:rPr>
        <w:t>37.4</w:t>
      </w:r>
      <w:r>
        <w:rPr>
          <w:rFonts w:hint="eastAsia" w:ascii="宋体" w:hAnsi="宋体" w:eastAsia="宋体" w:cs="宋体"/>
          <w:color w:val="auto"/>
          <w:sz w:val="24"/>
          <w:highlight w:val="none"/>
          <w:lang w:val="en-US" w:eastAsia="zh-CN"/>
        </w:rPr>
        <w:t>投诉书应当使用中文，并采用财政部门制定的范本。</w:t>
      </w:r>
    </w:p>
    <w:p w14:paraId="076E00EB">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452" w:name="_Toc29408"/>
      <w:bookmarkStart w:id="453" w:name="_Toc13943"/>
      <w:bookmarkStart w:id="454" w:name="_Toc30549"/>
      <w:bookmarkStart w:id="455" w:name="_Toc155185882"/>
      <w:bookmarkStart w:id="456" w:name="_Toc18525"/>
      <w:bookmarkStart w:id="457" w:name="_Toc3580"/>
      <w:bookmarkStart w:id="458" w:name="_Toc140132803"/>
      <w:bookmarkStart w:id="459" w:name="_Toc163492870"/>
      <w:r>
        <w:rPr>
          <w:rFonts w:hint="eastAsia" w:ascii="宋体" w:hAnsi="宋体" w:eastAsia="宋体" w:cs="宋体"/>
          <w:b/>
          <w:bCs/>
          <w:color w:val="auto"/>
          <w:kern w:val="2"/>
          <w:sz w:val="24"/>
          <w:szCs w:val="32"/>
          <w:highlight w:val="none"/>
          <w:lang w:val="en-US" w:eastAsia="zh-CN" w:bidi="ar-SA"/>
        </w:rPr>
        <w:t>（十一）采购代理服务费</w:t>
      </w:r>
      <w:bookmarkEnd w:id="452"/>
      <w:bookmarkEnd w:id="453"/>
      <w:bookmarkEnd w:id="454"/>
      <w:bookmarkEnd w:id="455"/>
      <w:bookmarkEnd w:id="456"/>
      <w:bookmarkEnd w:id="457"/>
      <w:bookmarkEnd w:id="458"/>
      <w:bookmarkEnd w:id="459"/>
    </w:p>
    <w:p w14:paraId="3EF5B76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60" w:name="_Toc17649"/>
      <w:bookmarkStart w:id="461" w:name="_Toc30395"/>
      <w:bookmarkStart w:id="462" w:name="_Toc163492871"/>
      <w:bookmarkStart w:id="463" w:name="_Toc6792"/>
      <w:bookmarkStart w:id="464" w:name="_Toc140132804"/>
      <w:bookmarkStart w:id="465" w:name="_Toc6328"/>
      <w:bookmarkStart w:id="466" w:name="_Toc13299"/>
      <w:r>
        <w:rPr>
          <w:rFonts w:hint="eastAsia" w:ascii="宋体" w:hAnsi="宋体" w:eastAsia="宋体" w:cs="宋体"/>
          <w:b/>
          <w:bCs/>
          <w:color w:val="auto"/>
          <w:kern w:val="2"/>
          <w:sz w:val="24"/>
          <w:szCs w:val="28"/>
          <w:highlight w:val="none"/>
          <w:lang w:val="en-US" w:eastAsia="zh-CN" w:bidi="ar-SA"/>
        </w:rPr>
        <w:t>38.收取方式和标准</w:t>
      </w:r>
      <w:bookmarkEnd w:id="460"/>
      <w:bookmarkEnd w:id="461"/>
      <w:bookmarkEnd w:id="462"/>
      <w:bookmarkEnd w:id="463"/>
      <w:bookmarkEnd w:id="464"/>
      <w:bookmarkEnd w:id="465"/>
      <w:bookmarkEnd w:id="466"/>
    </w:p>
    <w:p w14:paraId="0FDD9E2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8</w:t>
      </w:r>
      <w:r>
        <w:rPr>
          <w:rFonts w:hint="eastAsia" w:ascii="宋体" w:hAnsi="宋体" w:eastAsia="宋体" w:cs="宋体"/>
          <w:color w:val="auto"/>
          <w:sz w:val="24"/>
          <w:highlight w:val="none"/>
        </w:rPr>
        <w:t>.1采购代理机构按“投标人须知前附表”规定的方式和标准收取采购代理服务费。</w:t>
      </w:r>
    </w:p>
    <w:p w14:paraId="3ED844E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467" w:name="_Toc140132805"/>
      <w:bookmarkStart w:id="468" w:name="_Toc30949"/>
      <w:bookmarkStart w:id="469" w:name="_Toc155185883"/>
      <w:bookmarkStart w:id="470" w:name="_Toc21208"/>
      <w:bookmarkStart w:id="471" w:name="_Toc4233"/>
      <w:bookmarkStart w:id="472" w:name="_Toc163492872"/>
      <w:bookmarkStart w:id="473" w:name="_Toc12331"/>
      <w:bookmarkStart w:id="474" w:name="_Toc8195"/>
      <w:r>
        <w:rPr>
          <w:rFonts w:hint="eastAsia" w:ascii="宋体" w:hAnsi="宋体" w:eastAsia="宋体" w:cs="宋体"/>
          <w:b/>
          <w:bCs/>
          <w:color w:val="auto"/>
          <w:kern w:val="2"/>
          <w:sz w:val="24"/>
          <w:szCs w:val="32"/>
          <w:highlight w:val="none"/>
          <w:lang w:val="en-US" w:eastAsia="zh-CN" w:bidi="ar-SA"/>
        </w:rPr>
        <w:t>（十二）无效投标和废标</w:t>
      </w:r>
      <w:bookmarkEnd w:id="467"/>
      <w:bookmarkEnd w:id="468"/>
      <w:bookmarkEnd w:id="469"/>
      <w:bookmarkEnd w:id="470"/>
      <w:bookmarkEnd w:id="471"/>
      <w:bookmarkEnd w:id="472"/>
      <w:bookmarkEnd w:id="473"/>
      <w:bookmarkEnd w:id="474"/>
    </w:p>
    <w:p w14:paraId="258692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75" w:name="_Toc140132806"/>
      <w:bookmarkStart w:id="476" w:name="_Toc8456"/>
      <w:bookmarkStart w:id="477" w:name="_Toc31809"/>
      <w:bookmarkStart w:id="478" w:name="_Toc4746"/>
      <w:bookmarkStart w:id="479" w:name="_Toc6212"/>
      <w:bookmarkStart w:id="480" w:name="_Toc163492873"/>
      <w:bookmarkStart w:id="481" w:name="_Toc27690"/>
      <w:r>
        <w:rPr>
          <w:rFonts w:hint="eastAsia" w:ascii="宋体" w:hAnsi="宋体" w:eastAsia="宋体" w:cs="宋体"/>
          <w:b/>
          <w:bCs/>
          <w:color w:val="auto"/>
          <w:kern w:val="2"/>
          <w:sz w:val="24"/>
          <w:szCs w:val="28"/>
          <w:highlight w:val="none"/>
          <w:lang w:val="en-US" w:eastAsia="zh-CN" w:bidi="ar-SA"/>
        </w:rPr>
        <w:t>39.无效投标</w:t>
      </w:r>
      <w:bookmarkEnd w:id="475"/>
      <w:bookmarkEnd w:id="476"/>
      <w:bookmarkEnd w:id="477"/>
      <w:bookmarkEnd w:id="478"/>
      <w:bookmarkEnd w:id="479"/>
      <w:bookmarkEnd w:id="480"/>
      <w:bookmarkEnd w:id="481"/>
    </w:p>
    <w:p w14:paraId="0EBD130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.1投标文件存在“第四章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资格审查”、“第五章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评标</w:t>
      </w:r>
      <w:r>
        <w:rPr>
          <w:rFonts w:hint="eastAsia" w:ascii="宋体" w:hAnsi="宋体" w:eastAsia="宋体" w:cs="宋体"/>
          <w:color w:val="auto"/>
          <w:sz w:val="24"/>
          <w:highlight w:val="none"/>
          <w:lang w:val="en-US" w:eastAsia="zh-CN"/>
        </w:rPr>
        <w:t>方</w:t>
      </w:r>
      <w:r>
        <w:rPr>
          <w:rFonts w:hint="eastAsia" w:ascii="宋体" w:hAnsi="宋体" w:eastAsia="宋体" w:cs="宋体"/>
          <w:color w:val="auto"/>
          <w:sz w:val="24"/>
          <w:highlight w:val="none"/>
        </w:rPr>
        <w:t>法及标准”</w:t>
      </w:r>
      <w:r>
        <w:rPr>
          <w:rFonts w:hint="eastAsia" w:ascii="宋体" w:hAnsi="宋体" w:eastAsia="宋体" w:cs="宋体"/>
          <w:color w:val="auto"/>
          <w:sz w:val="24"/>
          <w:highlight w:val="none"/>
          <w:lang w:val="en-US" w:eastAsia="zh-CN"/>
        </w:rPr>
        <w:t>及本招标文件</w:t>
      </w:r>
      <w:r>
        <w:rPr>
          <w:rFonts w:hint="eastAsia" w:ascii="宋体" w:hAnsi="宋体" w:eastAsia="宋体" w:cs="宋体"/>
          <w:color w:val="auto"/>
          <w:sz w:val="24"/>
          <w:highlight w:val="none"/>
        </w:rPr>
        <w:t>规定的投标无效情形的，其</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7306E4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82" w:name="_Toc163492874"/>
      <w:bookmarkStart w:id="483" w:name="_Toc140132807"/>
      <w:bookmarkStart w:id="484" w:name="_Toc31646"/>
      <w:bookmarkStart w:id="485" w:name="_Toc22537"/>
      <w:bookmarkStart w:id="486" w:name="_Toc31623"/>
      <w:bookmarkStart w:id="487" w:name="_Toc15530"/>
      <w:bookmarkStart w:id="488" w:name="_Toc31376"/>
      <w:r>
        <w:rPr>
          <w:rFonts w:hint="eastAsia" w:ascii="宋体" w:hAnsi="宋体" w:eastAsia="宋体" w:cs="宋体"/>
          <w:b/>
          <w:bCs/>
          <w:color w:val="auto"/>
          <w:kern w:val="2"/>
          <w:sz w:val="24"/>
          <w:szCs w:val="28"/>
          <w:highlight w:val="none"/>
          <w:lang w:val="en-US" w:eastAsia="zh-CN" w:bidi="ar-SA"/>
        </w:rPr>
        <w:t>40.废标</w:t>
      </w:r>
      <w:bookmarkEnd w:id="482"/>
      <w:bookmarkEnd w:id="483"/>
      <w:bookmarkEnd w:id="484"/>
      <w:bookmarkEnd w:id="485"/>
      <w:bookmarkEnd w:id="486"/>
      <w:bookmarkEnd w:id="487"/>
      <w:bookmarkEnd w:id="488"/>
    </w:p>
    <w:p w14:paraId="5BFCDD7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.1在招标采购中出现有“第五章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评标</w:t>
      </w:r>
      <w:r>
        <w:rPr>
          <w:rFonts w:hint="eastAsia" w:ascii="宋体" w:hAnsi="宋体" w:eastAsia="宋体" w:cs="宋体"/>
          <w:color w:val="auto"/>
          <w:sz w:val="24"/>
          <w:highlight w:val="none"/>
          <w:lang w:val="en-US" w:eastAsia="zh-CN"/>
        </w:rPr>
        <w:t>方</w:t>
      </w:r>
      <w:r>
        <w:rPr>
          <w:rFonts w:hint="eastAsia" w:ascii="宋体" w:hAnsi="宋体" w:eastAsia="宋体" w:cs="宋体"/>
          <w:color w:val="auto"/>
          <w:sz w:val="24"/>
          <w:highlight w:val="none"/>
        </w:rPr>
        <w:t>法及标准”</w:t>
      </w:r>
      <w:r>
        <w:rPr>
          <w:rFonts w:hint="eastAsia" w:ascii="宋体" w:hAnsi="宋体" w:eastAsia="宋体" w:cs="宋体"/>
          <w:color w:val="auto"/>
          <w:sz w:val="24"/>
          <w:highlight w:val="none"/>
          <w:lang w:val="en-US" w:eastAsia="zh-CN"/>
        </w:rPr>
        <w:t>及本招标文件</w:t>
      </w:r>
      <w:r>
        <w:rPr>
          <w:rFonts w:hint="eastAsia" w:ascii="宋体" w:hAnsi="宋体" w:eastAsia="宋体" w:cs="宋体"/>
          <w:color w:val="auto"/>
          <w:sz w:val="24"/>
          <w:highlight w:val="none"/>
        </w:rPr>
        <w:t>规定的废标情形的，应予以</w:t>
      </w:r>
      <w:r>
        <w:rPr>
          <w:rFonts w:hint="eastAsia" w:ascii="宋体" w:hAnsi="宋体" w:eastAsia="宋体" w:cs="宋体"/>
          <w:b/>
          <w:bCs/>
          <w:color w:val="auto"/>
          <w:sz w:val="24"/>
          <w:highlight w:val="none"/>
        </w:rPr>
        <w:t>废标</w:t>
      </w:r>
      <w:r>
        <w:rPr>
          <w:rFonts w:hint="eastAsia" w:ascii="宋体" w:hAnsi="宋体" w:eastAsia="宋体" w:cs="宋体"/>
          <w:color w:val="auto"/>
          <w:sz w:val="24"/>
          <w:highlight w:val="none"/>
          <w:lang w:eastAsia="zh-CN"/>
        </w:rPr>
        <w:t>。</w:t>
      </w:r>
    </w:p>
    <w:p w14:paraId="0C4DEC92">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489" w:name="_Toc163492875"/>
      <w:bookmarkStart w:id="490" w:name="_Toc140132766"/>
      <w:bookmarkStart w:id="491" w:name="_Toc23246"/>
      <w:bookmarkStart w:id="492" w:name="_Toc7834"/>
      <w:bookmarkStart w:id="493" w:name="_Toc21776"/>
      <w:bookmarkStart w:id="494" w:name="_Toc29587"/>
      <w:bookmarkStart w:id="495" w:name="_Toc8342"/>
      <w:bookmarkStart w:id="496" w:name="_Toc140132808"/>
      <w:bookmarkStart w:id="497" w:name="_Toc155185884"/>
      <w:r>
        <w:rPr>
          <w:rFonts w:hint="eastAsia" w:ascii="宋体" w:hAnsi="宋体" w:eastAsia="宋体" w:cs="宋体"/>
          <w:b/>
          <w:bCs/>
          <w:color w:val="auto"/>
          <w:kern w:val="2"/>
          <w:sz w:val="24"/>
          <w:szCs w:val="32"/>
          <w:highlight w:val="none"/>
          <w:lang w:val="en-US" w:eastAsia="zh-CN" w:bidi="ar-SA"/>
        </w:rPr>
        <w:t>（十三）落实政府采购政策</w:t>
      </w:r>
      <w:bookmarkEnd w:id="489"/>
      <w:bookmarkEnd w:id="490"/>
      <w:r>
        <w:rPr>
          <w:rFonts w:hint="eastAsia" w:ascii="宋体" w:hAnsi="宋体" w:eastAsia="宋体" w:cs="宋体"/>
          <w:b/>
          <w:bCs/>
          <w:color w:val="auto"/>
          <w:kern w:val="2"/>
          <w:sz w:val="24"/>
          <w:szCs w:val="32"/>
          <w:highlight w:val="none"/>
          <w:lang w:val="en-US" w:eastAsia="zh-CN" w:bidi="ar-SA"/>
        </w:rPr>
        <w:t>（包括但不限于下列具体政策要求）</w:t>
      </w:r>
      <w:bookmarkEnd w:id="491"/>
      <w:bookmarkEnd w:id="492"/>
      <w:bookmarkEnd w:id="493"/>
      <w:bookmarkEnd w:id="494"/>
      <w:bookmarkEnd w:id="495"/>
    </w:p>
    <w:p w14:paraId="5800BCE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98" w:name="_Toc163492876"/>
      <w:bookmarkStart w:id="499" w:name="_Toc27084"/>
      <w:bookmarkStart w:id="500" w:name="_Toc13319"/>
      <w:bookmarkStart w:id="501" w:name="_Toc3043"/>
      <w:bookmarkStart w:id="502" w:name="_Toc30437"/>
      <w:bookmarkStart w:id="503" w:name="_Toc20299"/>
      <w:r>
        <w:rPr>
          <w:rFonts w:hint="eastAsia" w:ascii="宋体" w:hAnsi="宋体" w:eastAsia="宋体" w:cs="宋体"/>
          <w:b/>
          <w:bCs/>
          <w:color w:val="auto"/>
          <w:kern w:val="2"/>
          <w:sz w:val="24"/>
          <w:szCs w:val="28"/>
          <w:highlight w:val="none"/>
          <w:lang w:val="en-US" w:eastAsia="zh-CN" w:bidi="ar-SA"/>
        </w:rPr>
        <w:t>41.支持国产和进口产品审批</w:t>
      </w:r>
      <w:bookmarkEnd w:id="498"/>
      <w:bookmarkEnd w:id="499"/>
      <w:bookmarkEnd w:id="500"/>
      <w:bookmarkEnd w:id="501"/>
      <w:bookmarkEnd w:id="502"/>
      <w:bookmarkEnd w:id="503"/>
    </w:p>
    <w:p w14:paraId="26D924D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4</w:t>
      </w:r>
      <w:r>
        <w:rPr>
          <w:rFonts w:hint="eastAsia" w:ascii="宋体" w:hAnsi="宋体" w:eastAsia="宋体" w:cs="宋体"/>
          <w:snapToGrid w:val="0"/>
          <w:color w:val="auto"/>
          <w:sz w:val="24"/>
          <w:highlight w:val="none"/>
          <w:lang w:val="en-US" w:eastAsia="zh-CN"/>
        </w:rPr>
        <w:t>1</w:t>
      </w:r>
      <w:r>
        <w:rPr>
          <w:rFonts w:hint="eastAsia" w:ascii="宋体" w:hAnsi="宋体" w:eastAsia="宋体" w:cs="宋体"/>
          <w:snapToGrid w:val="0"/>
          <w:color w:val="auto"/>
          <w:sz w:val="24"/>
          <w:highlight w:val="none"/>
        </w:rPr>
        <w:t>.1除“投标人须知前附表”另有规定外，政府采购应当采购本国</w:t>
      </w:r>
      <w:r>
        <w:rPr>
          <w:rFonts w:hint="eastAsia" w:ascii="宋体" w:hAnsi="宋体" w:eastAsia="宋体" w:cs="宋体"/>
          <w:snapToGrid w:val="0"/>
          <w:color w:val="auto"/>
          <w:sz w:val="24"/>
          <w:highlight w:val="none"/>
          <w:lang w:val="en-US" w:eastAsia="zh-CN"/>
        </w:rPr>
        <w:t>货物、工程和服务</w:t>
      </w:r>
      <w:r>
        <w:rPr>
          <w:rFonts w:hint="eastAsia" w:ascii="宋体" w:hAnsi="宋体" w:eastAsia="宋体" w:cs="宋体"/>
          <w:snapToGrid w:val="0"/>
          <w:color w:val="auto"/>
          <w:sz w:val="24"/>
          <w:highlight w:val="none"/>
        </w:rPr>
        <w:t>，确需采购进口产品的，采购人应当按照</w:t>
      </w:r>
      <w:r>
        <w:rPr>
          <w:rFonts w:hint="eastAsia" w:ascii="宋体" w:hAnsi="宋体" w:eastAsia="宋体" w:cs="宋体"/>
          <w:snapToGrid w:val="0"/>
          <w:color w:val="auto"/>
          <w:sz w:val="24"/>
          <w:highlight w:val="none"/>
          <w:lang w:val="en-US" w:eastAsia="zh-CN"/>
        </w:rPr>
        <w:t>《政府采购进口产品管理办法》（财库〔2007〕119 号文）、</w:t>
      </w:r>
      <w:r>
        <w:rPr>
          <w:rFonts w:hint="eastAsia" w:ascii="宋体" w:hAnsi="宋体" w:eastAsia="宋体" w:cs="宋体"/>
          <w:snapToGrid w:val="0"/>
          <w:color w:val="auto"/>
          <w:sz w:val="24"/>
          <w:highlight w:val="none"/>
        </w:rPr>
        <w:t>《关于政府采购进口产品管理有关问题的通知》（财办库〔2008〕248号）规定执行（进口产品审批制，科研院所监管部门另有规定的从其规定）。项目若涉及采购进口产品的，具体要求详见“第三章 采购需求”。</w:t>
      </w:r>
    </w:p>
    <w:p w14:paraId="201F13F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 xml:space="preserve">41.2进口产品指通过中国海关报关验放进入中国境内且产自关境外的产品，包括已经进入中国境内的进口产品。 </w:t>
      </w:r>
    </w:p>
    <w:p w14:paraId="0C404CE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41.3若采购需求中写明允许采购进口产品，投标人应保证所投产品可履行合法报通关手续进入中国关境内。</w:t>
      </w:r>
    </w:p>
    <w:p w14:paraId="50A8DE9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41.4若采购需求中未写明允许采购进口产品，如投标人所投产品为进口产品，其投标将被认定为</w:t>
      </w:r>
      <w:r>
        <w:rPr>
          <w:rFonts w:hint="eastAsia" w:ascii="宋体" w:hAnsi="宋体" w:eastAsia="宋体" w:cs="宋体"/>
          <w:b/>
          <w:bCs/>
          <w:snapToGrid w:val="0"/>
          <w:color w:val="auto"/>
          <w:sz w:val="24"/>
          <w:highlight w:val="none"/>
          <w:lang w:val="en-US" w:eastAsia="zh-CN"/>
        </w:rPr>
        <w:t>投标无效</w:t>
      </w:r>
      <w:r>
        <w:rPr>
          <w:rFonts w:hint="eastAsia" w:ascii="宋体" w:hAnsi="宋体" w:eastAsia="宋体" w:cs="宋体"/>
          <w:snapToGrid w:val="0"/>
          <w:color w:val="auto"/>
          <w:sz w:val="24"/>
          <w:highlight w:val="none"/>
          <w:lang w:val="en-US" w:eastAsia="zh-CN"/>
        </w:rPr>
        <w:t>。</w:t>
      </w:r>
    </w:p>
    <w:p w14:paraId="6764F88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04" w:name="_Toc163492877"/>
      <w:bookmarkStart w:id="505" w:name="_Toc6934"/>
      <w:bookmarkStart w:id="506" w:name="_Toc6874"/>
      <w:bookmarkStart w:id="507" w:name="_Toc6736"/>
      <w:bookmarkStart w:id="508" w:name="_Toc18106"/>
      <w:bookmarkStart w:id="509" w:name="_Toc9595"/>
      <w:r>
        <w:rPr>
          <w:rFonts w:hint="eastAsia" w:ascii="宋体" w:hAnsi="宋体" w:eastAsia="宋体" w:cs="宋体"/>
          <w:b/>
          <w:bCs/>
          <w:color w:val="auto"/>
          <w:kern w:val="2"/>
          <w:sz w:val="24"/>
          <w:szCs w:val="28"/>
          <w:highlight w:val="none"/>
          <w:lang w:val="en-US" w:eastAsia="zh-CN" w:bidi="ar-SA"/>
        </w:rPr>
        <w:t>42.中小企业、监狱企业及残疾人福利性单位</w:t>
      </w:r>
      <w:bookmarkEnd w:id="504"/>
      <w:bookmarkEnd w:id="505"/>
      <w:bookmarkEnd w:id="506"/>
      <w:bookmarkEnd w:id="507"/>
      <w:bookmarkEnd w:id="508"/>
      <w:bookmarkEnd w:id="509"/>
    </w:p>
    <w:p w14:paraId="6CF3C24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42</w:t>
      </w:r>
      <w:r>
        <w:rPr>
          <w:rFonts w:hint="eastAsia" w:ascii="宋体" w:hAnsi="宋体" w:eastAsia="宋体" w:cs="宋体"/>
          <w:snapToGrid w:val="0"/>
          <w:color w:val="auto"/>
          <w:sz w:val="24"/>
          <w:highlight w:val="none"/>
        </w:rPr>
        <w:t>.</w:t>
      </w:r>
      <w:r>
        <w:rPr>
          <w:rFonts w:hint="eastAsia" w:ascii="宋体" w:hAnsi="宋体" w:eastAsia="宋体" w:cs="宋体"/>
          <w:snapToGrid w:val="0"/>
          <w:color w:val="auto"/>
          <w:sz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775C315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42</w:t>
      </w:r>
      <w:r>
        <w:rPr>
          <w:rFonts w:hint="eastAsia" w:ascii="宋体" w:hAnsi="宋体" w:eastAsia="宋体" w:cs="宋体"/>
          <w:snapToGrid w:val="0"/>
          <w:color w:val="auto"/>
          <w:sz w:val="24"/>
          <w:highlight w:val="none"/>
        </w:rPr>
        <w:t>.</w:t>
      </w:r>
      <w:r>
        <w:rPr>
          <w:rFonts w:hint="eastAsia" w:ascii="宋体" w:hAnsi="宋体" w:eastAsia="宋体" w:cs="宋体"/>
          <w:snapToGrid w:val="0"/>
          <w:color w:val="auto"/>
          <w:sz w:val="24"/>
          <w:highlight w:val="none"/>
          <w:lang w:val="en-US" w:eastAsia="zh-CN"/>
        </w:rPr>
        <w:t>2</w:t>
      </w:r>
      <w:r>
        <w:rPr>
          <w:rFonts w:hint="eastAsia" w:ascii="宋体" w:hAnsi="宋体" w:eastAsia="宋体" w:cs="宋体"/>
          <w:snapToGrid w:val="0"/>
          <w:color w:val="auto"/>
          <w:sz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snapToGrid w:val="0"/>
          <w:color w:val="auto"/>
          <w:sz w:val="24"/>
          <w:highlight w:val="none"/>
          <w:lang w:eastAsia="zh-CN"/>
        </w:rPr>
        <w:t>需享受中小企业相关政策的，且</w:t>
      </w:r>
      <w:r>
        <w:rPr>
          <w:rFonts w:hint="eastAsia" w:ascii="宋体" w:hAnsi="宋体" w:eastAsia="宋体" w:cs="宋体"/>
          <w:snapToGrid w:val="0"/>
          <w:color w:val="auto"/>
          <w:sz w:val="24"/>
          <w:highlight w:val="none"/>
        </w:rPr>
        <w:t>符合上述文件规定的，</w:t>
      </w:r>
      <w:r>
        <w:rPr>
          <w:rFonts w:hint="eastAsia" w:ascii="宋体" w:hAnsi="宋体" w:eastAsia="宋体" w:cs="宋体"/>
          <w:snapToGrid w:val="0"/>
          <w:color w:val="auto"/>
          <w:sz w:val="24"/>
          <w:highlight w:val="none"/>
          <w:lang w:eastAsia="zh-CN"/>
        </w:rPr>
        <w:t>应按本</w:t>
      </w:r>
      <w:r>
        <w:rPr>
          <w:rFonts w:hint="eastAsia" w:ascii="宋体" w:hAnsi="宋体" w:eastAsia="宋体" w:cs="宋体"/>
          <w:snapToGrid w:val="0"/>
          <w:color w:val="auto"/>
          <w:sz w:val="24"/>
          <w:highlight w:val="none"/>
          <w:lang w:val="en-US" w:eastAsia="zh-CN"/>
        </w:rPr>
        <w:t>招标</w:t>
      </w:r>
      <w:r>
        <w:rPr>
          <w:rFonts w:hint="eastAsia" w:ascii="宋体" w:hAnsi="宋体" w:eastAsia="宋体" w:cs="宋体"/>
          <w:snapToGrid w:val="0"/>
          <w:color w:val="auto"/>
          <w:sz w:val="24"/>
          <w:highlight w:val="none"/>
          <w:lang w:eastAsia="zh-CN"/>
        </w:rPr>
        <w:t>文件规定格式</w:t>
      </w:r>
      <w:r>
        <w:rPr>
          <w:rFonts w:hint="eastAsia" w:ascii="宋体" w:hAnsi="宋体" w:eastAsia="宋体" w:cs="宋体"/>
          <w:snapToGrid w:val="0"/>
          <w:color w:val="auto"/>
          <w:sz w:val="24"/>
          <w:highlight w:val="none"/>
        </w:rPr>
        <w:t>提供</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rPr>
        <w:t>中小企业声明函</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lang w:val="en-US" w:eastAsia="zh-CN"/>
        </w:rPr>
        <w:t>或“</w:t>
      </w:r>
      <w:r>
        <w:rPr>
          <w:rFonts w:hint="eastAsia" w:ascii="宋体" w:hAnsi="宋体" w:eastAsia="宋体" w:cs="宋体"/>
          <w:snapToGrid w:val="0"/>
          <w:color w:val="auto"/>
          <w:sz w:val="24"/>
          <w:highlight w:val="none"/>
        </w:rPr>
        <w:t>监狱企业证明文件</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lang w:val="en-US" w:eastAsia="zh-CN"/>
        </w:rPr>
        <w:t>或</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rPr>
        <w:t>残疾人福利性单位声明函</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rPr>
        <w:t>，评审时，</w:t>
      </w:r>
      <w:r>
        <w:rPr>
          <w:rFonts w:hint="eastAsia" w:ascii="宋体" w:hAnsi="宋体" w:eastAsia="宋体" w:cs="宋体"/>
          <w:snapToGrid w:val="0"/>
          <w:color w:val="auto"/>
          <w:sz w:val="24"/>
          <w:highlight w:val="none"/>
          <w:lang w:val="en-US" w:eastAsia="zh-CN"/>
        </w:rPr>
        <w:t>评标委员会</w:t>
      </w:r>
      <w:r>
        <w:rPr>
          <w:rFonts w:hint="eastAsia" w:ascii="宋体" w:hAnsi="宋体" w:eastAsia="宋体" w:cs="宋体"/>
          <w:snapToGrid w:val="0"/>
          <w:color w:val="auto"/>
          <w:sz w:val="24"/>
          <w:highlight w:val="none"/>
        </w:rPr>
        <w:t>将依据</w:t>
      </w:r>
      <w:r>
        <w:rPr>
          <w:rFonts w:hint="eastAsia" w:ascii="宋体" w:hAnsi="宋体" w:eastAsia="宋体" w:cs="宋体"/>
          <w:snapToGrid w:val="0"/>
          <w:color w:val="auto"/>
          <w:sz w:val="24"/>
          <w:highlight w:val="none"/>
          <w:lang w:eastAsia="zh-CN"/>
        </w:rPr>
        <w:t>本</w:t>
      </w:r>
      <w:r>
        <w:rPr>
          <w:rFonts w:hint="eastAsia" w:ascii="宋体" w:hAnsi="宋体" w:eastAsia="宋体" w:cs="宋体"/>
          <w:snapToGrid w:val="0"/>
          <w:color w:val="auto"/>
          <w:sz w:val="24"/>
          <w:highlight w:val="none"/>
          <w:lang w:val="en-US" w:eastAsia="zh-CN"/>
        </w:rPr>
        <w:t>招标</w:t>
      </w:r>
      <w:r>
        <w:rPr>
          <w:rFonts w:hint="eastAsia" w:ascii="宋体" w:hAnsi="宋体" w:eastAsia="宋体" w:cs="宋体"/>
          <w:snapToGrid w:val="0"/>
          <w:color w:val="auto"/>
          <w:sz w:val="24"/>
          <w:highlight w:val="none"/>
          <w:lang w:eastAsia="zh-CN"/>
        </w:rPr>
        <w:t>文件</w:t>
      </w:r>
      <w:r>
        <w:rPr>
          <w:rFonts w:hint="eastAsia" w:ascii="宋体" w:hAnsi="宋体" w:eastAsia="宋体" w:cs="宋体"/>
          <w:snapToGrid w:val="0"/>
          <w:color w:val="auto"/>
          <w:sz w:val="24"/>
          <w:highlight w:val="none"/>
        </w:rPr>
        <w:t>“</w:t>
      </w:r>
      <w:r>
        <w:rPr>
          <w:rFonts w:hint="eastAsia" w:ascii="宋体" w:hAnsi="宋体" w:eastAsia="宋体" w:cs="宋体"/>
          <w:snapToGrid w:val="0"/>
          <w:color w:val="auto"/>
          <w:sz w:val="24"/>
          <w:highlight w:val="none"/>
          <w:lang w:val="en-US" w:eastAsia="zh-CN"/>
        </w:rPr>
        <w:t>投标人</w:t>
      </w:r>
      <w:r>
        <w:rPr>
          <w:rFonts w:hint="eastAsia" w:ascii="宋体" w:hAnsi="宋体" w:eastAsia="宋体" w:cs="宋体"/>
          <w:snapToGrid w:val="0"/>
          <w:color w:val="auto"/>
          <w:sz w:val="24"/>
          <w:highlight w:val="none"/>
        </w:rPr>
        <w:t>须知前附表”规定的报价扣除比例，对供应商报价进行价格扣除，用扣除后的价格参与评审</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lang w:val="en-US" w:eastAsia="zh-CN"/>
        </w:rPr>
        <w:t>招标</w:t>
      </w:r>
      <w:r>
        <w:rPr>
          <w:rFonts w:hint="eastAsia" w:ascii="宋体" w:hAnsi="宋体" w:eastAsia="宋体" w:cs="宋体"/>
          <w:snapToGrid w:val="0"/>
          <w:color w:val="auto"/>
          <w:sz w:val="24"/>
          <w:highlight w:val="none"/>
          <w:lang w:eastAsia="zh-CN"/>
        </w:rPr>
        <w:t>公告中明确项目专门面向中小企业采购的，“</w:t>
      </w:r>
      <w:r>
        <w:rPr>
          <w:rFonts w:hint="eastAsia" w:ascii="宋体" w:hAnsi="宋体" w:eastAsia="宋体" w:cs="宋体"/>
          <w:snapToGrid w:val="0"/>
          <w:color w:val="auto"/>
          <w:sz w:val="24"/>
          <w:highlight w:val="none"/>
        </w:rPr>
        <w:t>中小企业声明函</w:t>
      </w:r>
      <w:r>
        <w:rPr>
          <w:rFonts w:hint="eastAsia" w:ascii="宋体" w:hAnsi="宋体" w:eastAsia="宋体" w:cs="宋体"/>
          <w:snapToGrid w:val="0"/>
          <w:color w:val="auto"/>
          <w:sz w:val="24"/>
          <w:highlight w:val="none"/>
          <w:lang w:eastAsia="zh-CN"/>
        </w:rPr>
        <w:t>”为资格要求文件，</w:t>
      </w:r>
      <w:r>
        <w:rPr>
          <w:rFonts w:hint="eastAsia" w:ascii="宋体" w:hAnsi="宋体" w:eastAsia="宋体" w:cs="宋体"/>
          <w:snapToGrid w:val="0"/>
          <w:color w:val="auto"/>
          <w:sz w:val="24"/>
          <w:highlight w:val="none"/>
        </w:rPr>
        <w:t>供应商</w:t>
      </w:r>
      <w:r>
        <w:rPr>
          <w:rFonts w:hint="eastAsia" w:ascii="宋体" w:hAnsi="宋体" w:eastAsia="宋体" w:cs="宋体"/>
          <w:snapToGrid w:val="0"/>
          <w:color w:val="auto"/>
          <w:sz w:val="24"/>
          <w:highlight w:val="none"/>
          <w:lang w:eastAsia="zh-CN"/>
        </w:rPr>
        <w:t>参与</w:t>
      </w:r>
      <w:r>
        <w:rPr>
          <w:rFonts w:hint="eastAsia" w:ascii="宋体" w:hAnsi="宋体" w:eastAsia="宋体" w:cs="宋体"/>
          <w:snapToGrid w:val="0"/>
          <w:color w:val="auto"/>
          <w:sz w:val="24"/>
          <w:highlight w:val="none"/>
          <w:lang w:val="en-US" w:eastAsia="zh-CN"/>
        </w:rPr>
        <w:t>投标</w:t>
      </w:r>
      <w:r>
        <w:rPr>
          <w:rFonts w:hint="eastAsia" w:ascii="宋体" w:hAnsi="宋体" w:eastAsia="宋体" w:cs="宋体"/>
          <w:snapToGrid w:val="0"/>
          <w:color w:val="auto"/>
          <w:sz w:val="24"/>
          <w:highlight w:val="none"/>
          <w:lang w:eastAsia="zh-CN"/>
        </w:rPr>
        <w:t>须按本</w:t>
      </w:r>
      <w:r>
        <w:rPr>
          <w:rFonts w:hint="eastAsia" w:ascii="宋体" w:hAnsi="宋体" w:eastAsia="宋体" w:cs="宋体"/>
          <w:snapToGrid w:val="0"/>
          <w:color w:val="auto"/>
          <w:sz w:val="24"/>
          <w:highlight w:val="none"/>
          <w:lang w:val="en-US" w:eastAsia="zh-CN"/>
        </w:rPr>
        <w:t>招标</w:t>
      </w:r>
      <w:r>
        <w:rPr>
          <w:rFonts w:hint="eastAsia" w:ascii="宋体" w:hAnsi="宋体" w:eastAsia="宋体" w:cs="宋体"/>
          <w:snapToGrid w:val="0"/>
          <w:color w:val="auto"/>
          <w:sz w:val="24"/>
          <w:highlight w:val="none"/>
          <w:lang w:eastAsia="zh-CN"/>
        </w:rPr>
        <w:t>文件规定格式</w:t>
      </w:r>
      <w:r>
        <w:rPr>
          <w:rFonts w:hint="eastAsia" w:ascii="宋体" w:hAnsi="宋体" w:eastAsia="宋体" w:cs="宋体"/>
          <w:snapToGrid w:val="0"/>
          <w:color w:val="auto"/>
          <w:sz w:val="24"/>
          <w:highlight w:val="none"/>
        </w:rPr>
        <w:t>提供</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rPr>
        <w:t>中小企业声明函</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lang w:val="en-US" w:eastAsia="zh-CN"/>
        </w:rPr>
        <w:t>或“</w:t>
      </w:r>
      <w:r>
        <w:rPr>
          <w:rFonts w:hint="eastAsia" w:ascii="宋体" w:hAnsi="宋体" w:eastAsia="宋体" w:cs="宋体"/>
          <w:snapToGrid w:val="0"/>
          <w:color w:val="auto"/>
          <w:sz w:val="24"/>
          <w:highlight w:val="none"/>
        </w:rPr>
        <w:t>监狱企业证明文件</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lang w:val="en-US" w:eastAsia="zh-CN"/>
        </w:rPr>
        <w:t>或</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rPr>
        <w:t>残疾人福利性单位声明函</w:t>
      </w:r>
      <w:r>
        <w:rPr>
          <w:rFonts w:hint="eastAsia" w:ascii="宋体" w:hAnsi="宋体" w:eastAsia="宋体" w:cs="宋体"/>
          <w:snapToGrid w:val="0"/>
          <w:color w:val="auto"/>
          <w:sz w:val="24"/>
          <w:highlight w:val="none"/>
          <w:lang w:eastAsia="zh-CN"/>
        </w:rPr>
        <w:t>”等作为资格证明文件。</w:t>
      </w:r>
      <w:r>
        <w:rPr>
          <w:rFonts w:hint="eastAsia" w:ascii="宋体" w:hAnsi="宋体" w:eastAsia="宋体" w:cs="宋体"/>
          <w:snapToGrid w:val="0"/>
          <w:color w:val="auto"/>
          <w:sz w:val="24"/>
          <w:highlight w:val="none"/>
          <w:lang w:val="en-US" w:eastAsia="zh-CN"/>
        </w:rPr>
        <w:t xml:space="preserve"> </w:t>
      </w:r>
    </w:p>
    <w:p w14:paraId="743E5E0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42.3 投标人提供的货物、工程或者服务符合下列情形的，享受中小企业扶持政策： </w:t>
      </w:r>
    </w:p>
    <w:p w14:paraId="07E7A00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（1）在货物采购项目中，货物由中小企业制造，即货物由中小企业生产且使用该中小企业商号或者注册商标； </w:t>
      </w:r>
    </w:p>
    <w:p w14:paraId="128FB5A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（2）在工程采购项目中，工程由中小企业承建，即工程施工单位为中小企业； </w:t>
      </w:r>
    </w:p>
    <w:p w14:paraId="4557B96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（3）在服务采购项目中，服务由中小企业承接，即提供服务的人员为中小企业依照《中华人民共和国劳动合同法》订立劳动合同的从业人员。</w:t>
      </w:r>
    </w:p>
    <w:p w14:paraId="5C38B69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42.4 在货物采购项目中，投标人提供的货物既有中小企业制造货物，也有大型企业制造货物的，不享受中小企业扶持政策。 </w:t>
      </w:r>
    </w:p>
    <w:p w14:paraId="0B6C9A1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 xml:space="preserve">42.5 以联合体形式参加政府采购活动，联合体各方均为中小企业的，联合体视同中小企业。其中，联合体各方均为小微企业的，联合体视同小微企业。  </w:t>
      </w:r>
    </w:p>
    <w:p w14:paraId="364BC09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42.6 在政府采购活动中，监狱企业视同小型、微型企业，享受预留份额、评审中价格扣除等政府采购促进中小企业发展的政府采购政策。</w:t>
      </w:r>
    </w:p>
    <w:p w14:paraId="1EF9D90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42.7.1 安置的残疾人占本单位在职职工人数的比例不低于 25% （含 25%），并且安置的残疾人人数不少于 10 人（含 10人）； </w:t>
      </w:r>
    </w:p>
    <w:p w14:paraId="5B128E6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42.7.2 依法与安置的每位残疾人签订了1年以上（含1年）的劳动合同或服务协议； </w:t>
      </w:r>
    </w:p>
    <w:p w14:paraId="750299D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42.7.3 为安置的每位残疾人按月足额缴纳了基本养老保险、基本医疗保险、失业保险、工伤保险和生育保险等社会保险费； </w:t>
      </w:r>
    </w:p>
    <w:p w14:paraId="5494926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42.7.4 通过银行等金融机构向安置的每位残疾人，按月支付了不低于单位所在区县适用的经省级人民政府批准的月最低工资标准的工资； </w:t>
      </w:r>
    </w:p>
    <w:p w14:paraId="6AD696D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42.7.5 提供本单位制造的货物、承担的工程或者服务（以下简称产品），或者提供其他残疾人福利性单位制造的货物（不包括使用非残疾人福利性单位注册商标的货物）； </w:t>
      </w:r>
    </w:p>
    <w:p w14:paraId="6F6930A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50A69BF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42.8 本项目是否专门面向中小企业预留采购份额见“第一章 招标公告”。    42.9 采购标的对应的中小企业划分标准所属行业见“投标人须知前附表”。    42.10 小微企业价格评审优惠的政策调整：见“投标人须知前附表”及“第五章 评标方法及标准”。</w:t>
      </w:r>
    </w:p>
    <w:p w14:paraId="17DD5F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10" w:name="_Toc163492878"/>
      <w:bookmarkStart w:id="511" w:name="_Toc9255"/>
      <w:bookmarkStart w:id="512" w:name="_Toc19515"/>
      <w:bookmarkStart w:id="513" w:name="_Toc5822"/>
      <w:bookmarkStart w:id="514" w:name="_Toc1808"/>
      <w:bookmarkStart w:id="515" w:name="_Toc7407"/>
      <w:r>
        <w:rPr>
          <w:rFonts w:hint="eastAsia" w:ascii="宋体" w:hAnsi="宋体" w:eastAsia="宋体" w:cs="宋体"/>
          <w:b/>
          <w:bCs/>
          <w:color w:val="auto"/>
          <w:kern w:val="2"/>
          <w:sz w:val="24"/>
          <w:szCs w:val="28"/>
          <w:highlight w:val="none"/>
          <w:lang w:val="en-US" w:eastAsia="zh-CN" w:bidi="ar-SA"/>
        </w:rPr>
        <w:t>43.政府采购节能产品、环境标志产品</w:t>
      </w:r>
      <w:bookmarkEnd w:id="510"/>
      <w:bookmarkEnd w:id="511"/>
      <w:bookmarkEnd w:id="512"/>
      <w:bookmarkEnd w:id="513"/>
      <w:bookmarkEnd w:id="514"/>
      <w:bookmarkEnd w:id="515"/>
    </w:p>
    <w:p w14:paraId="741E7E7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2EC4C51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43.3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snapToGrid w:val="0"/>
          <w:color w:val="auto"/>
          <w:sz w:val="24"/>
          <w:highlight w:val="none"/>
          <w:lang w:val="en-US" w:eastAsia="zh-CN"/>
        </w:rPr>
        <w:t>投标无效</w:t>
      </w:r>
      <w:r>
        <w:rPr>
          <w:rFonts w:hint="eastAsia" w:ascii="宋体" w:hAnsi="宋体" w:eastAsia="宋体" w:cs="宋体"/>
          <w:snapToGrid w:val="0"/>
          <w:color w:val="auto"/>
          <w:sz w:val="24"/>
          <w:highlight w:val="none"/>
          <w:lang w:val="en-US" w:eastAsia="zh-CN"/>
        </w:rPr>
        <w:t xml:space="preserve">。 </w:t>
      </w:r>
    </w:p>
    <w:p w14:paraId="04E599F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43.4 非政府强制采购的节能产品或环境标志产品，依据品目清单和认证证书实施政府优先采购。优先采购的具体规定见“第五章 评标方法及标准”（如涉及）。</w:t>
      </w:r>
    </w:p>
    <w:p w14:paraId="51B3D92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en-US" w:eastAsia="zh-CN"/>
        </w:rPr>
        <w:t xml:space="preserve">43.5 </w:t>
      </w:r>
      <w:r>
        <w:rPr>
          <w:rFonts w:hint="eastAsia" w:ascii="宋体" w:hAnsi="宋体" w:eastAsia="宋体" w:cs="宋体"/>
          <w:snapToGrid w:val="0"/>
          <w:color w:val="auto"/>
          <w:sz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w:t>
      </w:r>
      <w:r>
        <w:rPr>
          <w:rFonts w:hint="eastAsia" w:ascii="宋体" w:hAnsi="宋体" w:eastAsia="宋体" w:cs="宋体"/>
          <w:snapToGrid w:val="0"/>
          <w:color w:val="auto"/>
          <w:sz w:val="24"/>
          <w:highlight w:val="none"/>
          <w:lang w:val="en-US" w:eastAsia="zh-CN"/>
        </w:rPr>
        <w:t>价格评审优惠</w:t>
      </w:r>
      <w:r>
        <w:rPr>
          <w:rFonts w:hint="eastAsia" w:ascii="宋体" w:hAnsi="宋体" w:eastAsia="宋体" w:cs="宋体"/>
          <w:snapToGrid w:val="0"/>
          <w:color w:val="auto"/>
          <w:sz w:val="24"/>
          <w:highlight w:val="none"/>
        </w:rPr>
        <w:t>，未提供认证证书的视为</w:t>
      </w:r>
      <w:r>
        <w:rPr>
          <w:rFonts w:hint="eastAsia" w:ascii="宋体" w:hAnsi="宋体" w:eastAsia="宋体" w:cs="宋体"/>
          <w:b/>
          <w:bCs/>
          <w:snapToGrid w:val="0"/>
          <w:color w:val="auto"/>
          <w:sz w:val="24"/>
          <w:highlight w:val="none"/>
          <w:lang w:val="en-US" w:eastAsia="zh-CN"/>
        </w:rPr>
        <w:t>投标</w:t>
      </w:r>
      <w:r>
        <w:rPr>
          <w:rFonts w:hint="eastAsia" w:ascii="宋体" w:hAnsi="宋体" w:eastAsia="宋体" w:cs="宋体"/>
          <w:b/>
          <w:bCs/>
          <w:snapToGrid w:val="0"/>
          <w:color w:val="auto"/>
          <w:sz w:val="24"/>
          <w:highlight w:val="none"/>
        </w:rPr>
        <w:t>无效</w:t>
      </w:r>
      <w:r>
        <w:rPr>
          <w:rFonts w:hint="eastAsia" w:ascii="宋体" w:hAnsi="宋体" w:eastAsia="宋体" w:cs="宋体"/>
          <w:snapToGrid w:val="0"/>
          <w:color w:val="auto"/>
          <w:sz w:val="24"/>
          <w:highlight w:val="none"/>
        </w:rPr>
        <w:t>。属于</w:t>
      </w:r>
      <w:r>
        <w:rPr>
          <w:rFonts w:hint="eastAsia" w:ascii="宋体" w:hAnsi="宋体" w:eastAsia="宋体" w:cs="宋体"/>
          <w:snapToGrid w:val="0"/>
          <w:color w:val="auto"/>
          <w:sz w:val="24"/>
          <w:highlight w:val="none"/>
          <w:lang w:val="en-US" w:eastAsia="zh-CN"/>
        </w:rPr>
        <w:t>优先采购</w:t>
      </w:r>
      <w:r>
        <w:rPr>
          <w:rFonts w:hint="eastAsia" w:ascii="宋体" w:hAnsi="宋体" w:eastAsia="宋体" w:cs="宋体"/>
          <w:snapToGrid w:val="0"/>
          <w:color w:val="auto"/>
          <w:sz w:val="24"/>
          <w:highlight w:val="none"/>
        </w:rPr>
        <w:t>节能产品政府采购品目清单、环境标志产品政府采购品目清单</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lang w:val="en-US" w:eastAsia="zh-CN"/>
        </w:rPr>
        <w:t>创新产品</w:t>
      </w:r>
      <w:r>
        <w:rPr>
          <w:rFonts w:hint="eastAsia" w:ascii="宋体" w:hAnsi="宋体" w:eastAsia="宋体" w:cs="宋体"/>
          <w:snapToGrid w:val="0"/>
          <w:color w:val="auto"/>
          <w:sz w:val="24"/>
          <w:highlight w:val="none"/>
        </w:rPr>
        <w:t>范围的，按照“</w:t>
      </w:r>
      <w:r>
        <w:rPr>
          <w:rFonts w:hint="eastAsia" w:ascii="宋体" w:hAnsi="宋体" w:eastAsia="宋体" w:cs="宋体"/>
          <w:color w:val="auto"/>
          <w:sz w:val="24"/>
          <w:highlight w:val="none"/>
          <w:lang w:val="en-US" w:eastAsia="zh-CN"/>
        </w:rPr>
        <w:t>第五章 评标方法及标准</w:t>
      </w:r>
      <w:r>
        <w:rPr>
          <w:rFonts w:hint="eastAsia" w:ascii="宋体" w:hAnsi="宋体" w:eastAsia="宋体" w:cs="宋体"/>
          <w:snapToGrid w:val="0"/>
          <w:color w:val="auto"/>
          <w:sz w:val="24"/>
          <w:highlight w:val="none"/>
        </w:rPr>
        <w:t>”中相关规定</w:t>
      </w:r>
      <w:r>
        <w:rPr>
          <w:rFonts w:hint="eastAsia" w:ascii="宋体" w:hAnsi="宋体" w:eastAsia="宋体" w:cs="宋体"/>
          <w:color w:val="auto"/>
          <w:sz w:val="24"/>
          <w:highlight w:val="none"/>
          <w:lang w:val="en-US" w:eastAsia="zh-CN"/>
        </w:rPr>
        <w:t>在评审时给予价格评审优惠，具体详见</w:t>
      </w:r>
      <w:r>
        <w:rPr>
          <w:rFonts w:hint="eastAsia" w:ascii="宋体" w:hAnsi="宋体" w:eastAsia="宋体" w:cs="宋体"/>
          <w:snapToGrid w:val="0"/>
          <w:color w:val="auto"/>
          <w:sz w:val="24"/>
          <w:highlight w:val="none"/>
          <w:lang w:val="en-US" w:eastAsia="zh-CN"/>
        </w:rPr>
        <w:t>“投标人须知前附表”及</w:t>
      </w:r>
      <w:r>
        <w:rPr>
          <w:rFonts w:hint="eastAsia" w:ascii="宋体" w:hAnsi="宋体" w:eastAsia="宋体" w:cs="宋体"/>
          <w:color w:val="auto"/>
          <w:sz w:val="24"/>
          <w:highlight w:val="none"/>
          <w:lang w:val="en-US" w:eastAsia="zh-CN"/>
        </w:rPr>
        <w:t>“第五章 评标方法及标准”</w:t>
      </w:r>
      <w:r>
        <w:rPr>
          <w:rFonts w:hint="eastAsia" w:ascii="宋体" w:hAnsi="宋体" w:eastAsia="宋体" w:cs="宋体"/>
          <w:color w:val="auto"/>
          <w:sz w:val="24"/>
          <w:highlight w:val="none"/>
        </w:rPr>
        <w:t>。</w:t>
      </w:r>
    </w:p>
    <w:p w14:paraId="5F04C72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16" w:name="_Toc18587"/>
      <w:bookmarkStart w:id="517" w:name="_Toc14967"/>
      <w:bookmarkStart w:id="518" w:name="_Toc27051"/>
      <w:bookmarkStart w:id="519" w:name="_Toc27639"/>
      <w:bookmarkStart w:id="520" w:name="_Toc13590"/>
      <w:bookmarkStart w:id="521" w:name="_Toc163492879"/>
      <w:r>
        <w:rPr>
          <w:rFonts w:hint="eastAsia" w:ascii="宋体" w:hAnsi="宋体" w:eastAsia="宋体" w:cs="宋体"/>
          <w:b/>
          <w:bCs/>
          <w:color w:val="auto"/>
          <w:kern w:val="2"/>
          <w:sz w:val="24"/>
          <w:szCs w:val="28"/>
          <w:highlight w:val="none"/>
          <w:lang w:val="en-US" w:eastAsia="zh-CN" w:bidi="ar-SA"/>
        </w:rPr>
        <w:t>44.正版软件</w:t>
      </w:r>
      <w:bookmarkEnd w:id="516"/>
      <w:bookmarkEnd w:id="517"/>
      <w:bookmarkEnd w:id="518"/>
      <w:bookmarkEnd w:id="519"/>
      <w:bookmarkEnd w:id="520"/>
      <w:r>
        <w:rPr>
          <w:rFonts w:hint="eastAsia" w:ascii="宋体" w:hAnsi="宋体" w:eastAsia="宋体" w:cs="宋体"/>
          <w:b/>
          <w:bCs/>
          <w:color w:val="auto"/>
          <w:kern w:val="2"/>
          <w:sz w:val="24"/>
          <w:szCs w:val="28"/>
          <w:highlight w:val="none"/>
          <w:lang w:val="en-US" w:eastAsia="zh-CN" w:bidi="ar-SA"/>
        </w:rPr>
        <w:t xml:space="preserve">  </w:t>
      </w:r>
    </w:p>
    <w:p w14:paraId="415973C1">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snapToGrid w:val="0"/>
          <w:color w:val="auto"/>
          <w:sz w:val="24"/>
          <w:highlight w:val="none"/>
          <w:lang w:val="en-US" w:eastAsia="zh-CN"/>
        </w:rPr>
        <w:t>投标无效</w:t>
      </w:r>
      <w:r>
        <w:rPr>
          <w:rFonts w:hint="eastAsia" w:ascii="宋体" w:hAnsi="宋体" w:eastAsia="宋体" w:cs="宋体"/>
          <w:snapToGrid w:val="0"/>
          <w:color w:val="auto"/>
          <w:sz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22" w:name="_Toc5754"/>
      <w:bookmarkStart w:id="523" w:name="_Toc14302"/>
      <w:bookmarkStart w:id="524" w:name="_Toc9349"/>
      <w:bookmarkStart w:id="525" w:name="_Toc23823"/>
      <w:bookmarkStart w:id="526" w:name="_Toc18124"/>
      <w:r>
        <w:rPr>
          <w:rFonts w:hint="eastAsia" w:ascii="宋体" w:hAnsi="宋体" w:eastAsia="宋体" w:cs="宋体"/>
          <w:b/>
          <w:bCs/>
          <w:color w:val="auto"/>
          <w:kern w:val="2"/>
          <w:sz w:val="24"/>
          <w:szCs w:val="28"/>
          <w:highlight w:val="none"/>
          <w:lang w:val="en-US" w:eastAsia="zh-CN" w:bidi="ar-SA"/>
        </w:rPr>
        <w:t>45.网络安全专用产品</w:t>
      </w:r>
      <w:bookmarkEnd w:id="522"/>
      <w:bookmarkEnd w:id="523"/>
      <w:bookmarkEnd w:id="524"/>
      <w:bookmarkEnd w:id="525"/>
      <w:bookmarkEnd w:id="526"/>
      <w:r>
        <w:rPr>
          <w:rFonts w:hint="eastAsia" w:ascii="宋体" w:hAnsi="宋体" w:eastAsia="宋体" w:cs="宋体"/>
          <w:b/>
          <w:bCs/>
          <w:color w:val="auto"/>
          <w:kern w:val="2"/>
          <w:sz w:val="24"/>
          <w:szCs w:val="28"/>
          <w:highlight w:val="none"/>
          <w:lang w:val="en-US" w:eastAsia="zh-CN" w:bidi="ar-SA"/>
        </w:rPr>
        <w:t xml:space="preserve">   </w:t>
      </w:r>
    </w:p>
    <w:p w14:paraId="13C0877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27" w:name="_Toc3048"/>
      <w:bookmarkStart w:id="528" w:name="_Toc30425"/>
      <w:bookmarkStart w:id="529" w:name="_Toc4141"/>
      <w:bookmarkStart w:id="530" w:name="_Toc30358"/>
      <w:bookmarkStart w:id="531" w:name="_Toc26826"/>
      <w:r>
        <w:rPr>
          <w:rFonts w:hint="eastAsia" w:ascii="宋体" w:hAnsi="宋体" w:eastAsia="宋体" w:cs="宋体"/>
          <w:b/>
          <w:bCs/>
          <w:color w:val="auto"/>
          <w:kern w:val="2"/>
          <w:sz w:val="24"/>
          <w:szCs w:val="28"/>
          <w:highlight w:val="none"/>
          <w:lang w:val="en-US" w:eastAsia="zh-CN" w:bidi="ar-SA"/>
        </w:rPr>
        <w:t>46.采购需求标准</w:t>
      </w:r>
      <w:bookmarkEnd w:id="527"/>
      <w:bookmarkEnd w:id="528"/>
      <w:bookmarkEnd w:id="529"/>
      <w:bookmarkEnd w:id="530"/>
      <w:bookmarkEnd w:id="531"/>
      <w:r>
        <w:rPr>
          <w:rFonts w:hint="eastAsia" w:ascii="宋体" w:hAnsi="宋体" w:eastAsia="宋体" w:cs="宋体"/>
          <w:b/>
          <w:bCs/>
          <w:color w:val="auto"/>
          <w:kern w:val="2"/>
          <w:sz w:val="24"/>
          <w:szCs w:val="28"/>
          <w:highlight w:val="none"/>
          <w:lang w:val="en-US" w:eastAsia="zh-CN" w:bidi="ar-SA"/>
        </w:rPr>
        <w:t xml:space="preserve">   </w:t>
      </w:r>
    </w:p>
    <w:p w14:paraId="77C6365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 xml:space="preserve">46.1 商品包装、快递包装政府采购需求标准（试行） </w:t>
      </w:r>
    </w:p>
    <w:p w14:paraId="3DA9478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 xml:space="preserve">46.2 绿色数据中心政府采购需求标准（试行） </w:t>
      </w:r>
    </w:p>
    <w:p w14:paraId="1617383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46.3台式计算机政府采购需求标准</w:t>
      </w:r>
    </w:p>
    <w:p w14:paraId="3830872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46.4便携式计算机政府采购需求标准</w:t>
      </w:r>
    </w:p>
    <w:p w14:paraId="2DDABA7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46.5一体式计算机政府采购需求标准</w:t>
      </w:r>
    </w:p>
    <w:p w14:paraId="30E8139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46.6工作站政府采购需求标准</w:t>
      </w:r>
    </w:p>
    <w:p w14:paraId="23F8A15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46.7通用服务器政府采购需求标准</w:t>
      </w:r>
    </w:p>
    <w:p w14:paraId="2DC5EFF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46.8操作系统政府采购需求标准</w:t>
      </w:r>
    </w:p>
    <w:p w14:paraId="0C0F87E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46.9数据库政府采购需求标准</w:t>
      </w:r>
    </w:p>
    <w:p w14:paraId="45BE4E6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46.10物业管理服务政府采购需求标准（办公场所类）（试行）</w:t>
      </w:r>
    </w:p>
    <w:p w14:paraId="0169F24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532" w:name="_Toc6544"/>
      <w:bookmarkStart w:id="533" w:name="_Toc14503"/>
      <w:bookmarkStart w:id="534" w:name="_Toc13631"/>
      <w:bookmarkStart w:id="535" w:name="_Toc7189"/>
      <w:bookmarkStart w:id="536" w:name="_Toc32089"/>
      <w:r>
        <w:rPr>
          <w:rFonts w:hint="eastAsia" w:ascii="宋体" w:hAnsi="宋体" w:eastAsia="宋体" w:cs="宋体"/>
          <w:b/>
          <w:bCs/>
          <w:color w:val="auto"/>
          <w:kern w:val="2"/>
          <w:sz w:val="24"/>
          <w:szCs w:val="32"/>
          <w:highlight w:val="none"/>
          <w:lang w:val="en-US" w:eastAsia="zh-CN" w:bidi="ar-SA"/>
        </w:rPr>
        <w:t>（十四）政府采购合同融资政策</w:t>
      </w:r>
      <w:bookmarkEnd w:id="496"/>
      <w:bookmarkEnd w:id="497"/>
      <w:bookmarkEnd w:id="521"/>
      <w:bookmarkEnd w:id="532"/>
      <w:bookmarkEnd w:id="533"/>
      <w:bookmarkEnd w:id="534"/>
      <w:bookmarkEnd w:id="535"/>
      <w:bookmarkEnd w:id="536"/>
    </w:p>
    <w:p w14:paraId="7CF3274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37" w:name="_Toc6885"/>
      <w:bookmarkStart w:id="538" w:name="_Toc19607"/>
      <w:bookmarkStart w:id="539" w:name="_Toc163492880"/>
      <w:bookmarkStart w:id="540" w:name="_Toc10536"/>
      <w:bookmarkStart w:id="541" w:name="_Toc6220"/>
      <w:bookmarkStart w:id="542" w:name="_Toc31455"/>
      <w:r>
        <w:rPr>
          <w:rFonts w:hint="eastAsia" w:ascii="宋体" w:hAnsi="宋体" w:eastAsia="宋体" w:cs="宋体"/>
          <w:b/>
          <w:bCs/>
          <w:color w:val="auto"/>
          <w:kern w:val="2"/>
          <w:sz w:val="24"/>
          <w:szCs w:val="28"/>
          <w:highlight w:val="none"/>
          <w:lang w:val="en-US" w:eastAsia="zh-CN" w:bidi="ar-SA"/>
        </w:rPr>
        <w:t>47.政府采购合同融资政策</w:t>
      </w:r>
      <w:bookmarkEnd w:id="537"/>
      <w:bookmarkEnd w:id="538"/>
      <w:bookmarkEnd w:id="539"/>
      <w:bookmarkEnd w:id="540"/>
      <w:bookmarkEnd w:id="541"/>
      <w:bookmarkEnd w:id="542"/>
    </w:p>
    <w:p w14:paraId="2F90869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.1政府采购合同融资政策：见投标人须知前附表。</w:t>
      </w:r>
    </w:p>
    <w:p w14:paraId="198FC62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543" w:name="_Toc14730"/>
      <w:bookmarkStart w:id="544" w:name="_Toc163492881"/>
      <w:bookmarkStart w:id="545" w:name="_Toc29894"/>
      <w:bookmarkStart w:id="546" w:name="_Toc2385"/>
      <w:bookmarkStart w:id="547" w:name="_Toc4554"/>
      <w:bookmarkStart w:id="548" w:name="_Toc28029"/>
      <w:r>
        <w:rPr>
          <w:rFonts w:hint="eastAsia" w:ascii="宋体" w:hAnsi="宋体" w:eastAsia="宋体" w:cs="宋体"/>
          <w:b/>
          <w:bCs/>
          <w:color w:val="auto"/>
          <w:kern w:val="2"/>
          <w:sz w:val="24"/>
          <w:szCs w:val="32"/>
          <w:highlight w:val="none"/>
          <w:lang w:val="en-US" w:eastAsia="zh-CN" w:bidi="ar-SA"/>
        </w:rPr>
        <w:t>（十五）其他</w:t>
      </w:r>
      <w:bookmarkEnd w:id="543"/>
      <w:bookmarkEnd w:id="544"/>
      <w:bookmarkEnd w:id="545"/>
      <w:bookmarkEnd w:id="546"/>
      <w:bookmarkEnd w:id="547"/>
      <w:bookmarkEnd w:id="548"/>
    </w:p>
    <w:p w14:paraId="370F802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49" w:name="_Toc15832"/>
      <w:bookmarkStart w:id="550" w:name="_Toc7838"/>
      <w:bookmarkStart w:id="551" w:name="_Toc163492882"/>
      <w:bookmarkStart w:id="552" w:name="_Toc15803"/>
      <w:bookmarkStart w:id="553" w:name="_Toc25907"/>
      <w:bookmarkStart w:id="554" w:name="_Toc4822"/>
      <w:r>
        <w:rPr>
          <w:rFonts w:hint="eastAsia" w:ascii="宋体" w:hAnsi="宋体" w:eastAsia="宋体" w:cs="宋体"/>
          <w:b/>
          <w:bCs/>
          <w:color w:val="auto"/>
          <w:kern w:val="2"/>
          <w:sz w:val="24"/>
          <w:szCs w:val="28"/>
          <w:highlight w:val="none"/>
          <w:lang w:val="en-US" w:eastAsia="zh-CN" w:bidi="ar-SA"/>
        </w:rPr>
        <w:t>48.需要补充的其他内容</w:t>
      </w:r>
      <w:bookmarkEnd w:id="549"/>
      <w:bookmarkEnd w:id="550"/>
      <w:bookmarkEnd w:id="551"/>
      <w:bookmarkEnd w:id="552"/>
      <w:bookmarkEnd w:id="553"/>
      <w:bookmarkEnd w:id="554"/>
    </w:p>
    <w:p w14:paraId="3251640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.1需要补充的其他内容：见投标人须知前附表。</w:t>
      </w:r>
    </w:p>
    <w:p w14:paraId="1BD29C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55" w:name="_Toc140132810"/>
      <w:bookmarkStart w:id="556" w:name="_Toc5942"/>
      <w:bookmarkStart w:id="557" w:name="_Toc4492"/>
      <w:bookmarkStart w:id="558" w:name="_Toc19032"/>
      <w:bookmarkStart w:id="559" w:name="_Toc163492883"/>
      <w:bookmarkStart w:id="560" w:name="_Toc5587"/>
      <w:bookmarkStart w:id="561" w:name="_Toc16633"/>
      <w:bookmarkStart w:id="562" w:name="_Toc155185886"/>
      <w:r>
        <w:rPr>
          <w:rFonts w:hint="eastAsia" w:ascii="宋体" w:hAnsi="宋体" w:eastAsia="宋体" w:cs="宋体"/>
          <w:b/>
          <w:bCs/>
          <w:color w:val="auto"/>
          <w:kern w:val="2"/>
          <w:sz w:val="24"/>
          <w:szCs w:val="28"/>
          <w:highlight w:val="none"/>
          <w:lang w:val="en-US" w:eastAsia="zh-CN" w:bidi="ar-SA"/>
        </w:rPr>
        <w:t>49.适用法律</w:t>
      </w:r>
      <w:bookmarkEnd w:id="555"/>
      <w:bookmarkEnd w:id="556"/>
      <w:bookmarkEnd w:id="557"/>
      <w:bookmarkEnd w:id="558"/>
      <w:bookmarkEnd w:id="559"/>
      <w:bookmarkEnd w:id="560"/>
      <w:bookmarkEnd w:id="561"/>
      <w:bookmarkEnd w:id="562"/>
    </w:p>
    <w:p w14:paraId="0953B8A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49</w:t>
      </w:r>
      <w:r>
        <w:rPr>
          <w:rFonts w:hint="eastAsia" w:ascii="宋体" w:hAnsi="宋体" w:eastAsia="宋体" w:cs="宋体"/>
          <w:snapToGrid w:val="0"/>
          <w:color w:val="auto"/>
          <w:sz w:val="24"/>
          <w:highlight w:val="none"/>
        </w:rPr>
        <w:t>.1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en-US" w:eastAsia="zh-CN"/>
        </w:rPr>
        <w:t>49</w:t>
      </w:r>
      <w:r>
        <w:rPr>
          <w:rFonts w:hint="eastAsia" w:ascii="宋体" w:hAnsi="宋体" w:eastAsia="宋体" w:cs="宋体"/>
          <w:snapToGrid w:val="0"/>
          <w:color w:val="auto"/>
          <w:sz w:val="24"/>
          <w:highlight w:val="none"/>
        </w:rPr>
        <w:t>.2政府采购合同的履行、违约责任和解决争议的方法等适用《中华人民共和国民法典》。</w:t>
      </w:r>
    </w:p>
    <w:p w14:paraId="468836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63" w:name="_Toc12709"/>
      <w:bookmarkStart w:id="564" w:name="_Toc26457"/>
      <w:bookmarkStart w:id="565" w:name="_Toc163492884"/>
      <w:bookmarkStart w:id="566" w:name="_Toc9761"/>
      <w:bookmarkStart w:id="567" w:name="_Toc26968"/>
      <w:bookmarkStart w:id="568" w:name="_Toc155185887"/>
      <w:bookmarkStart w:id="569" w:name="_Toc18236"/>
      <w:r>
        <w:rPr>
          <w:rFonts w:hint="eastAsia" w:ascii="宋体" w:hAnsi="宋体" w:eastAsia="宋体" w:cs="宋体"/>
          <w:b/>
          <w:bCs/>
          <w:color w:val="auto"/>
          <w:kern w:val="2"/>
          <w:sz w:val="24"/>
          <w:szCs w:val="28"/>
          <w:highlight w:val="none"/>
          <w:lang w:val="en-US" w:eastAsia="zh-CN" w:bidi="ar-SA"/>
        </w:rPr>
        <w:t>50.解释权</w:t>
      </w:r>
      <w:bookmarkEnd w:id="563"/>
      <w:bookmarkEnd w:id="564"/>
      <w:bookmarkEnd w:id="565"/>
      <w:bookmarkEnd w:id="566"/>
      <w:bookmarkEnd w:id="567"/>
      <w:bookmarkEnd w:id="568"/>
      <w:bookmarkEnd w:id="569"/>
    </w:p>
    <w:p w14:paraId="5C6D27F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lang w:val="en-US" w:eastAsia="zh-CN"/>
        </w:rPr>
        <w:t>50</w:t>
      </w:r>
      <w:r>
        <w:rPr>
          <w:rFonts w:hint="eastAsia" w:ascii="宋体" w:hAnsi="宋体" w:eastAsia="宋体" w:cs="宋体"/>
          <w:snapToGrid w:val="0"/>
          <w:color w:val="auto"/>
          <w:sz w:val="24"/>
          <w:highlight w:val="none"/>
        </w:rPr>
        <w:t>.1本招标文件最终解释权归采购人或采购代理机构所有。</w:t>
      </w:r>
    </w:p>
    <w:p w14:paraId="70704BD1">
      <w:pPr>
        <w:pStyle w:val="2"/>
        <w:keepNext/>
        <w:keepLines/>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70" w:name="_Toc27577"/>
      <w:bookmarkStart w:id="571" w:name="_Toc155185888"/>
      <w:r>
        <w:rPr>
          <w:rFonts w:hint="eastAsia" w:ascii="宋体" w:hAnsi="宋体" w:eastAsia="宋体" w:cs="宋体"/>
          <w:b/>
          <w:bCs/>
          <w:color w:val="auto"/>
          <w:kern w:val="44"/>
          <w:sz w:val="36"/>
          <w:szCs w:val="36"/>
          <w:highlight w:val="none"/>
          <w:lang w:val="en-US" w:eastAsia="zh-CN" w:bidi="ar-SA"/>
        </w:rPr>
        <w:t>第三章 采购需求</w:t>
      </w:r>
      <w:bookmarkEnd w:id="570"/>
      <w:bookmarkEnd w:id="571"/>
    </w:p>
    <w:p w14:paraId="2B4FFF7A">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rPr>
      </w:pPr>
      <w:bookmarkStart w:id="572" w:name="_Toc140132812"/>
      <w:bookmarkStart w:id="573" w:name="_Toc155185889"/>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、项目基本情况</w:t>
      </w:r>
    </w:p>
    <w:p w14:paraId="27D5CC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1.项目名称：</w:t>
      </w:r>
      <w:r>
        <w:rPr>
          <w:rFonts w:hint="eastAsia" w:ascii="宋体" w:hAnsi="宋体" w:eastAsia="宋体" w:cs="宋体"/>
          <w:bCs/>
          <w:color w:val="auto"/>
          <w:sz w:val="24"/>
          <w:szCs w:val="24"/>
          <w:highlight w:val="none"/>
          <w:lang w:val="en-US" w:eastAsia="zh-CN"/>
        </w:rPr>
        <w:t>区属某单位餐厅人工服务项目</w:t>
      </w:r>
    </w:p>
    <w:p w14:paraId="098C41CB">
      <w:pPr>
        <w:pStyle w:val="12"/>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采购需求（范围）：按时完成甲方的早餐、午餐、晚餐的开膳工作，负责食堂的管理，具体包括、菜肴的搭配与制作、就餐环境卫生、设备清洁、人事管理及服务等工作，早餐热炒不少于两种、凉菜不少于两种、糕点不少于两种、主食（包子或馒头包含但不限于此）、粥或者牛奶不少于两种，鸡蛋，确保每天早餐供应，中餐需保证至少四菜一汤加主食，晚餐需保证至少三菜一汤加主食。提供两周菜谱不重样。</w:t>
      </w:r>
    </w:p>
    <w:p w14:paraId="789AB1D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3.用餐人数：约550-650人的饭菜（具体人数以实际发生为准），根据用餐人数灵活调整菜品。</w:t>
      </w:r>
      <w:r>
        <w:rPr>
          <w:rFonts w:hint="eastAsia" w:ascii="宋体" w:hAnsi="宋体" w:eastAsia="宋体" w:cs="宋体"/>
          <w:bCs/>
          <w:color w:val="auto"/>
          <w:kern w:val="2"/>
          <w:sz w:val="24"/>
          <w:szCs w:val="24"/>
          <w:highlight w:val="none"/>
          <w:lang w:val="en-US" w:eastAsia="zh-CN" w:bidi="ar-SA"/>
        </w:rPr>
        <w:t>餐厅人工服务15万元/月，</w:t>
      </w:r>
      <w:r>
        <w:rPr>
          <w:rFonts w:hint="eastAsia" w:ascii="宋体" w:hAnsi="宋体" w:eastAsia="宋体" w:cs="宋体"/>
          <w:bCs/>
          <w:color w:val="auto"/>
          <w:sz w:val="24"/>
          <w:szCs w:val="24"/>
          <w:highlight w:val="none"/>
          <w:lang w:val="en-US" w:eastAsia="zh-CN"/>
        </w:rPr>
        <w:t>另根据甲方要求提供培训期间人员就餐服务，餐费用按照每人15元/天，具体发生以实际就餐人数为准，（此项费用单独结算）。</w:t>
      </w:r>
    </w:p>
    <w:p w14:paraId="2566911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4.餐饮供应时间：每天（</w:t>
      </w:r>
      <w:r>
        <w:rPr>
          <w:rFonts w:hint="eastAsia" w:ascii="宋体" w:hAnsi="宋体" w:eastAsia="宋体" w:cs="宋体"/>
          <w:color w:val="auto"/>
          <w:sz w:val="24"/>
          <w:szCs w:val="24"/>
          <w:highlight w:val="none"/>
          <w:u w:val="single"/>
          <w:lang w:val="en-US" w:eastAsia="zh-CN"/>
        </w:rPr>
        <w:t>早餐时间：8:30点到10：00点，午餐时间：12:30点到14:00点，晚餐时间：18:30点到20:00点</w:t>
      </w:r>
      <w:r>
        <w:rPr>
          <w:rFonts w:hint="eastAsia" w:ascii="宋体" w:hAnsi="宋体" w:eastAsia="宋体" w:cs="宋体"/>
          <w:bCs/>
          <w:color w:val="auto"/>
          <w:sz w:val="24"/>
          <w:szCs w:val="24"/>
          <w:highlight w:val="none"/>
          <w:lang w:val="en-US" w:eastAsia="zh-CN"/>
        </w:rPr>
        <w:t>）。遇有特殊情况，接甲方单位临时通知，也须保障用餐。</w:t>
      </w:r>
    </w:p>
    <w:p w14:paraId="1A53AF7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5.承包方式：食堂整体对外承包--承包人负责按时完成甲方单位早餐、午餐、晚餐的开膳工作，负责食堂的经营管理。</w:t>
      </w:r>
    </w:p>
    <w:p w14:paraId="5ACC359E">
      <w:pPr>
        <w:pStyle w:val="15"/>
        <w:numPr>
          <w:ilvl w:val="0"/>
          <w:numId w:val="0"/>
        </w:numPr>
        <w:spacing w:line="360" w:lineRule="auto"/>
        <w:ind w:left="547" w:leftChars="228" w:firstLine="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lang w:val="en-US" w:eastAsia="zh-CN"/>
        </w:rPr>
        <w:t>6.经营期限：</w:t>
      </w:r>
      <w:r>
        <w:rPr>
          <w:rFonts w:hint="eastAsia" w:ascii="宋体" w:hAnsi="宋体" w:eastAsia="宋体" w:cs="宋体"/>
          <w:color w:val="auto"/>
          <w:sz w:val="24"/>
          <w:szCs w:val="24"/>
          <w:highlight w:val="none"/>
          <w:u w:val="single"/>
          <w:lang w:val="en-US" w:eastAsia="zh-CN"/>
        </w:rPr>
        <w:t>一年。</w:t>
      </w:r>
    </w:p>
    <w:p w14:paraId="01FCB5FA">
      <w:pPr>
        <w:pStyle w:val="15"/>
        <w:numPr>
          <w:ilvl w:val="0"/>
          <w:numId w:val="0"/>
        </w:num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7.甲方单位提供餐厅（三层楼）及必要的厨房设备。</w:t>
      </w:r>
    </w:p>
    <w:p w14:paraId="57BFE9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8.承包期内厨房设备正常维修或需要更换设备的，由承包人提出申请,经甲方单位同意后负责安排落实，费用由甲方承担。如因承包人违规操作等原因造成的设备维修或更换，费用由承包人承担。</w:t>
      </w:r>
    </w:p>
    <w:p w14:paraId="34CEBD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9.其他服务：</w:t>
      </w:r>
    </w:p>
    <w:p w14:paraId="7F960F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（1）必须遵守国家和地方有关环境和食品卫生的标准，</w:t>
      </w:r>
      <w:r>
        <w:rPr>
          <w:rFonts w:hint="eastAsia" w:ascii="宋体" w:hAnsi="宋体" w:eastAsia="宋体" w:cs="宋体"/>
          <w:bCs/>
          <w:color w:val="auto"/>
          <w:kern w:val="2"/>
          <w:sz w:val="24"/>
          <w:szCs w:val="24"/>
          <w:highlight w:val="none"/>
          <w:lang w:val="en-US" w:eastAsia="zh-CN" w:bidi="ar-SA"/>
        </w:rPr>
        <w:t>杜绝发生食品安全卫生事件。承包人应挑选干净卫生未变质的食材进行食品加工，因食材挑选把关不严，造成甲方单位人员身体损害的公共卫生事件，由承包人承担相应经济责任和法律责任</w:t>
      </w:r>
      <w:r>
        <w:rPr>
          <w:rFonts w:hint="eastAsia" w:ascii="宋体" w:hAnsi="宋体" w:eastAsia="宋体" w:cs="宋体"/>
          <w:bCs/>
          <w:color w:val="auto"/>
          <w:sz w:val="24"/>
          <w:szCs w:val="24"/>
          <w:highlight w:val="none"/>
          <w:lang w:val="en-US" w:eastAsia="zh-CN"/>
        </w:rPr>
        <w:t>。</w:t>
      </w:r>
    </w:p>
    <w:p w14:paraId="5637C2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（2）必须按时供应甲方单位每天各餐，做到新鲜可口、营养搭配好。</w:t>
      </w:r>
    </w:p>
    <w:p w14:paraId="50F4B4C6">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（3）承包人应严把食品贮存、分类关，用于保存食品的冷藏设备，必须贴有明显标志，生、熟食品和半成品要分柜存放，坚决杜绝生熟食品交叉感染。</w:t>
      </w:r>
    </w:p>
    <w:p w14:paraId="347C6A7B">
      <w:pPr>
        <w:pStyle w:val="82"/>
        <w:numPr>
          <w:ilvl w:val="0"/>
          <w:numId w:val="0"/>
        </w:numPr>
        <w:spacing w:line="360" w:lineRule="auto"/>
        <w:ind w:firstLine="48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（4）</w:t>
      </w:r>
      <w:r>
        <w:rPr>
          <w:rFonts w:hint="eastAsia" w:ascii="宋体" w:hAnsi="宋体" w:eastAsia="宋体" w:cs="宋体"/>
          <w:bCs/>
          <w:color w:val="auto"/>
          <w:sz w:val="24"/>
          <w:szCs w:val="24"/>
          <w:highlight w:val="none"/>
          <w:lang w:val="en-US" w:eastAsia="zh-CN"/>
        </w:rPr>
        <w:t>承包人需负责饭堂所在地的公共区域卫生保洁服务；</w:t>
      </w:r>
    </w:p>
    <w:p w14:paraId="2B307CD6">
      <w:pPr>
        <w:pStyle w:val="82"/>
        <w:numPr>
          <w:ilvl w:val="0"/>
          <w:numId w:val="0"/>
        </w:numPr>
        <w:spacing w:line="360" w:lineRule="auto"/>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（5）承包人要满足甲方单位临时的接待工作，及时供应餐食。</w:t>
      </w:r>
    </w:p>
    <w:p w14:paraId="2D49B4BB">
      <w:pPr>
        <w:pStyle w:val="82"/>
        <w:numPr>
          <w:ilvl w:val="0"/>
          <w:numId w:val="0"/>
        </w:numPr>
        <w:spacing w:line="360" w:lineRule="auto"/>
        <w:ind w:firstLine="48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10.甲方对服务商进行年度满意度调查，若满意率达90%，同时接受甲方年度预算浮动，可通过一年一续签的方式签订合同，服务期限总长不超过三年。</w:t>
      </w:r>
    </w:p>
    <w:p w14:paraId="2C39D834">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二、服务要求</w:t>
      </w:r>
    </w:p>
    <w:p w14:paraId="3D53FB4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1.人员配备要求</w:t>
      </w:r>
    </w:p>
    <w:p w14:paraId="2E54027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shd w:val="clear" w:color="auto" w:fill="auto"/>
          <w:lang w:val="en-US" w:eastAsia="zh-CN"/>
        </w:rPr>
      </w:pPr>
      <w:r>
        <w:rPr>
          <w:rFonts w:hint="eastAsia" w:ascii="宋体" w:hAnsi="宋体" w:eastAsia="宋体" w:cs="宋体"/>
          <w:bCs/>
          <w:color w:val="auto"/>
          <w:sz w:val="24"/>
          <w:szCs w:val="24"/>
          <w:highlight w:val="none"/>
          <w:u w:val="none"/>
          <w:lang w:val="en-US" w:eastAsia="zh-CN"/>
        </w:rPr>
        <w:t>（1）</w:t>
      </w:r>
      <w:r>
        <w:rPr>
          <w:rFonts w:hint="eastAsia" w:ascii="宋体" w:hAnsi="宋体" w:eastAsia="宋体" w:cs="宋体"/>
          <w:color w:val="auto"/>
          <w:sz w:val="24"/>
          <w:szCs w:val="24"/>
          <w:highlight w:val="none"/>
          <w:u w:val="none"/>
          <w:shd w:val="clear" w:color="auto" w:fill="auto"/>
          <w:lang w:val="en-US" w:eastAsia="zh-CN"/>
        </w:rPr>
        <w:t>根据甲方实际需求，餐饮服务人员每月至少配置26名工作人员（每日实际在岗人数不少于23人）。</w:t>
      </w:r>
    </w:p>
    <w:p w14:paraId="4DC490C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（2）承包人为</w:t>
      </w:r>
      <w:r>
        <w:rPr>
          <w:rFonts w:hint="eastAsia" w:ascii="宋体" w:hAnsi="宋体" w:eastAsia="宋体" w:cs="宋体"/>
          <w:bCs/>
          <w:color w:val="auto"/>
          <w:sz w:val="24"/>
          <w:szCs w:val="24"/>
          <w:highlight w:val="none"/>
          <w:lang w:val="en-US" w:eastAsia="zh-CN"/>
        </w:rPr>
        <w:t>就餐人员提供优质服务，有健全的规章制度，包括人事管理、用工培训、工作规范、安全生产、卫生保障、文明服务、价格管理等制度。严格服从卫生防疫、安全生产部门和行业监督管理部门的监督指导。</w:t>
      </w:r>
    </w:p>
    <w:p w14:paraId="35F8405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承包人根据食堂就餐人数，合理设置岗位，配齐相应的工作人员，其中：主食的岗位需配备专业技术较强的人员（承包人派遣厨师要具备相应的资格证，并向甲方单位提供予以确认，甲方单位对承包人派遣厨师所提供饭菜质量进行必要的测评，测评满意度需达到90%）。</w:t>
      </w:r>
    </w:p>
    <w:p w14:paraId="23BB9BE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（4）承包人配备的所有工作人员必须持有健康证，身体体检，卫生检疫、体检等费用均由承包人自理，如有人员变动，需先办好相关证件再上岗，并为甲方单位留存复印件备案。</w:t>
      </w:r>
    </w:p>
    <w:p w14:paraId="2AC918D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（5）承包人派遣人员必须提供无犯罪记录证明，承包人提供担保并出具担保书。</w:t>
      </w:r>
    </w:p>
    <w:p w14:paraId="79CFB21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Cs/>
          <w:color w:val="auto"/>
          <w:sz w:val="24"/>
          <w:szCs w:val="24"/>
          <w:highlight w:val="none"/>
          <w:lang w:val="en-US" w:eastAsia="zh-CN"/>
        </w:rPr>
        <w:t>（6）工作人员必须统一着装，个人仪容仪表符合卫生制度要求，</w:t>
      </w:r>
      <w:r>
        <w:rPr>
          <w:rFonts w:hint="eastAsia" w:ascii="宋体" w:hAnsi="宋体" w:eastAsia="宋体" w:cs="宋体"/>
          <w:color w:val="auto"/>
          <w:sz w:val="24"/>
          <w:szCs w:val="24"/>
          <w:highlight w:val="none"/>
          <w:u w:val="none"/>
          <w:lang w:val="en-US" w:eastAsia="zh-CN"/>
        </w:rPr>
        <w:t>有考核与扣罚标准；</w:t>
      </w:r>
      <w:r>
        <w:rPr>
          <w:rFonts w:hint="eastAsia" w:ascii="宋体" w:hAnsi="宋体" w:eastAsia="宋体" w:cs="宋体"/>
          <w:bCs/>
          <w:color w:val="auto"/>
          <w:sz w:val="24"/>
          <w:szCs w:val="24"/>
          <w:highlight w:val="none"/>
          <w:lang w:val="en-US" w:eastAsia="zh-CN"/>
        </w:rPr>
        <w:t>工作期间工作人员严禁酗酒吸烟，严格遵守甲方单位的管理制度。</w:t>
      </w:r>
    </w:p>
    <w:p w14:paraId="71D245E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（7）工作人员在工作中因违反操作规程等自身原因，所造成的一切事故和人身损害（含第三人及工伤），相关责任和损失均由承包人承担。</w:t>
      </w:r>
    </w:p>
    <w:p w14:paraId="0F5099A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（8）餐厅员工上岗前，承包人必须开展岗前培训。工作人员须遵守餐饮法规以及管理制度，提供热情周到服务，不得与就餐人员发生争吵或冲突，如发现违规者，甲方单位有权提出处理意见。</w:t>
      </w:r>
    </w:p>
    <w:p w14:paraId="5E338CF8">
      <w:pPr>
        <w:pStyle w:val="12"/>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val="en-US" w:eastAsia="zh-CN"/>
        </w:rPr>
        <w:t>（9）承包人应服从卫生管理部门的管理，卫生许可证由承包人办理及审验，不能按时办理的一切损失由承包人承担全部责任。</w:t>
      </w:r>
    </w:p>
    <w:p w14:paraId="401EE44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（10）甲方单位及甲方单位上级相关职能部门对承包人经营的食堂卫生、质量、价格、服务态度等方面有检查监督的权力，承包人必须严格执行《中华人民共和国食品卫生法》、</w:t>
      </w:r>
      <w:r>
        <w:rPr>
          <w:rFonts w:hint="eastAsia" w:ascii="宋体" w:hAnsi="宋体" w:eastAsia="宋体" w:cs="宋体"/>
          <w:color w:val="000000"/>
          <w:sz w:val="24"/>
          <w:szCs w:val="24"/>
          <w:highlight w:val="none"/>
        </w:rPr>
        <w:t>《中华人民共和国食品安全法》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《中华人民共和国安全生产法》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《餐饮服务食品安全操作规程》</w:t>
      </w:r>
      <w:r>
        <w:rPr>
          <w:rFonts w:hint="eastAsia" w:ascii="宋体" w:hAnsi="宋体" w:eastAsia="宋体" w:cs="宋体"/>
          <w:color w:val="000000"/>
          <w:sz w:val="24"/>
          <w:szCs w:val="24"/>
          <w:highlight w:val="none"/>
          <w:lang w:val="en-US" w:eastAsia="zh-CN"/>
        </w:rPr>
        <w:t>等</w:t>
      </w:r>
      <w:r>
        <w:rPr>
          <w:rFonts w:hint="eastAsia" w:ascii="宋体" w:hAnsi="宋体" w:eastAsia="宋体" w:cs="宋体"/>
          <w:bCs/>
          <w:color w:val="auto"/>
          <w:sz w:val="24"/>
          <w:szCs w:val="24"/>
          <w:highlight w:val="none"/>
          <w:lang w:val="en-US" w:eastAsia="zh-CN"/>
        </w:rPr>
        <w:t>。</w:t>
      </w:r>
    </w:p>
    <w:p w14:paraId="23ECCFC4">
      <w:pPr>
        <w:pStyle w:val="15"/>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承包人应接受卫生防疫部门、上级领导、甲方单位负责人以及甲方单位专职管理人员的检查、指导，甲方单位派出专人管理食堂，监督、检查、指导食堂的各项工作，承包人必须予以积极主动的配合，发现问题立即整改。</w:t>
      </w:r>
    </w:p>
    <w:p w14:paraId="3DF8C16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（12）</w:t>
      </w:r>
      <w:r>
        <w:rPr>
          <w:rFonts w:hint="eastAsia" w:ascii="宋体" w:hAnsi="宋体" w:eastAsia="宋体" w:cs="宋体"/>
          <w:color w:val="auto"/>
          <w:sz w:val="24"/>
          <w:szCs w:val="24"/>
          <w:highlight w:val="none"/>
        </w:rPr>
        <w:t>承包期间，若水、电、暖、厨具等出现故障时，</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要在第一时间采取切断电源等措施，</w:t>
      </w:r>
      <w:r>
        <w:rPr>
          <w:rFonts w:hint="eastAsia" w:ascii="宋体" w:hAnsi="宋体" w:eastAsia="宋体" w:cs="宋体"/>
          <w:color w:val="auto"/>
          <w:sz w:val="24"/>
          <w:szCs w:val="24"/>
          <w:highlight w:val="none"/>
          <w:lang w:val="en-US" w:eastAsia="zh-CN"/>
        </w:rPr>
        <w:t>并及时告知甲方，由甲方安排</w:t>
      </w:r>
      <w:r>
        <w:rPr>
          <w:rFonts w:hint="eastAsia" w:ascii="宋体" w:hAnsi="宋体" w:eastAsia="宋体" w:cs="宋体"/>
          <w:color w:val="auto"/>
          <w:sz w:val="24"/>
          <w:szCs w:val="24"/>
          <w:highlight w:val="none"/>
        </w:rPr>
        <w:t>专业技术人员处理。</w:t>
      </w:r>
    </w:p>
    <w:p w14:paraId="19EC26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2.经营要求：</w:t>
      </w:r>
    </w:p>
    <w:p w14:paraId="1A32FE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（1）甲方单位负责提供食堂及就餐场地，承包人负责管理。承包人应科学统计、合理预计用餐人数，满足供餐数量，保障供餐质量，确保人员就餐时能吃到热饭热菜。</w:t>
      </w:r>
    </w:p>
    <w:p w14:paraId="7CA6B8D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（2）承包人每周菜谱报甲方单位确定后执行。在成本控制范围内，按季调整饭菜品种</w:t>
      </w:r>
    </w:p>
    <w:p w14:paraId="62F4415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（3）承包人对泔水及生活垃圾作环保处理，甲方单位提供相应的便利条件。</w:t>
      </w:r>
    </w:p>
    <w:p w14:paraId="607ACD8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（4）如因特殊工作需要，需调整供餐时间的，由甲方单位提前通知承包人。</w:t>
      </w:r>
    </w:p>
    <w:p w14:paraId="7AD4DDA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3.结算方式</w:t>
      </w:r>
    </w:p>
    <w:p w14:paraId="7C84472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（1）甲方单位将食堂服务由承包人管理，按季支付费用，遇到特殊情况相应顺延，提供相应的增值税普通发票。</w:t>
      </w:r>
    </w:p>
    <w:p w14:paraId="58FC2352">
      <w:pPr>
        <w:pStyle w:val="1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4、履约保证金</w:t>
      </w:r>
    </w:p>
    <w:p w14:paraId="4194EE65">
      <w:pPr>
        <w:pStyle w:val="1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签订合同后2个工作日内，提交20000元履约保证金。</w:t>
      </w:r>
    </w:p>
    <w:p w14:paraId="418C9D4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5.考核与奖惩</w:t>
      </w:r>
    </w:p>
    <w:p w14:paraId="314CEE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承包人每周接受甲方对日常的饮食卫生、个人卫生、环境卫生、出品质量、份量、味道、品种、外观、烹调技术和服务态度进行评估，及时反馈予承包人并提出整改要求，承包人须在3天内改进，15天内达不到要求的，按照当月费用的85%结算。</w:t>
      </w:r>
    </w:p>
    <w:p w14:paraId="32F447B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（2）因承包人原因延期开餐的，每发生一次扣除当月费用的1%予以结算。</w:t>
      </w:r>
    </w:p>
    <w:p w14:paraId="442E997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（3）承包人应严格遵循甲方单位的规章制度，如有违反，根据不同情节每发生一次扣除当月费用的1%予以结算。</w:t>
      </w:r>
    </w:p>
    <w:p w14:paraId="6E2C59D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6.食堂内卫生要求</w:t>
      </w:r>
    </w:p>
    <w:p w14:paraId="4AA1F18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（1）搞好环境卫生工作，噪声、污水、烟尘排放应符合国家标准，食堂内外保持卫生整洁。</w:t>
      </w:r>
    </w:p>
    <w:p w14:paraId="109C94D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（2）垃圾污物应按指定地点放置，不得随便弃放。</w:t>
      </w:r>
    </w:p>
    <w:p w14:paraId="54A8FE8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（3）厨房用品用具严格实行一洗二过三消毒的规程。</w:t>
      </w:r>
    </w:p>
    <w:p w14:paraId="4692FE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（4）应落实防火、防盗、防毒及食堂安全等安全工作。</w:t>
      </w:r>
    </w:p>
    <w:p w14:paraId="055BC35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（5）承包期内，每月至少对食堂开展一次全面的卫生大扫除及消毒工作，如遇上级检查，随时安排开展全面的卫生大扫除及消毒工作。</w:t>
      </w:r>
    </w:p>
    <w:p w14:paraId="183E2589">
      <w:pPr>
        <w:pStyle w:val="12"/>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val="en-US" w:eastAsia="zh-CN"/>
        </w:rPr>
        <w:t>（6）确保餐厅区域内无蝇无鼠环境卫生及食品安全，按照甲方要求提供灭鼠灭蝇服务。</w:t>
      </w:r>
    </w:p>
    <w:p w14:paraId="75BAB3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（7）如果发生食物中毒等恶性事件，相应赔偿等责任由承包人负责，甲方单位有权单方面解除合同，一切后果由承包人负责。</w:t>
      </w:r>
    </w:p>
    <w:p w14:paraId="28A4C8B9">
      <w:pPr>
        <w:pStyle w:val="12"/>
        <w:spacing w:line="360" w:lineRule="auto"/>
        <w:rPr>
          <w:rFonts w:hint="eastAsia" w:ascii="宋体" w:hAnsi="宋体" w:eastAsia="宋体" w:cs="宋体"/>
          <w:color w:val="auto"/>
          <w:sz w:val="24"/>
          <w:szCs w:val="24"/>
          <w:highlight w:val="none"/>
          <w:lang w:val="en-US" w:eastAsia="zh-CN"/>
        </w:rPr>
      </w:pPr>
    </w:p>
    <w:p w14:paraId="7B96DD2D">
      <w:pPr>
        <w:pStyle w:val="13"/>
        <w:rPr>
          <w:rFonts w:hint="eastAsia" w:ascii="宋体" w:hAnsi="宋体" w:eastAsia="宋体" w:cs="宋体"/>
          <w:color w:val="auto"/>
          <w:sz w:val="24"/>
          <w:szCs w:val="24"/>
          <w:highlight w:val="none"/>
          <w:lang w:val="en-US" w:eastAsia="zh-CN"/>
        </w:rPr>
      </w:pPr>
    </w:p>
    <w:p w14:paraId="4CEFB4A3">
      <w:pPr>
        <w:pStyle w:val="13"/>
        <w:rPr>
          <w:rFonts w:hint="eastAsia" w:ascii="宋体" w:hAnsi="宋体" w:eastAsia="宋体" w:cs="宋体"/>
          <w:color w:val="auto"/>
          <w:sz w:val="24"/>
          <w:szCs w:val="24"/>
          <w:highlight w:val="none"/>
          <w:lang w:val="en-US" w:eastAsia="zh-CN"/>
        </w:rPr>
      </w:pPr>
    </w:p>
    <w:p w14:paraId="05D34E07">
      <w:pPr>
        <w:pStyle w:val="13"/>
        <w:rPr>
          <w:rFonts w:hint="eastAsia" w:ascii="宋体" w:hAnsi="宋体" w:eastAsia="宋体" w:cs="宋体"/>
          <w:color w:val="auto"/>
          <w:sz w:val="24"/>
          <w:szCs w:val="24"/>
          <w:highlight w:val="none"/>
          <w:lang w:val="en-US" w:eastAsia="zh-CN"/>
        </w:rPr>
      </w:pPr>
    </w:p>
    <w:p w14:paraId="6A89FBB9">
      <w:pPr>
        <w:pStyle w:val="13"/>
        <w:rPr>
          <w:rFonts w:hint="eastAsia" w:ascii="宋体" w:hAnsi="宋体" w:eastAsia="宋体" w:cs="宋体"/>
          <w:color w:val="auto"/>
          <w:sz w:val="24"/>
          <w:szCs w:val="24"/>
          <w:highlight w:val="none"/>
          <w:lang w:val="en-US" w:eastAsia="zh-CN"/>
        </w:rPr>
      </w:pPr>
    </w:p>
    <w:p w14:paraId="5AA46937">
      <w:pPr>
        <w:pStyle w:val="13"/>
        <w:rPr>
          <w:rFonts w:hint="eastAsia" w:ascii="宋体" w:hAnsi="宋体" w:eastAsia="宋体" w:cs="宋体"/>
          <w:color w:val="auto"/>
          <w:sz w:val="24"/>
          <w:szCs w:val="24"/>
          <w:highlight w:val="none"/>
          <w:lang w:val="en-US" w:eastAsia="zh-CN"/>
        </w:rPr>
      </w:pPr>
    </w:p>
    <w:p w14:paraId="5375992E">
      <w:pPr>
        <w:pStyle w:val="13"/>
        <w:rPr>
          <w:rFonts w:hint="eastAsia" w:ascii="宋体" w:hAnsi="宋体" w:eastAsia="宋体" w:cs="宋体"/>
          <w:color w:val="auto"/>
          <w:sz w:val="24"/>
          <w:szCs w:val="24"/>
          <w:highlight w:val="none"/>
          <w:lang w:val="en-US" w:eastAsia="zh-CN"/>
        </w:rPr>
      </w:pPr>
    </w:p>
    <w:p w14:paraId="22411DB0">
      <w:pPr>
        <w:pStyle w:val="13"/>
        <w:rPr>
          <w:rFonts w:hint="eastAsia" w:ascii="宋体" w:hAnsi="宋体" w:eastAsia="宋体" w:cs="宋体"/>
          <w:color w:val="auto"/>
          <w:sz w:val="24"/>
          <w:szCs w:val="24"/>
          <w:highlight w:val="none"/>
          <w:lang w:val="en-US" w:eastAsia="zh-CN"/>
        </w:rPr>
      </w:pPr>
    </w:p>
    <w:p w14:paraId="13A79056">
      <w:pPr>
        <w:pStyle w:val="13"/>
        <w:rPr>
          <w:rFonts w:hint="eastAsia" w:ascii="宋体" w:hAnsi="宋体" w:eastAsia="宋体" w:cs="宋体"/>
          <w:color w:val="auto"/>
          <w:sz w:val="24"/>
          <w:szCs w:val="24"/>
          <w:highlight w:val="none"/>
          <w:lang w:val="en-US" w:eastAsia="zh-CN"/>
        </w:rPr>
      </w:pPr>
    </w:p>
    <w:p w14:paraId="0AB026AB">
      <w:pPr>
        <w:pStyle w:val="13"/>
        <w:rPr>
          <w:rFonts w:hint="eastAsia" w:ascii="宋体" w:hAnsi="宋体" w:eastAsia="宋体" w:cs="宋体"/>
          <w:color w:val="auto"/>
          <w:sz w:val="24"/>
          <w:szCs w:val="24"/>
          <w:highlight w:val="none"/>
          <w:lang w:val="en-US" w:eastAsia="zh-CN"/>
        </w:rPr>
      </w:pPr>
    </w:p>
    <w:p w14:paraId="4706404A">
      <w:pPr>
        <w:pStyle w:val="13"/>
        <w:rPr>
          <w:rFonts w:hint="eastAsia" w:ascii="宋体" w:hAnsi="宋体" w:eastAsia="宋体" w:cs="宋体"/>
          <w:color w:val="auto"/>
          <w:sz w:val="24"/>
          <w:szCs w:val="24"/>
          <w:highlight w:val="none"/>
          <w:lang w:val="en-US" w:eastAsia="zh-CN"/>
        </w:rPr>
      </w:pPr>
    </w:p>
    <w:p w14:paraId="53076F66">
      <w:pPr>
        <w:pStyle w:val="13"/>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p>
    <w:p w14:paraId="418293F4">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附件：考核表</w:t>
      </w:r>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
        <w:gridCol w:w="4005"/>
        <w:gridCol w:w="784"/>
        <w:gridCol w:w="974"/>
        <w:gridCol w:w="595"/>
        <w:gridCol w:w="974"/>
        <w:gridCol w:w="595"/>
      </w:tblGrid>
      <w:tr w14:paraId="69F5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00" w:type="pct"/>
            <w:gridSpan w:val="7"/>
            <w:tcBorders>
              <w:top w:val="single" w:color="000000" w:sz="8" w:space="0"/>
              <w:left w:val="single" w:color="000000" w:sz="8" w:space="0"/>
              <w:bottom w:val="single" w:color="000000" w:sz="4" w:space="0"/>
              <w:right w:val="single" w:color="000000" w:sz="4" w:space="0"/>
            </w:tcBorders>
            <w:noWrap/>
            <w:vAlign w:val="center"/>
          </w:tcPr>
          <w:p w14:paraId="41FBD96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食堂综合服务满意度评价表</w:t>
            </w:r>
          </w:p>
        </w:tc>
      </w:tr>
      <w:tr w14:paraId="798F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00" w:type="pct"/>
            <w:gridSpan w:val="7"/>
            <w:tcBorders>
              <w:top w:val="single" w:color="000000" w:sz="4" w:space="0"/>
              <w:left w:val="single" w:color="000000" w:sz="8" w:space="0"/>
              <w:bottom w:val="single" w:color="000000" w:sz="4" w:space="0"/>
              <w:right w:val="single" w:color="000000" w:sz="8" w:space="0"/>
            </w:tcBorders>
            <w:noWrap w:val="0"/>
            <w:vAlign w:val="center"/>
          </w:tcPr>
          <w:p w14:paraId="52266B2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员工朋友们：您好！食堂是为我们服务的地方，也是和我们生活联系非常密切的地方。为了完善食堂的管理，提高食堂服务质量，让大家身心愉快的投入工作中去，现占用您一点时间，希望你能客观、真实的对我们食堂的服务做一个评价，以便于我们的持续改进，谢谢您的合作！</w:t>
            </w:r>
          </w:p>
        </w:tc>
      </w:tr>
      <w:tr w14:paraId="1AB3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0EC34BF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558E3FC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请您在相应的项目上划"√"</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597E694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很满意</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725F018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基本满意</w:t>
            </w:r>
          </w:p>
        </w:tc>
        <w:tc>
          <w:tcPr>
            <w:tcW w:w="334" w:type="pct"/>
            <w:tcBorders>
              <w:top w:val="nil"/>
              <w:left w:val="nil"/>
              <w:bottom w:val="nil"/>
              <w:right w:val="nil"/>
            </w:tcBorders>
            <w:noWrap/>
            <w:vAlign w:val="center"/>
          </w:tcPr>
          <w:p w14:paraId="5637602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一般</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0172D4B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不太满意</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6E6A15F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很差</w:t>
            </w:r>
          </w:p>
        </w:tc>
      </w:tr>
      <w:tr w14:paraId="56B9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3CF254C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000000"/>
                <w:sz w:val="24"/>
                <w:szCs w:val="24"/>
                <w:highlight w:val="none"/>
                <w:u w:val="none"/>
              </w:rPr>
            </w:pP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46A37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评价项目</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540BB57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0D331CF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4分</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78E7D75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2440CB5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2D45E42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w:t>
            </w:r>
          </w:p>
        </w:tc>
      </w:tr>
      <w:tr w14:paraId="3270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6854DB4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F15D5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工作人员服务态度：热忱服务，服务不拖沓</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6B86263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68B29E4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625B1A4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56EE8E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6007CA7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0C5B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1B5F4D5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434" w:type="pct"/>
            <w:tcBorders>
              <w:top w:val="single" w:color="000000" w:sz="4" w:space="0"/>
              <w:left w:val="single" w:color="000000" w:sz="4" w:space="0"/>
              <w:bottom w:val="nil"/>
              <w:right w:val="single" w:color="000000" w:sz="4" w:space="0"/>
            </w:tcBorders>
            <w:noWrap w:val="0"/>
            <w:vAlign w:val="center"/>
          </w:tcPr>
          <w:p w14:paraId="1F609F6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饭菜质量：口味适合，咸淡适中</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056A297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31F6AE9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45404C6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233BDA2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nil"/>
              <w:right w:val="single" w:color="000000" w:sz="8" w:space="0"/>
            </w:tcBorders>
            <w:noWrap/>
            <w:vAlign w:val="center"/>
          </w:tcPr>
          <w:p w14:paraId="3F2E1B3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2E3E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11584D8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434" w:type="pct"/>
            <w:tcBorders>
              <w:top w:val="single" w:color="000000" w:sz="4" w:space="0"/>
              <w:left w:val="single" w:color="000000" w:sz="4" w:space="0"/>
              <w:bottom w:val="single" w:color="000000" w:sz="4" w:space="0"/>
              <w:right w:val="single" w:color="000000" w:sz="4" w:space="0"/>
            </w:tcBorders>
            <w:noWrap w:val="0"/>
            <w:vAlign w:val="center"/>
          </w:tcPr>
          <w:p w14:paraId="22AEC1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饭菜质量：很少有冷饭冷菜，没有未熟的饭菜</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75A6321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01146B3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190AD68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7B021C2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18E1014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6A43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08AF966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4D69CB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饭菜价格：价格适中，可以接受</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4181A99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7D9FE1E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38A4CE7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4B56C26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2904D63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5B8E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5C1C312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A4A2D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饭菜种类：主食、菜种类多样，时有更新</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31FA663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64A08AD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5401F4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57002E8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71F1C90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1443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18DC651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6A2908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供餐准时：不影响正常就餐</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14C39F2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2E34EE8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16C80C8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0F56FFF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7AF4A6C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0C59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56149AC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29897E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供餐量充足：未出现下班后没有饭菜的现象</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2E2A3A9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0F149FE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31FADC9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2393188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6F8BF93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7D69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5504D85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434" w:type="pct"/>
            <w:tcBorders>
              <w:top w:val="single" w:color="000000" w:sz="4" w:space="0"/>
              <w:left w:val="single" w:color="000000" w:sz="4" w:space="0"/>
              <w:bottom w:val="single" w:color="000000" w:sz="4" w:space="0"/>
              <w:right w:val="single" w:color="000000" w:sz="4" w:space="0"/>
            </w:tcBorders>
            <w:noWrap w:val="0"/>
            <w:vAlign w:val="center"/>
          </w:tcPr>
          <w:p w14:paraId="72E0DB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食堂卫生情况：地面垃圾、积水清理及时，餐桌清理干净及时</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1E2999C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74E8519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6C4D7F2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7A2D4D9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2C060A6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19B6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nil"/>
              <w:right w:val="single" w:color="000000" w:sz="4" w:space="0"/>
            </w:tcBorders>
            <w:noWrap/>
            <w:vAlign w:val="center"/>
          </w:tcPr>
          <w:p w14:paraId="5DD5E93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434" w:type="pct"/>
            <w:tcBorders>
              <w:top w:val="single" w:color="000000" w:sz="4" w:space="0"/>
              <w:left w:val="single" w:color="000000" w:sz="4" w:space="0"/>
              <w:bottom w:val="nil"/>
              <w:right w:val="single" w:color="000000" w:sz="4" w:space="0"/>
            </w:tcBorders>
            <w:noWrap/>
            <w:vAlign w:val="center"/>
          </w:tcPr>
          <w:p w14:paraId="4DB6A7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工作人员个人卫生：工作服整洁，头发不外漏</w:t>
            </w:r>
          </w:p>
        </w:tc>
        <w:tc>
          <w:tcPr>
            <w:tcW w:w="446" w:type="pct"/>
            <w:tcBorders>
              <w:top w:val="single" w:color="000000" w:sz="4" w:space="0"/>
              <w:left w:val="single" w:color="000000" w:sz="4" w:space="0"/>
              <w:bottom w:val="nil"/>
              <w:right w:val="single" w:color="000000" w:sz="4" w:space="0"/>
            </w:tcBorders>
            <w:noWrap/>
            <w:vAlign w:val="center"/>
          </w:tcPr>
          <w:p w14:paraId="2601012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53E908E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nil"/>
              <w:right w:val="single" w:color="000000" w:sz="4" w:space="0"/>
            </w:tcBorders>
            <w:noWrap/>
            <w:vAlign w:val="center"/>
          </w:tcPr>
          <w:p w14:paraId="4A03E4B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nil"/>
              <w:right w:val="single" w:color="000000" w:sz="4" w:space="0"/>
            </w:tcBorders>
            <w:noWrap/>
            <w:vAlign w:val="center"/>
          </w:tcPr>
          <w:p w14:paraId="50A61BA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nil"/>
              <w:right w:val="single" w:color="000000" w:sz="8" w:space="0"/>
            </w:tcBorders>
            <w:noWrap/>
            <w:vAlign w:val="center"/>
          </w:tcPr>
          <w:p w14:paraId="350A833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227E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8" w:space="0"/>
              <w:bottom w:val="single" w:color="000000" w:sz="4" w:space="0"/>
              <w:right w:val="single" w:color="000000" w:sz="4" w:space="0"/>
            </w:tcBorders>
            <w:noWrap/>
            <w:vAlign w:val="center"/>
          </w:tcPr>
          <w:p w14:paraId="3C6234C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434" w:type="pct"/>
            <w:tcBorders>
              <w:top w:val="single" w:color="000000" w:sz="4" w:space="0"/>
              <w:left w:val="single" w:color="000000" w:sz="4" w:space="0"/>
              <w:bottom w:val="single" w:color="000000" w:sz="4" w:space="0"/>
              <w:right w:val="single" w:color="000000" w:sz="4" w:space="0"/>
            </w:tcBorders>
            <w:noWrap/>
            <w:vAlign w:val="center"/>
          </w:tcPr>
          <w:p w14:paraId="1AE248C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饭菜卫生情况：饭菜中无异物</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61A3387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7C06DC0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138C114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58" w:type="pct"/>
            <w:tcBorders>
              <w:top w:val="single" w:color="000000" w:sz="4" w:space="0"/>
              <w:left w:val="single" w:color="000000" w:sz="4" w:space="0"/>
              <w:bottom w:val="single" w:color="000000" w:sz="4" w:space="0"/>
              <w:right w:val="single" w:color="000000" w:sz="4" w:space="0"/>
            </w:tcBorders>
            <w:noWrap/>
            <w:vAlign w:val="center"/>
          </w:tcPr>
          <w:p w14:paraId="7B931C2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34" w:type="pct"/>
            <w:tcBorders>
              <w:top w:val="single" w:color="000000" w:sz="4" w:space="0"/>
              <w:left w:val="single" w:color="000000" w:sz="4" w:space="0"/>
              <w:bottom w:val="single" w:color="000000" w:sz="4" w:space="0"/>
              <w:right w:val="single" w:color="000000" w:sz="8" w:space="0"/>
            </w:tcBorders>
            <w:noWrap/>
            <w:vAlign w:val="center"/>
          </w:tcPr>
          <w:p w14:paraId="73BE8EB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4C95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7"/>
            <w:tcBorders>
              <w:top w:val="single" w:color="000000" w:sz="4" w:space="0"/>
              <w:left w:val="single" w:color="000000" w:sz="8" w:space="0"/>
              <w:bottom w:val="single" w:color="000000" w:sz="8" w:space="0"/>
              <w:right w:val="single" w:color="000000" w:sz="8" w:space="0"/>
            </w:tcBorders>
            <w:noWrap/>
            <w:vAlign w:val="top"/>
          </w:tcPr>
          <w:p w14:paraId="7097B25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您的部门__________,总评分为_____分；另外，您对食堂还有有哪些意见或建议：</w:t>
            </w:r>
          </w:p>
        </w:tc>
      </w:tr>
    </w:tbl>
    <w:p w14:paraId="288F2458">
      <w:pPr>
        <w:spacing w:line="360" w:lineRule="auto"/>
        <w:jc w:val="center"/>
        <w:rPr>
          <w:rFonts w:hint="eastAsia" w:ascii="宋体" w:hAnsi="宋体" w:eastAsia="宋体" w:cs="宋体"/>
          <w:b/>
          <w:bCs/>
          <w:sz w:val="36"/>
          <w:szCs w:val="36"/>
          <w:highlight w:val="none"/>
        </w:rPr>
      </w:pPr>
    </w:p>
    <w:p w14:paraId="45A52BC0">
      <w:pPr>
        <w:rPr>
          <w:rFonts w:hint="eastAsia" w:ascii="宋体" w:hAnsi="宋体" w:eastAsia="宋体" w:cs="宋体"/>
          <w:b/>
          <w:bCs/>
          <w:snapToGrid w:val="0"/>
          <w:color w:val="auto"/>
          <w:sz w:val="24"/>
          <w:szCs w:val="24"/>
          <w:highlight w:val="none"/>
          <w:lang w:val="en-US" w:eastAsia="zh-CN"/>
        </w:rPr>
      </w:pPr>
    </w:p>
    <w:bookmarkEnd w:id="572"/>
    <w:bookmarkEnd w:id="573"/>
    <w:p w14:paraId="11B227F7">
      <w:pPr>
        <w:pStyle w:val="2"/>
        <w:keepNext/>
        <w:keepLines/>
        <w:pageBreakBefore/>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74" w:name="_Toc1896"/>
      <w:bookmarkStart w:id="575" w:name="_Toc155185895"/>
      <w:r>
        <w:rPr>
          <w:rFonts w:hint="eastAsia" w:ascii="宋体" w:hAnsi="宋体" w:eastAsia="宋体" w:cs="宋体"/>
          <w:b/>
          <w:bCs/>
          <w:color w:val="auto"/>
          <w:kern w:val="44"/>
          <w:sz w:val="36"/>
          <w:szCs w:val="36"/>
          <w:highlight w:val="none"/>
          <w:lang w:val="en-US" w:eastAsia="zh-CN" w:bidi="ar-SA"/>
        </w:rPr>
        <w:t>第四章 资格审查</w:t>
      </w:r>
      <w:bookmarkEnd w:id="574"/>
      <w:bookmarkEnd w:id="575"/>
    </w:p>
    <w:p w14:paraId="2133133E">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76" w:name="_Toc16612"/>
      <w:bookmarkStart w:id="577" w:name="_Toc18381"/>
      <w:r>
        <w:rPr>
          <w:rFonts w:hint="eastAsia" w:ascii="宋体" w:hAnsi="宋体" w:eastAsia="宋体" w:cs="宋体"/>
          <w:color w:val="auto"/>
          <w:sz w:val="28"/>
          <w:szCs w:val="28"/>
          <w:highlight w:val="none"/>
          <w:lang w:val="en-US" w:eastAsia="zh-CN"/>
        </w:rPr>
        <w:t>一、资格审查程序</w:t>
      </w:r>
      <w:bookmarkEnd w:id="576"/>
      <w:bookmarkEnd w:id="577"/>
      <w:r>
        <w:rPr>
          <w:rFonts w:hint="eastAsia" w:ascii="宋体" w:hAnsi="宋体" w:eastAsia="宋体" w:cs="宋体"/>
          <w:color w:val="auto"/>
          <w:sz w:val="28"/>
          <w:szCs w:val="28"/>
          <w:highlight w:val="none"/>
          <w:lang w:val="en-US" w:eastAsia="zh-CN"/>
        </w:rPr>
        <w:t xml:space="preserve"> </w:t>
      </w:r>
    </w:p>
    <w:p w14:paraId="4E4090D3">
      <w:pPr>
        <w:pStyle w:val="40"/>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开标结束后，采购人或采购代理机构将根据《资格审查要求》中的规定，对投标人进行资格审查，并形成资格审查结果。 </w:t>
      </w:r>
    </w:p>
    <w:p w14:paraId="62799CDE">
      <w:pPr>
        <w:pStyle w:val="40"/>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投标人《资格证明文件》有任何一项不符合《资格审查要求》的，资格审查不合格，其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 xml:space="preserve">。 </w:t>
      </w:r>
    </w:p>
    <w:p w14:paraId="37E914D8">
      <w:pPr>
        <w:pStyle w:val="40"/>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资格审查合格的投标人不足 3 家的，不进行评标。 </w:t>
      </w:r>
    </w:p>
    <w:p w14:paraId="1720E868">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bookmarkStart w:id="578" w:name="_Toc10351"/>
      <w:bookmarkStart w:id="579" w:name="_Toc2211"/>
      <w:r>
        <w:rPr>
          <w:rFonts w:hint="eastAsia" w:ascii="宋体" w:hAnsi="宋体" w:eastAsia="宋体" w:cs="宋体"/>
          <w:color w:val="auto"/>
          <w:sz w:val="28"/>
          <w:szCs w:val="28"/>
          <w:highlight w:val="none"/>
          <w:lang w:val="en-US" w:eastAsia="zh-CN"/>
        </w:rPr>
        <w:t>二、资格审查要求</w:t>
      </w:r>
      <w:bookmarkEnd w:id="578"/>
      <w:bookmarkEnd w:id="579"/>
      <w:r>
        <w:rPr>
          <w:rFonts w:hint="eastAsia" w:ascii="宋体" w:hAnsi="宋体" w:eastAsia="宋体" w:cs="宋体"/>
          <w:color w:val="auto"/>
          <w:sz w:val="28"/>
          <w:szCs w:val="28"/>
          <w:highlight w:val="none"/>
          <w:lang w:val="en-US" w:eastAsia="zh-CN"/>
        </w:rPr>
        <w:t xml:space="preserve"> </w:t>
      </w:r>
    </w:p>
    <w:tbl>
      <w:tblPr>
        <w:tblStyle w:val="32"/>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20"/>
        <w:gridCol w:w="1866"/>
        <w:gridCol w:w="5155"/>
        <w:gridCol w:w="1496"/>
      </w:tblGrid>
      <w:tr w14:paraId="4C40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439" w:type="pct"/>
            <w:shd w:val="clear" w:color="auto" w:fill="D8D8D8" w:themeFill="background1" w:themeFillShade="D9"/>
            <w:vAlign w:val="center"/>
          </w:tcPr>
          <w:p w14:paraId="31F150F3">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99" w:type="pct"/>
            <w:shd w:val="clear" w:color="auto" w:fill="D8D8D8" w:themeFill="background1" w:themeFillShade="D9"/>
            <w:vAlign w:val="center"/>
          </w:tcPr>
          <w:p w14:paraId="29694278">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2760" w:type="pct"/>
            <w:shd w:val="clear" w:color="auto" w:fill="D8D8D8" w:themeFill="background1" w:themeFillShade="D9"/>
            <w:vAlign w:val="center"/>
          </w:tcPr>
          <w:p w14:paraId="635BC09B">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801" w:type="pct"/>
            <w:shd w:val="clear" w:color="auto" w:fill="D8D8D8" w:themeFill="background1" w:themeFillShade="D9"/>
            <w:vAlign w:val="center"/>
          </w:tcPr>
          <w:p w14:paraId="6075A15A">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格式要求</w:t>
            </w:r>
          </w:p>
        </w:tc>
      </w:tr>
      <w:tr w14:paraId="696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636EB3B4">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999" w:type="pct"/>
            <w:shd w:val="clear" w:color="auto" w:fill="FFFFFF" w:themeFill="background1"/>
            <w:vAlign w:val="center"/>
          </w:tcPr>
          <w:p w14:paraId="267C1675">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满足《政府采购 </w:t>
            </w:r>
          </w:p>
          <w:p w14:paraId="58A237A7">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法》第二十二条 </w:t>
            </w:r>
          </w:p>
          <w:p w14:paraId="4DBD5590">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规定</w:t>
            </w:r>
          </w:p>
        </w:tc>
        <w:tc>
          <w:tcPr>
            <w:tcW w:w="2760" w:type="pct"/>
            <w:shd w:val="clear" w:color="auto" w:fill="FFFFFF" w:themeFill="background1"/>
            <w:vAlign w:val="center"/>
          </w:tcPr>
          <w:p w14:paraId="215E0855">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具体规定见“第一章 招标公告”</w:t>
            </w:r>
          </w:p>
        </w:tc>
        <w:tc>
          <w:tcPr>
            <w:tcW w:w="801" w:type="pct"/>
            <w:shd w:val="clear" w:color="auto" w:fill="FFFFFF" w:themeFill="background1"/>
            <w:vAlign w:val="center"/>
          </w:tcPr>
          <w:p w14:paraId="24AF5599">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26E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77" w:hRule="atLeast"/>
          <w:jc w:val="center"/>
        </w:trPr>
        <w:tc>
          <w:tcPr>
            <w:tcW w:w="439" w:type="pct"/>
            <w:shd w:val="clear" w:color="auto" w:fill="FFFFFF" w:themeFill="background1"/>
            <w:vAlign w:val="center"/>
          </w:tcPr>
          <w:p w14:paraId="1AF8CF7F">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999" w:type="pct"/>
            <w:shd w:val="clear" w:color="auto" w:fill="FFFFFF" w:themeFill="background1"/>
            <w:vAlign w:val="center"/>
          </w:tcPr>
          <w:p w14:paraId="055CD5DC">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营业执照等证明文件</w:t>
            </w:r>
          </w:p>
        </w:tc>
        <w:tc>
          <w:tcPr>
            <w:tcW w:w="2760" w:type="pct"/>
            <w:shd w:val="clear" w:color="auto" w:fill="FFFFFF" w:themeFill="background1"/>
            <w:vAlign w:val="center"/>
          </w:tcPr>
          <w:p w14:paraId="7DB1C2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投标人为企业（包括合伙企业）的，应提供有效的“营业执照”； </w:t>
            </w:r>
          </w:p>
          <w:p w14:paraId="693E34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投标人为事业单位的，应提供有效的“事业单位法人证书” ； </w:t>
            </w:r>
          </w:p>
          <w:p w14:paraId="0BB375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投标人是非企业机构的，应提供有效的“执业许可证”、“登记证书”等证明文件； </w:t>
            </w:r>
          </w:p>
          <w:p w14:paraId="0667B6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投标人是个体工商户的，应提供有效的“个体工商户营业执照”； </w:t>
            </w:r>
          </w:p>
          <w:p w14:paraId="3CB603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bidi="ar"/>
              </w:rPr>
              <w:t>投标人是自然人的，应提供有效的自然人身份证明。</w:t>
            </w:r>
          </w:p>
        </w:tc>
        <w:tc>
          <w:tcPr>
            <w:tcW w:w="801" w:type="pct"/>
            <w:shd w:val="clear" w:color="auto" w:fill="FFFFFF" w:themeFill="background1"/>
            <w:vAlign w:val="center"/>
          </w:tcPr>
          <w:p w14:paraId="60CD4B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r w14:paraId="54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1B6B10C6">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999" w:type="pct"/>
            <w:shd w:val="clear" w:color="auto" w:fill="FFFFFF" w:themeFill="background1"/>
            <w:vAlign w:val="center"/>
          </w:tcPr>
          <w:p w14:paraId="1BD0E12D">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投标人信用承诺函</w:t>
            </w:r>
          </w:p>
        </w:tc>
        <w:tc>
          <w:tcPr>
            <w:tcW w:w="2760" w:type="pct"/>
            <w:shd w:val="clear" w:color="auto" w:fill="FFFFFF" w:themeFill="background1"/>
            <w:vAlign w:val="center"/>
          </w:tcPr>
          <w:p w14:paraId="041E784F">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提供了符合招标文件要求的《新疆政府采购供应商信用承诺函》。</w:t>
            </w:r>
          </w:p>
        </w:tc>
        <w:tc>
          <w:tcPr>
            <w:tcW w:w="801" w:type="pct"/>
            <w:shd w:val="clear" w:color="auto" w:fill="FFFFFF" w:themeFill="background1"/>
            <w:vAlign w:val="center"/>
          </w:tcPr>
          <w:p w14:paraId="1422A2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 投标文件格式</w:t>
            </w:r>
          </w:p>
        </w:tc>
      </w:tr>
      <w:tr w14:paraId="088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28" w:hRule="atLeast"/>
          <w:jc w:val="center"/>
        </w:trPr>
        <w:tc>
          <w:tcPr>
            <w:tcW w:w="439" w:type="pct"/>
            <w:shd w:val="clear" w:color="auto" w:fill="FFFFFF" w:themeFill="background1"/>
            <w:vAlign w:val="center"/>
          </w:tcPr>
          <w:p w14:paraId="0A4E48AD">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999" w:type="pct"/>
            <w:shd w:val="clear" w:color="auto" w:fill="FFFFFF" w:themeFill="background1"/>
            <w:vAlign w:val="center"/>
          </w:tcPr>
          <w:p w14:paraId="6F347850">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投标人信用记录</w:t>
            </w:r>
          </w:p>
        </w:tc>
        <w:tc>
          <w:tcPr>
            <w:tcW w:w="2760" w:type="pct"/>
            <w:shd w:val="clear" w:color="auto" w:fill="FFFFFF" w:themeFill="background1"/>
            <w:vAlign w:val="center"/>
          </w:tcPr>
          <w:p w14:paraId="747BCCCD">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 xml:space="preserve">查询渠道：信用中国网站和中国政府采购网（ </w:t>
            </w:r>
          </w:p>
          <w:p w14:paraId="4D80C076">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www.creditchina.gov.cn 、www.ccgp.gov.cn）；</w:t>
            </w:r>
            <w:r>
              <w:rPr>
                <w:rFonts w:hint="eastAsia" w:ascii="宋体" w:hAnsi="宋体" w:eastAsia="宋体" w:cs="宋体"/>
                <w:color w:val="auto"/>
                <w:sz w:val="24"/>
                <w:szCs w:val="24"/>
                <w:highlight w:val="none"/>
                <w:lang w:val="en-US" w:eastAsia="zh-CN"/>
              </w:rPr>
              <w:t xml:space="preserve"> </w:t>
            </w:r>
          </w:p>
          <w:p w14:paraId="496D1252">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截止时点：投标截止时间以后、资格审查阶段采购人或采购代理机构的实际查询时间； </w:t>
            </w:r>
          </w:p>
          <w:p w14:paraId="2F28F46E">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信用信息查询记录和证据留存具体方式：查询结果网页打印页作为查询记录和证据，与其他采购文件一并保存； </w:t>
            </w:r>
          </w:p>
          <w:p w14:paraId="1A0058F5">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信用信息的使用原则：经认定的被列入失信被执行人、重大税收违法失信主体、政府采购严重违法失信行为记录名单的投标人，其</w:t>
            </w:r>
            <w:r>
              <w:rPr>
                <w:rFonts w:hint="eastAsia" w:ascii="宋体" w:hAnsi="宋体" w:eastAsia="宋体" w:cs="宋体"/>
                <w:b/>
                <w:bCs/>
                <w:color w:val="auto"/>
                <w:spacing w:val="-6"/>
                <w:sz w:val="24"/>
                <w:szCs w:val="24"/>
                <w:highlight w:val="none"/>
                <w:lang w:val="en-US" w:eastAsia="zh-CN"/>
              </w:rPr>
              <w:t>投标无效</w:t>
            </w:r>
            <w:r>
              <w:rPr>
                <w:rFonts w:hint="eastAsia" w:ascii="宋体" w:hAnsi="宋体" w:eastAsia="宋体" w:cs="宋体"/>
                <w:color w:val="auto"/>
                <w:spacing w:val="-6"/>
                <w:sz w:val="24"/>
                <w:szCs w:val="24"/>
                <w:highlight w:val="none"/>
                <w:lang w:val="en-US" w:eastAsia="zh-CN"/>
              </w:rPr>
              <w:t>。联合体形式投标的，联合体成员存在不良信用记录，视同联合体存在不良信用记录。</w:t>
            </w:r>
          </w:p>
        </w:tc>
        <w:tc>
          <w:tcPr>
            <w:tcW w:w="801" w:type="pct"/>
            <w:shd w:val="clear" w:color="auto" w:fill="FFFFFF" w:themeFill="background1"/>
            <w:vAlign w:val="center"/>
          </w:tcPr>
          <w:p w14:paraId="0D1403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提供网页查询截图</w:t>
            </w:r>
          </w:p>
        </w:tc>
      </w:tr>
      <w:tr w14:paraId="7DDB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330FEA22">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999" w:type="pct"/>
            <w:shd w:val="clear" w:color="auto" w:fill="FFFFFF" w:themeFill="background1"/>
            <w:vAlign w:val="center"/>
          </w:tcPr>
          <w:p w14:paraId="60F45FA7">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2760" w:type="pct"/>
            <w:shd w:val="clear" w:color="auto" w:fill="FFFFFF" w:themeFill="background1"/>
            <w:vAlign w:val="center"/>
          </w:tcPr>
          <w:p w14:paraId="2B64265B">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801" w:type="pct"/>
            <w:shd w:val="clear" w:color="auto" w:fill="FFFFFF" w:themeFill="background1"/>
            <w:vAlign w:val="center"/>
          </w:tcPr>
          <w:p w14:paraId="0ACC3285">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5B37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45F0574F">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999" w:type="pct"/>
            <w:shd w:val="clear" w:color="auto" w:fill="FFFFFF" w:themeFill="background1"/>
            <w:vAlign w:val="center"/>
          </w:tcPr>
          <w:p w14:paraId="004158CF">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落实政府采购政策需满足的资格要求</w:t>
            </w:r>
          </w:p>
        </w:tc>
        <w:tc>
          <w:tcPr>
            <w:tcW w:w="2760" w:type="pct"/>
            <w:shd w:val="clear" w:color="auto" w:fill="FFFFFF" w:themeFill="background1"/>
            <w:vAlign w:val="center"/>
          </w:tcPr>
          <w:p w14:paraId="3E10D772">
            <w:pPr>
              <w:pStyle w:val="52"/>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本项目专门面向小微企业</w:t>
            </w:r>
          </w:p>
        </w:tc>
        <w:tc>
          <w:tcPr>
            <w:tcW w:w="801" w:type="pct"/>
            <w:shd w:val="clear" w:color="auto" w:fill="FFFFFF" w:themeFill="background1"/>
            <w:vAlign w:val="center"/>
          </w:tcPr>
          <w:p w14:paraId="0BFAF045">
            <w:pPr>
              <w:pStyle w:val="5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bl>
    <w:p w14:paraId="21B53EAD">
      <w:pPr>
        <w:pStyle w:val="2"/>
        <w:keepNext/>
        <w:keepLines/>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80" w:name="_Toc155185903"/>
      <w:bookmarkStart w:id="581" w:name="_Toc8136"/>
      <w:r>
        <w:rPr>
          <w:rFonts w:hint="eastAsia" w:ascii="宋体" w:hAnsi="宋体" w:eastAsia="宋体" w:cs="宋体"/>
          <w:b/>
          <w:bCs/>
          <w:color w:val="auto"/>
          <w:kern w:val="44"/>
          <w:sz w:val="36"/>
          <w:szCs w:val="36"/>
          <w:highlight w:val="none"/>
          <w:lang w:val="en-US" w:eastAsia="zh-CN" w:bidi="ar-SA"/>
        </w:rPr>
        <w:t>第五章 评标方法</w:t>
      </w:r>
      <w:bookmarkEnd w:id="580"/>
      <w:r>
        <w:rPr>
          <w:rFonts w:hint="eastAsia" w:ascii="宋体" w:hAnsi="宋体" w:eastAsia="宋体" w:cs="宋体"/>
          <w:b/>
          <w:bCs/>
          <w:color w:val="auto"/>
          <w:kern w:val="44"/>
          <w:sz w:val="36"/>
          <w:szCs w:val="36"/>
          <w:highlight w:val="none"/>
          <w:lang w:val="en-US" w:eastAsia="zh-CN" w:bidi="ar-SA"/>
        </w:rPr>
        <w:t>及标准(综合评分法)</w:t>
      </w:r>
      <w:bookmarkEnd w:id="581"/>
    </w:p>
    <w:p w14:paraId="2BB6F8A4">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根据《中华人民共和国政府采购法》及其实施条例、《政府采购货物和服务招标投标管理办法》</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相关法律法规确定以下评标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040C2DF7">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82" w:name="_Toc2878"/>
      <w:bookmarkStart w:id="583" w:name="_Toc12781"/>
      <w:bookmarkStart w:id="584" w:name="_Toc109900322"/>
      <w:bookmarkStart w:id="585" w:name="_Toc494561962"/>
      <w:bookmarkStart w:id="586" w:name="_Toc109899484"/>
      <w:bookmarkStart w:id="587" w:name="_Toc511894518"/>
      <w:bookmarkStart w:id="588" w:name="_Toc155185905"/>
      <w:bookmarkStart w:id="589" w:name="_Toc140132826"/>
      <w:bookmarkStart w:id="590" w:name="_Toc61280402"/>
      <w:bookmarkStart w:id="591" w:name="_Toc109899903"/>
      <w:bookmarkStart w:id="592" w:name="_Toc272247709"/>
      <w:bookmarkStart w:id="593" w:name="_Toc278891606"/>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582"/>
      <w:bookmarkEnd w:id="583"/>
    </w:p>
    <w:p w14:paraId="40F9AE81">
      <w:pPr>
        <w:pStyle w:val="4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
          <w:bCs/>
          <w:color w:val="auto"/>
          <w:highlight w:val="none"/>
        </w:rPr>
        <w:t>本项目采用综合评分法</w:t>
      </w:r>
      <w:r>
        <w:rPr>
          <w:rFonts w:hint="eastAsia" w:ascii="宋体" w:hAnsi="宋体" w:eastAsia="宋体" w:cs="宋体"/>
          <w:color w:val="auto"/>
          <w:highlight w:val="none"/>
        </w:rPr>
        <w:t>。综合评分法，是指投标文件满足招标文件全部实质性要求，且按照评审因素的量化指标评审得分最高的投标人为中标候选人的评标方法。</w:t>
      </w:r>
    </w:p>
    <w:p w14:paraId="5EC2DCA1">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94" w:name="_Toc2644"/>
      <w:bookmarkStart w:id="595" w:name="_Toc1824"/>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594"/>
      <w:bookmarkEnd w:id="595"/>
    </w:p>
    <w:p w14:paraId="2CEA851A">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96" w:name="_Toc18448"/>
      <w:bookmarkStart w:id="597" w:name="_Toc3127"/>
      <w:bookmarkStart w:id="598" w:name="_Toc9847"/>
      <w:r>
        <w:rPr>
          <w:rFonts w:hint="eastAsia" w:ascii="宋体" w:hAnsi="宋体" w:eastAsia="宋体" w:cs="宋体"/>
          <w:b/>
          <w:bCs/>
          <w:color w:val="auto"/>
          <w:kern w:val="2"/>
          <w:sz w:val="24"/>
          <w:szCs w:val="24"/>
          <w:highlight w:val="none"/>
          <w:lang w:val="zh-CN" w:eastAsia="zh-CN" w:bidi="ar-SA"/>
        </w:rPr>
        <w:t>（一）符合性审查</w:t>
      </w:r>
      <w:bookmarkEnd w:id="596"/>
      <w:bookmarkEnd w:id="597"/>
      <w:bookmarkEnd w:id="598"/>
    </w:p>
    <w:p w14:paraId="0D55CFD2">
      <w:pPr>
        <w:pStyle w:val="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评标委员会应当对</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的投标人的投标文件进行符合性审查，以确定其是否满足招标文件的实质性要求。投标人必须通过符合性审查的全部评审指标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不满足招标文件的实质性要求的，</w:t>
      </w:r>
      <w:r>
        <w:rPr>
          <w:rFonts w:hint="eastAsia" w:ascii="宋体" w:hAnsi="宋体" w:eastAsia="宋体" w:cs="宋体"/>
          <w:color w:val="auto"/>
          <w:sz w:val="24"/>
          <w:szCs w:val="24"/>
          <w:highlight w:val="none"/>
          <w:lang w:val="en-US" w:eastAsia="zh-CN"/>
        </w:rPr>
        <w:t>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具体内容详</w:t>
      </w:r>
      <w:r>
        <w:rPr>
          <w:rFonts w:hint="eastAsia" w:ascii="宋体" w:hAnsi="宋体" w:eastAsia="宋体" w:cs="宋体"/>
          <w:color w:val="auto"/>
          <w:sz w:val="24"/>
          <w:szCs w:val="24"/>
          <w:highlight w:val="none"/>
          <w:lang w:val="zh-CN"/>
        </w:rPr>
        <w:t>本章“</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、评标标准”中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“（一）符合性审查”。</w:t>
      </w:r>
    </w:p>
    <w:p w14:paraId="4E726315">
      <w:pPr>
        <w:pStyle w:val="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符合性审查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不足3家的应当终止采购活动，发布项目终止公告并说明原因，重新开展采购活动。</w:t>
      </w:r>
    </w:p>
    <w:p w14:paraId="34580356">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99" w:name="_Toc102057744"/>
      <w:bookmarkStart w:id="600" w:name="_Toc102116178"/>
      <w:bookmarkStart w:id="601" w:name="_Toc102119879"/>
      <w:bookmarkStart w:id="602" w:name="_Toc102056244"/>
      <w:bookmarkStart w:id="603" w:name="_Toc102114946"/>
      <w:bookmarkStart w:id="604" w:name="_Toc102116048"/>
      <w:bookmarkStart w:id="605" w:name="_Toc155185907"/>
      <w:bookmarkStart w:id="606" w:name="_Toc163492903"/>
      <w:bookmarkStart w:id="607" w:name="_Toc14312"/>
      <w:bookmarkStart w:id="608" w:name="_Toc22868"/>
      <w:bookmarkStart w:id="609" w:name="_Toc2919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599"/>
      <w:bookmarkEnd w:id="600"/>
      <w:bookmarkEnd w:id="601"/>
      <w:bookmarkEnd w:id="602"/>
      <w:bookmarkEnd w:id="603"/>
      <w:bookmarkEnd w:id="604"/>
      <w:bookmarkEnd w:id="605"/>
      <w:r>
        <w:rPr>
          <w:rFonts w:hint="eastAsia" w:ascii="宋体" w:hAnsi="宋体" w:eastAsia="宋体" w:cs="宋体"/>
          <w:b/>
          <w:bCs/>
          <w:color w:val="auto"/>
          <w:kern w:val="2"/>
          <w:sz w:val="24"/>
          <w:szCs w:val="24"/>
          <w:highlight w:val="none"/>
          <w:lang w:val="zh-CN" w:eastAsia="zh-CN" w:bidi="ar-SA"/>
        </w:rPr>
        <w:t>及修正</w:t>
      </w:r>
      <w:bookmarkEnd w:id="606"/>
      <w:bookmarkEnd w:id="607"/>
      <w:bookmarkEnd w:id="608"/>
      <w:bookmarkEnd w:id="609"/>
    </w:p>
    <w:p w14:paraId="0EC9197C">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.评标期间，对于投标文件中含义不明确、同类问题表述不一致或者有明显文字和计算错误的内容需要投标人作出必要的澄清、说明或者补正的，评标委员会应当在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系统中以书面形式要求投标人作出必要的澄清、说明或者补正。</w:t>
      </w:r>
    </w:p>
    <w:p w14:paraId="079329DA">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.投标人应按照评标委员会要求在规定时间内作出澄清、说明或者补正，澄清、说明或者补正不得超出投标文件的范围或者改变投标文件的实质性内容。</w:t>
      </w:r>
    </w:p>
    <w:p w14:paraId="591A6455">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.投标人的澄清、说明或者补正是其投标文件的有效组成部分，澄清、说明或者补正应当在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系统中加盖电子印章后提交。</w:t>
      </w:r>
    </w:p>
    <w:p w14:paraId="3B466024">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.报价合理性说明：评标委员会认为投标人的报价明显低于其他通过符合性审查投标人的报价，有可能影响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质量或者不能诚信履约的，</w:t>
      </w:r>
      <w:r>
        <w:rPr>
          <w:rFonts w:hint="eastAsia" w:ascii="宋体" w:hAnsi="宋体" w:eastAsia="宋体" w:cs="宋体"/>
          <w:color w:val="auto"/>
          <w:sz w:val="24"/>
          <w:szCs w:val="24"/>
          <w:highlight w:val="none"/>
          <w:lang w:val="en-US" w:eastAsia="zh-CN"/>
        </w:rPr>
        <w:t>应当</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该投标人</w:t>
      </w:r>
      <w:r>
        <w:rPr>
          <w:rFonts w:hint="eastAsia" w:ascii="宋体" w:hAnsi="宋体" w:eastAsia="宋体" w:cs="宋体"/>
          <w:color w:val="auto"/>
          <w:sz w:val="24"/>
          <w:szCs w:val="24"/>
          <w:highlight w:val="none"/>
        </w:rPr>
        <w:t>在合理的时间内提供说明，必要时提交相关证明材料；</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投标人不能证明其报价合理性的，评标委员</w:t>
      </w:r>
      <w:r>
        <w:rPr>
          <w:rFonts w:hint="eastAsia" w:ascii="宋体" w:hAnsi="宋体" w:eastAsia="宋体" w:cs="宋体"/>
          <w:color w:val="auto"/>
          <w:sz w:val="24"/>
          <w:szCs w:val="24"/>
          <w:highlight w:val="none"/>
          <w:lang w:val="en-US" w:eastAsia="zh-CN"/>
        </w:rPr>
        <w:t>会应当</w:t>
      </w:r>
      <w:r>
        <w:rPr>
          <w:rFonts w:hint="eastAsia" w:ascii="宋体" w:hAnsi="宋体" w:eastAsia="宋体" w:cs="宋体"/>
          <w:color w:val="auto"/>
          <w:sz w:val="24"/>
          <w:szCs w:val="24"/>
          <w:highlight w:val="none"/>
        </w:rPr>
        <w:t>将其作</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4FD6345C">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7.投标报价须包含招标文件全部内容。评标委员会有权要求投标人在评标现场合理的时间内对此进行书面确认，投标人不确认的，视为将一个采购包中的内容拆分投标，其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15D7E7F">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8.投标文件报价出现前后不一致的，除招标文件另有规定外，按照下列规定修正：</w:t>
      </w:r>
    </w:p>
    <w:p w14:paraId="4D967018">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8.1投标文件中开标一览表（报价表）内容与投标文件中相应内容不一致的，以开标一览表（报价表）为准；</w:t>
      </w:r>
    </w:p>
    <w:p w14:paraId="657B9F51">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8.2大写金额和小写金额不一致的，以大写金额为准；</w:t>
      </w:r>
    </w:p>
    <w:p w14:paraId="628E9D79">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8.3单价金额小数点或者百分比有明显错位的，以开标一览表的总价为准，并修改单价；</w:t>
      </w:r>
    </w:p>
    <w:p w14:paraId="3D45997F">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8.4总价金额与按单价汇总金额不一致的，以单价金额计算结果为准。</w:t>
      </w:r>
    </w:p>
    <w:p w14:paraId="4E5FFFFF">
      <w:pPr>
        <w:pStyle w:val="4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3748C4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10" w:name="_Toc10302"/>
      <w:bookmarkStart w:id="611" w:name="_Toc826"/>
      <w:bookmarkStart w:id="612" w:name="_Toc2624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610"/>
      <w:bookmarkEnd w:id="611"/>
      <w:bookmarkEnd w:id="612"/>
    </w:p>
    <w:p w14:paraId="26C6C6D5">
      <w:pPr>
        <w:pStyle w:val="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评标委员会应当按照招标文件中规定的评标方法和标准，对符合性审查合格的投标文件进行商务和技术评</w:t>
      </w:r>
      <w:r>
        <w:rPr>
          <w:rFonts w:hint="eastAsia" w:ascii="宋体" w:hAnsi="宋体" w:eastAsia="宋体" w:cs="宋体"/>
          <w:color w:val="auto"/>
          <w:highlight w:val="none"/>
          <w:lang w:val="en-US" w:eastAsia="zh-CN"/>
        </w:rPr>
        <w:t>估</w:t>
      </w:r>
      <w:r>
        <w:rPr>
          <w:rFonts w:hint="eastAsia" w:ascii="宋体" w:hAnsi="宋体" w:eastAsia="宋体" w:cs="宋体"/>
          <w:color w:val="auto"/>
          <w:highlight w:val="none"/>
        </w:rPr>
        <w:t>，综合比较与评价</w:t>
      </w:r>
      <w:r>
        <w:rPr>
          <w:rFonts w:hint="eastAsia" w:ascii="宋体" w:hAnsi="宋体" w:eastAsia="宋体" w:cs="宋体"/>
          <w:color w:val="auto"/>
          <w:highlight w:val="none"/>
          <w:lang w:val="en-US" w:eastAsia="zh-CN"/>
        </w:rPr>
        <w:t>；未通过符合性审查的投标文件不得进入比较与评价</w:t>
      </w:r>
      <w:r>
        <w:rPr>
          <w:rFonts w:hint="eastAsia" w:ascii="宋体" w:hAnsi="宋体" w:eastAsia="宋体" w:cs="宋体"/>
          <w:color w:val="auto"/>
          <w:highlight w:val="none"/>
        </w:rPr>
        <w:t>。评审因素包括投标报价、商务技术以及落实政府采购政策。评审因素及标准见本章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标准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66640429">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.有效投标</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不足3家的应按</w:t>
      </w:r>
      <w:r>
        <w:rPr>
          <w:rFonts w:hint="eastAsia" w:ascii="宋体" w:hAnsi="宋体" w:eastAsia="宋体" w:cs="宋体"/>
          <w:b/>
          <w:bCs/>
          <w:color w:val="auto"/>
          <w:highlight w:val="none"/>
        </w:rPr>
        <w:t>废标</w:t>
      </w:r>
      <w:r>
        <w:rPr>
          <w:rFonts w:hint="eastAsia" w:ascii="宋体" w:hAnsi="宋体" w:eastAsia="宋体" w:cs="宋体"/>
          <w:color w:val="auto"/>
          <w:highlight w:val="none"/>
        </w:rPr>
        <w:t>处理。</w:t>
      </w:r>
    </w:p>
    <w:p w14:paraId="7C54BD9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13" w:name="_Toc30347"/>
      <w:bookmarkStart w:id="614" w:name="_Toc14352"/>
      <w:bookmarkStart w:id="615" w:name="_Toc2242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613"/>
      <w:bookmarkEnd w:id="614"/>
      <w:bookmarkEnd w:id="615"/>
    </w:p>
    <w:p w14:paraId="21874171">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投标报价评审</w:t>
      </w:r>
    </w:p>
    <w:p w14:paraId="266BD854">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货物项目的价格分值占总分值的比重不得低于30%。执行国家统一定价标准和采用固定价格采购的项目，其价格不列为评审因素。</w:t>
      </w: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2D86B7AD">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投标报价得分=(评标基准价／投标报价)×价格分值</w:t>
      </w:r>
    </w:p>
    <w:p w14:paraId="0CCB2E48">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4E623B0">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iCs/>
          <w:color w:val="auto"/>
          <w:spacing w:val="-6"/>
          <w:sz w:val="24"/>
          <w:szCs w:val="24"/>
          <w:highlight w:val="none"/>
        </w:rPr>
        <w:t>除算术修正和落实政府采购政策的价格扣除外，不对投标报价进行调整；</w:t>
      </w:r>
    </w:p>
    <w:p w14:paraId="6DDDADCE">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3价格</w:t>
      </w:r>
      <w:r>
        <w:rPr>
          <w:rFonts w:hint="eastAsia" w:ascii="宋体" w:hAnsi="宋体" w:eastAsia="宋体" w:cs="宋体"/>
          <w:color w:val="auto"/>
          <w:sz w:val="24"/>
          <w:szCs w:val="24"/>
          <w:highlight w:val="none"/>
          <w:lang w:eastAsia="zh-CN"/>
        </w:rPr>
        <w:t>分值</w:t>
      </w:r>
      <w:r>
        <w:rPr>
          <w:rFonts w:hint="eastAsia" w:ascii="宋体" w:hAnsi="宋体" w:eastAsia="宋体" w:cs="宋体"/>
          <w:color w:val="auto"/>
          <w:sz w:val="24"/>
          <w:szCs w:val="24"/>
          <w:highlight w:val="none"/>
        </w:rPr>
        <w:t>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0866637">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.政府采购政策评审</w:t>
      </w:r>
    </w:p>
    <w:p w14:paraId="7D57744F">
      <w:pPr>
        <w:pStyle w:val="40"/>
        <w:numPr>
          <w:ilvl w:val="0"/>
          <w:numId w:val="0"/>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.1非专门面向中小企业的采购项目或采购包，对符合规定的小微企业（</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监狱企业、残疾人福利性单位、联合体各方均为小微企业的联合体、符合小微企业划分标准的个体工商户视同小微企业）报价按照本招标文件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须知前附表”中的规定扣除，用扣除后的价格计算评审基准价</w:t>
      </w:r>
      <w:r>
        <w:rPr>
          <w:rFonts w:hint="eastAsia" w:ascii="宋体" w:hAnsi="宋体" w:eastAsia="宋体" w:cs="宋体"/>
          <w:color w:val="auto"/>
          <w:sz w:val="24"/>
          <w:szCs w:val="24"/>
          <w:highlight w:val="none"/>
          <w:lang w:eastAsia="zh-CN"/>
        </w:rPr>
        <w:t>。</w:t>
      </w:r>
    </w:p>
    <w:p w14:paraId="1E5F4E03">
      <w:pPr>
        <w:pStyle w:val="40"/>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宋体" w:hAnsi="宋体" w:eastAsia="宋体" w:cs="宋体"/>
          <w:color w:val="auto"/>
          <w:sz w:val="24"/>
          <w:szCs w:val="24"/>
          <w:highlight w:val="none"/>
          <w:lang w:val="en-US" w:eastAsia="zh-CN"/>
        </w:rPr>
        <w:t>若供应商同时属于小型或微型企业、监狱企业、残疾人福利性单位 中的两种及以上，将不重复享受小微企业价格扣减的优惠政策。</w:t>
      </w:r>
    </w:p>
    <w:p w14:paraId="1A495953">
      <w:pPr>
        <w:pStyle w:val="40"/>
        <w:numPr>
          <w:ilvl w:val="0"/>
          <w:numId w:val="0"/>
        </w:numPr>
        <w:shd w:val="clear" w:color="auto" w:fill="FFFFFF" w:themeFill="background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组成联合体或者接受分包的小微企业与联合体内其他企业、分包企业之间存在直接控股、管理关系的，不享受价格扣除优惠政策。</w:t>
      </w:r>
    </w:p>
    <w:p w14:paraId="74F2F1A2">
      <w:pPr>
        <w:pStyle w:val="40"/>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价格扣除比例对小型企业和微型企业同等对待，不作区分。</w:t>
      </w:r>
    </w:p>
    <w:p w14:paraId="71DD10A8">
      <w:pPr>
        <w:pStyle w:val="4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12.</w:t>
      </w:r>
      <w:r>
        <w:rPr>
          <w:rFonts w:hint="eastAsia" w:ascii="宋体" w:hAnsi="宋体" w:eastAsia="宋体" w:cs="宋体"/>
          <w:iCs/>
          <w:color w:val="auto"/>
          <w:kern w:val="2"/>
          <w:sz w:val="24"/>
          <w:szCs w:val="24"/>
          <w:highlight w:val="none"/>
          <w:shd w:val="clear" w:fill="FFFFFF" w:themeFill="background1"/>
          <w:lang w:val="zh-CN" w:eastAsia="zh-CN" w:bidi="ar-SA"/>
        </w:rPr>
        <w:t>3</w:t>
      </w:r>
      <w:r>
        <w:rPr>
          <w:rFonts w:hint="eastAsia" w:ascii="宋体" w:hAnsi="宋体" w:eastAsia="宋体" w:cs="宋体"/>
          <w:color w:val="auto"/>
          <w:sz w:val="24"/>
          <w:szCs w:val="24"/>
          <w:highlight w:val="none"/>
        </w:rPr>
        <w:t>专门面向中小企业、预留部分采购份额面向中小企业采购的项目或采购包，评审时不再进行价格扣除。</w:t>
      </w:r>
    </w:p>
    <w:p w14:paraId="3874ED83">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宋体" w:hAnsi="宋体" w:eastAsia="宋体" w:cs="宋体"/>
          <w:color w:val="auto"/>
          <w:sz w:val="24"/>
          <w:szCs w:val="24"/>
          <w:highlight w:val="none"/>
          <w:lang w:val="en-US" w:eastAsia="zh-CN"/>
        </w:rPr>
        <w:t>体</w:t>
      </w:r>
      <w:r>
        <w:rPr>
          <w:rFonts w:hint="eastAsia" w:ascii="宋体" w:hAnsi="宋体" w:eastAsia="宋体" w:cs="宋体"/>
          <w:color w:val="auto"/>
          <w:sz w:val="24"/>
          <w:szCs w:val="24"/>
          <w:highlight w:val="none"/>
        </w:rPr>
        <w:t>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或者分包意向协议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8FFFDB">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16" w:name="_Toc3883"/>
      <w:bookmarkStart w:id="617" w:name="_Toc23703"/>
      <w:bookmarkStart w:id="618" w:name="_Toc20725"/>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616"/>
      <w:bookmarkEnd w:id="617"/>
      <w:bookmarkEnd w:id="618"/>
    </w:p>
    <w:p w14:paraId="073A56A5">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评标过程中，各项分值一般精确到小数点后两位，评标得分应为商务评分、技术评分、报价评分之和。评标委员会各成员应汇总每个投标人的得分。</w:t>
      </w:r>
    </w:p>
    <w:p w14:paraId="0BE80DC7">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iCs/>
          <w:color w:val="auto"/>
          <w:spacing w:val="-6"/>
          <w:sz w:val="24"/>
          <w:szCs w:val="24"/>
          <w:highlight w:val="none"/>
        </w:rPr>
        <w:t>评标结果汇总完成后，采购代理机构应对评标结果进行复核。经复核发现存在以下情形之一的，评标委员会应当当场修改评标结果，并在评标报告中记载：</w:t>
      </w:r>
    </w:p>
    <w:p w14:paraId="427128F3">
      <w:pPr>
        <w:pStyle w:val="40"/>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14.1</w:t>
      </w:r>
      <w:r>
        <w:rPr>
          <w:rFonts w:hint="eastAsia" w:ascii="宋体" w:hAnsi="宋体" w:eastAsia="宋体" w:cs="宋体"/>
          <w:color w:val="auto"/>
          <w:sz w:val="24"/>
          <w:szCs w:val="24"/>
          <w:highlight w:val="none"/>
        </w:rPr>
        <w:t>分值汇总计算错误的；</w:t>
      </w:r>
    </w:p>
    <w:p w14:paraId="4404F7B4">
      <w:pPr>
        <w:pStyle w:val="40"/>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14.2</w:t>
      </w:r>
      <w:r>
        <w:rPr>
          <w:rFonts w:hint="eastAsia" w:ascii="宋体" w:hAnsi="宋体" w:eastAsia="宋体" w:cs="宋体"/>
          <w:color w:val="auto"/>
          <w:sz w:val="24"/>
          <w:szCs w:val="24"/>
          <w:highlight w:val="none"/>
        </w:rPr>
        <w:t>分项评分超出评分标准范围的；</w:t>
      </w:r>
    </w:p>
    <w:p w14:paraId="18150CA8">
      <w:pPr>
        <w:pStyle w:val="40"/>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14.3</w:t>
      </w:r>
      <w:r>
        <w:rPr>
          <w:rFonts w:hint="eastAsia" w:ascii="宋体" w:hAnsi="宋体" w:eastAsia="宋体" w:cs="宋体"/>
          <w:color w:val="auto"/>
          <w:sz w:val="24"/>
          <w:szCs w:val="24"/>
          <w:highlight w:val="none"/>
        </w:rPr>
        <w:t>评标委员会成员对客观评审因素评分不一致的；</w:t>
      </w:r>
    </w:p>
    <w:p w14:paraId="6BFAB3DA">
      <w:pPr>
        <w:pStyle w:val="40"/>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14.4</w:t>
      </w:r>
      <w:r>
        <w:rPr>
          <w:rFonts w:hint="eastAsia" w:ascii="宋体" w:hAnsi="宋体" w:eastAsia="宋体" w:cs="宋体"/>
          <w:color w:val="auto"/>
          <w:sz w:val="24"/>
          <w:szCs w:val="24"/>
          <w:highlight w:val="none"/>
        </w:rPr>
        <w:t>经评标委员会认定评分畸高、畸低的。</w:t>
      </w:r>
    </w:p>
    <w:p w14:paraId="0FD26D1C">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各投标人的最终得分为评标委员会所有成员对各投标人评标得分汇总后的算术平均值。</w:t>
      </w:r>
    </w:p>
    <w:p w14:paraId="1FD846A7">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125C5D08">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15.2采购人或者采购代理机构不得通过对样品进行检测、对投标人进行考察等方式改变评审结果。</w:t>
      </w:r>
    </w:p>
    <w:p w14:paraId="5AB9E04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19" w:name="_Toc6168"/>
      <w:bookmarkStart w:id="620" w:name="_Toc23798"/>
      <w:bookmarkStart w:id="621" w:name="_Toc2008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619"/>
      <w:bookmarkEnd w:id="620"/>
      <w:bookmarkEnd w:id="621"/>
    </w:p>
    <w:p w14:paraId="5AEA4BCF">
      <w:pPr>
        <w:pStyle w:val="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w:t>
      </w:r>
      <w:r>
        <w:rPr>
          <w:rFonts w:hint="eastAsia" w:ascii="宋体" w:hAnsi="宋体" w:eastAsia="宋体" w:cs="宋体"/>
          <w:color w:val="auto"/>
          <w:highlight w:val="none"/>
          <w:lang w:val="en-US" w:eastAsia="zh-CN"/>
        </w:rPr>
        <w:t>按</w:t>
      </w:r>
      <w:r>
        <w:rPr>
          <w:rFonts w:hint="eastAsia" w:ascii="宋体" w:hAnsi="宋体" w:eastAsia="宋体" w:cs="宋体"/>
          <w:color w:val="auto"/>
          <w:highlight w:val="none"/>
        </w:rPr>
        <w:t>技术指标</w:t>
      </w:r>
      <w:r>
        <w:rPr>
          <w:rFonts w:hint="eastAsia" w:ascii="宋体" w:hAnsi="宋体" w:eastAsia="宋体" w:cs="宋体"/>
          <w:color w:val="auto"/>
          <w:highlight w:val="none"/>
          <w:lang w:val="en-US" w:eastAsia="zh-CN"/>
        </w:rPr>
        <w:t>优劣顺序排列</w:t>
      </w:r>
      <w:r>
        <w:rPr>
          <w:rFonts w:hint="eastAsia" w:ascii="宋体" w:hAnsi="宋体" w:eastAsia="宋体" w:cs="宋体"/>
          <w:color w:val="auto"/>
          <w:highlight w:val="none"/>
        </w:rPr>
        <w:t>。</w:t>
      </w:r>
    </w:p>
    <w:p w14:paraId="3B1F6C1A">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17.</w:t>
      </w:r>
      <w:r>
        <w:rPr>
          <w:rFonts w:hint="eastAsia" w:ascii="宋体" w:hAnsi="宋体" w:eastAsia="宋体" w:cs="宋体"/>
          <w:color w:val="auto"/>
          <w:highlight w:val="none"/>
        </w:rPr>
        <w:t>中标候选人</w:t>
      </w:r>
      <w:r>
        <w:rPr>
          <w:rFonts w:hint="eastAsia" w:ascii="宋体" w:hAnsi="宋体" w:eastAsia="宋体" w:cs="宋体"/>
          <w:color w:val="auto"/>
          <w:highlight w:val="none"/>
          <w:lang w:val="en-US" w:eastAsia="zh-CN"/>
        </w:rPr>
        <w:t>推荐家数详</w:t>
      </w:r>
      <w:r>
        <w:rPr>
          <w:rFonts w:hint="eastAsia" w:ascii="宋体" w:hAnsi="宋体" w:eastAsia="宋体" w:cs="宋体"/>
          <w:color w:val="auto"/>
          <w:highlight w:val="none"/>
        </w:rPr>
        <w:t>见“</w:t>
      </w:r>
      <w:r>
        <w:rPr>
          <w:rFonts w:hint="eastAsia" w:ascii="宋体" w:hAnsi="宋体" w:eastAsia="宋体" w:cs="宋体"/>
          <w:color w:val="auto"/>
          <w:highlight w:val="none"/>
          <w:lang w:val="en-US" w:eastAsia="zh-CN"/>
        </w:rPr>
        <w:t>投标人须知</w:t>
      </w:r>
      <w:r>
        <w:rPr>
          <w:rFonts w:hint="eastAsia" w:ascii="宋体" w:hAnsi="宋体" w:eastAsia="宋体" w:cs="宋体"/>
          <w:color w:val="auto"/>
          <w:highlight w:val="none"/>
        </w:rPr>
        <w:t>前附表”</w:t>
      </w:r>
      <w:r>
        <w:rPr>
          <w:rFonts w:hint="eastAsia" w:ascii="宋体" w:hAnsi="宋体" w:eastAsia="宋体" w:cs="宋体"/>
          <w:color w:val="auto"/>
          <w:sz w:val="24"/>
          <w:szCs w:val="24"/>
          <w:highlight w:val="none"/>
          <w:lang w:val="en-US" w:eastAsia="zh-CN"/>
        </w:rPr>
        <w:t>。</w:t>
      </w:r>
    </w:p>
    <w:p w14:paraId="1F98E10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22" w:name="_Toc22939"/>
      <w:bookmarkStart w:id="623" w:name="_Toc7794"/>
      <w:bookmarkStart w:id="624" w:name="_Toc1959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622"/>
      <w:bookmarkEnd w:id="623"/>
      <w:bookmarkEnd w:id="624"/>
    </w:p>
    <w:p w14:paraId="3576CABA">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25" w:name="_Toc102116021"/>
      <w:bookmarkStart w:id="626" w:name="_Toc102056217"/>
      <w:bookmarkStart w:id="627" w:name="_Toc102114919"/>
      <w:bookmarkStart w:id="628" w:name="_Toc102119852"/>
      <w:bookmarkStart w:id="629" w:name="_Toc155185913"/>
      <w:bookmarkStart w:id="630" w:name="_Toc11477"/>
      <w:bookmarkStart w:id="631" w:name="_Toc26377"/>
      <w:bookmarkStart w:id="632" w:name="_Toc28512"/>
      <w:bookmarkStart w:id="633" w:name="_Toc163492906"/>
      <w:bookmarkStart w:id="634" w:name="_Toc102116151"/>
      <w:bookmarkStart w:id="635" w:name="_Toc10205771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625"/>
      <w:bookmarkEnd w:id="626"/>
      <w:bookmarkEnd w:id="627"/>
      <w:bookmarkEnd w:id="628"/>
      <w:bookmarkEnd w:id="629"/>
      <w:bookmarkEnd w:id="630"/>
      <w:bookmarkEnd w:id="631"/>
      <w:bookmarkEnd w:id="632"/>
      <w:bookmarkEnd w:id="633"/>
      <w:bookmarkEnd w:id="634"/>
      <w:bookmarkEnd w:id="635"/>
    </w:p>
    <w:p w14:paraId="38B935D1">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20.投标人存在下列情形之一的，</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5C1B2C98">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不具备《中华人民共和国政府采购法》第二十二条规定条件</w:t>
      </w:r>
      <w:r>
        <w:rPr>
          <w:rFonts w:hint="eastAsia" w:ascii="宋体" w:hAnsi="宋体" w:eastAsia="宋体" w:cs="宋体"/>
          <w:color w:val="auto"/>
          <w:sz w:val="24"/>
          <w:szCs w:val="24"/>
          <w:highlight w:val="none"/>
          <w:lang w:val="en-US" w:eastAsia="zh-CN"/>
        </w:rPr>
        <w:t>；</w:t>
      </w:r>
    </w:p>
    <w:p w14:paraId="15C939E8">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投标文件未按招标文件要求签署、盖章的</w:t>
      </w:r>
      <w:r>
        <w:rPr>
          <w:rFonts w:hint="eastAsia" w:ascii="宋体" w:hAnsi="宋体" w:eastAsia="宋体" w:cs="宋体"/>
          <w:color w:val="auto"/>
          <w:sz w:val="24"/>
          <w:szCs w:val="24"/>
          <w:highlight w:val="none"/>
          <w:lang w:val="en-US" w:eastAsia="zh-CN"/>
        </w:rPr>
        <w:t>；</w:t>
      </w:r>
    </w:p>
    <w:p w14:paraId="0A936FC6">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不具备招标文件中规定的资格要求的（投标人未提供有效资格文件的，视为投标人不具备招标文件中规定的资格要求）；</w:t>
      </w:r>
    </w:p>
    <w:p w14:paraId="0C68E355">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文件提供虚假材料的</w:t>
      </w:r>
      <w:r>
        <w:rPr>
          <w:rFonts w:hint="eastAsia" w:ascii="宋体" w:hAnsi="宋体" w:eastAsia="宋体" w:cs="宋体"/>
          <w:color w:val="auto"/>
          <w:sz w:val="24"/>
          <w:szCs w:val="24"/>
          <w:highlight w:val="none"/>
          <w:lang w:val="en-US" w:eastAsia="zh-CN"/>
        </w:rPr>
        <w:t>；</w:t>
      </w:r>
    </w:p>
    <w:p w14:paraId="3FDAE166">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文件不满足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文件中标注“★”号的实质性条款（或指标）要求的</w:t>
      </w:r>
      <w:r>
        <w:rPr>
          <w:rFonts w:hint="eastAsia" w:ascii="宋体" w:hAnsi="宋体" w:eastAsia="宋体" w:cs="宋体"/>
          <w:color w:val="auto"/>
          <w:sz w:val="24"/>
          <w:szCs w:val="24"/>
          <w:highlight w:val="none"/>
          <w:lang w:val="en-US" w:eastAsia="zh-CN"/>
        </w:rPr>
        <w:t>；</w:t>
      </w:r>
    </w:p>
    <w:p w14:paraId="2C5FC304">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报价超过招标文件中规定的最高限价或者预算金额的</w:t>
      </w:r>
      <w:r>
        <w:rPr>
          <w:rFonts w:hint="eastAsia" w:ascii="宋体" w:hAnsi="宋体" w:eastAsia="宋体" w:cs="宋体"/>
          <w:color w:val="auto"/>
          <w:sz w:val="24"/>
          <w:szCs w:val="24"/>
          <w:highlight w:val="none"/>
          <w:lang w:val="en-US" w:eastAsia="zh-CN"/>
        </w:rPr>
        <w:t>；</w:t>
      </w:r>
    </w:p>
    <w:p w14:paraId="6FC2A54F">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7联合体的供应商未提交各方共同签署的</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lang w:val="zh-CN" w:eastAsia="zh-CN"/>
        </w:rPr>
        <w:t>协议</w:t>
      </w:r>
      <w:r>
        <w:rPr>
          <w:rFonts w:hint="eastAsia" w:ascii="宋体" w:hAnsi="宋体" w:eastAsia="宋体" w:cs="宋体"/>
          <w:color w:val="auto"/>
          <w:sz w:val="24"/>
          <w:szCs w:val="24"/>
          <w:highlight w:val="none"/>
          <w:lang w:val="en-US" w:eastAsia="zh-CN"/>
        </w:rPr>
        <w:t>的；</w:t>
      </w:r>
    </w:p>
    <w:p w14:paraId="4D1E7850">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8</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未按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zh-CN" w:eastAsia="zh-CN"/>
        </w:rPr>
        <w:t>交纳投标保证金</w:t>
      </w:r>
      <w:r>
        <w:rPr>
          <w:rFonts w:hint="eastAsia" w:ascii="宋体" w:hAnsi="宋体" w:eastAsia="宋体" w:cs="宋体"/>
          <w:color w:val="auto"/>
          <w:sz w:val="24"/>
          <w:szCs w:val="24"/>
          <w:highlight w:val="none"/>
          <w:lang w:val="en-US" w:eastAsia="zh-CN"/>
        </w:rPr>
        <w:t>的；</w:t>
      </w:r>
    </w:p>
    <w:p w14:paraId="149A35CB">
      <w:pPr>
        <w:pStyle w:val="4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9评审期间,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没有按评标委员会的要求提交经授权代表签字的澄清、说明、补正或改变了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文件的实质性内容</w:t>
      </w:r>
      <w:r>
        <w:rPr>
          <w:rFonts w:hint="eastAsia" w:ascii="宋体" w:hAnsi="宋体" w:eastAsia="宋体" w:cs="宋体"/>
          <w:color w:val="auto"/>
          <w:sz w:val="24"/>
          <w:szCs w:val="24"/>
          <w:highlight w:val="none"/>
          <w:lang w:val="en-US" w:eastAsia="zh-CN"/>
        </w:rPr>
        <w:t>的；</w:t>
      </w:r>
    </w:p>
    <w:p w14:paraId="19EFB935">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对采购人、采购代理机构、评标委员会及其工作人员施加影响,有碍公平、公正</w:t>
      </w:r>
      <w:r>
        <w:rPr>
          <w:rFonts w:hint="eastAsia" w:ascii="宋体" w:hAnsi="宋体" w:eastAsia="宋体" w:cs="宋体"/>
          <w:color w:val="auto"/>
          <w:sz w:val="24"/>
          <w:szCs w:val="24"/>
          <w:highlight w:val="none"/>
          <w:lang w:val="en-US" w:eastAsia="zh-CN"/>
        </w:rPr>
        <w:t>的；</w:t>
      </w:r>
    </w:p>
    <w:p w14:paraId="3A6B2386">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20.11投标文件含有采购人不能接受的附加条件的；</w:t>
      </w:r>
    </w:p>
    <w:p w14:paraId="3764E979">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法律、法规、规章规定属于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无效的其他情形。</w:t>
      </w:r>
    </w:p>
    <w:p w14:paraId="601D7976">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21.有下列情形之一的，视为投标人串通投标，其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BD50610">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21.1不同投标人的投标文件由同一单位或者个人编制；</w:t>
      </w:r>
    </w:p>
    <w:p w14:paraId="31815558">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21.2不同投标人委托同一单位或者个人办理投标事宜；</w:t>
      </w:r>
    </w:p>
    <w:p w14:paraId="3AD20378">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21.3不同投标人的投标文件载明的项目管理成员或者联系人员为同一人；</w:t>
      </w:r>
    </w:p>
    <w:p w14:paraId="3F168EA2">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21.4不同投标人的投标文件异常一致或者投标报价呈规律性差异；</w:t>
      </w:r>
    </w:p>
    <w:p w14:paraId="634E7939">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21.5不同投标人的投标文件相互混装；</w:t>
      </w:r>
    </w:p>
    <w:p w14:paraId="3B078CE3">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21.6不同投标人的投标保证金从同一单位或者个人的账户转出；</w:t>
      </w:r>
    </w:p>
    <w:p w14:paraId="749F838F">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r>
        <w:rPr>
          <w:rFonts w:hint="eastAsia" w:ascii="宋体" w:hAnsi="宋体" w:eastAsia="宋体" w:cs="宋体"/>
          <w:color w:val="auto"/>
          <w:sz w:val="24"/>
          <w:szCs w:val="24"/>
          <w:highlight w:val="none"/>
          <w:lang w:val="zh-CN" w:eastAsia="zh-CN"/>
        </w:rPr>
        <w:t>不同投标人使用同一电脑（机器特征值一致：如MAC地址等）或使用同一电子密钥，编制或上传电子投标文件</w:t>
      </w:r>
      <w:r>
        <w:rPr>
          <w:rFonts w:hint="eastAsia" w:ascii="宋体" w:hAnsi="宋体" w:eastAsia="宋体" w:cs="宋体"/>
          <w:color w:val="auto"/>
          <w:sz w:val="24"/>
          <w:szCs w:val="24"/>
          <w:highlight w:val="none"/>
          <w:lang w:val="en-US" w:eastAsia="zh-CN"/>
        </w:rPr>
        <w:t>；</w:t>
      </w:r>
    </w:p>
    <w:p w14:paraId="2A1BC50E">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21.8法律、法规、规章规定属于投标人串通投标的其他情形</w:t>
      </w:r>
      <w:r>
        <w:rPr>
          <w:rFonts w:hint="eastAsia" w:ascii="宋体" w:hAnsi="宋体" w:eastAsia="宋体" w:cs="宋体"/>
          <w:color w:val="auto"/>
          <w:sz w:val="24"/>
          <w:szCs w:val="24"/>
          <w:highlight w:val="none"/>
          <w:lang w:val="zh-CN" w:eastAsia="zh-CN"/>
        </w:rPr>
        <w:t>。</w:t>
      </w:r>
    </w:p>
    <w:p w14:paraId="737FAF06">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.根据《中华人民共和国政府采购法》第三十六条之规定，在招标采购过程中，出现下列情形之一的，应予</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w:t>
      </w:r>
    </w:p>
    <w:p w14:paraId="2C92042A">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.1符合专业条件的供应商或者对招标文件作实质响应的供应商不足3家的；</w:t>
      </w:r>
    </w:p>
    <w:p w14:paraId="34ECD7A2">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.2出现影响采购公正的违法、违规行为的；</w:t>
      </w:r>
    </w:p>
    <w:p w14:paraId="55223AA1">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.3投标人的报价均超过了采购预算，采购人不能支付的；</w:t>
      </w:r>
    </w:p>
    <w:p w14:paraId="7E486B60">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.4因重大变故，采购任务取消的</w:t>
      </w:r>
      <w:r>
        <w:rPr>
          <w:rFonts w:hint="eastAsia" w:ascii="宋体" w:hAnsi="宋体" w:eastAsia="宋体" w:cs="宋体"/>
          <w:color w:val="auto"/>
          <w:sz w:val="24"/>
          <w:szCs w:val="24"/>
          <w:highlight w:val="none"/>
          <w:lang w:val="en-US" w:eastAsia="zh-CN"/>
        </w:rPr>
        <w:t>；</w:t>
      </w:r>
    </w:p>
    <w:p w14:paraId="42948BC7">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22.5 </w:t>
      </w:r>
      <w:r>
        <w:rPr>
          <w:rFonts w:hint="eastAsia" w:ascii="宋体" w:hAnsi="宋体" w:eastAsia="宋体" w:cs="宋体"/>
          <w:color w:val="auto"/>
          <w:sz w:val="24"/>
          <w:szCs w:val="24"/>
          <w:highlight w:val="none"/>
        </w:rPr>
        <w:t>法律、法规、规章规定属于</w:t>
      </w:r>
      <w:r>
        <w:rPr>
          <w:rFonts w:hint="eastAsia" w:ascii="宋体" w:hAnsi="宋体" w:eastAsia="宋体" w:cs="宋体"/>
          <w:color w:val="auto"/>
          <w:sz w:val="24"/>
          <w:szCs w:val="24"/>
          <w:highlight w:val="none"/>
          <w:lang w:val="en-US" w:eastAsia="zh-CN"/>
        </w:rPr>
        <w:t>废标</w:t>
      </w:r>
      <w:r>
        <w:rPr>
          <w:rFonts w:hint="eastAsia" w:ascii="宋体" w:hAnsi="宋体" w:eastAsia="宋体" w:cs="宋体"/>
          <w:color w:val="auto"/>
          <w:sz w:val="24"/>
          <w:szCs w:val="24"/>
          <w:highlight w:val="none"/>
        </w:rPr>
        <w:t>的其他情形。</w:t>
      </w:r>
    </w:p>
    <w:p w14:paraId="3EE39131">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废标后，采购人应当将废标理由通知所有投标人。</w:t>
      </w:r>
    </w:p>
    <w:p w14:paraId="05AB6DCD">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36" w:name="_Toc102119853"/>
      <w:bookmarkStart w:id="637" w:name="_Toc102057718"/>
      <w:bookmarkStart w:id="638" w:name="_Toc102114920"/>
      <w:bookmarkStart w:id="639" w:name="_Toc102116022"/>
      <w:bookmarkStart w:id="640" w:name="_Toc27130"/>
      <w:bookmarkStart w:id="641" w:name="_Toc163492907"/>
      <w:bookmarkStart w:id="642" w:name="_Toc102116152"/>
      <w:bookmarkStart w:id="643" w:name="_Toc498"/>
      <w:bookmarkStart w:id="644" w:name="_Toc20186"/>
      <w:bookmarkStart w:id="645" w:name="_Toc102056218"/>
      <w:bookmarkStart w:id="646" w:name="_Toc15518591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636"/>
      <w:bookmarkEnd w:id="637"/>
      <w:bookmarkEnd w:id="638"/>
      <w:bookmarkEnd w:id="639"/>
      <w:bookmarkEnd w:id="640"/>
      <w:bookmarkEnd w:id="641"/>
      <w:bookmarkEnd w:id="642"/>
      <w:bookmarkEnd w:id="643"/>
      <w:bookmarkEnd w:id="644"/>
      <w:bookmarkEnd w:id="645"/>
      <w:bookmarkEnd w:id="646"/>
    </w:p>
    <w:p w14:paraId="190044DE">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47" w:name="_Toc8778"/>
      <w:bookmarkStart w:id="648" w:name="_Toc28717"/>
      <w:bookmarkStart w:id="649" w:name="_Toc15371"/>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647"/>
      <w:bookmarkEnd w:id="648"/>
      <w:bookmarkEnd w:id="649"/>
    </w:p>
    <w:p w14:paraId="461B653A">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第七十一条、第七十二条规定的违法行为之一，影响或者可能影响中标结果的，依照下列规定处理：</w:t>
      </w:r>
    </w:p>
    <w:p w14:paraId="7AA5C7C3">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.1未确定中标供应商的，终止本次政府采购活动，重新开展政府采购活动。</w:t>
      </w:r>
    </w:p>
    <w:p w14:paraId="3A794890">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.2已确定中标供应商但尚未签订政府采购合同的，中标结果无效，从合格的中标候选人中另行确定中标供应商；没有合格的中标候选人的，重新开展政府采购活动。</w:t>
      </w:r>
    </w:p>
    <w:p w14:paraId="595100CC">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.3政府采购合同已签订但尚未履行的，撤销合同，从合格的中标候选人中另行确定中标供应商；没有合格的中标候选人的，重新开展政府采购活动。</w:t>
      </w:r>
    </w:p>
    <w:p w14:paraId="45E078B1">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.4政府采购合同已经履行，给采购人、供应商造成损失的，由责任人承担赔偿责任。</w:t>
      </w:r>
    </w:p>
    <w:p w14:paraId="43A428E9">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.5政府采购当事人有其他违反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等法律法规规定的行为，经改正后仍然影响或者可能影响中标结果或者依法被认定为中标无效的，依照</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.4规定处理。</w:t>
      </w:r>
    </w:p>
    <w:bookmarkEnd w:id="584"/>
    <w:bookmarkEnd w:id="585"/>
    <w:bookmarkEnd w:id="586"/>
    <w:bookmarkEnd w:id="587"/>
    <w:bookmarkEnd w:id="588"/>
    <w:bookmarkEnd w:id="589"/>
    <w:bookmarkEnd w:id="590"/>
    <w:bookmarkEnd w:id="591"/>
    <w:bookmarkEnd w:id="592"/>
    <w:bookmarkEnd w:id="593"/>
    <w:p w14:paraId="4D3415E5">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650" w:name="_Toc32267"/>
      <w:bookmarkStart w:id="651" w:name="_Toc155185915"/>
      <w:bookmarkStart w:id="652" w:name="_Toc19817"/>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val="zh-CN" w:eastAsia="zh-CN"/>
        </w:rPr>
        <w:t>、评标标准</w:t>
      </w:r>
      <w:bookmarkEnd w:id="650"/>
      <w:bookmarkEnd w:id="651"/>
      <w:bookmarkEnd w:id="652"/>
    </w:p>
    <w:p w14:paraId="6FC1DEB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53" w:name="_Toc16256"/>
      <w:bookmarkStart w:id="654" w:name="_Toc163492909"/>
      <w:bookmarkStart w:id="655" w:name="_Toc9626"/>
      <w:bookmarkStart w:id="656" w:name="_Toc1043"/>
      <w:r>
        <w:rPr>
          <w:rFonts w:hint="eastAsia" w:ascii="宋体" w:hAnsi="宋体" w:eastAsia="宋体" w:cs="宋体"/>
          <w:b/>
          <w:bCs/>
          <w:color w:val="auto"/>
          <w:kern w:val="2"/>
          <w:sz w:val="24"/>
          <w:szCs w:val="24"/>
          <w:highlight w:val="none"/>
          <w:lang w:val="zh-CN" w:eastAsia="zh-CN" w:bidi="ar-SA"/>
        </w:rPr>
        <w:t>（一）符合性审查表</w:t>
      </w:r>
      <w:bookmarkEnd w:id="653"/>
      <w:bookmarkEnd w:id="654"/>
      <w:bookmarkEnd w:id="655"/>
      <w:bookmarkEnd w:id="656"/>
    </w:p>
    <w:tbl>
      <w:tblPr>
        <w:tblStyle w:val="32"/>
        <w:tblW w:w="5512"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1"/>
        <w:gridCol w:w="1579"/>
        <w:gridCol w:w="5679"/>
        <w:gridCol w:w="727"/>
        <w:gridCol w:w="919"/>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61" w:type="pct"/>
            <w:vMerge w:val="restart"/>
            <w:shd w:val="clear" w:color="auto" w:fill="D8D8D8" w:themeFill="background1" w:themeFillShade="D9"/>
            <w:vAlign w:val="center"/>
          </w:tcPr>
          <w:p w14:paraId="3B188FC3">
            <w:pPr>
              <w:pStyle w:val="52"/>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序号</w:t>
            </w:r>
          </w:p>
        </w:tc>
        <w:tc>
          <w:tcPr>
            <w:tcW w:w="840" w:type="pct"/>
            <w:vMerge w:val="restart"/>
            <w:shd w:val="clear" w:color="auto" w:fill="D8D8D8" w:themeFill="background1" w:themeFillShade="D9"/>
            <w:vAlign w:val="center"/>
          </w:tcPr>
          <w:p w14:paraId="316B5F87">
            <w:pPr>
              <w:pStyle w:val="52"/>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审查项名称</w:t>
            </w:r>
          </w:p>
        </w:tc>
        <w:tc>
          <w:tcPr>
            <w:tcW w:w="3021" w:type="pct"/>
            <w:vMerge w:val="restart"/>
            <w:shd w:val="clear" w:color="auto" w:fill="D8D8D8" w:themeFill="background1" w:themeFillShade="D9"/>
            <w:vAlign w:val="center"/>
          </w:tcPr>
          <w:p w14:paraId="44B32FDC">
            <w:pPr>
              <w:pStyle w:val="52"/>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审查内容</w:t>
            </w:r>
          </w:p>
        </w:tc>
        <w:tc>
          <w:tcPr>
            <w:tcW w:w="876" w:type="pct"/>
            <w:gridSpan w:val="2"/>
            <w:shd w:val="clear" w:color="auto" w:fill="D8D8D8" w:themeFill="background1" w:themeFillShade="D9"/>
            <w:vAlign w:val="center"/>
          </w:tcPr>
          <w:p w14:paraId="2724C461">
            <w:pPr>
              <w:pStyle w:val="5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61" w:type="pct"/>
            <w:vMerge w:val="continue"/>
            <w:shd w:val="clear" w:color="auto" w:fill="D8D8D8" w:themeFill="background1" w:themeFillShade="D9"/>
            <w:vAlign w:val="center"/>
          </w:tcPr>
          <w:p w14:paraId="1859AA86">
            <w:pPr>
              <w:pStyle w:val="52"/>
              <w:jc w:val="center"/>
              <w:rPr>
                <w:rFonts w:hint="eastAsia" w:ascii="宋体" w:hAnsi="宋体" w:eastAsia="宋体" w:cs="宋体"/>
                <w:b/>
                <w:bCs/>
                <w:color w:val="auto"/>
                <w:sz w:val="21"/>
                <w:szCs w:val="21"/>
                <w:highlight w:val="none"/>
                <w:lang w:val="zh-CN"/>
              </w:rPr>
            </w:pPr>
          </w:p>
        </w:tc>
        <w:tc>
          <w:tcPr>
            <w:tcW w:w="840" w:type="pct"/>
            <w:vMerge w:val="continue"/>
            <w:shd w:val="clear" w:color="auto" w:fill="D8D8D8" w:themeFill="background1" w:themeFillShade="D9"/>
            <w:vAlign w:val="center"/>
          </w:tcPr>
          <w:p w14:paraId="51EF0565">
            <w:pPr>
              <w:pStyle w:val="52"/>
              <w:jc w:val="center"/>
              <w:rPr>
                <w:rFonts w:hint="eastAsia" w:ascii="宋体" w:hAnsi="宋体" w:eastAsia="宋体" w:cs="宋体"/>
                <w:b/>
                <w:bCs/>
                <w:color w:val="auto"/>
                <w:sz w:val="21"/>
                <w:szCs w:val="21"/>
                <w:highlight w:val="none"/>
                <w:lang w:val="zh-CN"/>
              </w:rPr>
            </w:pPr>
          </w:p>
        </w:tc>
        <w:tc>
          <w:tcPr>
            <w:tcW w:w="3021" w:type="pct"/>
            <w:vMerge w:val="continue"/>
            <w:shd w:val="clear" w:color="auto" w:fill="D8D8D8" w:themeFill="background1" w:themeFillShade="D9"/>
            <w:vAlign w:val="center"/>
          </w:tcPr>
          <w:p w14:paraId="2128C077">
            <w:pPr>
              <w:pStyle w:val="52"/>
              <w:jc w:val="center"/>
              <w:rPr>
                <w:rFonts w:hint="eastAsia" w:ascii="宋体" w:hAnsi="宋体" w:eastAsia="宋体" w:cs="宋体"/>
                <w:b/>
                <w:bCs/>
                <w:color w:val="auto"/>
                <w:sz w:val="21"/>
                <w:szCs w:val="21"/>
                <w:highlight w:val="none"/>
                <w:lang w:val="zh-CN"/>
              </w:rPr>
            </w:pPr>
          </w:p>
        </w:tc>
        <w:tc>
          <w:tcPr>
            <w:tcW w:w="387" w:type="pct"/>
            <w:shd w:val="clear" w:color="auto" w:fill="D8D8D8" w:themeFill="background1" w:themeFillShade="D9"/>
            <w:vAlign w:val="center"/>
          </w:tcPr>
          <w:p w14:paraId="0CAA21D7">
            <w:pPr>
              <w:pStyle w:val="5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符合</w:t>
            </w:r>
          </w:p>
        </w:tc>
        <w:tc>
          <w:tcPr>
            <w:tcW w:w="489" w:type="pct"/>
            <w:shd w:val="clear" w:color="auto" w:fill="D8D8D8" w:themeFill="background1" w:themeFillShade="D9"/>
            <w:vAlign w:val="center"/>
          </w:tcPr>
          <w:p w14:paraId="15D1F439">
            <w:pPr>
              <w:pStyle w:val="5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1" w:type="pct"/>
            <w:shd w:val="clear" w:color="auto" w:fill="auto"/>
            <w:vAlign w:val="center"/>
          </w:tcPr>
          <w:p w14:paraId="4A515C07">
            <w:pPr>
              <w:pStyle w:val="52"/>
              <w:numPr>
                <w:ilvl w:val="0"/>
                <w:numId w:val="0"/>
              </w:numPr>
              <w:ind w:left="420" w:leftChars="0" w:hanging="42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1</w:t>
            </w:r>
          </w:p>
        </w:tc>
        <w:tc>
          <w:tcPr>
            <w:tcW w:w="840" w:type="pct"/>
            <w:vAlign w:val="center"/>
          </w:tcPr>
          <w:p w14:paraId="5E0E3062">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w:t>
            </w:r>
            <w:r>
              <w:rPr>
                <w:rFonts w:hint="eastAsia" w:ascii="宋体" w:hAnsi="宋体" w:eastAsia="宋体" w:cs="宋体"/>
                <w:color w:val="auto"/>
                <w:sz w:val="21"/>
                <w:szCs w:val="21"/>
                <w:highlight w:val="none"/>
              </w:rPr>
              <w:t>签署</w:t>
            </w:r>
          </w:p>
        </w:tc>
        <w:tc>
          <w:tcPr>
            <w:tcW w:w="3021" w:type="pct"/>
            <w:shd w:val="clear" w:color="auto" w:fill="auto"/>
            <w:vAlign w:val="center"/>
          </w:tcPr>
          <w:p w14:paraId="0FA4ED80">
            <w:pPr>
              <w:pStyle w:val="52"/>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投标文件按招标文件要求签署、盖章的</w:t>
            </w:r>
          </w:p>
        </w:tc>
        <w:tc>
          <w:tcPr>
            <w:tcW w:w="387" w:type="pct"/>
            <w:shd w:val="clear" w:color="auto" w:fill="auto"/>
            <w:vAlign w:val="center"/>
          </w:tcPr>
          <w:p w14:paraId="1E1F1EB1">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35325BAA">
            <w:pPr>
              <w:pStyle w:val="52"/>
              <w:rPr>
                <w:rFonts w:hint="eastAsia" w:ascii="宋体" w:hAnsi="宋体" w:eastAsia="宋体" w:cs="宋体"/>
                <w:color w:val="auto"/>
                <w:sz w:val="21"/>
                <w:szCs w:val="21"/>
                <w:highlight w:val="none"/>
                <w:lang w:val="zh-CN"/>
              </w:rPr>
            </w:pPr>
          </w:p>
        </w:tc>
      </w:tr>
      <w:tr w14:paraId="3F17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261" w:type="pct"/>
            <w:shd w:val="clear" w:color="auto" w:fill="auto"/>
            <w:vAlign w:val="center"/>
          </w:tcPr>
          <w:p w14:paraId="5B53A43D">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w:t>
            </w:r>
          </w:p>
        </w:tc>
        <w:tc>
          <w:tcPr>
            <w:tcW w:w="840" w:type="pct"/>
            <w:shd w:val="clear" w:color="auto" w:fill="auto"/>
            <w:vAlign w:val="center"/>
          </w:tcPr>
          <w:p w14:paraId="54DD2E09">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实质性要求</w:t>
            </w:r>
          </w:p>
        </w:tc>
        <w:tc>
          <w:tcPr>
            <w:tcW w:w="3021" w:type="pct"/>
            <w:shd w:val="clear" w:color="auto" w:fill="auto"/>
            <w:vAlign w:val="center"/>
          </w:tcPr>
          <w:p w14:paraId="3A663F07">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eastAsia="zh-CN"/>
              </w:rPr>
              <w:t>文件中的实质性条款（或指标）要求的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具体详见</w:t>
            </w:r>
            <w:r>
              <w:rPr>
                <w:rFonts w:hint="eastAsia" w:ascii="宋体" w:hAnsi="宋体" w:eastAsia="宋体" w:cs="宋体"/>
                <w:color w:val="auto"/>
                <w:sz w:val="21"/>
                <w:szCs w:val="21"/>
                <w:highlight w:val="none"/>
                <w:lang w:val="zh-CN"/>
              </w:rPr>
              <w:t>“实质性响应一览表”</w:t>
            </w:r>
          </w:p>
        </w:tc>
        <w:tc>
          <w:tcPr>
            <w:tcW w:w="387" w:type="pct"/>
            <w:shd w:val="clear" w:color="auto" w:fill="auto"/>
            <w:vAlign w:val="center"/>
          </w:tcPr>
          <w:p w14:paraId="3F83CD9C">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53C654A1">
            <w:pPr>
              <w:pStyle w:val="52"/>
              <w:rPr>
                <w:rFonts w:hint="eastAsia" w:ascii="宋体" w:hAnsi="宋体" w:eastAsia="宋体" w:cs="宋体"/>
                <w:color w:val="auto"/>
                <w:sz w:val="21"/>
                <w:szCs w:val="21"/>
                <w:highlight w:val="none"/>
                <w:lang w:val="zh-CN"/>
              </w:rPr>
            </w:pPr>
          </w:p>
        </w:tc>
      </w:tr>
      <w:tr w14:paraId="4989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61" w:type="pct"/>
            <w:shd w:val="clear" w:color="auto" w:fill="auto"/>
            <w:vAlign w:val="center"/>
          </w:tcPr>
          <w:p w14:paraId="122BA4D1">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w:t>
            </w:r>
          </w:p>
        </w:tc>
        <w:tc>
          <w:tcPr>
            <w:tcW w:w="840" w:type="pct"/>
            <w:vAlign w:val="center"/>
          </w:tcPr>
          <w:p w14:paraId="0ABAB0FD">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tc>
        <w:tc>
          <w:tcPr>
            <w:tcW w:w="3021" w:type="pct"/>
            <w:shd w:val="clear" w:color="auto" w:fill="auto"/>
            <w:vAlign w:val="center"/>
          </w:tcPr>
          <w:p w14:paraId="3039222D">
            <w:pPr>
              <w:pStyle w:val="5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投标人报价未超过招标文件中规定的最高限价或者预算金额的</w:t>
            </w:r>
          </w:p>
        </w:tc>
        <w:tc>
          <w:tcPr>
            <w:tcW w:w="387" w:type="pct"/>
            <w:shd w:val="clear" w:color="auto" w:fill="auto"/>
            <w:vAlign w:val="center"/>
          </w:tcPr>
          <w:p w14:paraId="45596CE1">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11E76B6F">
            <w:pPr>
              <w:pStyle w:val="52"/>
              <w:rPr>
                <w:rFonts w:hint="eastAsia" w:ascii="宋体" w:hAnsi="宋体" w:eastAsia="宋体" w:cs="宋体"/>
                <w:color w:val="auto"/>
                <w:sz w:val="21"/>
                <w:szCs w:val="21"/>
                <w:highlight w:val="none"/>
                <w:lang w:val="zh-CN"/>
              </w:rPr>
            </w:pPr>
          </w:p>
        </w:tc>
      </w:tr>
      <w:tr w14:paraId="6384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261" w:type="pct"/>
            <w:shd w:val="clear" w:color="auto" w:fill="auto"/>
            <w:vAlign w:val="center"/>
          </w:tcPr>
          <w:p w14:paraId="1C0BF26C">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p>
        </w:tc>
        <w:tc>
          <w:tcPr>
            <w:tcW w:w="840" w:type="pct"/>
            <w:vAlign w:val="center"/>
          </w:tcPr>
          <w:p w14:paraId="49C30112">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虚假材料</w:t>
            </w:r>
          </w:p>
        </w:tc>
        <w:tc>
          <w:tcPr>
            <w:tcW w:w="3021" w:type="pct"/>
            <w:shd w:val="clear" w:color="auto" w:fill="auto"/>
            <w:vAlign w:val="center"/>
          </w:tcPr>
          <w:p w14:paraId="150A9DA0">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提供虚假材料的</w:t>
            </w:r>
          </w:p>
        </w:tc>
        <w:tc>
          <w:tcPr>
            <w:tcW w:w="387" w:type="pct"/>
            <w:shd w:val="clear" w:color="auto" w:fill="auto"/>
            <w:vAlign w:val="center"/>
          </w:tcPr>
          <w:p w14:paraId="36B10A12">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5008BBC1">
            <w:pPr>
              <w:pStyle w:val="52"/>
              <w:rPr>
                <w:rFonts w:hint="eastAsia" w:ascii="宋体" w:hAnsi="宋体" w:eastAsia="宋体" w:cs="宋体"/>
                <w:color w:val="auto"/>
                <w:sz w:val="21"/>
                <w:szCs w:val="21"/>
                <w:highlight w:val="none"/>
                <w:lang w:val="zh-CN"/>
              </w:rPr>
            </w:pPr>
          </w:p>
        </w:tc>
      </w:tr>
      <w:tr w14:paraId="7A54D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261" w:type="pct"/>
            <w:shd w:val="clear" w:color="auto" w:fill="auto"/>
            <w:vAlign w:val="center"/>
          </w:tcPr>
          <w:p w14:paraId="5DF7405B">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840" w:type="pct"/>
            <w:vAlign w:val="center"/>
          </w:tcPr>
          <w:p w14:paraId="3CB15A1D">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3021" w:type="pct"/>
            <w:shd w:val="clear" w:color="auto" w:fill="auto"/>
            <w:vAlign w:val="center"/>
          </w:tcPr>
          <w:p w14:paraId="0EF49674">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投标人按招标文件的规定交纳投标保证金的</w:t>
            </w:r>
          </w:p>
        </w:tc>
        <w:tc>
          <w:tcPr>
            <w:tcW w:w="387" w:type="pct"/>
            <w:shd w:val="clear" w:color="auto" w:fill="auto"/>
            <w:vAlign w:val="center"/>
          </w:tcPr>
          <w:p w14:paraId="37F2653A">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1E4AED58">
            <w:pPr>
              <w:pStyle w:val="52"/>
              <w:rPr>
                <w:rFonts w:hint="eastAsia" w:ascii="宋体" w:hAnsi="宋体" w:eastAsia="宋体" w:cs="宋体"/>
                <w:color w:val="auto"/>
                <w:sz w:val="21"/>
                <w:szCs w:val="21"/>
                <w:highlight w:val="none"/>
                <w:lang w:val="zh-CN"/>
              </w:rPr>
            </w:pPr>
          </w:p>
        </w:tc>
      </w:tr>
      <w:tr w14:paraId="7044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261" w:type="pct"/>
            <w:shd w:val="clear" w:color="auto" w:fill="auto"/>
            <w:vAlign w:val="center"/>
          </w:tcPr>
          <w:p w14:paraId="115CB80E">
            <w:pPr>
              <w:pStyle w:val="52"/>
              <w:numPr>
                <w:ilvl w:val="0"/>
                <w:numId w:val="0"/>
              </w:numPr>
              <w:ind w:left="0" w:leftChars="0"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6</w:t>
            </w:r>
          </w:p>
        </w:tc>
        <w:tc>
          <w:tcPr>
            <w:tcW w:w="840" w:type="pct"/>
            <w:vAlign w:val="center"/>
          </w:tcPr>
          <w:p w14:paraId="5E0526C0">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投标文件的澄清、说明、补正</w:t>
            </w:r>
          </w:p>
        </w:tc>
        <w:tc>
          <w:tcPr>
            <w:tcW w:w="3021" w:type="pct"/>
            <w:shd w:val="clear" w:color="auto" w:fill="auto"/>
            <w:vAlign w:val="center"/>
          </w:tcPr>
          <w:p w14:paraId="69951688">
            <w:pPr>
              <w:pStyle w:val="52"/>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评审期间,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按评标委员会的要求提交经授权代表签字的澄清、说明、补正或</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改变</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文件的实质性内容</w:t>
            </w:r>
          </w:p>
        </w:tc>
        <w:tc>
          <w:tcPr>
            <w:tcW w:w="387" w:type="pct"/>
            <w:shd w:val="clear" w:color="auto" w:fill="auto"/>
            <w:vAlign w:val="center"/>
          </w:tcPr>
          <w:p w14:paraId="17DF499B">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7B15EF49">
            <w:pPr>
              <w:pStyle w:val="52"/>
              <w:rPr>
                <w:rFonts w:hint="eastAsia" w:ascii="宋体" w:hAnsi="宋体" w:eastAsia="宋体" w:cs="宋体"/>
                <w:color w:val="auto"/>
                <w:sz w:val="21"/>
                <w:szCs w:val="21"/>
                <w:highlight w:val="none"/>
                <w:lang w:val="zh-CN"/>
              </w:rPr>
            </w:pPr>
          </w:p>
        </w:tc>
      </w:tr>
      <w:tr w14:paraId="5AEE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261" w:type="pct"/>
            <w:shd w:val="clear" w:color="auto" w:fill="auto"/>
            <w:vAlign w:val="center"/>
          </w:tcPr>
          <w:p w14:paraId="54575570">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7</w:t>
            </w:r>
          </w:p>
        </w:tc>
        <w:tc>
          <w:tcPr>
            <w:tcW w:w="840" w:type="pct"/>
            <w:vAlign w:val="center"/>
          </w:tcPr>
          <w:p w14:paraId="7CFE2454">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投标人影响评标</w:t>
            </w:r>
          </w:p>
        </w:tc>
        <w:tc>
          <w:tcPr>
            <w:tcW w:w="3021" w:type="pct"/>
            <w:shd w:val="clear" w:color="auto" w:fill="auto"/>
            <w:vAlign w:val="center"/>
          </w:tcPr>
          <w:p w14:paraId="1AFF6E69">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对采购人、采购代理机构、评标委员会及其工作人员</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施加影响,</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有碍公平、公正</w:t>
            </w:r>
            <w:r>
              <w:rPr>
                <w:rFonts w:hint="eastAsia" w:ascii="宋体" w:hAnsi="宋体" w:eastAsia="宋体" w:cs="宋体"/>
                <w:color w:val="auto"/>
                <w:sz w:val="21"/>
                <w:szCs w:val="21"/>
                <w:highlight w:val="none"/>
                <w:lang w:val="en-US" w:eastAsia="zh-CN"/>
              </w:rPr>
              <w:t>的</w:t>
            </w:r>
          </w:p>
        </w:tc>
        <w:tc>
          <w:tcPr>
            <w:tcW w:w="387" w:type="pct"/>
            <w:shd w:val="clear" w:color="auto" w:fill="auto"/>
            <w:vAlign w:val="center"/>
          </w:tcPr>
          <w:p w14:paraId="6E7B9E6F">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5E9FCB3A">
            <w:pPr>
              <w:pStyle w:val="52"/>
              <w:rPr>
                <w:rFonts w:hint="eastAsia" w:ascii="宋体" w:hAnsi="宋体" w:eastAsia="宋体" w:cs="宋体"/>
                <w:color w:val="auto"/>
                <w:sz w:val="21"/>
                <w:szCs w:val="21"/>
                <w:highlight w:val="none"/>
                <w:lang w:val="zh-CN"/>
              </w:rPr>
            </w:pPr>
          </w:p>
        </w:tc>
      </w:tr>
      <w:tr w14:paraId="0F96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61" w:type="pct"/>
            <w:shd w:val="clear" w:color="auto" w:fill="auto"/>
            <w:vAlign w:val="center"/>
          </w:tcPr>
          <w:p w14:paraId="6F2212DB">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40" w:type="pct"/>
            <w:vAlign w:val="center"/>
          </w:tcPr>
          <w:p w14:paraId="5065E06D">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围标串标情形</w:t>
            </w:r>
          </w:p>
        </w:tc>
        <w:tc>
          <w:tcPr>
            <w:tcW w:w="3021" w:type="pct"/>
            <w:shd w:val="clear" w:color="auto" w:fill="auto"/>
            <w:vAlign w:val="center"/>
          </w:tcPr>
          <w:p w14:paraId="77FBE461">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“第五章 评标方法及标准”</w:t>
            </w:r>
            <w:r>
              <w:rPr>
                <w:rFonts w:hint="eastAsia" w:ascii="宋体" w:hAnsi="宋体" w:eastAsia="宋体" w:cs="宋体"/>
                <w:color w:val="auto"/>
                <w:sz w:val="21"/>
                <w:szCs w:val="21"/>
                <w:highlight w:val="none"/>
                <w:lang w:val="en-US" w:eastAsia="zh-CN"/>
              </w:rPr>
              <w:t>第21条情形之一的</w:t>
            </w:r>
          </w:p>
        </w:tc>
        <w:tc>
          <w:tcPr>
            <w:tcW w:w="387" w:type="pct"/>
            <w:shd w:val="clear" w:color="auto" w:fill="auto"/>
            <w:vAlign w:val="center"/>
          </w:tcPr>
          <w:p w14:paraId="79393C8F">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77FEE600">
            <w:pPr>
              <w:pStyle w:val="52"/>
              <w:rPr>
                <w:rFonts w:hint="eastAsia" w:ascii="宋体" w:hAnsi="宋体" w:eastAsia="宋体" w:cs="宋体"/>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61" w:type="pct"/>
            <w:shd w:val="clear" w:color="auto" w:fill="auto"/>
            <w:vAlign w:val="center"/>
          </w:tcPr>
          <w:p w14:paraId="332BD4A6">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840" w:type="pct"/>
            <w:vAlign w:val="center"/>
          </w:tcPr>
          <w:p w14:paraId="56EEFE7E">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附加条件</w:t>
            </w:r>
          </w:p>
        </w:tc>
        <w:tc>
          <w:tcPr>
            <w:tcW w:w="3021" w:type="pct"/>
            <w:shd w:val="clear" w:color="auto" w:fill="auto"/>
            <w:vAlign w:val="center"/>
          </w:tcPr>
          <w:p w14:paraId="618DB2FB">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投标文件没有采购人不能接受的附加条件的</w:t>
            </w:r>
          </w:p>
        </w:tc>
        <w:tc>
          <w:tcPr>
            <w:tcW w:w="387" w:type="pct"/>
            <w:shd w:val="clear" w:color="auto" w:fill="auto"/>
            <w:vAlign w:val="center"/>
          </w:tcPr>
          <w:p w14:paraId="36C2A679">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73E4201A">
            <w:pPr>
              <w:pStyle w:val="52"/>
              <w:rPr>
                <w:rFonts w:hint="eastAsia" w:ascii="宋体" w:hAnsi="宋体" w:eastAsia="宋体" w:cs="宋体"/>
                <w:color w:val="auto"/>
                <w:sz w:val="21"/>
                <w:szCs w:val="21"/>
                <w:highlight w:val="none"/>
                <w:lang w:val="zh-CN"/>
              </w:rPr>
            </w:pPr>
          </w:p>
        </w:tc>
      </w:tr>
      <w:tr w14:paraId="1667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261" w:type="pct"/>
            <w:shd w:val="clear" w:color="auto" w:fill="auto"/>
            <w:vAlign w:val="center"/>
          </w:tcPr>
          <w:p w14:paraId="33CCA145">
            <w:pPr>
              <w:pStyle w:val="52"/>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40" w:type="pct"/>
            <w:vAlign w:val="center"/>
          </w:tcPr>
          <w:p w14:paraId="56857957">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其他无效情形</w:t>
            </w:r>
          </w:p>
        </w:tc>
        <w:tc>
          <w:tcPr>
            <w:tcW w:w="3021" w:type="pct"/>
            <w:shd w:val="clear" w:color="auto" w:fill="auto"/>
            <w:vAlign w:val="center"/>
          </w:tcPr>
          <w:p w14:paraId="2D4FAC27">
            <w:pPr>
              <w:pStyle w:val="5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法律、法规、规章规定属于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无效的其他情形。</w:t>
            </w:r>
          </w:p>
        </w:tc>
        <w:tc>
          <w:tcPr>
            <w:tcW w:w="387" w:type="pct"/>
            <w:shd w:val="clear" w:color="auto" w:fill="auto"/>
            <w:vAlign w:val="center"/>
          </w:tcPr>
          <w:p w14:paraId="1AF34C22">
            <w:pPr>
              <w:pStyle w:val="52"/>
              <w:rPr>
                <w:rFonts w:hint="eastAsia" w:ascii="宋体" w:hAnsi="宋体" w:eastAsia="宋体" w:cs="宋体"/>
                <w:color w:val="auto"/>
                <w:sz w:val="21"/>
                <w:szCs w:val="21"/>
                <w:highlight w:val="none"/>
                <w:lang w:val="zh-CN"/>
              </w:rPr>
            </w:pPr>
          </w:p>
        </w:tc>
        <w:tc>
          <w:tcPr>
            <w:tcW w:w="489" w:type="pct"/>
            <w:shd w:val="clear" w:color="auto" w:fill="auto"/>
            <w:vAlign w:val="center"/>
          </w:tcPr>
          <w:p w14:paraId="1DBF61E6">
            <w:pPr>
              <w:pStyle w:val="52"/>
              <w:rPr>
                <w:rFonts w:hint="eastAsia" w:ascii="宋体" w:hAnsi="宋体" w:eastAsia="宋体" w:cs="宋体"/>
                <w:color w:val="auto"/>
                <w:sz w:val="21"/>
                <w:szCs w:val="21"/>
                <w:highlight w:val="none"/>
                <w:lang w:val="zh-CN"/>
              </w:rPr>
            </w:pPr>
          </w:p>
        </w:tc>
      </w:tr>
    </w:tbl>
    <w:p w14:paraId="229FF1AF">
      <w:pPr>
        <w:shd w:val="clear" w:color="auto" w:fill="FFFFFF"/>
        <w:tabs>
          <w:tab w:val="left" w:pos="3045"/>
        </w:tabs>
        <w:autoSpaceDE w:val="0"/>
        <w:autoSpaceDN w:val="0"/>
        <w:adjustRightInd w:val="0"/>
        <w:snapToGrid w:val="0"/>
        <w:spacing w:line="360" w:lineRule="exact"/>
        <w:rPr>
          <w:rFonts w:hint="eastAsia" w:ascii="宋体" w:hAnsi="宋体" w:eastAsia="宋体" w:cs="宋体"/>
          <w:b/>
          <w:color w:val="auto"/>
          <w:sz w:val="24"/>
          <w:highlight w:val="none"/>
        </w:rPr>
      </w:pPr>
    </w:p>
    <w:p w14:paraId="3DB6FBF5">
      <w:pPr>
        <w:shd w:val="clear" w:color="auto" w:fill="FFFFFF"/>
        <w:tabs>
          <w:tab w:val="left" w:pos="3045"/>
        </w:tabs>
        <w:autoSpaceDE w:val="0"/>
        <w:autoSpaceDN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w:t>
      </w:r>
      <w:r>
        <w:rPr>
          <w:rFonts w:hint="eastAsia" w:ascii="宋体" w:hAnsi="宋体" w:eastAsia="宋体" w:cs="宋体"/>
          <w:b/>
          <w:color w:val="auto"/>
          <w:sz w:val="24"/>
          <w:szCs w:val="24"/>
          <w:highlight w:val="none"/>
          <w:lang w:eastAsia="zh-CN"/>
        </w:rPr>
        <w:t>性</w:t>
      </w:r>
      <w:r>
        <w:rPr>
          <w:rFonts w:hint="eastAsia" w:ascii="宋体" w:hAnsi="宋体" w:eastAsia="宋体" w:cs="宋体"/>
          <w:b/>
          <w:color w:val="auto"/>
          <w:sz w:val="24"/>
          <w:szCs w:val="24"/>
          <w:highlight w:val="none"/>
          <w:lang w:val="en-US" w:eastAsia="zh-CN"/>
        </w:rPr>
        <w:t>审查表-</w:t>
      </w:r>
      <w:r>
        <w:rPr>
          <w:rFonts w:hint="eastAsia" w:ascii="宋体" w:hAnsi="宋体" w:eastAsia="宋体" w:cs="宋体"/>
          <w:b/>
          <w:color w:val="auto"/>
          <w:sz w:val="24"/>
          <w:szCs w:val="24"/>
          <w:highlight w:val="none"/>
        </w:rPr>
        <w:t>附表</w:t>
      </w:r>
    </w:p>
    <w:p w14:paraId="70584E38">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宋体"/>
          <w:b/>
          <w:bCs/>
          <w:color w:val="auto"/>
          <w:kern w:val="2"/>
          <w:sz w:val="28"/>
          <w:szCs w:val="28"/>
          <w:highlight w:val="none"/>
          <w:lang w:val="zh-CN" w:eastAsia="zh-CN" w:bidi="ar-SA"/>
        </w:rPr>
      </w:pPr>
      <w:bookmarkStart w:id="657" w:name="_Toc27371"/>
      <w:bookmarkStart w:id="658" w:name="_Toc3959"/>
      <w:bookmarkStart w:id="659" w:name="_Toc10068"/>
      <w:r>
        <w:rPr>
          <w:rFonts w:hint="eastAsia" w:ascii="宋体" w:hAnsi="宋体" w:eastAsia="宋体" w:cs="宋体"/>
          <w:b/>
          <w:bCs/>
          <w:color w:val="auto"/>
          <w:kern w:val="2"/>
          <w:sz w:val="28"/>
          <w:szCs w:val="28"/>
          <w:highlight w:val="none"/>
          <w:lang w:val="zh-CN" w:eastAsia="zh-CN" w:bidi="ar-SA"/>
        </w:rPr>
        <w:t>实质性响应一览表</w:t>
      </w:r>
      <w:bookmarkEnd w:id="657"/>
      <w:bookmarkEnd w:id="658"/>
      <w:bookmarkEnd w:id="659"/>
    </w:p>
    <w:p w14:paraId="7DFD9111">
      <w:pPr>
        <w:shd w:val="clear" w:color="auto" w:fill="FFFFFF"/>
        <w:tabs>
          <w:tab w:val="left" w:pos="3045"/>
        </w:tabs>
        <w:autoSpaceDE w:val="0"/>
        <w:autoSpaceDN w:val="0"/>
        <w:adjustRightInd w:val="0"/>
        <w:snapToGrid w:val="0"/>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rPr>
        <w:t>须对本附表所有内容逐条响应且无负偏离，否则</w:t>
      </w:r>
      <w:r>
        <w:rPr>
          <w:rFonts w:hint="eastAsia" w:ascii="宋体" w:hAnsi="宋体" w:eastAsia="宋体" w:cs="宋体"/>
          <w:b w:val="0"/>
          <w:bCs/>
          <w:color w:val="auto"/>
          <w:sz w:val="24"/>
          <w:szCs w:val="24"/>
          <w:highlight w:val="none"/>
          <w:lang w:val="en-US" w:eastAsia="zh-CN"/>
        </w:rPr>
        <w:t>其</w:t>
      </w:r>
      <w:r>
        <w:rPr>
          <w:rFonts w:hint="eastAsia" w:ascii="宋体" w:hAnsi="宋体" w:eastAsia="宋体" w:cs="宋体"/>
          <w:b/>
          <w:bCs w:val="0"/>
          <w:color w:val="auto"/>
          <w:sz w:val="24"/>
          <w:szCs w:val="24"/>
          <w:highlight w:val="none"/>
        </w:rPr>
        <w:t>投标无效</w:t>
      </w:r>
      <w:r>
        <w:rPr>
          <w:rFonts w:hint="eastAsia" w:ascii="宋体" w:hAnsi="宋体" w:eastAsia="宋体" w:cs="宋体"/>
          <w:b w:val="0"/>
          <w:bCs/>
          <w:color w:val="auto"/>
          <w:sz w:val="24"/>
          <w:szCs w:val="24"/>
          <w:highlight w:val="none"/>
        </w:rPr>
        <w:t>）</w:t>
      </w:r>
    </w:p>
    <w:p w14:paraId="212CF784">
      <w:pPr>
        <w:pStyle w:val="26"/>
        <w:rPr>
          <w:rFonts w:hint="eastAsia" w:ascii="宋体" w:hAnsi="宋体" w:eastAsia="宋体" w:cs="宋体"/>
          <w:color w:val="auto"/>
          <w:sz w:val="24"/>
          <w:szCs w:val="24"/>
          <w:highlight w:val="none"/>
        </w:rPr>
      </w:pPr>
    </w:p>
    <w:tbl>
      <w:tblPr>
        <w:tblStyle w:val="32"/>
        <w:tblW w:w="5435"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4259"/>
        <w:gridCol w:w="1873"/>
        <w:gridCol w:w="732"/>
      </w:tblGrid>
      <w:tr w14:paraId="098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 w:type="pct"/>
            <w:vMerge w:val="restart"/>
            <w:noWrap w:val="0"/>
            <w:vAlign w:val="center"/>
          </w:tcPr>
          <w:p w14:paraId="7CE32AA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373" w:type="pct"/>
            <w:gridSpan w:val="2"/>
            <w:noWrap w:val="0"/>
            <w:vAlign w:val="center"/>
          </w:tcPr>
          <w:p w14:paraId="01AF850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招标文件要求的实质性响应内容</w:t>
            </w:r>
          </w:p>
        </w:tc>
        <w:tc>
          <w:tcPr>
            <w:tcW w:w="1010" w:type="pct"/>
            <w:vMerge w:val="restart"/>
            <w:noWrap w:val="0"/>
            <w:vAlign w:val="center"/>
          </w:tcPr>
          <w:p w14:paraId="2428BDF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具体内容</w:t>
            </w:r>
          </w:p>
        </w:tc>
        <w:tc>
          <w:tcPr>
            <w:tcW w:w="395" w:type="pct"/>
            <w:vMerge w:val="restart"/>
            <w:noWrap w:val="0"/>
            <w:vAlign w:val="center"/>
          </w:tcPr>
          <w:p w14:paraId="2BD3180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F6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0" w:type="pct"/>
            <w:vMerge w:val="continue"/>
            <w:noWrap w:val="0"/>
            <w:vAlign w:val="center"/>
          </w:tcPr>
          <w:p w14:paraId="03EF40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075" w:type="pct"/>
            <w:shd w:val="clear" w:color="auto" w:fill="auto"/>
            <w:noWrap w:val="0"/>
            <w:vAlign w:val="center"/>
          </w:tcPr>
          <w:p w14:paraId="5FC570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实质性要求</w:t>
            </w:r>
          </w:p>
        </w:tc>
        <w:tc>
          <w:tcPr>
            <w:tcW w:w="2298" w:type="pct"/>
            <w:shd w:val="clear" w:color="auto" w:fill="auto"/>
            <w:noWrap w:val="0"/>
            <w:vAlign w:val="center"/>
          </w:tcPr>
          <w:p w14:paraId="19DBC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招标文件中的规定</w:t>
            </w:r>
          </w:p>
        </w:tc>
        <w:tc>
          <w:tcPr>
            <w:tcW w:w="1010" w:type="pct"/>
            <w:vMerge w:val="continue"/>
            <w:noWrap w:val="0"/>
            <w:vAlign w:val="center"/>
          </w:tcPr>
          <w:p w14:paraId="6263BFD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vMerge w:val="continue"/>
            <w:noWrap w:val="0"/>
            <w:vAlign w:val="center"/>
          </w:tcPr>
          <w:p w14:paraId="1B79935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r>
      <w:tr w14:paraId="0E7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0" w:type="pct"/>
            <w:noWrap w:val="0"/>
            <w:vAlign w:val="center"/>
          </w:tcPr>
          <w:p w14:paraId="7ECA803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shd w:val="clear" w:color="auto" w:fill="auto"/>
            <w:noWrap w:val="0"/>
            <w:vAlign w:val="center"/>
          </w:tcPr>
          <w:p w14:paraId="6264251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2298" w:type="pct"/>
            <w:shd w:val="clear" w:color="auto" w:fill="auto"/>
            <w:noWrap w:val="0"/>
            <w:vAlign w:val="center"/>
          </w:tcPr>
          <w:p w14:paraId="3517C39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招标文件“第二章投标须知”关于投标有效期的规定</w:t>
            </w:r>
          </w:p>
        </w:tc>
        <w:tc>
          <w:tcPr>
            <w:tcW w:w="1010" w:type="pct"/>
            <w:noWrap w:val="0"/>
            <w:vAlign w:val="center"/>
          </w:tcPr>
          <w:p w14:paraId="3F7DA8E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729A312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671C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20" w:type="pct"/>
            <w:noWrap w:val="0"/>
            <w:vAlign w:val="center"/>
          </w:tcPr>
          <w:p w14:paraId="7956169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shd w:val="clear" w:color="auto" w:fill="auto"/>
            <w:noWrap w:val="0"/>
            <w:vAlign w:val="center"/>
          </w:tcPr>
          <w:p w14:paraId="7FB35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服务期</w:t>
            </w:r>
          </w:p>
        </w:tc>
        <w:tc>
          <w:tcPr>
            <w:tcW w:w="2298" w:type="pct"/>
            <w:shd w:val="clear" w:color="auto" w:fill="auto"/>
            <w:noWrap w:val="0"/>
            <w:vAlign w:val="center"/>
          </w:tcPr>
          <w:p w14:paraId="119C00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w:t>
            </w:r>
            <w:r>
              <w:rPr>
                <w:rFonts w:hint="eastAsia" w:ascii="宋体" w:hAnsi="宋体" w:eastAsia="宋体" w:cs="宋体"/>
                <w:i w:val="0"/>
                <w:iCs w:val="0"/>
                <w:color w:val="auto"/>
                <w:sz w:val="21"/>
                <w:szCs w:val="21"/>
                <w:highlight w:val="none"/>
                <w:lang w:val="en-US" w:eastAsia="zh-CN"/>
              </w:rPr>
              <w:t>供货期</w:t>
            </w:r>
            <w:r>
              <w:rPr>
                <w:rFonts w:hint="eastAsia" w:ascii="宋体" w:hAnsi="宋体" w:eastAsia="宋体" w:cs="宋体"/>
                <w:color w:val="auto"/>
                <w:sz w:val="21"/>
                <w:szCs w:val="21"/>
                <w:highlight w:val="none"/>
                <w:lang w:val="en-US" w:eastAsia="zh-CN"/>
              </w:rPr>
              <w:t>的规定</w:t>
            </w:r>
          </w:p>
        </w:tc>
        <w:tc>
          <w:tcPr>
            <w:tcW w:w="1010" w:type="pct"/>
            <w:noWrap w:val="0"/>
            <w:vAlign w:val="center"/>
          </w:tcPr>
          <w:p w14:paraId="5BB8900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0E4E117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3505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0" w:type="pct"/>
            <w:shd w:val="clear" w:color="auto" w:fill="auto"/>
            <w:noWrap w:val="0"/>
            <w:vAlign w:val="center"/>
          </w:tcPr>
          <w:p w14:paraId="7D5DC93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075" w:type="pct"/>
            <w:shd w:val="clear" w:color="auto" w:fill="auto"/>
            <w:noWrap w:val="0"/>
            <w:vAlign w:val="center"/>
          </w:tcPr>
          <w:p w14:paraId="505EE26A">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服务地点</w:t>
            </w:r>
          </w:p>
        </w:tc>
        <w:tc>
          <w:tcPr>
            <w:tcW w:w="2298" w:type="pct"/>
            <w:shd w:val="clear" w:color="auto" w:fill="auto"/>
            <w:noWrap w:val="0"/>
            <w:vAlign w:val="center"/>
          </w:tcPr>
          <w:p w14:paraId="324EF1FF">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招标文件“第二章投标须知”关于服务地点的规定</w:t>
            </w:r>
          </w:p>
        </w:tc>
        <w:tc>
          <w:tcPr>
            <w:tcW w:w="1010" w:type="pct"/>
            <w:noWrap w:val="0"/>
            <w:vAlign w:val="center"/>
          </w:tcPr>
          <w:p w14:paraId="042BD64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458E18A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0126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4A010C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075" w:type="pct"/>
            <w:shd w:val="clear" w:color="auto" w:fill="auto"/>
            <w:noWrap w:val="0"/>
            <w:vAlign w:val="center"/>
          </w:tcPr>
          <w:p w14:paraId="127FA67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投标保证金</w:t>
            </w:r>
          </w:p>
        </w:tc>
        <w:tc>
          <w:tcPr>
            <w:tcW w:w="2298" w:type="pct"/>
            <w:shd w:val="clear" w:color="auto" w:fill="auto"/>
            <w:noWrap w:val="0"/>
            <w:vAlign w:val="center"/>
          </w:tcPr>
          <w:p w14:paraId="723D0D7F">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w:t>
            </w:r>
            <w:r>
              <w:rPr>
                <w:rFonts w:hint="eastAsia" w:ascii="宋体" w:hAnsi="宋体" w:eastAsia="宋体" w:cs="宋体"/>
                <w:color w:val="auto"/>
                <w:kern w:val="2"/>
                <w:sz w:val="21"/>
                <w:szCs w:val="21"/>
                <w:highlight w:val="none"/>
                <w:lang w:val="en-US" w:eastAsia="zh-CN" w:bidi="ar-SA"/>
              </w:rPr>
              <w:t>投标保证金</w:t>
            </w:r>
            <w:r>
              <w:rPr>
                <w:rFonts w:hint="eastAsia" w:ascii="宋体" w:hAnsi="宋体" w:eastAsia="宋体" w:cs="宋体"/>
                <w:color w:val="auto"/>
                <w:sz w:val="21"/>
                <w:szCs w:val="21"/>
                <w:highlight w:val="none"/>
                <w:lang w:val="en-US" w:eastAsia="zh-CN"/>
              </w:rPr>
              <w:t>的规定</w:t>
            </w:r>
          </w:p>
        </w:tc>
        <w:tc>
          <w:tcPr>
            <w:tcW w:w="1010" w:type="pct"/>
            <w:noWrap w:val="0"/>
            <w:vAlign w:val="center"/>
          </w:tcPr>
          <w:p w14:paraId="6E29F27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63A4B6F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188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0" w:type="pct"/>
            <w:shd w:val="clear" w:color="auto" w:fill="auto"/>
            <w:noWrap w:val="0"/>
            <w:vAlign w:val="center"/>
          </w:tcPr>
          <w:p w14:paraId="7D889D6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075" w:type="pct"/>
            <w:noWrap w:val="0"/>
            <w:vAlign w:val="center"/>
          </w:tcPr>
          <w:p w14:paraId="1BACAB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p>
        </w:tc>
        <w:tc>
          <w:tcPr>
            <w:tcW w:w="2298" w:type="pct"/>
            <w:noWrap w:val="0"/>
            <w:vAlign w:val="center"/>
          </w:tcPr>
          <w:p w14:paraId="6AF4E488">
            <w:pPr>
              <w:pStyle w:val="76"/>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1"/>
                <w:szCs w:val="21"/>
                <w:highlight w:val="none"/>
                <w:lang w:val="en-US" w:eastAsia="zh-CN" w:bidi="ar-SA"/>
              </w:rPr>
            </w:pPr>
          </w:p>
        </w:tc>
        <w:tc>
          <w:tcPr>
            <w:tcW w:w="1010" w:type="pct"/>
            <w:noWrap w:val="0"/>
            <w:vAlign w:val="center"/>
          </w:tcPr>
          <w:p w14:paraId="5791DDF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FAB139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7D8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1D658F7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075" w:type="pct"/>
            <w:noWrap w:val="0"/>
            <w:vAlign w:val="center"/>
          </w:tcPr>
          <w:p w14:paraId="76B2B25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p>
        </w:tc>
        <w:tc>
          <w:tcPr>
            <w:tcW w:w="2298" w:type="pct"/>
            <w:noWrap w:val="0"/>
            <w:vAlign w:val="center"/>
          </w:tcPr>
          <w:p w14:paraId="080CF7F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p>
        </w:tc>
        <w:tc>
          <w:tcPr>
            <w:tcW w:w="1010" w:type="pct"/>
            <w:noWrap w:val="0"/>
            <w:vAlign w:val="center"/>
          </w:tcPr>
          <w:p w14:paraId="404E91E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B03ECB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581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A12EC9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075" w:type="pct"/>
            <w:noWrap w:val="0"/>
            <w:vAlign w:val="center"/>
          </w:tcPr>
          <w:p w14:paraId="0BFE6DF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p>
        </w:tc>
        <w:tc>
          <w:tcPr>
            <w:tcW w:w="2298" w:type="pct"/>
            <w:noWrap w:val="0"/>
            <w:vAlign w:val="center"/>
          </w:tcPr>
          <w:p w14:paraId="70263471">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1"/>
                <w:szCs w:val="21"/>
                <w:highlight w:val="none"/>
                <w:lang w:val="en-US" w:eastAsia="zh-CN"/>
              </w:rPr>
            </w:pPr>
          </w:p>
        </w:tc>
        <w:tc>
          <w:tcPr>
            <w:tcW w:w="1010" w:type="pct"/>
            <w:noWrap w:val="0"/>
            <w:vAlign w:val="center"/>
          </w:tcPr>
          <w:p w14:paraId="7D8F15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F0FDAA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409E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0" w:type="pct"/>
            <w:noWrap w:val="0"/>
            <w:vAlign w:val="center"/>
          </w:tcPr>
          <w:p w14:paraId="225EEE9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c>
          <w:tcPr>
            <w:tcW w:w="1075" w:type="pct"/>
            <w:shd w:val="clear" w:color="auto" w:fill="auto"/>
            <w:noWrap w:val="0"/>
            <w:vAlign w:val="center"/>
          </w:tcPr>
          <w:p w14:paraId="4AA8125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zh-CN" w:eastAsia="zh-CN"/>
              </w:rPr>
            </w:pPr>
          </w:p>
        </w:tc>
        <w:tc>
          <w:tcPr>
            <w:tcW w:w="2298" w:type="pct"/>
            <w:noWrap w:val="0"/>
            <w:vAlign w:val="center"/>
          </w:tcPr>
          <w:p w14:paraId="5D3B3A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tc>
        <w:tc>
          <w:tcPr>
            <w:tcW w:w="1010" w:type="pct"/>
            <w:noWrap w:val="0"/>
            <w:vAlign w:val="center"/>
          </w:tcPr>
          <w:p w14:paraId="22A79CB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1D5F24C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bl>
    <w:p w14:paraId="6BF21A77">
      <w:pPr>
        <w:rPr>
          <w:rFonts w:hint="eastAsia" w:ascii="宋体" w:hAnsi="宋体" w:eastAsia="宋体" w:cs="宋体"/>
          <w:b/>
          <w:bCs/>
          <w:color w:val="auto"/>
          <w:highlight w:val="none"/>
          <w:lang w:val="en-US" w:eastAsia="zh-CN"/>
        </w:rPr>
      </w:pPr>
    </w:p>
    <w:p w14:paraId="73C7580B">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注：“实质性响应一览表”中的内容为参考，可根据项目情况自行设置。</w:t>
      </w:r>
    </w:p>
    <w:p w14:paraId="48517D6B">
      <w:pPr>
        <w:shd w:val="clear" w:color="auto" w:fill="FFFFFF"/>
        <w:tabs>
          <w:tab w:val="left" w:pos="3045"/>
        </w:tabs>
        <w:autoSpaceDE w:val="0"/>
        <w:autoSpaceDN w:val="0"/>
        <w:adjustRightInd w:val="0"/>
        <w:snapToGrid w:val="0"/>
        <w:spacing w:line="360" w:lineRule="exact"/>
        <w:rPr>
          <w:rFonts w:hint="eastAsia" w:ascii="宋体" w:hAnsi="宋体" w:eastAsia="宋体" w:cs="宋体"/>
          <w:b/>
          <w:bCs/>
          <w:color w:val="auto"/>
          <w:kern w:val="2"/>
          <w:sz w:val="30"/>
          <w:szCs w:val="32"/>
          <w:highlight w:val="none"/>
          <w:lang w:val="zh-CN" w:eastAsia="zh-CN" w:bidi="ar-SA"/>
        </w:rPr>
      </w:pPr>
      <w:bookmarkStart w:id="660" w:name="_Toc155185917"/>
      <w:bookmarkStart w:id="661" w:name="_Toc163492910"/>
      <w:r>
        <w:rPr>
          <w:rFonts w:hint="eastAsia" w:ascii="宋体" w:hAnsi="宋体" w:eastAsia="宋体" w:cs="宋体"/>
          <w:b/>
          <w:bCs/>
          <w:color w:val="auto"/>
          <w:kern w:val="2"/>
          <w:sz w:val="30"/>
          <w:szCs w:val="32"/>
          <w:highlight w:val="none"/>
          <w:lang w:val="zh-CN" w:eastAsia="zh-CN" w:bidi="ar-SA"/>
        </w:rPr>
        <w:br w:type="page"/>
      </w:r>
    </w:p>
    <w:p w14:paraId="3FE0903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662" w:name="_Toc25003"/>
      <w:bookmarkStart w:id="663" w:name="_Toc10178"/>
      <w:bookmarkStart w:id="664" w:name="_Toc21870"/>
      <w:r>
        <w:rPr>
          <w:rFonts w:hint="eastAsia" w:ascii="宋体" w:hAnsi="宋体" w:eastAsia="宋体" w:cs="宋体"/>
          <w:b/>
          <w:bCs/>
          <w:color w:val="auto"/>
          <w:kern w:val="2"/>
          <w:sz w:val="24"/>
          <w:szCs w:val="24"/>
          <w:highlight w:val="none"/>
          <w:lang w:val="zh-CN" w:eastAsia="zh-CN" w:bidi="ar-SA"/>
        </w:rPr>
        <w:t>（二）评分标准</w:t>
      </w:r>
      <w:bookmarkEnd w:id="660"/>
      <w:bookmarkEnd w:id="661"/>
      <w:bookmarkEnd w:id="662"/>
      <w:bookmarkEnd w:id="663"/>
      <w:bookmarkEnd w:id="664"/>
    </w:p>
    <w:p w14:paraId="06EEC6BD">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注：以下评标分项根据项目实际情况可自行设置。</w:t>
      </w:r>
    </w:p>
    <w:tbl>
      <w:tblPr>
        <w:tblStyle w:val="32"/>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76"/>
        <w:gridCol w:w="1000"/>
        <w:gridCol w:w="6037"/>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5" w:type="pct"/>
            <w:shd w:val="clear" w:color="auto" w:fill="D8D8D8" w:themeFill="background1" w:themeFillShade="D9"/>
            <w:vAlign w:val="center"/>
          </w:tcPr>
          <w:p w14:paraId="4924CA4E">
            <w:pPr>
              <w:pStyle w:val="5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评标项目</w:t>
            </w:r>
          </w:p>
        </w:tc>
        <w:tc>
          <w:tcPr>
            <w:tcW w:w="838" w:type="pct"/>
            <w:shd w:val="clear" w:color="auto" w:fill="D8D8D8" w:themeFill="background1" w:themeFillShade="D9"/>
            <w:vAlign w:val="center"/>
          </w:tcPr>
          <w:p w14:paraId="7A3DCB70">
            <w:pPr>
              <w:pStyle w:val="5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评标分项</w:t>
            </w:r>
          </w:p>
        </w:tc>
        <w:tc>
          <w:tcPr>
            <w:tcW w:w="532" w:type="pct"/>
            <w:shd w:val="clear" w:color="auto" w:fill="D8D8D8" w:themeFill="background1" w:themeFillShade="D9"/>
            <w:vAlign w:val="center"/>
          </w:tcPr>
          <w:p w14:paraId="65B86E0D">
            <w:pPr>
              <w:pStyle w:val="5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213" w:type="pct"/>
            <w:shd w:val="clear" w:color="auto" w:fill="D8D8D8" w:themeFill="background1" w:themeFillShade="D9"/>
            <w:vAlign w:val="center"/>
          </w:tcPr>
          <w:p w14:paraId="467A385D">
            <w:pPr>
              <w:pStyle w:val="5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子项目及分值</w:t>
            </w:r>
          </w:p>
        </w:tc>
      </w:tr>
      <w:tr w14:paraId="497D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415" w:type="pct"/>
            <w:vAlign w:val="center"/>
          </w:tcPr>
          <w:p w14:paraId="3C480381">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375F38A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838" w:type="pct"/>
            <w:vAlign w:val="center"/>
          </w:tcPr>
          <w:p w14:paraId="4D31CF31">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2" w:type="pct"/>
            <w:vAlign w:val="center"/>
          </w:tcPr>
          <w:p w14:paraId="318A84CC">
            <w:pPr>
              <w:pStyle w:val="5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3213" w:type="pct"/>
            <w:vAlign w:val="center"/>
          </w:tcPr>
          <w:p w14:paraId="76A28B05">
            <w:pPr>
              <w:pStyle w:val="5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w:t>
            </w:r>
          </w:p>
          <w:p w14:paraId="62C0AA09">
            <w:pPr>
              <w:pStyle w:val="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10</w:t>
            </w:r>
          </w:p>
          <w:p w14:paraId="2D3A1974">
            <w:pPr>
              <w:pStyle w:val="52"/>
              <w:rPr>
                <w:rFonts w:hint="eastAsia" w:ascii="宋体" w:hAnsi="宋体" w:eastAsia="宋体" w:cs="宋体"/>
                <w:b/>
                <w:bCs/>
                <w:color w:val="auto"/>
                <w:sz w:val="21"/>
                <w:szCs w:val="21"/>
                <w:highlight w:val="none"/>
              </w:rPr>
            </w:pPr>
          </w:p>
          <w:p w14:paraId="201E7F07">
            <w:pPr>
              <w:pStyle w:val="5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sz w:val="21"/>
                <w:szCs w:val="21"/>
                <w:highlight w:val="none"/>
              </w:rPr>
              <w:t>中价格扣除规定的，在评审时予以价格扣除，用扣除后的价格参与评审。</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15" w:type="pct"/>
            <w:vMerge w:val="restart"/>
            <w:vAlign w:val="center"/>
          </w:tcPr>
          <w:p w14:paraId="0EA62830">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6C0619A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838" w:type="pct"/>
            <w:tcBorders>
              <w:top w:val="single" w:color="auto" w:sz="4" w:space="0"/>
            </w:tcBorders>
            <w:vAlign w:val="center"/>
          </w:tcPr>
          <w:p w14:paraId="5418DF8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32" w:type="pct"/>
            <w:vAlign w:val="center"/>
          </w:tcPr>
          <w:p w14:paraId="0B29F8D0">
            <w:pPr>
              <w:pStyle w:val="5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3213" w:type="pct"/>
            <w:vAlign w:val="center"/>
          </w:tcPr>
          <w:p w14:paraId="1B1BFF7F">
            <w:pPr>
              <w:pStyle w:val="5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年1月1日-至今类似业绩，每提供1个业绩得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分。（提供中标通知书或合同（原件扫描件），做为业绩证明资料，未按要求提供证明资料的不计分）。</w:t>
            </w:r>
          </w:p>
          <w:p w14:paraId="2C194F3A">
            <w:pPr>
              <w:pStyle w:val="52"/>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rPr>
              <w:t>投标人提供虚假合同的，按虚假投标处理。</w:t>
            </w:r>
          </w:p>
        </w:tc>
      </w:tr>
      <w:tr w14:paraId="05A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5" w:type="pct"/>
            <w:vMerge w:val="continue"/>
            <w:vAlign w:val="center"/>
          </w:tcPr>
          <w:p w14:paraId="3BD7C09E">
            <w:pPr>
              <w:pStyle w:val="52"/>
              <w:jc w:val="center"/>
              <w:rPr>
                <w:rFonts w:hint="eastAsia" w:ascii="宋体" w:hAnsi="宋体" w:eastAsia="宋体" w:cs="宋体"/>
                <w:color w:val="auto"/>
                <w:sz w:val="21"/>
                <w:szCs w:val="21"/>
                <w:highlight w:val="none"/>
              </w:rPr>
            </w:pPr>
          </w:p>
        </w:tc>
        <w:tc>
          <w:tcPr>
            <w:tcW w:w="838" w:type="pct"/>
            <w:tcBorders>
              <w:top w:val="single" w:color="auto" w:sz="4" w:space="0"/>
            </w:tcBorders>
            <w:vAlign w:val="center"/>
          </w:tcPr>
          <w:p w14:paraId="1B1C131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拟投入本项目</w:t>
            </w:r>
          </w:p>
          <w:p w14:paraId="5BBC582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的人员</w:t>
            </w:r>
          </w:p>
        </w:tc>
        <w:tc>
          <w:tcPr>
            <w:tcW w:w="532" w:type="pct"/>
            <w:vAlign w:val="center"/>
          </w:tcPr>
          <w:p w14:paraId="5CC6F5C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5分</w:t>
            </w:r>
          </w:p>
        </w:tc>
        <w:tc>
          <w:tcPr>
            <w:tcW w:w="3213" w:type="pct"/>
            <w:vAlign w:val="center"/>
          </w:tcPr>
          <w:p w14:paraId="3DAA7289">
            <w:pPr>
              <w:pStyle w:val="79"/>
              <w:keepNext w:val="0"/>
              <w:keepLines w:val="0"/>
              <w:pageBreakBefore w:val="0"/>
              <w:kinsoku/>
              <w:wordWrap/>
              <w:overflowPunct/>
              <w:topLinePunct w:val="0"/>
              <w:autoSpaceDE/>
              <w:autoSpaceDN/>
              <w:bidi w:val="0"/>
              <w:adjustRightInd w:val="0"/>
              <w:snapToGrid/>
              <w:spacing w:line="320" w:lineRule="exact"/>
              <w:ind w:left="0"/>
              <w:jc w:val="left"/>
              <w:textAlignment w:val="auto"/>
              <w:rPr>
                <w:rFonts w:hint="eastAsia" w:ascii="宋体" w:hAnsi="宋体" w:eastAsia="宋体" w:cs="宋体"/>
                <w:color w:val="000000"/>
                <w:spacing w:val="0"/>
                <w:kern w:val="2"/>
                <w:sz w:val="21"/>
                <w:szCs w:val="21"/>
                <w:highlight w:val="none"/>
                <w:lang w:val="en-US" w:eastAsia="zh-CN" w:bidi="ar-SA"/>
              </w:rPr>
            </w:pPr>
            <w:r>
              <w:rPr>
                <w:rFonts w:hint="eastAsia" w:ascii="宋体" w:hAnsi="宋体" w:eastAsia="宋体" w:cs="宋体"/>
                <w:color w:val="000000"/>
                <w:spacing w:val="0"/>
                <w:kern w:val="2"/>
                <w:sz w:val="21"/>
                <w:szCs w:val="21"/>
                <w:highlight w:val="none"/>
                <w:lang w:val="en-US" w:eastAsia="zh-CN" w:bidi="ar-SA"/>
              </w:rPr>
              <w:t>为本项目所配备的服务人员包括但不限于：管理人员（职业经理人）、营养师、厨师长、厨师、烹饪师、食品检验员、食品安全管理员烘焙师、中西式面点师、配菜工、餐饮服务人员每月至少配置26名工作人员（每日实际在岗人数不少于23人）。专业人员配备情况（包括但不限于拟投入员工人数、人员年龄、学历、专业、工作经验、技术能力以及相关资质认证等情况）优于采购需求、岗位分配合理得5分；专业人员配备情况较好、岗位分配较合理得3分；基本满足工作需求得1分。</w:t>
            </w:r>
          </w:p>
          <w:p w14:paraId="78D0211B">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000000"/>
                <w:spacing w:val="0"/>
                <w:kern w:val="2"/>
                <w:sz w:val="21"/>
                <w:szCs w:val="21"/>
                <w:highlight w:val="none"/>
                <w:lang w:val="en-US" w:eastAsia="zh-CN" w:bidi="ar-SA"/>
              </w:rPr>
              <w:t>注：所有人员均需提供健康证</w:t>
            </w:r>
            <w:bookmarkStart w:id="757" w:name="_GoBack"/>
            <w:bookmarkEnd w:id="757"/>
            <w:r>
              <w:rPr>
                <w:rFonts w:hint="eastAsia" w:ascii="宋体" w:hAnsi="宋体" w:eastAsia="宋体" w:cs="宋体"/>
                <w:b/>
                <w:bCs/>
                <w:color w:val="000000"/>
                <w:spacing w:val="0"/>
                <w:kern w:val="2"/>
                <w:sz w:val="21"/>
                <w:szCs w:val="21"/>
                <w:highlight w:val="none"/>
                <w:lang w:val="en-US" w:eastAsia="zh-CN" w:bidi="ar-SA"/>
              </w:rPr>
              <w:t>，未提供或未提供完整不予认可。</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5" w:type="pct"/>
            <w:vMerge w:val="restart"/>
            <w:vAlign w:val="center"/>
          </w:tcPr>
          <w:p w14:paraId="009533AC">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3C5A6CF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分）</w:t>
            </w:r>
          </w:p>
        </w:tc>
        <w:tc>
          <w:tcPr>
            <w:tcW w:w="838" w:type="pct"/>
            <w:tcBorders>
              <w:top w:val="single" w:color="auto" w:sz="4" w:space="0"/>
            </w:tcBorders>
            <w:shd w:val="clear" w:color="auto" w:fill="auto"/>
            <w:vAlign w:val="center"/>
          </w:tcPr>
          <w:p w14:paraId="1ECFDBB7">
            <w:pPr>
              <w:pStyle w:val="79"/>
              <w:keepNext w:val="0"/>
              <w:keepLines w:val="0"/>
              <w:pageBreakBefore w:val="0"/>
              <w:kinsoku/>
              <w:wordWrap/>
              <w:overflowPunct/>
              <w:topLinePunct w:val="0"/>
              <w:autoSpaceDE/>
              <w:autoSpaceDN/>
              <w:bidi w:val="0"/>
              <w:adjustRightInd/>
              <w:snapToGrid/>
              <w:spacing w:before="12" w:line="320" w:lineRule="exact"/>
              <w:ind w:left="107" w:leftChars="0" w:right="95" w:rightChars="0"/>
              <w:jc w:val="center"/>
              <w:textAlignment w:val="auto"/>
              <w:rPr>
                <w:rFonts w:hint="eastAsia" w:ascii="宋体" w:hAnsi="宋体" w:eastAsia="宋体" w:cs="宋体"/>
                <w:spacing w:val="6"/>
                <w:kern w:val="0"/>
                <w:sz w:val="21"/>
                <w:szCs w:val="21"/>
                <w:highlight w:val="none"/>
                <w:lang w:val="en-US" w:eastAsia="zh-CN" w:bidi="ar-SA"/>
              </w:rPr>
            </w:pPr>
            <w:r>
              <w:rPr>
                <w:rFonts w:hint="eastAsia" w:ascii="宋体" w:hAnsi="宋体" w:eastAsia="宋体" w:cs="宋体"/>
                <w:spacing w:val="6"/>
                <w:sz w:val="21"/>
                <w:szCs w:val="21"/>
                <w:highlight w:val="none"/>
              </w:rPr>
              <w:t>经营</w:t>
            </w:r>
            <w:r>
              <w:rPr>
                <w:rFonts w:hint="eastAsia" w:ascii="宋体" w:hAnsi="宋体" w:eastAsia="宋体" w:cs="宋体"/>
                <w:spacing w:val="6"/>
                <w:sz w:val="21"/>
                <w:szCs w:val="21"/>
                <w:highlight w:val="none"/>
                <w:lang w:val="en-US" w:eastAsia="zh-CN"/>
              </w:rPr>
              <w:t>计划</w:t>
            </w:r>
          </w:p>
        </w:tc>
        <w:tc>
          <w:tcPr>
            <w:tcW w:w="1000" w:type="dxa"/>
            <w:vAlign w:val="center"/>
          </w:tcPr>
          <w:p w14:paraId="35C961A9">
            <w:pPr>
              <w:pStyle w:val="79"/>
              <w:keepNext w:val="0"/>
              <w:keepLines w:val="0"/>
              <w:pageBreakBefore w:val="0"/>
              <w:kinsoku/>
              <w:wordWrap/>
              <w:overflowPunct/>
              <w:topLinePunct w:val="0"/>
              <w:autoSpaceDE/>
              <w:autoSpaceDN/>
              <w:bidi w:val="0"/>
              <w:adjustRightInd/>
              <w:snapToGrid/>
              <w:spacing w:before="151"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pacing w:val="-2"/>
                <w:kern w:val="2"/>
                <w:sz w:val="21"/>
                <w:szCs w:val="21"/>
                <w:highlight w:val="none"/>
                <w:lang w:val="en-US" w:eastAsia="zh-CN" w:bidi="ar-SA"/>
              </w:rPr>
              <w:t>15</w:t>
            </w:r>
          </w:p>
        </w:tc>
        <w:tc>
          <w:tcPr>
            <w:tcW w:w="3213" w:type="pct"/>
            <w:vAlign w:val="center"/>
          </w:tcPr>
          <w:p w14:paraId="64442A54">
            <w:pPr>
              <w:pStyle w:val="79"/>
              <w:keepNext w:val="0"/>
              <w:keepLines w:val="0"/>
              <w:pageBreakBefore w:val="0"/>
              <w:kinsoku/>
              <w:wordWrap/>
              <w:overflowPunct/>
              <w:topLinePunct w:val="0"/>
              <w:autoSpaceDE/>
              <w:autoSpaceDN/>
              <w:bidi w:val="0"/>
              <w:adjustRightInd w:val="0"/>
              <w:snapToGrid/>
              <w:spacing w:line="320" w:lineRule="exact"/>
              <w:ind w:left="0"/>
              <w:jc w:val="left"/>
              <w:textAlignment w:val="auto"/>
              <w:rPr>
                <w:rFonts w:hint="eastAsia"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提供合同期内详细的经营计划，内容包括但不限于：①经营方案及利润率；②服务标准；③服务质量；④食品安全；⑤人员管理等；</w:t>
            </w:r>
          </w:p>
          <w:p w14:paraId="200D03C7">
            <w:pPr>
              <w:pStyle w:val="79"/>
              <w:keepNext w:val="0"/>
              <w:keepLines w:val="0"/>
              <w:pageBreakBefore w:val="0"/>
              <w:kinsoku/>
              <w:wordWrap/>
              <w:overflowPunct/>
              <w:topLinePunct w:val="0"/>
              <w:autoSpaceDE/>
              <w:autoSpaceDN/>
              <w:bidi w:val="0"/>
              <w:adjustRightInd w:val="0"/>
              <w:snapToGrid/>
              <w:spacing w:line="32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投标文件中提供以上内容的，每提供一项得3分，方案有缺漏、方案不完善、不具备合理性的扣1.5分，未提供的不得分。最高得15分。</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15" w:type="pct"/>
            <w:vMerge w:val="continue"/>
            <w:vAlign w:val="center"/>
          </w:tcPr>
          <w:p w14:paraId="24E10105">
            <w:pPr>
              <w:pStyle w:val="52"/>
              <w:jc w:val="center"/>
              <w:rPr>
                <w:rFonts w:hint="eastAsia" w:ascii="宋体" w:hAnsi="宋体" w:eastAsia="宋体" w:cs="宋体"/>
                <w:color w:val="auto"/>
                <w:sz w:val="21"/>
                <w:szCs w:val="21"/>
                <w:highlight w:val="none"/>
              </w:rPr>
            </w:pPr>
          </w:p>
        </w:tc>
        <w:tc>
          <w:tcPr>
            <w:tcW w:w="838" w:type="pct"/>
            <w:shd w:val="clear" w:color="auto" w:fill="auto"/>
            <w:vAlign w:val="center"/>
          </w:tcPr>
          <w:p w14:paraId="69144E03">
            <w:pPr>
              <w:pStyle w:val="79"/>
              <w:keepNext w:val="0"/>
              <w:keepLines w:val="0"/>
              <w:pageBreakBefore w:val="0"/>
              <w:kinsoku/>
              <w:wordWrap/>
              <w:overflowPunct/>
              <w:topLinePunct w:val="0"/>
              <w:autoSpaceDE/>
              <w:autoSpaceDN/>
              <w:bidi w:val="0"/>
              <w:adjustRightInd/>
              <w:snapToGrid/>
              <w:spacing w:before="12" w:line="320" w:lineRule="exact"/>
              <w:ind w:left="107" w:leftChars="0" w:right="95" w:rightChars="0"/>
              <w:jc w:val="center"/>
              <w:textAlignment w:val="auto"/>
              <w:rPr>
                <w:rFonts w:hint="eastAsia" w:ascii="宋体" w:hAnsi="宋体" w:eastAsia="宋体" w:cs="宋体"/>
                <w:color w:val="000000"/>
                <w:spacing w:val="-2"/>
                <w:kern w:val="2"/>
                <w:sz w:val="21"/>
                <w:szCs w:val="21"/>
                <w:highlight w:val="none"/>
                <w:lang w:val="en-US" w:eastAsia="zh-CN" w:bidi="ar-SA"/>
              </w:rPr>
            </w:pPr>
            <w:r>
              <w:rPr>
                <w:rFonts w:hint="eastAsia" w:ascii="宋体" w:hAnsi="宋体" w:eastAsia="宋体" w:cs="宋体"/>
                <w:spacing w:val="7"/>
                <w:sz w:val="21"/>
                <w:szCs w:val="21"/>
                <w:highlight w:val="none"/>
              </w:rPr>
              <w:t>菜品</w:t>
            </w:r>
            <w:r>
              <w:rPr>
                <w:rFonts w:hint="eastAsia" w:ascii="宋体" w:hAnsi="宋体" w:eastAsia="宋体" w:cs="宋体"/>
                <w:spacing w:val="7"/>
                <w:sz w:val="21"/>
                <w:szCs w:val="21"/>
                <w:highlight w:val="none"/>
                <w:lang w:val="en-US" w:eastAsia="zh-CN"/>
              </w:rPr>
              <w:t>设计</w:t>
            </w:r>
            <w:r>
              <w:rPr>
                <w:rFonts w:hint="eastAsia" w:ascii="宋体" w:hAnsi="宋体" w:eastAsia="宋体" w:cs="宋体"/>
                <w:spacing w:val="4"/>
                <w:sz w:val="21"/>
                <w:szCs w:val="21"/>
                <w:highlight w:val="none"/>
              </w:rPr>
              <w:t>方案</w:t>
            </w:r>
          </w:p>
        </w:tc>
        <w:tc>
          <w:tcPr>
            <w:tcW w:w="1000" w:type="dxa"/>
            <w:shd w:val="clear" w:color="auto" w:fill="auto"/>
            <w:vAlign w:val="center"/>
          </w:tcPr>
          <w:p w14:paraId="7922AA03">
            <w:pPr>
              <w:pStyle w:val="79"/>
              <w:keepNext w:val="0"/>
              <w:keepLines w:val="0"/>
              <w:pageBreakBefore w:val="0"/>
              <w:kinsoku/>
              <w:wordWrap/>
              <w:overflowPunct/>
              <w:topLinePunct w:val="0"/>
              <w:autoSpaceDE/>
              <w:autoSpaceDN/>
              <w:bidi w:val="0"/>
              <w:adjustRightInd/>
              <w:snapToGrid/>
              <w:spacing w:before="143"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pacing w:val="-2"/>
                <w:kern w:val="2"/>
                <w:sz w:val="21"/>
                <w:szCs w:val="21"/>
                <w:highlight w:val="none"/>
                <w:lang w:val="en-US" w:eastAsia="zh-CN" w:bidi="ar-SA"/>
              </w:rPr>
              <w:t>12</w:t>
            </w:r>
          </w:p>
        </w:tc>
        <w:tc>
          <w:tcPr>
            <w:tcW w:w="3213" w:type="pct"/>
            <w:shd w:val="clear" w:color="auto" w:fill="auto"/>
            <w:vAlign w:val="center"/>
          </w:tcPr>
          <w:p w14:paraId="76493B3F">
            <w:pPr>
              <w:spacing w:before="38" w:line="239" w:lineRule="auto"/>
              <w:ind w:left="6"/>
              <w:jc w:val="left"/>
              <w:rPr>
                <w:rFonts w:hint="eastAsia" w:ascii="宋体" w:hAnsi="宋体" w:eastAsia="宋体" w:cs="宋体"/>
                <w:sz w:val="21"/>
                <w:szCs w:val="21"/>
                <w:highlight w:val="none"/>
                <w:lang w:eastAsia="zh-CN"/>
              </w:rPr>
            </w:pPr>
            <w:r>
              <w:rPr>
                <w:rFonts w:hint="eastAsia" w:ascii="宋体" w:hAnsi="宋体" w:eastAsia="宋体" w:cs="宋体"/>
                <w:spacing w:val="10"/>
                <w:sz w:val="21"/>
                <w:szCs w:val="21"/>
                <w:highlight w:val="none"/>
              </w:rPr>
              <w:t>根据</w:t>
            </w:r>
            <w:r>
              <w:rPr>
                <w:rFonts w:hint="eastAsia" w:ascii="宋体" w:hAnsi="宋体" w:eastAsia="宋体" w:cs="宋体"/>
                <w:spacing w:val="10"/>
                <w:sz w:val="21"/>
                <w:szCs w:val="21"/>
                <w:highlight w:val="none"/>
                <w:lang w:eastAsia="zh-CN"/>
              </w:rPr>
              <w:t>投标人</w:t>
            </w:r>
            <w:r>
              <w:rPr>
                <w:rFonts w:hint="eastAsia" w:ascii="宋体" w:hAnsi="宋体" w:eastAsia="宋体" w:cs="宋体"/>
                <w:spacing w:val="10"/>
                <w:sz w:val="21"/>
                <w:szCs w:val="21"/>
                <w:highlight w:val="none"/>
              </w:rPr>
              <w:t>提供的菜谱</w:t>
            </w:r>
            <w:r>
              <w:rPr>
                <w:rFonts w:hint="eastAsia" w:ascii="宋体" w:hAnsi="宋体" w:eastAsia="宋体" w:cs="宋体"/>
                <w:spacing w:val="10"/>
                <w:sz w:val="21"/>
                <w:szCs w:val="21"/>
                <w:highlight w:val="none"/>
                <w:lang w:val="en-US" w:eastAsia="zh-CN"/>
              </w:rPr>
              <w:t>设计</w:t>
            </w:r>
            <w:r>
              <w:rPr>
                <w:rFonts w:hint="eastAsia" w:ascii="宋体" w:hAnsi="宋体" w:eastAsia="宋体" w:cs="宋体"/>
                <w:spacing w:val="10"/>
                <w:sz w:val="21"/>
                <w:szCs w:val="21"/>
                <w:highlight w:val="none"/>
              </w:rPr>
              <w:t>方案进行评分，包括</w:t>
            </w:r>
            <w:r>
              <w:rPr>
                <w:rFonts w:hint="eastAsia" w:ascii="宋体" w:hAnsi="宋体" w:eastAsia="宋体" w:cs="宋体"/>
                <w:spacing w:val="8"/>
                <w:sz w:val="21"/>
                <w:szCs w:val="21"/>
                <w:highlight w:val="none"/>
              </w:rPr>
              <w:t>但不限于</w:t>
            </w:r>
            <w:r>
              <w:rPr>
                <w:rFonts w:hint="eastAsia" w:ascii="宋体" w:hAnsi="宋体" w:eastAsia="宋体" w:cs="宋体"/>
                <w:spacing w:val="9"/>
                <w:sz w:val="21"/>
                <w:szCs w:val="21"/>
                <w:highlight w:val="none"/>
                <w:lang w:eastAsia="zh-CN"/>
              </w:rPr>
              <w:t>：</w:t>
            </w:r>
            <w:r>
              <w:rPr>
                <w:rFonts w:hint="eastAsia" w:ascii="宋体" w:hAnsi="宋体" w:eastAsia="宋体" w:cs="宋体"/>
                <w:spacing w:val="8"/>
                <w:sz w:val="21"/>
                <w:szCs w:val="21"/>
                <w:highlight w:val="none"/>
              </w:rPr>
              <w:t>①</w:t>
            </w:r>
            <w:r>
              <w:rPr>
                <w:rFonts w:hint="eastAsia" w:ascii="宋体" w:hAnsi="宋体" w:eastAsia="宋体" w:cs="宋体"/>
                <w:spacing w:val="9"/>
                <w:sz w:val="21"/>
                <w:szCs w:val="21"/>
                <w:highlight w:val="none"/>
              </w:rPr>
              <w:t>每日</w:t>
            </w:r>
            <w:r>
              <w:rPr>
                <w:rFonts w:hint="eastAsia" w:ascii="宋体" w:hAnsi="宋体" w:eastAsia="宋体" w:cs="宋体"/>
                <w:spacing w:val="8"/>
                <w:sz w:val="21"/>
                <w:szCs w:val="21"/>
                <w:highlight w:val="none"/>
              </w:rPr>
              <w:t>菜品搭配合理性、荤素分配比例</w:t>
            </w:r>
            <w:r>
              <w:rPr>
                <w:rFonts w:hint="eastAsia" w:ascii="宋体" w:hAnsi="宋体" w:eastAsia="宋体" w:cs="宋体"/>
                <w:spacing w:val="8"/>
                <w:sz w:val="21"/>
                <w:szCs w:val="21"/>
                <w:highlight w:val="none"/>
                <w:lang w:eastAsia="zh-CN"/>
              </w:rPr>
              <w:t>；</w:t>
            </w:r>
            <w:r>
              <w:rPr>
                <w:rFonts w:hint="eastAsia" w:ascii="宋体" w:hAnsi="宋体" w:eastAsia="宋体" w:cs="宋体"/>
                <w:spacing w:val="8"/>
                <w:sz w:val="21"/>
                <w:szCs w:val="21"/>
                <w:highlight w:val="none"/>
              </w:rPr>
              <w:t>②四季菜品搭配、饮食特色；③</w:t>
            </w:r>
            <w:r>
              <w:rPr>
                <w:rFonts w:hint="eastAsia" w:ascii="宋体" w:hAnsi="宋体" w:eastAsia="宋体" w:cs="宋体"/>
                <w:spacing w:val="8"/>
                <w:sz w:val="21"/>
                <w:szCs w:val="21"/>
                <w:highlight w:val="none"/>
                <w:lang w:val="en-US" w:eastAsia="zh-CN"/>
              </w:rPr>
              <w:t>菜品</w:t>
            </w:r>
            <w:r>
              <w:rPr>
                <w:rFonts w:hint="eastAsia" w:ascii="宋体" w:hAnsi="宋体" w:eastAsia="宋体" w:cs="宋体"/>
                <w:spacing w:val="8"/>
                <w:sz w:val="21"/>
                <w:szCs w:val="21"/>
                <w:highlight w:val="none"/>
              </w:rPr>
              <w:t>品种、份量；</w:t>
            </w:r>
            <w:r>
              <w:rPr>
                <w:rFonts w:hint="eastAsia" w:ascii="宋体" w:hAnsi="宋体" w:eastAsia="宋体" w:cs="宋体"/>
                <w:spacing w:val="8"/>
                <w:sz w:val="21"/>
                <w:szCs w:val="21"/>
                <w:highlight w:val="none"/>
                <w:lang w:val="en-US" w:eastAsia="zh-CN"/>
              </w:rPr>
              <w:t>④</w:t>
            </w:r>
            <w:r>
              <w:rPr>
                <w:rFonts w:hint="eastAsia" w:ascii="宋体" w:hAnsi="宋体" w:eastAsia="宋体" w:cs="宋体"/>
                <w:spacing w:val="8"/>
                <w:sz w:val="21"/>
                <w:szCs w:val="21"/>
                <w:highlight w:val="none"/>
              </w:rPr>
              <w:t>营养搭配、营养价值等</w:t>
            </w:r>
            <w:r>
              <w:rPr>
                <w:rFonts w:hint="eastAsia" w:ascii="宋体" w:hAnsi="宋体" w:eastAsia="宋体" w:cs="宋体"/>
                <w:spacing w:val="8"/>
                <w:sz w:val="21"/>
                <w:szCs w:val="21"/>
                <w:highlight w:val="none"/>
                <w:lang w:eastAsia="zh-CN"/>
              </w:rPr>
              <w:t>；</w:t>
            </w:r>
          </w:p>
          <w:p w14:paraId="496BE23E">
            <w:pPr>
              <w:spacing w:before="25" w:line="227"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投标文件中提供以上内容的，每提供一项得3分，方案有缺漏、方案不完善、不具备合理性的扣1.5分，未提供的不得分。最高得12分。</w:t>
            </w:r>
          </w:p>
        </w:tc>
      </w:tr>
      <w:tr w14:paraId="1C1E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15" w:type="pct"/>
            <w:vMerge w:val="continue"/>
            <w:vAlign w:val="center"/>
          </w:tcPr>
          <w:p w14:paraId="7F372A08">
            <w:pPr>
              <w:pStyle w:val="52"/>
              <w:jc w:val="center"/>
              <w:rPr>
                <w:rFonts w:hint="eastAsia" w:ascii="宋体" w:hAnsi="宋体" w:eastAsia="宋体" w:cs="宋体"/>
                <w:color w:val="auto"/>
                <w:sz w:val="21"/>
                <w:szCs w:val="21"/>
                <w:highlight w:val="none"/>
              </w:rPr>
            </w:pPr>
          </w:p>
        </w:tc>
        <w:tc>
          <w:tcPr>
            <w:tcW w:w="838" w:type="pct"/>
            <w:shd w:val="clear" w:color="auto" w:fill="auto"/>
            <w:vAlign w:val="center"/>
          </w:tcPr>
          <w:p w14:paraId="05AE0606">
            <w:pPr>
              <w:pStyle w:val="79"/>
              <w:keepNext w:val="0"/>
              <w:keepLines w:val="0"/>
              <w:pageBreakBefore w:val="0"/>
              <w:kinsoku/>
              <w:wordWrap/>
              <w:overflowPunct/>
              <w:topLinePunct w:val="0"/>
              <w:autoSpaceDE/>
              <w:autoSpaceDN/>
              <w:bidi w:val="0"/>
              <w:adjustRightInd/>
              <w:snapToGrid/>
              <w:spacing w:before="12" w:line="320" w:lineRule="exact"/>
              <w:ind w:left="107" w:leftChars="0" w:right="95" w:rightChars="0"/>
              <w:jc w:val="center"/>
              <w:textAlignment w:val="auto"/>
              <w:rPr>
                <w:rFonts w:hint="eastAsia" w:ascii="宋体" w:hAnsi="宋体" w:eastAsia="宋体" w:cs="宋体"/>
                <w:color w:val="000000"/>
                <w:spacing w:val="-2"/>
                <w:kern w:val="2"/>
                <w:sz w:val="21"/>
                <w:szCs w:val="21"/>
                <w:highlight w:val="none"/>
                <w:lang w:val="en-US" w:eastAsia="zh-CN" w:bidi="ar-SA"/>
              </w:rPr>
            </w:pPr>
            <w:r>
              <w:rPr>
                <w:rFonts w:hint="eastAsia" w:ascii="宋体" w:hAnsi="宋体" w:eastAsia="宋体" w:cs="宋体"/>
                <w:color w:val="000000"/>
                <w:spacing w:val="-2"/>
                <w:kern w:val="2"/>
                <w:sz w:val="21"/>
                <w:szCs w:val="21"/>
                <w:highlight w:val="none"/>
                <w:lang w:val="en-US" w:eastAsia="zh-CN" w:bidi="ar-SA"/>
              </w:rPr>
              <w:t>食品质量保证体系及措施</w:t>
            </w:r>
          </w:p>
        </w:tc>
        <w:tc>
          <w:tcPr>
            <w:tcW w:w="532" w:type="pct"/>
            <w:shd w:val="clear" w:color="auto" w:fill="auto"/>
            <w:vAlign w:val="center"/>
          </w:tcPr>
          <w:p w14:paraId="78664C24">
            <w:pPr>
              <w:keepNext w:val="0"/>
              <w:keepLines w:val="0"/>
              <w:pageBreakBefore w:val="0"/>
              <w:kinsoku/>
              <w:wordWrap/>
              <w:overflowPunct/>
              <w:topLinePunct w:val="0"/>
              <w:autoSpaceDE/>
              <w:autoSpaceDN/>
              <w:bidi w:val="0"/>
              <w:adjustRightInd/>
              <w:snapToGrid/>
              <w:spacing w:before="143" w:line="320" w:lineRule="exact"/>
              <w:jc w:val="center"/>
              <w:textAlignment w:val="auto"/>
              <w:rPr>
                <w:rFonts w:hint="eastAsia" w:ascii="宋体" w:hAnsi="宋体" w:eastAsia="宋体" w:cs="宋体"/>
                <w:color w:val="000000"/>
                <w:spacing w:val="-2"/>
                <w:kern w:val="2"/>
                <w:sz w:val="21"/>
                <w:szCs w:val="21"/>
                <w:highlight w:val="none"/>
                <w:lang w:val="en-US" w:eastAsia="zh-CN" w:bidi="ar-SA"/>
              </w:rPr>
            </w:pPr>
            <w:r>
              <w:rPr>
                <w:rFonts w:hint="eastAsia" w:ascii="宋体" w:hAnsi="宋体" w:eastAsia="宋体" w:cs="宋体"/>
                <w:color w:val="000000"/>
                <w:spacing w:val="-2"/>
                <w:kern w:val="2"/>
                <w:sz w:val="21"/>
                <w:szCs w:val="21"/>
                <w:highlight w:val="none"/>
                <w:lang w:val="en-US" w:eastAsia="zh-CN" w:bidi="ar-SA"/>
              </w:rPr>
              <w:t>21</w:t>
            </w:r>
          </w:p>
        </w:tc>
        <w:tc>
          <w:tcPr>
            <w:tcW w:w="3213" w:type="pct"/>
            <w:shd w:val="clear" w:color="auto" w:fill="auto"/>
            <w:vAlign w:val="center"/>
          </w:tcPr>
          <w:p w14:paraId="7AE180F9">
            <w:pPr>
              <w:keepNext w:val="0"/>
              <w:keepLines w:val="0"/>
              <w:pageBreakBefore w:val="0"/>
              <w:widowControl w:val="0"/>
              <w:kinsoku/>
              <w:wordWrap/>
              <w:overflowPunct/>
              <w:topLinePunct w:val="0"/>
              <w:autoSpaceDE/>
              <w:autoSpaceDN/>
              <w:bidi w:val="0"/>
              <w:adjustRightInd w:val="0"/>
              <w:snapToGrid/>
              <w:spacing w:line="320" w:lineRule="exact"/>
              <w:ind w:left="0"/>
              <w:jc w:val="left"/>
              <w:textAlignment w:val="auto"/>
              <w:rPr>
                <w:rFonts w:hint="eastAsia" w:ascii="宋体" w:hAnsi="宋体" w:eastAsia="宋体" w:cs="宋体"/>
                <w:color w:val="000000"/>
                <w:spacing w:val="0"/>
                <w:kern w:val="2"/>
                <w:sz w:val="21"/>
                <w:szCs w:val="21"/>
                <w:highlight w:val="none"/>
                <w:lang w:val="en-US" w:eastAsia="zh-CN" w:bidi="ar-SA"/>
              </w:rPr>
            </w:pPr>
            <w:r>
              <w:rPr>
                <w:rFonts w:hint="eastAsia" w:ascii="宋体" w:hAnsi="宋体" w:eastAsia="宋体" w:cs="宋体"/>
                <w:color w:val="000000"/>
                <w:spacing w:val="0"/>
                <w:kern w:val="2"/>
                <w:sz w:val="21"/>
                <w:szCs w:val="21"/>
                <w:highlight w:val="none"/>
                <w:lang w:val="en-US" w:eastAsia="zh-CN" w:bidi="ar-SA"/>
              </w:rPr>
              <w:t>食品质量保证体系健全，包括但不限于：①进货查验和管理制度；②原材料管理制度；③食品加工管理；④食品留样制度；⑤餐厨垃圾处理⑥设备操作流程、生产流程；⑦食品溯源、电子台账；</w:t>
            </w:r>
          </w:p>
          <w:p w14:paraId="327E3E13">
            <w:pPr>
              <w:keepNext w:val="0"/>
              <w:keepLines w:val="0"/>
              <w:pageBreakBefore w:val="0"/>
              <w:widowControl w:val="0"/>
              <w:kinsoku/>
              <w:wordWrap/>
              <w:overflowPunct/>
              <w:topLinePunct w:val="0"/>
              <w:autoSpaceDE/>
              <w:autoSpaceDN/>
              <w:bidi w:val="0"/>
              <w:adjustRightInd w:val="0"/>
              <w:snapToGrid/>
              <w:spacing w:line="320" w:lineRule="exact"/>
              <w:ind w:left="0" w:leftChars="0"/>
              <w:jc w:val="left"/>
              <w:textAlignment w:val="auto"/>
              <w:rPr>
                <w:rFonts w:hint="eastAsia" w:ascii="宋体" w:hAnsi="宋体" w:eastAsia="宋体" w:cs="宋体"/>
                <w:spacing w:val="2"/>
                <w:sz w:val="21"/>
                <w:szCs w:val="21"/>
                <w:highlight w:val="none"/>
              </w:rPr>
            </w:pPr>
            <w:r>
              <w:rPr>
                <w:rFonts w:hint="eastAsia" w:ascii="宋体" w:hAnsi="宋体" w:eastAsia="宋体" w:cs="宋体"/>
                <w:color w:val="auto"/>
                <w:kern w:val="2"/>
                <w:sz w:val="21"/>
                <w:szCs w:val="21"/>
                <w:highlight w:val="none"/>
                <w:lang w:val="en-US" w:eastAsia="zh-CN" w:bidi="ar-SA"/>
              </w:rPr>
              <w:t>投标文件中提供以上内容的，每提供一项得3分，方案有缺漏、方案不完善、不具备合理性的扣1.5分，未提供的不得分。最高得21分。</w:t>
            </w:r>
          </w:p>
        </w:tc>
      </w:tr>
      <w:tr w14:paraId="5034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15" w:type="pct"/>
            <w:vMerge w:val="continue"/>
            <w:vAlign w:val="center"/>
          </w:tcPr>
          <w:p w14:paraId="4D4E2469">
            <w:pPr>
              <w:pStyle w:val="52"/>
              <w:jc w:val="center"/>
              <w:rPr>
                <w:rFonts w:hint="eastAsia" w:ascii="宋体" w:hAnsi="宋体" w:eastAsia="宋体" w:cs="宋体"/>
                <w:color w:val="auto"/>
                <w:sz w:val="21"/>
                <w:szCs w:val="21"/>
                <w:highlight w:val="none"/>
              </w:rPr>
            </w:pPr>
          </w:p>
        </w:tc>
        <w:tc>
          <w:tcPr>
            <w:tcW w:w="838" w:type="pct"/>
            <w:shd w:val="clear" w:color="auto" w:fill="auto"/>
            <w:vAlign w:val="center"/>
          </w:tcPr>
          <w:p w14:paraId="3217299E">
            <w:pPr>
              <w:pStyle w:val="79"/>
              <w:keepNext w:val="0"/>
              <w:keepLines w:val="0"/>
              <w:pageBreakBefore w:val="0"/>
              <w:kinsoku/>
              <w:wordWrap/>
              <w:overflowPunct/>
              <w:topLinePunct w:val="0"/>
              <w:autoSpaceDE/>
              <w:autoSpaceDN/>
              <w:bidi w:val="0"/>
              <w:adjustRightInd/>
              <w:snapToGrid/>
              <w:spacing w:before="12" w:line="320" w:lineRule="exact"/>
              <w:ind w:left="107" w:leftChars="0" w:right="95" w:rightChars="0"/>
              <w:jc w:val="center"/>
              <w:textAlignment w:val="auto"/>
              <w:rPr>
                <w:rFonts w:hint="eastAsia" w:ascii="宋体" w:hAnsi="宋体" w:eastAsia="宋体" w:cs="宋体"/>
                <w:color w:val="000000"/>
                <w:spacing w:val="-2"/>
                <w:kern w:val="2"/>
                <w:sz w:val="21"/>
                <w:szCs w:val="21"/>
                <w:highlight w:val="none"/>
                <w:lang w:val="en-US" w:eastAsia="zh-CN" w:bidi="ar-SA"/>
              </w:rPr>
            </w:pPr>
            <w:r>
              <w:rPr>
                <w:rFonts w:hint="eastAsia" w:ascii="宋体" w:hAnsi="宋体" w:eastAsia="宋体" w:cs="宋体"/>
                <w:color w:val="000000"/>
                <w:spacing w:val="-2"/>
                <w:kern w:val="2"/>
                <w:sz w:val="21"/>
                <w:szCs w:val="21"/>
                <w:highlight w:val="none"/>
                <w:lang w:val="en-US" w:eastAsia="zh-CN" w:bidi="ar-SA"/>
              </w:rPr>
              <w:t>卫生及质量控制方案</w:t>
            </w:r>
          </w:p>
        </w:tc>
        <w:tc>
          <w:tcPr>
            <w:tcW w:w="532" w:type="pct"/>
            <w:shd w:val="clear" w:color="auto" w:fill="auto"/>
            <w:vAlign w:val="center"/>
          </w:tcPr>
          <w:p w14:paraId="6DDDDB10">
            <w:pPr>
              <w:keepNext w:val="0"/>
              <w:keepLines w:val="0"/>
              <w:pageBreakBefore w:val="0"/>
              <w:kinsoku/>
              <w:wordWrap/>
              <w:overflowPunct/>
              <w:topLinePunct w:val="0"/>
              <w:autoSpaceDE/>
              <w:autoSpaceDN/>
              <w:bidi w:val="0"/>
              <w:adjustRightInd/>
              <w:snapToGrid/>
              <w:spacing w:before="143" w:line="320" w:lineRule="exact"/>
              <w:jc w:val="center"/>
              <w:textAlignment w:val="auto"/>
              <w:rPr>
                <w:rFonts w:hint="eastAsia" w:ascii="宋体" w:hAnsi="宋体" w:eastAsia="宋体" w:cs="宋体"/>
                <w:color w:val="000000"/>
                <w:spacing w:val="-2"/>
                <w:kern w:val="2"/>
                <w:sz w:val="21"/>
                <w:szCs w:val="21"/>
                <w:highlight w:val="none"/>
                <w:lang w:val="en-US" w:eastAsia="zh-CN" w:bidi="ar-SA"/>
              </w:rPr>
            </w:pPr>
            <w:r>
              <w:rPr>
                <w:rFonts w:hint="eastAsia" w:ascii="宋体" w:hAnsi="宋体" w:eastAsia="宋体" w:cs="宋体"/>
                <w:color w:val="000000"/>
                <w:spacing w:val="-2"/>
                <w:kern w:val="2"/>
                <w:sz w:val="21"/>
                <w:szCs w:val="21"/>
                <w:highlight w:val="none"/>
                <w:lang w:val="en-US" w:eastAsia="zh-CN" w:bidi="ar-SA"/>
              </w:rPr>
              <w:t>12</w:t>
            </w:r>
          </w:p>
        </w:tc>
        <w:tc>
          <w:tcPr>
            <w:tcW w:w="3213" w:type="pct"/>
            <w:shd w:val="clear" w:color="auto" w:fill="auto"/>
            <w:vAlign w:val="center"/>
          </w:tcPr>
          <w:p w14:paraId="1F02E405">
            <w:pPr>
              <w:keepNext w:val="0"/>
              <w:keepLines w:val="0"/>
              <w:pageBreakBefore w:val="0"/>
              <w:widowControl w:val="0"/>
              <w:kinsoku/>
              <w:wordWrap/>
              <w:overflowPunct/>
              <w:topLinePunct w:val="0"/>
              <w:autoSpaceDE/>
              <w:autoSpaceDN/>
              <w:bidi w:val="0"/>
              <w:adjustRightInd w:val="0"/>
              <w:snapToGrid/>
              <w:spacing w:line="320" w:lineRule="exact"/>
              <w:ind w:left="0"/>
              <w:jc w:val="left"/>
              <w:textAlignment w:val="auto"/>
              <w:rPr>
                <w:rFonts w:hint="eastAsia" w:ascii="宋体" w:hAnsi="宋体" w:eastAsia="宋体" w:cs="宋体"/>
                <w:color w:val="000000"/>
                <w:spacing w:val="0"/>
                <w:kern w:val="2"/>
                <w:sz w:val="21"/>
                <w:szCs w:val="21"/>
                <w:highlight w:val="none"/>
                <w:lang w:val="en-US" w:eastAsia="zh-CN" w:bidi="ar-SA"/>
              </w:rPr>
            </w:pPr>
            <w:r>
              <w:rPr>
                <w:rFonts w:hint="eastAsia" w:ascii="宋体" w:hAnsi="宋体" w:eastAsia="宋体" w:cs="宋体"/>
                <w:color w:val="000000"/>
                <w:spacing w:val="0"/>
                <w:kern w:val="2"/>
                <w:sz w:val="21"/>
                <w:szCs w:val="21"/>
                <w:highlight w:val="none"/>
                <w:lang w:val="en-US" w:eastAsia="zh-CN" w:bidi="ar-SA"/>
              </w:rPr>
              <w:t>根据投标人提供的服务质量控制、卫生管理方案进行评分，包括但不限于①食品加工流程管理；②食品卫生控制方案；③人员卫生控制方案；④环境卫生控制方案；⑤餐饮用具消毒、保洁管理等制度；⑥餐厨废弃物处置方案、食堂除害方案等。</w:t>
            </w:r>
          </w:p>
          <w:p w14:paraId="5CE7C974">
            <w:pPr>
              <w:keepNext w:val="0"/>
              <w:keepLines w:val="0"/>
              <w:pageBreakBefore w:val="0"/>
              <w:widowControl w:val="0"/>
              <w:kinsoku/>
              <w:wordWrap/>
              <w:overflowPunct/>
              <w:topLinePunct w:val="0"/>
              <w:autoSpaceDE/>
              <w:autoSpaceDN/>
              <w:bidi w:val="0"/>
              <w:adjustRightInd w:val="0"/>
              <w:snapToGrid/>
              <w:spacing w:line="320" w:lineRule="exact"/>
              <w:ind w:left="0" w:leftChars="0"/>
              <w:jc w:val="left"/>
              <w:textAlignment w:val="auto"/>
              <w:rPr>
                <w:rFonts w:hint="eastAsia" w:ascii="宋体" w:hAnsi="宋体" w:eastAsia="宋体" w:cs="宋体"/>
                <w:spacing w:val="2"/>
                <w:sz w:val="21"/>
                <w:szCs w:val="21"/>
                <w:highlight w:val="none"/>
              </w:rPr>
            </w:pPr>
            <w:r>
              <w:rPr>
                <w:rFonts w:hint="eastAsia" w:ascii="宋体" w:hAnsi="宋体" w:eastAsia="宋体" w:cs="宋体"/>
                <w:color w:val="auto"/>
                <w:kern w:val="2"/>
                <w:sz w:val="21"/>
                <w:szCs w:val="21"/>
                <w:highlight w:val="none"/>
                <w:lang w:val="en-US" w:eastAsia="zh-CN" w:bidi="ar-SA"/>
              </w:rPr>
              <w:t>投标文件中提供以上内容的，每提供一项得2分，方案有缺漏、方案不完善、不具备合理性的扣1分，未提供的不得分。最高得12分。</w:t>
            </w:r>
          </w:p>
        </w:tc>
      </w:tr>
      <w:tr w14:paraId="5247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15" w:type="pct"/>
            <w:vMerge w:val="continue"/>
            <w:vAlign w:val="center"/>
          </w:tcPr>
          <w:p w14:paraId="6892C5A9">
            <w:pPr>
              <w:pStyle w:val="52"/>
              <w:jc w:val="center"/>
              <w:rPr>
                <w:rFonts w:hint="eastAsia" w:ascii="宋体" w:hAnsi="宋体" w:eastAsia="宋体" w:cs="宋体"/>
                <w:color w:val="auto"/>
                <w:sz w:val="21"/>
                <w:szCs w:val="21"/>
                <w:highlight w:val="none"/>
              </w:rPr>
            </w:pPr>
          </w:p>
        </w:tc>
        <w:tc>
          <w:tcPr>
            <w:tcW w:w="838" w:type="pct"/>
            <w:shd w:val="clear" w:color="auto" w:fill="auto"/>
            <w:vAlign w:val="center"/>
          </w:tcPr>
          <w:p w14:paraId="1E29BCB6">
            <w:pPr>
              <w:keepNext w:val="0"/>
              <w:keepLines w:val="0"/>
              <w:pageBreakBefore w:val="0"/>
              <w:widowControl w:val="0"/>
              <w:kinsoku/>
              <w:wordWrap/>
              <w:overflowPunct/>
              <w:topLinePunct w:val="0"/>
              <w:autoSpaceDE/>
              <w:autoSpaceDN/>
              <w:bidi w:val="0"/>
              <w:adjustRightInd w:val="0"/>
              <w:snapToGrid/>
              <w:spacing w:line="320" w:lineRule="exact"/>
              <w:ind w:left="0"/>
              <w:jc w:val="center"/>
              <w:textAlignment w:val="auto"/>
              <w:rPr>
                <w:rFonts w:hint="eastAsia" w:ascii="宋体" w:hAnsi="宋体" w:eastAsia="宋体" w:cs="宋体"/>
                <w:color w:val="000000"/>
                <w:spacing w:val="0"/>
                <w:kern w:val="2"/>
                <w:sz w:val="21"/>
                <w:szCs w:val="21"/>
                <w:highlight w:val="none"/>
                <w:lang w:val="en-US" w:eastAsia="zh-CN" w:bidi="ar-SA"/>
              </w:rPr>
            </w:pPr>
            <w:r>
              <w:rPr>
                <w:rFonts w:hint="eastAsia" w:ascii="宋体" w:hAnsi="宋体" w:eastAsia="宋体" w:cs="宋体"/>
                <w:color w:val="000000"/>
                <w:spacing w:val="0"/>
                <w:kern w:val="2"/>
                <w:sz w:val="21"/>
                <w:szCs w:val="21"/>
                <w:highlight w:val="none"/>
                <w:lang w:val="en-US" w:eastAsia="zh-CN" w:bidi="ar-SA"/>
              </w:rPr>
              <w:t>应急预案</w:t>
            </w:r>
          </w:p>
          <w:p w14:paraId="6277FFEE">
            <w:pPr>
              <w:keepNext w:val="0"/>
              <w:keepLines w:val="0"/>
              <w:pageBreakBefore w:val="0"/>
              <w:widowControl w:val="0"/>
              <w:kinsoku/>
              <w:wordWrap/>
              <w:overflowPunct/>
              <w:topLinePunct w:val="0"/>
              <w:autoSpaceDE/>
              <w:autoSpaceDN/>
              <w:bidi w:val="0"/>
              <w:adjustRightInd w:val="0"/>
              <w:snapToGrid/>
              <w:spacing w:line="320" w:lineRule="exact"/>
              <w:ind w:left="0" w:leftChars="0"/>
              <w:jc w:val="left"/>
              <w:textAlignment w:val="auto"/>
              <w:rPr>
                <w:rFonts w:hint="eastAsia" w:ascii="宋体" w:hAnsi="宋体" w:eastAsia="宋体" w:cs="宋体"/>
                <w:color w:val="000000"/>
                <w:spacing w:val="0"/>
                <w:kern w:val="2"/>
                <w:sz w:val="21"/>
                <w:szCs w:val="21"/>
                <w:highlight w:val="none"/>
                <w:lang w:val="en-US" w:eastAsia="zh-CN" w:bidi="ar-SA"/>
              </w:rPr>
            </w:pPr>
          </w:p>
        </w:tc>
        <w:tc>
          <w:tcPr>
            <w:tcW w:w="532" w:type="pct"/>
            <w:shd w:val="clear" w:color="auto" w:fill="auto"/>
            <w:vAlign w:val="center"/>
          </w:tcPr>
          <w:p w14:paraId="0CDEF4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2"/>
                <w:kern w:val="2"/>
                <w:sz w:val="21"/>
                <w:szCs w:val="21"/>
                <w:highlight w:val="none"/>
                <w:lang w:val="en-US" w:eastAsia="zh-CN" w:bidi="ar-SA"/>
              </w:rPr>
            </w:pPr>
            <w:r>
              <w:rPr>
                <w:rFonts w:hint="eastAsia" w:ascii="宋体" w:hAnsi="宋体" w:eastAsia="宋体" w:cs="宋体"/>
                <w:color w:val="000000"/>
                <w:spacing w:val="-2"/>
                <w:kern w:val="2"/>
                <w:sz w:val="21"/>
                <w:szCs w:val="21"/>
                <w:highlight w:val="none"/>
                <w:lang w:val="en-US" w:eastAsia="zh-CN" w:bidi="ar-SA"/>
              </w:rPr>
              <w:t>6</w:t>
            </w:r>
          </w:p>
        </w:tc>
        <w:tc>
          <w:tcPr>
            <w:tcW w:w="3213" w:type="pct"/>
            <w:shd w:val="clear" w:color="auto" w:fill="auto"/>
            <w:vAlign w:val="center"/>
          </w:tcPr>
          <w:p w14:paraId="3D1690B1">
            <w:pPr>
              <w:keepNext w:val="0"/>
              <w:keepLines w:val="0"/>
              <w:pageBreakBefore w:val="0"/>
              <w:widowControl w:val="0"/>
              <w:kinsoku/>
              <w:wordWrap/>
              <w:overflowPunct/>
              <w:topLinePunct w:val="0"/>
              <w:autoSpaceDE/>
              <w:autoSpaceDN/>
              <w:bidi w:val="0"/>
              <w:adjustRightInd w:val="0"/>
              <w:snapToGrid/>
              <w:spacing w:line="320" w:lineRule="exact"/>
              <w:ind w:left="0"/>
              <w:jc w:val="left"/>
              <w:textAlignment w:val="auto"/>
              <w:rPr>
                <w:rFonts w:hint="eastAsia" w:ascii="宋体" w:hAnsi="宋体" w:eastAsia="宋体" w:cs="宋体"/>
                <w:color w:val="000000"/>
                <w:spacing w:val="0"/>
                <w:kern w:val="2"/>
                <w:sz w:val="21"/>
                <w:szCs w:val="21"/>
                <w:highlight w:val="none"/>
                <w:lang w:val="ru-RU" w:eastAsia="zh-CN" w:bidi="ar-SA"/>
              </w:rPr>
            </w:pPr>
            <w:r>
              <w:rPr>
                <w:rFonts w:hint="eastAsia" w:ascii="宋体" w:hAnsi="宋体" w:eastAsia="宋体" w:cs="宋体"/>
                <w:color w:val="000000"/>
                <w:spacing w:val="0"/>
                <w:kern w:val="2"/>
                <w:sz w:val="21"/>
                <w:szCs w:val="21"/>
                <w:highlight w:val="none"/>
                <w:lang w:val="en-US" w:eastAsia="zh-CN" w:bidi="ar-SA"/>
              </w:rPr>
              <w:t xml:space="preserve"> 对突发事件的应急预案，</w:t>
            </w:r>
            <w:r>
              <w:rPr>
                <w:rFonts w:hint="eastAsia" w:ascii="宋体" w:hAnsi="宋体" w:eastAsia="宋体" w:cs="宋体"/>
                <w:color w:val="000000"/>
                <w:spacing w:val="0"/>
                <w:kern w:val="2"/>
                <w:sz w:val="21"/>
                <w:szCs w:val="21"/>
                <w:highlight w:val="none"/>
                <w:lang w:val="ru-RU" w:eastAsia="zh-CN" w:bidi="ar-SA"/>
              </w:rPr>
              <w:t>内容包含但不限于：</w:t>
            </w:r>
          </w:p>
          <w:p w14:paraId="21D8B305">
            <w:pPr>
              <w:keepNext w:val="0"/>
              <w:keepLines w:val="0"/>
              <w:pageBreakBefore w:val="0"/>
              <w:widowControl w:val="0"/>
              <w:kinsoku/>
              <w:wordWrap/>
              <w:overflowPunct/>
              <w:topLinePunct w:val="0"/>
              <w:autoSpaceDE/>
              <w:autoSpaceDN/>
              <w:bidi w:val="0"/>
              <w:adjustRightInd w:val="0"/>
              <w:snapToGrid/>
              <w:spacing w:line="320" w:lineRule="exact"/>
              <w:ind w:left="0"/>
              <w:jc w:val="left"/>
              <w:textAlignment w:val="auto"/>
              <w:rPr>
                <w:rFonts w:hint="eastAsia" w:ascii="宋体" w:hAnsi="宋体" w:eastAsia="宋体" w:cs="宋体"/>
                <w:color w:val="000000"/>
                <w:spacing w:val="0"/>
                <w:kern w:val="2"/>
                <w:sz w:val="21"/>
                <w:szCs w:val="21"/>
                <w:highlight w:val="none"/>
                <w:lang w:val="ru-RU" w:eastAsia="zh-CN" w:bidi="ar-SA"/>
              </w:rPr>
            </w:pPr>
            <w:r>
              <w:rPr>
                <w:rFonts w:hint="eastAsia" w:ascii="宋体" w:hAnsi="宋体" w:eastAsia="宋体" w:cs="宋体"/>
                <w:color w:val="000000"/>
                <w:spacing w:val="0"/>
                <w:kern w:val="2"/>
                <w:sz w:val="21"/>
                <w:szCs w:val="21"/>
                <w:highlight w:val="none"/>
                <w:lang w:val="ru-RU" w:eastAsia="zh-CN" w:bidi="ar-SA"/>
              </w:rPr>
              <w:t>①</w:t>
            </w:r>
            <w:r>
              <w:rPr>
                <w:rFonts w:hint="eastAsia" w:ascii="宋体" w:hAnsi="宋体" w:eastAsia="宋体" w:cs="宋体"/>
                <w:color w:val="000000"/>
                <w:spacing w:val="0"/>
                <w:kern w:val="2"/>
                <w:sz w:val="21"/>
                <w:szCs w:val="21"/>
                <w:highlight w:val="none"/>
                <w:lang w:val="en-US" w:eastAsia="zh-CN" w:bidi="ar-SA"/>
              </w:rPr>
              <w:t>公共卫生事件、食物中毒预案,防投毒预案；</w:t>
            </w:r>
            <w:r>
              <w:rPr>
                <w:rFonts w:hint="eastAsia" w:ascii="宋体" w:hAnsi="宋体" w:eastAsia="宋体" w:cs="宋体"/>
                <w:color w:val="000000"/>
                <w:spacing w:val="0"/>
                <w:kern w:val="2"/>
                <w:sz w:val="21"/>
                <w:szCs w:val="21"/>
                <w:highlight w:val="none"/>
                <w:lang w:val="ru-RU" w:eastAsia="zh-CN" w:bidi="ar-SA"/>
              </w:rPr>
              <w:t>②消防、治安、</w:t>
            </w:r>
            <w:r>
              <w:rPr>
                <w:rFonts w:hint="eastAsia" w:ascii="宋体" w:hAnsi="宋体" w:eastAsia="宋体" w:cs="宋体"/>
                <w:color w:val="000000"/>
                <w:spacing w:val="0"/>
                <w:kern w:val="2"/>
                <w:sz w:val="21"/>
                <w:szCs w:val="21"/>
                <w:highlight w:val="none"/>
                <w:lang w:val="en-US" w:eastAsia="zh-CN" w:bidi="ar-SA"/>
              </w:rPr>
              <w:t>停电、停水</w:t>
            </w:r>
            <w:r>
              <w:rPr>
                <w:rFonts w:hint="eastAsia" w:ascii="宋体" w:hAnsi="宋体" w:eastAsia="宋体" w:cs="宋体"/>
                <w:color w:val="000000"/>
                <w:spacing w:val="0"/>
                <w:kern w:val="2"/>
                <w:sz w:val="21"/>
                <w:szCs w:val="21"/>
                <w:highlight w:val="none"/>
                <w:lang w:val="ru-RU" w:eastAsia="zh-CN" w:bidi="ar-SA"/>
              </w:rPr>
              <w:t>；③意外事故及日常投诉等突发事件；</w:t>
            </w:r>
          </w:p>
          <w:p w14:paraId="56642CD4">
            <w:pPr>
              <w:keepNext w:val="0"/>
              <w:keepLines w:val="0"/>
              <w:pageBreakBefore w:val="0"/>
              <w:widowControl w:val="0"/>
              <w:kinsoku/>
              <w:wordWrap/>
              <w:overflowPunct/>
              <w:topLinePunct w:val="0"/>
              <w:autoSpaceDE/>
              <w:autoSpaceDN/>
              <w:bidi w:val="0"/>
              <w:adjustRightInd w:val="0"/>
              <w:snapToGrid/>
              <w:spacing w:line="320" w:lineRule="exact"/>
              <w:ind w:left="0" w:leftChars="0"/>
              <w:jc w:val="left"/>
              <w:textAlignment w:val="auto"/>
              <w:rPr>
                <w:rFonts w:hint="eastAsia" w:ascii="宋体" w:hAnsi="宋体" w:eastAsia="宋体" w:cs="宋体"/>
                <w:spacing w:val="2"/>
                <w:sz w:val="21"/>
                <w:szCs w:val="21"/>
                <w:highlight w:val="none"/>
              </w:rPr>
            </w:pPr>
            <w:r>
              <w:rPr>
                <w:rFonts w:hint="eastAsia" w:ascii="宋体" w:hAnsi="宋体" w:eastAsia="宋体" w:cs="宋体"/>
                <w:color w:val="auto"/>
                <w:kern w:val="2"/>
                <w:sz w:val="21"/>
                <w:szCs w:val="21"/>
                <w:highlight w:val="none"/>
                <w:lang w:val="en-US" w:eastAsia="zh-CN" w:bidi="ar-SA"/>
              </w:rPr>
              <w:t>投标文件中提供以上内容的，每提供一项得2分，方案有缺漏、方案不完善、不具备合理性的扣1分，未提供的不得分。最高得6分。</w:t>
            </w:r>
          </w:p>
        </w:tc>
      </w:tr>
      <w:tr w14:paraId="388C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15" w:type="pct"/>
            <w:vMerge w:val="continue"/>
            <w:vAlign w:val="center"/>
          </w:tcPr>
          <w:p w14:paraId="59443719">
            <w:pPr>
              <w:pStyle w:val="52"/>
              <w:jc w:val="center"/>
              <w:rPr>
                <w:rFonts w:hint="eastAsia" w:ascii="宋体" w:hAnsi="宋体" w:eastAsia="宋体" w:cs="宋体"/>
                <w:color w:val="auto"/>
                <w:sz w:val="21"/>
                <w:szCs w:val="21"/>
                <w:highlight w:val="none"/>
              </w:rPr>
            </w:pPr>
          </w:p>
        </w:tc>
        <w:tc>
          <w:tcPr>
            <w:tcW w:w="838" w:type="pct"/>
            <w:shd w:val="clear" w:color="auto" w:fill="auto"/>
            <w:vAlign w:val="center"/>
          </w:tcPr>
          <w:p w14:paraId="7F10D3BB">
            <w:pPr>
              <w:keepNext w:val="0"/>
              <w:keepLines w:val="0"/>
              <w:pageBreakBefore w:val="0"/>
              <w:widowControl w:val="0"/>
              <w:kinsoku/>
              <w:wordWrap/>
              <w:overflowPunct/>
              <w:topLinePunct w:val="0"/>
              <w:autoSpaceDE/>
              <w:autoSpaceDN/>
              <w:bidi w:val="0"/>
              <w:adjustRightInd w:val="0"/>
              <w:snapToGrid/>
              <w:spacing w:line="320" w:lineRule="exact"/>
              <w:ind w:left="0" w:leftChars="0"/>
              <w:jc w:val="center"/>
              <w:textAlignment w:val="auto"/>
              <w:rPr>
                <w:rFonts w:hint="eastAsia" w:ascii="宋体" w:hAnsi="宋体" w:eastAsia="宋体" w:cs="宋体"/>
                <w:color w:val="000000"/>
                <w:spacing w:val="0"/>
                <w:kern w:val="2"/>
                <w:sz w:val="21"/>
                <w:szCs w:val="21"/>
                <w:highlight w:val="none"/>
                <w:lang w:val="en-US" w:eastAsia="zh-CN" w:bidi="ar-SA"/>
              </w:rPr>
            </w:pPr>
            <w:r>
              <w:rPr>
                <w:rFonts w:hint="eastAsia" w:ascii="宋体" w:hAnsi="宋体" w:eastAsia="宋体" w:cs="宋体"/>
                <w:color w:val="000000"/>
                <w:spacing w:val="0"/>
                <w:kern w:val="2"/>
                <w:sz w:val="21"/>
                <w:szCs w:val="21"/>
                <w:highlight w:val="none"/>
                <w:lang w:val="en-US" w:eastAsia="zh-CN" w:bidi="ar-SA"/>
              </w:rPr>
              <w:t>安全管理方案</w:t>
            </w:r>
          </w:p>
        </w:tc>
        <w:tc>
          <w:tcPr>
            <w:tcW w:w="532" w:type="pct"/>
            <w:shd w:val="clear" w:color="auto" w:fill="auto"/>
            <w:vAlign w:val="center"/>
          </w:tcPr>
          <w:p w14:paraId="2846F54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2"/>
                <w:kern w:val="2"/>
                <w:sz w:val="21"/>
                <w:szCs w:val="21"/>
                <w:highlight w:val="none"/>
                <w:lang w:val="en-US" w:eastAsia="zh-CN" w:bidi="ar-SA"/>
              </w:rPr>
            </w:pPr>
            <w:r>
              <w:rPr>
                <w:rFonts w:hint="eastAsia" w:ascii="宋体" w:hAnsi="宋体" w:eastAsia="宋体" w:cs="宋体"/>
                <w:color w:val="000000"/>
                <w:spacing w:val="-2"/>
                <w:kern w:val="2"/>
                <w:sz w:val="21"/>
                <w:szCs w:val="21"/>
                <w:highlight w:val="none"/>
                <w:lang w:val="en-US" w:eastAsia="zh-CN" w:bidi="ar-SA"/>
              </w:rPr>
              <w:t>6</w:t>
            </w:r>
          </w:p>
        </w:tc>
        <w:tc>
          <w:tcPr>
            <w:tcW w:w="3213" w:type="pct"/>
            <w:shd w:val="clear" w:color="auto" w:fill="auto"/>
            <w:vAlign w:val="center"/>
          </w:tcPr>
          <w:p w14:paraId="50B4ED55">
            <w:pPr>
              <w:keepNext w:val="0"/>
              <w:keepLines w:val="0"/>
              <w:pageBreakBefore w:val="0"/>
              <w:widowControl w:val="0"/>
              <w:kinsoku/>
              <w:wordWrap/>
              <w:overflowPunct/>
              <w:topLinePunct w:val="0"/>
              <w:autoSpaceDE/>
              <w:autoSpaceDN/>
              <w:bidi w:val="0"/>
              <w:adjustRightInd w:val="0"/>
              <w:snapToGrid/>
              <w:spacing w:line="320" w:lineRule="exact"/>
              <w:ind w:left="0" w:leftChars="0"/>
              <w:jc w:val="left"/>
              <w:textAlignment w:val="auto"/>
              <w:rPr>
                <w:rFonts w:hint="eastAsia" w:ascii="宋体" w:hAnsi="宋体" w:eastAsia="宋体" w:cs="宋体"/>
                <w:spacing w:val="2"/>
                <w:sz w:val="21"/>
                <w:szCs w:val="21"/>
                <w:highlight w:val="none"/>
              </w:rPr>
            </w:pPr>
            <w:r>
              <w:rPr>
                <w:rFonts w:hint="eastAsia" w:ascii="宋体" w:hAnsi="宋体" w:eastAsia="宋体" w:cs="宋体"/>
                <w:color w:val="000000"/>
                <w:spacing w:val="0"/>
                <w:kern w:val="2"/>
                <w:sz w:val="21"/>
                <w:szCs w:val="21"/>
                <w:highlight w:val="none"/>
                <w:lang w:val="en-US" w:eastAsia="zh-CN" w:bidi="ar-SA"/>
              </w:rPr>
              <w:t>根据投标人提供的安全管理方案进行评分，包括但不限于①食品安全管理； ②人员及厨房设备安全管理；③消防安全管理等。</w:t>
            </w:r>
            <w:r>
              <w:rPr>
                <w:rFonts w:hint="eastAsia" w:ascii="宋体" w:hAnsi="宋体" w:eastAsia="宋体" w:cs="宋体"/>
                <w:color w:val="auto"/>
                <w:kern w:val="2"/>
                <w:sz w:val="21"/>
                <w:szCs w:val="21"/>
                <w:highlight w:val="none"/>
                <w:lang w:val="en-US" w:eastAsia="zh-CN" w:bidi="ar-SA"/>
              </w:rPr>
              <w:t>投标文件中提供以上内容的，每提供一项得2分，方案有缺漏、方案不完善、不具备合理性的扣1分，未提供的不得分。最高得6分。</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15" w:type="pct"/>
            <w:vMerge w:val="continue"/>
            <w:vAlign w:val="center"/>
          </w:tcPr>
          <w:p w14:paraId="49F4BD9F">
            <w:pPr>
              <w:pStyle w:val="52"/>
              <w:jc w:val="center"/>
              <w:rPr>
                <w:rFonts w:hint="eastAsia" w:ascii="宋体" w:hAnsi="宋体" w:eastAsia="宋体" w:cs="宋体"/>
                <w:color w:val="auto"/>
                <w:sz w:val="21"/>
                <w:szCs w:val="21"/>
                <w:highlight w:val="none"/>
              </w:rPr>
            </w:pPr>
          </w:p>
        </w:tc>
        <w:tc>
          <w:tcPr>
            <w:tcW w:w="838" w:type="pct"/>
            <w:shd w:val="clear" w:color="auto" w:fill="auto"/>
            <w:vAlign w:val="center"/>
          </w:tcPr>
          <w:p w14:paraId="4FF5A0D7">
            <w:pPr>
              <w:keepNext w:val="0"/>
              <w:keepLines w:val="0"/>
              <w:pageBreakBefore w:val="0"/>
              <w:widowControl w:val="0"/>
              <w:kinsoku/>
              <w:wordWrap/>
              <w:overflowPunct/>
              <w:topLinePunct w:val="0"/>
              <w:autoSpaceDE/>
              <w:autoSpaceDN/>
              <w:bidi w:val="0"/>
              <w:adjustRightInd w:val="0"/>
              <w:snapToGrid/>
              <w:spacing w:line="320" w:lineRule="exact"/>
              <w:ind w:left="0" w:leftChars="0"/>
              <w:jc w:val="center"/>
              <w:textAlignment w:val="auto"/>
              <w:rPr>
                <w:rFonts w:hint="eastAsia" w:ascii="宋体" w:hAnsi="宋体" w:eastAsia="宋体" w:cs="宋体"/>
                <w:color w:val="000000"/>
                <w:spacing w:val="0"/>
                <w:kern w:val="2"/>
                <w:sz w:val="21"/>
                <w:szCs w:val="21"/>
                <w:highlight w:val="none"/>
                <w:lang w:val="en-US" w:eastAsia="zh-CN" w:bidi="ar-SA"/>
              </w:rPr>
            </w:pPr>
            <w:r>
              <w:rPr>
                <w:rFonts w:hint="eastAsia" w:ascii="宋体" w:hAnsi="宋体" w:eastAsia="宋体" w:cs="宋体"/>
                <w:color w:val="000000"/>
                <w:spacing w:val="0"/>
                <w:kern w:val="2"/>
                <w:sz w:val="21"/>
                <w:szCs w:val="21"/>
                <w:highlight w:val="none"/>
                <w:lang w:val="en-US" w:eastAsia="zh-CN" w:bidi="ar-SA"/>
              </w:rPr>
              <w:t>其他优惠承诺</w:t>
            </w:r>
          </w:p>
        </w:tc>
        <w:tc>
          <w:tcPr>
            <w:tcW w:w="532" w:type="pct"/>
            <w:shd w:val="clear" w:color="auto" w:fill="auto"/>
            <w:vAlign w:val="center"/>
          </w:tcPr>
          <w:p w14:paraId="124035B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2"/>
                <w:kern w:val="2"/>
                <w:sz w:val="21"/>
                <w:szCs w:val="21"/>
                <w:highlight w:val="none"/>
                <w:lang w:val="en-US" w:eastAsia="zh-CN" w:bidi="ar-SA"/>
              </w:rPr>
            </w:pPr>
            <w:r>
              <w:rPr>
                <w:rFonts w:hint="eastAsia" w:ascii="宋体" w:hAnsi="宋体" w:eastAsia="宋体" w:cs="宋体"/>
                <w:color w:val="000000"/>
                <w:spacing w:val="-2"/>
                <w:kern w:val="2"/>
                <w:sz w:val="21"/>
                <w:szCs w:val="21"/>
                <w:highlight w:val="none"/>
                <w:lang w:val="en-US" w:eastAsia="zh-CN" w:bidi="ar-SA"/>
              </w:rPr>
              <w:t>3</w:t>
            </w:r>
          </w:p>
        </w:tc>
        <w:tc>
          <w:tcPr>
            <w:tcW w:w="3213" w:type="pct"/>
            <w:vAlign w:val="center"/>
          </w:tcPr>
          <w:p w14:paraId="0690E9D8">
            <w:pPr>
              <w:keepNext w:val="0"/>
              <w:keepLines w:val="0"/>
              <w:pageBreakBefore w:val="0"/>
              <w:widowControl w:val="0"/>
              <w:kinsoku/>
              <w:wordWrap/>
              <w:overflowPunct/>
              <w:topLinePunct w:val="0"/>
              <w:autoSpaceDE/>
              <w:autoSpaceDN/>
              <w:bidi w:val="0"/>
              <w:adjustRightInd w:val="0"/>
              <w:snapToGrid/>
              <w:spacing w:line="32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pacing w:val="0"/>
                <w:kern w:val="2"/>
                <w:sz w:val="21"/>
                <w:szCs w:val="21"/>
                <w:highlight w:val="none"/>
                <w:lang w:val="en-US" w:eastAsia="zh-CN" w:bidi="ar-SA"/>
              </w:rPr>
              <w:t>针对本次项目，承诺提供相关优惠，包括但不限于(相关节日提供免费加餐等实质性优惠)，每提供一项得1分，满分3分。</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54" w:type="pct"/>
            <w:gridSpan w:val="2"/>
            <w:vAlign w:val="center"/>
          </w:tcPr>
          <w:p w14:paraId="1F1436F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532" w:type="pct"/>
            <w:tcBorders>
              <w:bottom w:val="single" w:color="auto" w:sz="4" w:space="0"/>
            </w:tcBorders>
            <w:vAlign w:val="center"/>
          </w:tcPr>
          <w:p w14:paraId="2C7F1184">
            <w:pPr>
              <w:pStyle w:val="5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=SUM(ABOVE)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分</w:t>
            </w:r>
          </w:p>
        </w:tc>
        <w:tc>
          <w:tcPr>
            <w:tcW w:w="3213" w:type="pct"/>
            <w:tcBorders>
              <w:bottom w:val="single" w:color="auto" w:sz="4" w:space="0"/>
            </w:tcBorders>
            <w:vAlign w:val="center"/>
          </w:tcPr>
          <w:p w14:paraId="7EBD69F8">
            <w:pPr>
              <w:pStyle w:val="52"/>
              <w:rPr>
                <w:rFonts w:hint="eastAsia" w:ascii="宋体" w:hAnsi="宋体" w:eastAsia="宋体" w:cs="宋体"/>
                <w:color w:val="auto"/>
                <w:sz w:val="21"/>
                <w:szCs w:val="21"/>
                <w:highlight w:val="none"/>
              </w:rPr>
            </w:pPr>
          </w:p>
        </w:tc>
      </w:tr>
    </w:tbl>
    <w:p w14:paraId="790B0AA8">
      <w:pPr>
        <w:rPr>
          <w:rFonts w:hint="eastAsia" w:ascii="宋体" w:hAnsi="宋体" w:eastAsia="宋体" w:cs="宋体"/>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C9B452B">
      <w:pPr>
        <w:pStyle w:val="2"/>
        <w:keepNext/>
        <w:keepLines/>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outlineLvl w:val="0"/>
        <w:rPr>
          <w:rFonts w:hint="eastAsia" w:ascii="宋体" w:hAnsi="宋体" w:eastAsia="宋体" w:cs="宋体"/>
          <w:b/>
          <w:bCs/>
          <w:color w:val="auto"/>
          <w:kern w:val="44"/>
          <w:sz w:val="36"/>
          <w:szCs w:val="36"/>
          <w:highlight w:val="none"/>
          <w:lang w:val="en-US" w:eastAsia="zh-CN" w:bidi="ar-SA"/>
        </w:rPr>
      </w:pPr>
      <w:bookmarkStart w:id="665" w:name="_Toc31042"/>
      <w:bookmarkStart w:id="666" w:name="_Toc155185919"/>
      <w:r>
        <w:rPr>
          <w:rFonts w:hint="eastAsia" w:ascii="宋体" w:hAnsi="宋体" w:eastAsia="宋体" w:cs="宋体"/>
          <w:b/>
          <w:bCs/>
          <w:color w:val="auto"/>
          <w:kern w:val="44"/>
          <w:sz w:val="36"/>
          <w:szCs w:val="36"/>
          <w:highlight w:val="none"/>
          <w:lang w:val="en-US" w:eastAsia="zh-CN" w:bidi="ar-SA"/>
        </w:rPr>
        <w:t>第六章  合同</w:t>
      </w:r>
      <w:r>
        <w:rPr>
          <w:rFonts w:hint="eastAsia" w:ascii="宋体" w:hAnsi="宋体" w:eastAsia="宋体" w:cs="宋体"/>
          <w:b/>
          <w:bCs/>
          <w:color w:val="auto"/>
          <w:kern w:val="44"/>
          <w:sz w:val="36"/>
          <w:szCs w:val="36"/>
          <w:highlight w:val="none"/>
          <w:lang w:val="en-US" w:eastAsia="zh-CN" w:bidi="ar-SA"/>
        </w:rPr>
        <w:fldChar w:fldCharType="begin"/>
      </w:r>
      <w:r>
        <w:rPr>
          <w:rFonts w:hint="eastAsia" w:ascii="宋体" w:hAnsi="宋体" w:eastAsia="宋体" w:cs="宋体"/>
          <w:b/>
          <w:bCs/>
          <w:color w:val="auto"/>
          <w:kern w:val="44"/>
          <w:sz w:val="36"/>
          <w:szCs w:val="36"/>
          <w:highlight w:val="none"/>
          <w:lang w:val="en-US" w:eastAsia="zh-CN" w:bidi="ar-SA"/>
        </w:rPr>
        <w:instrText xml:space="preserve"> XE "第六章  合同" </w:instrText>
      </w:r>
      <w:r>
        <w:rPr>
          <w:rFonts w:hint="eastAsia" w:ascii="宋体" w:hAnsi="宋体" w:eastAsia="宋体" w:cs="宋体"/>
          <w:b/>
          <w:bCs/>
          <w:color w:val="auto"/>
          <w:kern w:val="44"/>
          <w:sz w:val="36"/>
          <w:szCs w:val="36"/>
          <w:highlight w:val="none"/>
          <w:lang w:val="en-US" w:eastAsia="zh-CN" w:bidi="ar-SA"/>
        </w:rPr>
        <w:fldChar w:fldCharType="end"/>
      </w:r>
      <w:r>
        <w:rPr>
          <w:rFonts w:hint="eastAsia" w:ascii="宋体" w:hAnsi="宋体" w:eastAsia="宋体" w:cs="宋体"/>
          <w:b/>
          <w:bCs/>
          <w:color w:val="auto"/>
          <w:kern w:val="44"/>
          <w:sz w:val="36"/>
          <w:szCs w:val="36"/>
          <w:highlight w:val="none"/>
          <w:lang w:val="en-US" w:eastAsia="zh-CN" w:bidi="ar-SA"/>
        </w:rPr>
        <w:fldChar w:fldCharType="begin"/>
      </w:r>
      <w:r>
        <w:rPr>
          <w:rFonts w:hint="eastAsia" w:ascii="宋体" w:hAnsi="宋体" w:eastAsia="宋体" w:cs="宋体"/>
          <w:b/>
          <w:bCs/>
          <w:color w:val="auto"/>
          <w:kern w:val="44"/>
          <w:sz w:val="36"/>
          <w:szCs w:val="36"/>
          <w:highlight w:val="none"/>
          <w:lang w:val="en-US" w:eastAsia="zh-CN" w:bidi="ar-SA"/>
        </w:rPr>
        <w:instrText xml:space="preserve"> XE "</w:instrText>
      </w:r>
      <w:r>
        <w:rPr>
          <w:rFonts w:hint="eastAsia" w:ascii="宋体" w:hAnsi="宋体" w:eastAsia="宋体" w:cs="宋体"/>
          <w:highlight w:val="none"/>
        </w:rPr>
        <w:instrText xml:space="preserve">第六章  合同</w:instrText>
      </w:r>
      <w:r>
        <w:rPr>
          <w:rFonts w:hint="eastAsia" w:ascii="宋体" w:hAnsi="宋体" w:eastAsia="宋体" w:cs="宋体"/>
          <w:b/>
          <w:bCs/>
          <w:color w:val="auto"/>
          <w:kern w:val="44"/>
          <w:sz w:val="36"/>
          <w:szCs w:val="36"/>
          <w:highlight w:val="none"/>
          <w:lang w:val="en-US" w:eastAsia="zh-CN" w:bidi="ar-SA"/>
        </w:rPr>
        <w:instrText xml:space="preserve">" </w:instrText>
      </w:r>
      <w:r>
        <w:rPr>
          <w:rFonts w:hint="eastAsia" w:ascii="宋体" w:hAnsi="宋体" w:eastAsia="宋体" w:cs="宋体"/>
          <w:b/>
          <w:bCs/>
          <w:color w:val="auto"/>
          <w:kern w:val="44"/>
          <w:sz w:val="36"/>
          <w:szCs w:val="36"/>
          <w:highlight w:val="none"/>
          <w:lang w:val="en-US" w:eastAsia="zh-CN" w:bidi="ar-SA"/>
        </w:rPr>
        <w:fldChar w:fldCharType="end"/>
      </w:r>
      <w:bookmarkEnd w:id="665"/>
    </w:p>
    <w:p w14:paraId="1F472B0B">
      <w:pPr>
        <w:spacing w:line="360" w:lineRule="auto"/>
        <w:ind w:firstLine="480" w:firstLineChars="200"/>
        <w:jc w:val="center"/>
        <w:rPr>
          <w:rStyle w:val="83"/>
          <w:rFonts w:hint="eastAsia" w:ascii="宋体" w:hAnsi="宋体" w:eastAsia="宋体" w:cs="宋体"/>
          <w:sz w:val="24"/>
          <w:highlight w:val="none"/>
        </w:rPr>
      </w:pPr>
      <w:r>
        <w:rPr>
          <w:rFonts w:hint="eastAsia" w:ascii="宋体" w:hAnsi="宋体" w:eastAsia="宋体" w:cs="宋体"/>
          <w:color w:val="000000"/>
          <w:sz w:val="24"/>
          <w:highlight w:val="none"/>
        </w:rPr>
        <w:t>(此合同样本仅供参考,合同具体细则以成交双方协定为准)</w:t>
      </w:r>
    </w:p>
    <w:p w14:paraId="2E92E3A6">
      <w:pPr>
        <w:spacing w:line="560" w:lineRule="exact"/>
        <w:jc w:val="center"/>
        <w:rPr>
          <w:rFonts w:hint="eastAsia" w:ascii="宋体" w:hAnsi="宋体" w:eastAsia="宋体" w:cs="宋体"/>
          <w:sz w:val="32"/>
          <w:szCs w:val="32"/>
          <w:highlight w:val="none"/>
        </w:rPr>
      </w:pPr>
      <w:bookmarkStart w:id="667" w:name="_Toc27928"/>
      <w:r>
        <w:rPr>
          <w:rFonts w:hint="eastAsia" w:ascii="宋体" w:hAnsi="宋体" w:eastAsia="宋体" w:cs="宋体"/>
          <w:sz w:val="32"/>
          <w:szCs w:val="32"/>
          <w:highlight w:val="none"/>
        </w:rPr>
        <w:t>区属某单位餐厅人工服务</w:t>
      </w:r>
    </w:p>
    <w:p w14:paraId="28147154">
      <w:pPr>
        <w:adjustRightInd w:val="0"/>
        <w:snapToGrid w:val="0"/>
        <w:spacing w:line="264" w:lineRule="auto"/>
        <w:ind w:firstLine="640" w:firstLineChars="200"/>
        <w:jc w:val="left"/>
        <w:rPr>
          <w:rFonts w:hint="eastAsia" w:ascii="宋体" w:hAnsi="宋体" w:eastAsia="宋体" w:cs="宋体"/>
          <w:color w:val="auto"/>
          <w:sz w:val="32"/>
          <w:szCs w:val="32"/>
          <w:highlight w:val="none"/>
        </w:rPr>
      </w:pPr>
    </w:p>
    <w:p w14:paraId="223ADDB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w:t>
      </w:r>
    </w:p>
    <w:p w14:paraId="43A9D38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14:paraId="365FE23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本合同签订地点：</w:t>
      </w:r>
      <w:r>
        <w:rPr>
          <w:rFonts w:hint="eastAsia" w:ascii="宋体" w:hAnsi="宋体" w:eastAsia="宋体" w:cs="宋体"/>
          <w:color w:val="auto"/>
          <w:sz w:val="24"/>
          <w:szCs w:val="24"/>
          <w:highlight w:val="none"/>
          <w:lang w:eastAsia="zh-CN"/>
        </w:rPr>
        <w:t>甲方所在地</w:t>
      </w:r>
    </w:p>
    <w:p w14:paraId="5E652465">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根据《中华人民共和国民法典》及有关法律、法规的规定，为对</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综合管理，提高膳食质量，经甲、乙双方友好协商，本着平等互利的原则，为明确双方的权利和义务，特订立本合同。</w:t>
      </w:r>
    </w:p>
    <w:p w14:paraId="79845C7D">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b w:val="0"/>
          <w:sz w:val="24"/>
          <w:szCs w:val="24"/>
          <w:highlight w:val="none"/>
        </w:rPr>
      </w:pPr>
      <w:r>
        <w:rPr>
          <w:rFonts w:hint="eastAsia" w:ascii="宋体" w:hAnsi="宋体" w:eastAsia="宋体" w:cs="宋体"/>
          <w:sz w:val="24"/>
          <w:szCs w:val="24"/>
          <w:highlight w:val="none"/>
        </w:rPr>
        <w:t>　一、</w:t>
      </w:r>
      <w:r>
        <w:rPr>
          <w:rFonts w:hint="eastAsia" w:ascii="宋体" w:hAnsi="宋体" w:eastAsia="宋体" w:cs="宋体"/>
          <w:b w:val="0"/>
          <w:sz w:val="24"/>
          <w:szCs w:val="24"/>
          <w:highlight w:val="none"/>
        </w:rPr>
        <w:t>承包内容及经营范围</w:t>
      </w:r>
    </w:p>
    <w:p w14:paraId="67387995">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rPr>
        <w:t>承包经营甲方餐厅，负责</w:t>
      </w:r>
      <w:r>
        <w:rPr>
          <w:rFonts w:hint="eastAsia" w:ascii="宋体" w:hAnsi="宋体" w:eastAsia="宋体" w:cs="宋体"/>
          <w:sz w:val="24"/>
          <w:szCs w:val="24"/>
          <w:highlight w:val="none"/>
          <w:lang w:eastAsia="zh-CN"/>
        </w:rPr>
        <w:t>按时完成</w:t>
      </w:r>
      <w:r>
        <w:rPr>
          <w:rFonts w:hint="eastAsia" w:ascii="宋体" w:hAnsi="宋体" w:eastAsia="宋体" w:cs="宋体"/>
          <w:sz w:val="24"/>
          <w:szCs w:val="24"/>
          <w:highlight w:val="none"/>
        </w:rPr>
        <w:t>甲方早、中、晚餐</w:t>
      </w:r>
      <w:r>
        <w:rPr>
          <w:rFonts w:hint="eastAsia" w:ascii="宋体" w:hAnsi="宋体" w:eastAsia="宋体" w:cs="宋体"/>
          <w:sz w:val="24"/>
          <w:szCs w:val="24"/>
          <w:highlight w:val="none"/>
          <w:lang w:eastAsia="zh-CN"/>
        </w:rPr>
        <w:t>的加工制作，具体包括人事管理、菜肴搭配与制作、就餐环境卫生、设备清洁及消毒等工作，中餐需保证至少四菜一汤加主食，晚餐需保证至少两菜一汤加主食。</w:t>
      </w:r>
      <w:r>
        <w:rPr>
          <w:rFonts w:hint="eastAsia" w:ascii="宋体" w:hAnsi="宋体" w:eastAsia="宋体" w:cs="宋体"/>
          <w:sz w:val="24"/>
          <w:szCs w:val="24"/>
          <w:highlight w:val="none"/>
        </w:rPr>
        <w:t>严禁在食堂区域内(包括宿舍)进行非法经营活动和其它用途。</w:t>
      </w:r>
    </w:p>
    <w:p w14:paraId="282587AD">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2、用餐人数：约550-650人就餐，具体人数以实际发生为准，根据用餐人数灵活调整菜品。</w:t>
      </w:r>
    </w:p>
    <w:p w14:paraId="50BBC359">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3、甲方提供餐厅（二层楼）及厨房设备，不足部分由乙方自备。</w:t>
      </w:r>
    </w:p>
    <w:p w14:paraId="77D09CF8">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二、</w:t>
      </w:r>
      <w:r>
        <w:rPr>
          <w:rFonts w:hint="eastAsia" w:ascii="宋体" w:hAnsi="宋体" w:eastAsia="宋体" w:cs="宋体"/>
          <w:b w:val="0"/>
          <w:sz w:val="24"/>
          <w:szCs w:val="24"/>
          <w:highlight w:val="none"/>
        </w:rPr>
        <w:t>承包期限</w:t>
      </w:r>
    </w:p>
    <w:p w14:paraId="48916A7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169F548D">
      <w:pPr>
        <w:keepNext w:val="0"/>
        <w:keepLines w:val="0"/>
        <w:pageBreakBefore w:val="0"/>
        <w:kinsoku/>
        <w:wordWrap/>
        <w:overflowPunct/>
        <w:topLinePunct w:val="0"/>
        <w:autoSpaceDE/>
        <w:autoSpaceDN/>
        <w:bidi w:val="0"/>
        <w:spacing w:line="360" w:lineRule="auto"/>
        <w:ind w:firstLine="475" w:firstLineChars="198"/>
        <w:textAlignment w:val="auto"/>
        <w:rPr>
          <w:rFonts w:hint="eastAsia" w:ascii="宋体" w:hAnsi="宋体" w:eastAsia="宋体" w:cs="宋体"/>
          <w:b w:val="0"/>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b w:val="0"/>
          <w:sz w:val="24"/>
          <w:szCs w:val="24"/>
          <w:highlight w:val="none"/>
        </w:rPr>
        <w:t>场地使用、人员安全</w:t>
      </w:r>
    </w:p>
    <w:p w14:paraId="3574A42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乙方应将上述物品交还甲方，如有遗失、损坏，按照甲方购买的标准型号、品牌购回，由甲方验货通过。 </w:t>
      </w:r>
    </w:p>
    <w:p w14:paraId="21A38857">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Cs/>
          <w:sz w:val="24"/>
          <w:szCs w:val="24"/>
          <w:highlight w:val="none"/>
        </w:rPr>
        <w:t>2、承包期内，食堂内的所有设备用具维修、维护发生的一切费用由</w:t>
      </w:r>
      <w:r>
        <w:rPr>
          <w:rFonts w:hint="eastAsia" w:ascii="宋体" w:hAnsi="宋体" w:eastAsia="宋体" w:cs="宋体"/>
          <w:bCs/>
          <w:color w:val="000000"/>
          <w:sz w:val="24"/>
          <w:szCs w:val="24"/>
          <w:highlight w:val="none"/>
          <w:lang w:eastAsia="zh-CN"/>
        </w:rPr>
        <w:t>甲</w:t>
      </w:r>
      <w:r>
        <w:rPr>
          <w:rFonts w:hint="eastAsia" w:ascii="宋体" w:hAnsi="宋体" w:eastAsia="宋体" w:cs="宋体"/>
          <w:bCs/>
          <w:color w:val="000000"/>
          <w:sz w:val="24"/>
          <w:szCs w:val="24"/>
          <w:highlight w:val="none"/>
        </w:rPr>
        <w:t>方</w:t>
      </w:r>
      <w:r>
        <w:rPr>
          <w:rFonts w:hint="eastAsia" w:ascii="宋体" w:hAnsi="宋体" w:eastAsia="宋体" w:cs="宋体"/>
          <w:bCs/>
          <w:sz w:val="24"/>
          <w:szCs w:val="24"/>
          <w:highlight w:val="none"/>
        </w:rPr>
        <w:t>承担。</w:t>
      </w:r>
    </w:p>
    <w:p w14:paraId="34047C3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3、承包期内，</w:t>
      </w:r>
      <w:r>
        <w:rPr>
          <w:rFonts w:hint="eastAsia" w:ascii="宋体" w:hAnsi="宋体" w:eastAsia="宋体" w:cs="宋体"/>
          <w:bCs/>
          <w:sz w:val="24"/>
          <w:szCs w:val="24"/>
          <w:highlight w:val="none"/>
          <w:lang w:eastAsia="zh-CN"/>
        </w:rPr>
        <w:t>人为原因造成设备损坏、丢失的，由乙方负责维修及赔偿</w:t>
      </w:r>
      <w:r>
        <w:rPr>
          <w:rFonts w:hint="eastAsia" w:ascii="宋体" w:hAnsi="宋体" w:eastAsia="宋体" w:cs="宋体"/>
          <w:sz w:val="24"/>
          <w:szCs w:val="24"/>
          <w:highlight w:val="none"/>
          <w:lang w:eastAsia="zh-CN"/>
        </w:rPr>
        <w:t>。因</w:t>
      </w:r>
      <w:r>
        <w:rPr>
          <w:rFonts w:hint="eastAsia" w:ascii="宋体" w:hAnsi="宋体" w:eastAsia="宋体" w:cs="宋体"/>
          <w:sz w:val="24"/>
          <w:szCs w:val="24"/>
          <w:highlight w:val="none"/>
        </w:rPr>
        <w:t>自然磨损存在不能正常使用的，相关配件及设备，由乙方承担更换。</w:t>
      </w:r>
    </w:p>
    <w:p w14:paraId="3F6FC21D">
      <w:pPr>
        <w:keepNext w:val="0"/>
        <w:keepLines w:val="0"/>
        <w:pageBreakBefore w:val="0"/>
        <w:kinsoku/>
        <w:wordWrap/>
        <w:overflowPunct/>
        <w:topLinePunct w:val="0"/>
        <w:autoSpaceDE/>
        <w:autoSpaceDN/>
        <w:bidi w:val="0"/>
        <w:spacing w:line="360" w:lineRule="auto"/>
        <w:ind w:firstLine="477" w:firstLineChars="19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4、甲方配备的厨房设备足够满足使用条件，若乙方需要添加或更新厨房设备用具，须以书面形式通知甲方，经甲方同意后添置费用由乙方承担。</w:t>
      </w:r>
    </w:p>
    <w:p w14:paraId="64DFC3A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5、乙方对餐厅负全部责任，所有卫生条件必须符合有关部门规定的标准，因违反有关部门卫生管理办法而遭到处罚者，一切责任由乙方承担。由此造成的甲方损失，乙方负责赔偿。</w:t>
      </w:r>
    </w:p>
    <w:p w14:paraId="73B1E03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6、乙方在使用设备设施过程中未按照正确操作流程，或未及时维修设备，所导致的损坏以及意外事故，将由乙方承担。</w:t>
      </w:r>
    </w:p>
    <w:p w14:paraId="49D531E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7、承包期内，甲方负责水电费、燃气费、垃圾费、排污费等所有经营所需要交纳费用。</w:t>
      </w:r>
    </w:p>
    <w:p w14:paraId="449B672F">
      <w:pPr>
        <w:pStyle w:val="82"/>
        <w:numPr>
          <w:ilvl w:val="0"/>
          <w:numId w:val="0"/>
        </w:numPr>
        <w:spacing w:line="360" w:lineRule="auto"/>
        <w:ind w:firstLine="480"/>
        <w:jc w:val="both"/>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000000"/>
          <w:kern w:val="2"/>
          <w:sz w:val="24"/>
          <w:szCs w:val="24"/>
          <w:highlight w:val="none"/>
          <w:lang w:val="en-US" w:eastAsia="zh-CN" w:bidi="ar-SA"/>
        </w:rPr>
        <w:t>甲方对服务商进行年度满意度调查，若满意率达90%，同时接受甲方年度预算浮动，可通过一年一续签的方式签订合同，服务期限总长不超过三年。</w:t>
      </w:r>
    </w:p>
    <w:p w14:paraId="5221DAC2">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 xml:space="preserve">四、经营方式 </w:t>
      </w:r>
    </w:p>
    <w:p w14:paraId="7CF2E84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1、乙方承包甲</w:t>
      </w:r>
      <w:r>
        <w:rPr>
          <w:rFonts w:hint="eastAsia" w:ascii="宋体" w:hAnsi="宋体" w:eastAsia="宋体" w:cs="宋体"/>
          <w:color w:val="000000"/>
          <w:sz w:val="24"/>
          <w:szCs w:val="24"/>
          <w:highlight w:val="none"/>
        </w:rPr>
        <w:t>方餐厅，负责甲方人员</w:t>
      </w:r>
      <w:r>
        <w:rPr>
          <w:rFonts w:hint="eastAsia" w:ascii="宋体" w:hAnsi="宋体" w:eastAsia="宋体" w:cs="宋体"/>
          <w:sz w:val="24"/>
          <w:szCs w:val="24"/>
          <w:highlight w:val="none"/>
        </w:rPr>
        <w:t>用餐，做到新鲜可口、花样翻新、营养搭配均匀，</w:t>
      </w:r>
      <w:r>
        <w:rPr>
          <w:rFonts w:hint="eastAsia" w:ascii="宋体" w:hAnsi="宋体" w:eastAsia="宋体" w:cs="宋体"/>
          <w:sz w:val="24"/>
          <w:szCs w:val="24"/>
          <w:highlight w:val="none"/>
          <w:lang w:eastAsia="zh-CN"/>
        </w:rPr>
        <w:t>不定期</w:t>
      </w:r>
      <w:r>
        <w:rPr>
          <w:rFonts w:hint="eastAsia" w:ascii="宋体" w:hAnsi="宋体" w:eastAsia="宋体" w:cs="宋体"/>
          <w:sz w:val="24"/>
          <w:szCs w:val="24"/>
          <w:highlight w:val="none"/>
          <w:lang w:val="en-US" w:eastAsia="zh-CN"/>
        </w:rPr>
        <w:t>进行满意度调查，确保</w:t>
      </w: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lang w:eastAsia="zh-CN"/>
        </w:rPr>
        <w:t>就餐</w:t>
      </w:r>
      <w:r>
        <w:rPr>
          <w:rFonts w:hint="eastAsia" w:ascii="宋体" w:hAnsi="宋体" w:eastAsia="宋体" w:cs="宋体"/>
          <w:color w:val="000000"/>
          <w:sz w:val="24"/>
          <w:szCs w:val="24"/>
          <w:highlight w:val="none"/>
        </w:rPr>
        <w:t>人员</w:t>
      </w:r>
      <w:r>
        <w:rPr>
          <w:rFonts w:hint="eastAsia" w:ascii="宋体" w:hAnsi="宋体" w:eastAsia="宋体" w:cs="宋体"/>
          <w:sz w:val="24"/>
          <w:szCs w:val="24"/>
          <w:highlight w:val="none"/>
        </w:rPr>
        <w:t>满意</w:t>
      </w:r>
      <w:r>
        <w:rPr>
          <w:rFonts w:hint="eastAsia" w:ascii="宋体" w:hAnsi="宋体" w:eastAsia="宋体" w:cs="宋体"/>
          <w:sz w:val="24"/>
          <w:szCs w:val="24"/>
          <w:highlight w:val="none"/>
          <w:lang w:eastAsia="zh-CN"/>
        </w:rPr>
        <w:t>度</w:t>
      </w:r>
      <w:r>
        <w:rPr>
          <w:rFonts w:hint="eastAsia" w:ascii="宋体" w:hAnsi="宋体" w:eastAsia="宋体" w:cs="宋体"/>
          <w:sz w:val="24"/>
          <w:szCs w:val="24"/>
          <w:highlight w:val="none"/>
        </w:rPr>
        <w:t>达到</w:t>
      </w:r>
      <w:r>
        <w:rPr>
          <w:rFonts w:hint="eastAsia" w:ascii="宋体" w:hAnsi="宋体" w:eastAsia="宋体" w:cs="宋体"/>
          <w:sz w:val="24"/>
          <w:szCs w:val="24"/>
          <w:highlight w:val="none"/>
          <w:lang w:val="en-US" w:eastAsia="zh-CN"/>
        </w:rPr>
        <w:t>90%。</w:t>
      </w:r>
    </w:p>
    <w:p w14:paraId="68E69EE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2、严格执行《食品卫生法》，遵守企业有关卫生管理规定，保证餐厅工作人员身体健康，并提供健康证。</w:t>
      </w:r>
    </w:p>
    <w:p w14:paraId="1A0E625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3、注意节约能源和各种原材料，做好成本核算，努力降低成本，提高菜品质量。</w:t>
      </w:r>
    </w:p>
    <w:p w14:paraId="4BBCD8E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4、甲方向乙方提供经营所用设备、餐具及灶具，乙方在承包期内应妥善保管，如人为损坏，由乙方负责修复、更换，并承担修理、更换费用。</w:t>
      </w:r>
    </w:p>
    <w:p w14:paraId="012E27A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5、乙方在承包期内，不得从事违法违纪活动，造成的后果由乙方负责。</w:t>
      </w:r>
    </w:p>
    <w:p w14:paraId="1957E53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6、乙方负责餐厅内部所有区域的卫生。不得乱扔乱倒垃圾，垃圾倒入垃圾箱内。食堂仓库、操作间，餐厅、大厅、包厢、卫生间等，有明显标识，必须保持清洁，随时接受检查。</w:t>
      </w:r>
      <w:r>
        <w:rPr>
          <w:rFonts w:hint="eastAsia" w:ascii="宋体" w:hAnsi="宋体" w:eastAsia="宋体" w:cs="宋体"/>
          <w:bCs/>
          <w:sz w:val="24"/>
          <w:szCs w:val="24"/>
          <w:highlight w:val="none"/>
          <w:lang w:val="en-US" w:eastAsia="zh-CN"/>
        </w:rPr>
        <w:t>按甲方要求，组织人员完成每日环境区（餐厅正门小广场及餐厅周边）、餐厅区域的卫生清洁、扫雪等工作。</w:t>
      </w:r>
    </w:p>
    <w:p w14:paraId="660932DA">
      <w:pPr>
        <w:keepNext w:val="0"/>
        <w:keepLines w:val="0"/>
        <w:pageBreakBefore w:val="0"/>
        <w:kinsoku/>
        <w:wordWrap/>
        <w:overflowPunct/>
        <w:topLinePunct w:val="0"/>
        <w:autoSpaceDE/>
        <w:autoSpaceDN/>
        <w:bidi w:val="0"/>
        <w:spacing w:line="360" w:lineRule="auto"/>
        <w:ind w:firstLine="357" w:firstLineChars="149"/>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五、双方权利与义务</w:t>
      </w:r>
    </w:p>
    <w:p w14:paraId="57BF3C87">
      <w:pPr>
        <w:keepNext w:val="0"/>
        <w:keepLines w:val="0"/>
        <w:pageBreakBefore w:val="0"/>
        <w:kinsoku/>
        <w:wordWrap/>
        <w:overflowPunct/>
        <w:topLinePunct w:val="0"/>
        <w:autoSpaceDE/>
        <w:autoSpaceDN/>
        <w:bidi w:val="0"/>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(一)甲方权利与义务</w:t>
      </w:r>
    </w:p>
    <w:p w14:paraId="79D340E2">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1、甲方按承包合同规定监督乙方依法经营、认真履行合同，同时做好指导、监督和协调工作。</w:t>
      </w:r>
    </w:p>
    <w:p w14:paraId="4A4924E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2、甲方对乙方的配菜、营养搭配、服务水平及食品卫生、环境卫生等方面，进行定期不定期监督检查，发现不合格项甲方有权给予扣除乙方当月人工费10%的处罚，可数项并罚，并有权要求乙方及时整改。</w:t>
      </w:r>
    </w:p>
    <w:p w14:paraId="1D24EA8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3、甲方应协助乙方维持就餐秩序，并加强就餐人员的素质教育。</w:t>
      </w:r>
    </w:p>
    <w:p w14:paraId="4A121F50">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4、甲方人员按时用餐，如遇特殊情况需要用餐，甲方需提前告知乙方加班。</w:t>
      </w:r>
    </w:p>
    <w:p w14:paraId="3B2EA30E">
      <w:pPr>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5、乙方工作人员必须遵守甲方的各项安全、治安、消防等规章制度，如有违反，乙方承担由此造成的一切后果。</w:t>
      </w:r>
    </w:p>
    <w:p w14:paraId="1FCFE48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6、甲方负责办理消防、环保等相关营业手续。</w:t>
      </w:r>
    </w:p>
    <w:p w14:paraId="551CBE8C">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（二）乙方权利与义务</w:t>
      </w:r>
    </w:p>
    <w:p w14:paraId="04528F6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1、乙方负责食堂的经营管理，具体包括人员配备、制作、厨房、餐厅的环境卫生等管理事项。</w:t>
      </w:r>
      <w:r>
        <w:rPr>
          <w:rFonts w:hint="eastAsia" w:ascii="宋体" w:hAnsi="宋体" w:eastAsia="宋体" w:cs="宋体"/>
          <w:bCs/>
          <w:sz w:val="24"/>
          <w:szCs w:val="24"/>
          <w:highlight w:val="none"/>
        </w:rPr>
        <w:t>乙方员工与甲方无任何劳动关系，乙方负责对员工的安全生产教育，员工的劳动保护和工作安全及生病、事故、伤残、死亡和劳动纠纷等均由乙方负责，与甲方无关。如甲方因此而受损或支出任何费用，乙方应当承担赔偿责任。在工作过程中因乙方责任发生的人身事故、责任与费用等由乙方承担。</w:t>
      </w:r>
    </w:p>
    <w:p w14:paraId="7B0C14F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2、乙方必须严格执行《中华人民共和国食品卫生法》，保证食品安全、干净、卫生</w:t>
      </w:r>
      <w:r>
        <w:rPr>
          <w:rFonts w:hint="eastAsia" w:ascii="宋体" w:hAnsi="宋体" w:eastAsia="宋体" w:cs="宋体"/>
          <w:sz w:val="24"/>
          <w:szCs w:val="24"/>
          <w:highlight w:val="none"/>
          <w:lang w:eastAsia="zh-CN"/>
        </w:rPr>
        <w:t>，确保餐厅区域内无蝇无鼠，环境卫生及食品安全，按甲方要求提供灭蝇灭鼠服务。</w:t>
      </w:r>
    </w:p>
    <w:p w14:paraId="1E8DCFC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3、乙方工作人员必须将每天食品留样48小时，以便发生事故时追查原因。</w:t>
      </w:r>
    </w:p>
    <w:p w14:paraId="1697F1B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4、乙方保证水、电、气表正常，如出现故障，及时修理或更换，做好餐厅防触电、防火、防水渗漏等安全管理，若发生相关事故均由乙方承担。</w:t>
      </w:r>
    </w:p>
    <w:p w14:paraId="2A91613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5、乙方员工如在工作时发生因使用设备不当或违规操作，造成的设备损坏及人员烫伤、烧伤、划伤、刀伤等情况</w:t>
      </w:r>
      <w:r>
        <w:rPr>
          <w:rFonts w:hint="eastAsia" w:ascii="宋体" w:hAnsi="宋体" w:eastAsia="宋体" w:cs="宋体"/>
          <w:b w:val="0"/>
          <w:bCs/>
          <w:sz w:val="24"/>
          <w:szCs w:val="24"/>
          <w:highlight w:val="none"/>
        </w:rPr>
        <w:t>，由乙方承担设备的维修、更换，人员就医等所有费用，期间不停止义务的履行。</w:t>
      </w:r>
    </w:p>
    <w:p w14:paraId="05B36A61">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6、由于乙方所提供的食品不洁给甲方人员造成食物中毒或其他后果的，必须承担相关费用以及法律责任。</w:t>
      </w:r>
    </w:p>
    <w:p w14:paraId="15BED77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7、乙方按照甲方的要求配置工作人员，并向甲方提供工作人员身份证复印件存档。乙方提供的餐厅工作人员应身体健康、诚实勤劳。餐厅工作人员一律凭“健康证”上</w:t>
      </w:r>
      <w:r>
        <w:rPr>
          <w:rFonts w:hint="eastAsia" w:ascii="宋体" w:hAnsi="宋体" w:eastAsia="宋体" w:cs="宋体"/>
          <w:bCs/>
          <w:color w:val="000000"/>
          <w:sz w:val="24"/>
          <w:szCs w:val="24"/>
          <w:highlight w:val="none"/>
        </w:rPr>
        <w:t>岗，并每半年统一体检一次</w:t>
      </w:r>
      <w:r>
        <w:rPr>
          <w:rFonts w:hint="eastAsia" w:ascii="宋体" w:hAnsi="宋体" w:eastAsia="宋体" w:cs="宋体"/>
          <w:bCs/>
          <w:sz w:val="24"/>
          <w:szCs w:val="24"/>
          <w:highlight w:val="none"/>
        </w:rPr>
        <w:t>，无健康证一律不得上岗。</w:t>
      </w:r>
    </w:p>
    <w:p w14:paraId="6BF328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乙方工作人员应统一着装，佩戴工作证，遵守甲方内部各项规章制度，遵守保密协议。不得擅自挪用甲方的物品或进入与其工作无关的区域，因此造成乙方人员人身、财产损害的，由乙方自行承担责任，因此给甲方造成的损失，乙方应承担赔偿责任。</w:t>
      </w:r>
    </w:p>
    <w:p w14:paraId="6BEC772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9、必须合法经营，主动接受政府有关部门及甲方的管理、检查、监督或相关处罚。受处罚后的一切善后事宜由乙方自理。</w:t>
      </w:r>
    </w:p>
    <w:p w14:paraId="5BE4223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10、未经甲方书面同意，乙方不得擅自转让承包或变相转让他人经营。 </w:t>
      </w:r>
    </w:p>
    <w:p w14:paraId="23848B7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11、乙方必须提前一周将菜单给甲方管理人员审核，经核准后在餐厅内公布。</w:t>
      </w:r>
    </w:p>
    <w:p w14:paraId="4620901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 w:val="0"/>
          <w:bCs/>
          <w:sz w:val="24"/>
          <w:szCs w:val="24"/>
          <w:highlight w:val="none"/>
        </w:rPr>
        <w:t>2</w:t>
      </w:r>
      <w:r>
        <w:rPr>
          <w:rFonts w:hint="eastAsia" w:ascii="宋体" w:hAnsi="宋体" w:eastAsia="宋体" w:cs="宋体"/>
          <w:bCs/>
          <w:sz w:val="24"/>
          <w:szCs w:val="24"/>
          <w:highlight w:val="none"/>
        </w:rPr>
        <w:t>、双方合同终止后，乙方应将餐厅设备、工具交还甲方，如有遗失、损坏，按照甲方购买的标准型号、品牌购回，由甲方验货通过。</w:t>
      </w:r>
    </w:p>
    <w:p w14:paraId="48E56B64">
      <w:pPr>
        <w:keepNext w:val="0"/>
        <w:keepLines w:val="0"/>
        <w:pageBreakBefore w:val="0"/>
        <w:kinsoku/>
        <w:wordWrap/>
        <w:overflowPunct/>
        <w:topLinePunct w:val="0"/>
        <w:autoSpaceDE/>
        <w:autoSpaceDN/>
        <w:bidi w:val="0"/>
        <w:spacing w:line="360" w:lineRule="auto"/>
        <w:ind w:firstLine="360" w:firstLineChars="15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六、结算方式及相关费用</w:t>
      </w:r>
    </w:p>
    <w:p w14:paraId="54B0F8C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rPr>
        <w:t>1、合同月度承包费</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万元/月，每月至少配置26名工作人员（每日实际在岗人数不少于23人）。</w:t>
      </w:r>
      <w:r>
        <w:rPr>
          <w:rFonts w:hint="eastAsia" w:ascii="宋体" w:hAnsi="宋体" w:eastAsia="宋体" w:cs="宋体"/>
          <w:b w:val="0"/>
          <w:bCs w:val="0"/>
          <w:sz w:val="24"/>
          <w:szCs w:val="24"/>
          <w:highlight w:val="none"/>
        </w:rPr>
        <w:t>由乙方向甲方发起结算申请经甲方确认</w:t>
      </w:r>
      <w:r>
        <w:rPr>
          <w:rFonts w:hint="eastAsia" w:ascii="宋体" w:hAnsi="宋体" w:eastAsia="宋体" w:cs="宋体"/>
          <w:b w:val="0"/>
          <w:bCs w:val="0"/>
          <w:sz w:val="24"/>
          <w:szCs w:val="24"/>
          <w:highlight w:val="none"/>
          <w:lang w:eastAsia="zh-CN"/>
        </w:rPr>
        <w:t>后生效月度承包费</w:t>
      </w:r>
      <w:r>
        <w:rPr>
          <w:rFonts w:hint="eastAsia" w:ascii="宋体" w:hAnsi="宋体" w:eastAsia="宋体" w:cs="宋体"/>
          <w:b w:val="0"/>
          <w:bCs w:val="0"/>
          <w:sz w:val="24"/>
          <w:szCs w:val="24"/>
          <w:highlight w:val="none"/>
        </w:rPr>
        <w:t>。</w:t>
      </w:r>
    </w:p>
    <w:p w14:paraId="1C22919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2、培训期间，按甲方需求对培训人员提供餐饮人工服务，按照15元/人/天予以结算，具体发生已实际就餐人数为准（此项费用单独结算）。</w:t>
      </w:r>
    </w:p>
    <w:p w14:paraId="30060B3D">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结算方式</w:t>
      </w:r>
    </w:p>
    <w:p w14:paraId="1FBACA7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甲方按季度结算服务费，若遇国家法定节日，相应顺延或提前。乙方提供结算申请，</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lang w:eastAsia="zh-CN"/>
        </w:rPr>
        <w:t>出据等额普通增值税发票，待甲方资金到位后一次性支付。</w:t>
      </w:r>
    </w:p>
    <w:p w14:paraId="5E6F311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w:t>
      </w:r>
      <w:r>
        <w:rPr>
          <w:rFonts w:hint="eastAsia" w:ascii="宋体" w:hAnsi="宋体" w:eastAsia="宋体" w:cs="宋体"/>
          <w:b w:val="0"/>
          <w:bCs/>
          <w:sz w:val="24"/>
          <w:szCs w:val="24"/>
          <w:highlight w:val="none"/>
        </w:rPr>
        <w:t>、</w:t>
      </w:r>
      <w:r>
        <w:rPr>
          <w:rFonts w:hint="eastAsia" w:ascii="宋体" w:hAnsi="宋体" w:eastAsia="宋体" w:cs="宋体"/>
          <w:bCs/>
          <w:sz w:val="24"/>
          <w:szCs w:val="24"/>
          <w:highlight w:val="none"/>
        </w:rPr>
        <w:t>不可抗力条款</w:t>
      </w:r>
    </w:p>
    <w:p w14:paraId="137196A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1、本合同任何一方当事人因不可抗力原因不能履行合同时，应当及时通知对方，并在不可抗力事件出现后7日内提供有关机构出具的证明，可以免除该方当事人的责任，合同解除。</w:t>
      </w:r>
    </w:p>
    <w:p w14:paraId="5DA4FA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2、因</w:t>
      </w:r>
      <w:r>
        <w:rPr>
          <w:rFonts w:hint="eastAsia" w:ascii="宋体" w:hAnsi="宋体" w:eastAsia="宋体" w:cs="宋体"/>
          <w:b w:val="0"/>
          <w:bCs/>
          <w:sz w:val="24"/>
          <w:szCs w:val="24"/>
          <w:highlight w:val="none"/>
        </w:rPr>
        <w:t>甲</w:t>
      </w:r>
      <w:r>
        <w:rPr>
          <w:rFonts w:hint="eastAsia" w:ascii="宋体" w:hAnsi="宋体" w:eastAsia="宋体" w:cs="宋体"/>
          <w:bCs/>
          <w:sz w:val="24"/>
          <w:szCs w:val="24"/>
          <w:highlight w:val="none"/>
        </w:rPr>
        <w:t>方工作性质特殊，双方本着相互了解，若</w:t>
      </w:r>
      <w:r>
        <w:rPr>
          <w:rFonts w:hint="eastAsia" w:ascii="宋体" w:hAnsi="宋体" w:eastAsia="宋体" w:cs="宋体"/>
          <w:b w:val="0"/>
          <w:bCs/>
          <w:sz w:val="24"/>
          <w:szCs w:val="24"/>
          <w:highlight w:val="none"/>
        </w:rPr>
        <w:t>甲</w:t>
      </w:r>
      <w:r>
        <w:rPr>
          <w:rFonts w:hint="eastAsia" w:ascii="宋体" w:hAnsi="宋体" w:eastAsia="宋体" w:cs="宋体"/>
          <w:bCs/>
          <w:sz w:val="24"/>
          <w:szCs w:val="24"/>
          <w:highlight w:val="none"/>
        </w:rPr>
        <w:t>方有不可抗拒的政治任务，并在不可抗力事件出现后7日内提供有关机构出具的证明，可以免除该方当事人的责任。</w:t>
      </w:r>
    </w:p>
    <w:p w14:paraId="07292E4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3、不可抗力事件消除后，本合同如需继续履行，可由双方当事人另行商榷。</w:t>
      </w:r>
    </w:p>
    <w:p w14:paraId="536E9E96">
      <w:pPr>
        <w:keepNext w:val="0"/>
        <w:keepLines w:val="0"/>
        <w:pageBreakBefore w:val="0"/>
        <w:kinsoku/>
        <w:wordWrap/>
        <w:overflowPunct/>
        <w:topLinePunct w:val="0"/>
        <w:autoSpaceDE/>
        <w:autoSpaceDN/>
        <w:bidi w:val="0"/>
        <w:spacing w:line="360" w:lineRule="auto"/>
        <w:ind w:firstLine="645"/>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八、违约责任</w:t>
      </w:r>
    </w:p>
    <w:p w14:paraId="7B240104">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1、经营期间，双方不得擅自中断合同，单方无正当理由不得提出解除合约，需经双方协商后提前十五天以书面形式通知对方。</w:t>
      </w:r>
    </w:p>
    <w:p w14:paraId="52ECF10B">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2、除不可抗力事件外，乙方不得以任何理由不及时或不充足供应甲方人员膳食。</w:t>
      </w:r>
    </w:p>
    <w:p w14:paraId="5C4B8049">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3、乙方行为违反本合同规定的任一条款，甲方均有权扣除乙方当月人工费，给甲方造成经济损失的，乙方还应该赔偿甲方相应的经济损失。同时甲方有权单方解除承包合同，并不承担违约责任。</w:t>
      </w:r>
    </w:p>
    <w:p w14:paraId="708002C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九、争议解决</w:t>
      </w:r>
    </w:p>
    <w:p w14:paraId="3ACE4403">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1、本合同发生争议时，双方协商解决，协商不成时，可向甲方住所地人民法院提出诉讼解决</w:t>
      </w:r>
      <w:r>
        <w:rPr>
          <w:rFonts w:hint="eastAsia" w:ascii="宋体" w:hAnsi="宋体" w:eastAsia="宋体" w:cs="宋体"/>
          <w:sz w:val="24"/>
          <w:szCs w:val="24"/>
          <w:highlight w:val="none"/>
          <w:lang w:eastAsia="zh-CN"/>
        </w:rPr>
        <w:t>，双方</w:t>
      </w:r>
      <w:r>
        <w:rPr>
          <w:rFonts w:hint="eastAsia" w:ascii="宋体" w:hAnsi="宋体" w:eastAsia="宋体" w:cs="宋体"/>
          <w:color w:val="auto"/>
          <w:sz w:val="24"/>
          <w:szCs w:val="24"/>
          <w:highlight w:val="none"/>
          <w:lang w:eastAsia="zh-CN"/>
        </w:rPr>
        <w:t>因履行本合同发生纠纷时所产生的所有费用（包括但不限于诉讼费用、保全费用、律师费用、交通费用等）由乙方承担。</w:t>
      </w:r>
    </w:p>
    <w:p w14:paraId="632E722C">
      <w:pPr>
        <w:keepNext w:val="0"/>
        <w:keepLines w:val="0"/>
        <w:pageBreakBefore w:val="0"/>
        <w:kinsoku/>
        <w:wordWrap/>
        <w:overflowPunct/>
        <w:topLinePunct w:val="0"/>
        <w:autoSpaceDE/>
        <w:autoSpaceDN/>
        <w:bidi w:val="0"/>
        <w:spacing w:line="360" w:lineRule="auto"/>
        <w:ind w:firstLine="477" w:firstLineChars="19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2、本合同如有遗漏和未完善之处，在补充协议中明确，补充协议作本合同的组成部分，具有同等法律效力。</w:t>
      </w:r>
    </w:p>
    <w:p w14:paraId="791177B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3、合同自双方签字盖章之日起生效，</w:t>
      </w:r>
      <w:r>
        <w:rPr>
          <w:rFonts w:hint="eastAsia" w:ascii="宋体" w:hAnsi="宋体" w:eastAsia="宋体" w:cs="宋体"/>
          <w:color w:val="auto"/>
          <w:sz w:val="24"/>
          <w:szCs w:val="24"/>
          <w:highlight w:val="none"/>
        </w:rPr>
        <w:t>本合同一式肆份，甲方执叁份，乙方执一份，双方签字盖章后生效。</w:t>
      </w:r>
      <w:r>
        <w:rPr>
          <w:rFonts w:hint="eastAsia" w:ascii="宋体" w:hAnsi="宋体" w:eastAsia="宋体" w:cs="宋体"/>
          <w:sz w:val="24"/>
          <w:szCs w:val="24"/>
          <w:highlight w:val="none"/>
        </w:rPr>
        <w:t>本协议未尽事宜，双方可以协商解决或签订补充协议。</w:t>
      </w:r>
    </w:p>
    <w:p w14:paraId="3DB9D1FE">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十、其它约定事项</w:t>
      </w:r>
    </w:p>
    <w:p w14:paraId="199EAA0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在履行本合同过程中，双方明确授权代理人和具体执行交易过程中各环节代理人以及代理行为的法律效力，从而确保合同的顺利履行。</w:t>
      </w:r>
    </w:p>
    <w:p w14:paraId="45D472C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未经双方一致同意，任何一方不得变更合同。对本合同正文或附件作任何更改，必须以书面形式详细说明更改对价格、验收日期以及本合同的其他重大事项的影响，而且应由双方公司签字盖章。</w:t>
      </w:r>
    </w:p>
    <w:p w14:paraId="656F54A4">
      <w:pPr>
        <w:keepNext w:val="0"/>
        <w:keepLines w:val="0"/>
        <w:pageBreakBefore w:val="0"/>
        <w:kinsoku/>
        <w:wordWrap/>
        <w:overflowPunct/>
        <w:topLinePunct w:val="0"/>
        <w:autoSpaceDE/>
        <w:autoSpaceDN/>
        <w:bidi w:val="0"/>
        <w:spacing w:line="360" w:lineRule="auto"/>
        <w:ind w:firstLine="840" w:firstLineChars="350"/>
        <w:textAlignment w:val="auto"/>
        <w:rPr>
          <w:rFonts w:hint="eastAsia" w:ascii="宋体" w:hAnsi="宋体" w:eastAsia="宋体" w:cs="宋体"/>
          <w:sz w:val="24"/>
          <w:szCs w:val="24"/>
          <w:highlight w:val="none"/>
        </w:rPr>
      </w:pPr>
    </w:p>
    <w:p w14:paraId="7EBDCBB6">
      <w:pPr>
        <w:keepNext w:val="0"/>
        <w:keepLines w:val="0"/>
        <w:pageBreakBefore w:val="0"/>
        <w:kinsoku/>
        <w:wordWrap/>
        <w:overflowPunct/>
        <w:topLinePunct w:val="0"/>
        <w:autoSpaceDE/>
        <w:autoSpaceDN/>
        <w:bidi w:val="0"/>
        <w:spacing w:line="360" w:lineRule="auto"/>
        <w:ind w:firstLine="840" w:firstLineChars="350"/>
        <w:textAlignment w:val="auto"/>
        <w:rPr>
          <w:rFonts w:hint="eastAsia" w:ascii="宋体" w:hAnsi="宋体" w:eastAsia="宋体" w:cs="宋体"/>
          <w:sz w:val="24"/>
          <w:szCs w:val="24"/>
          <w:highlight w:val="none"/>
        </w:rPr>
      </w:pPr>
    </w:p>
    <w:p w14:paraId="3A567290">
      <w:pPr>
        <w:keepNext w:val="0"/>
        <w:keepLines w:val="0"/>
        <w:pageBreakBefore w:val="0"/>
        <w:kinsoku/>
        <w:wordWrap/>
        <w:overflowPunct/>
        <w:topLinePunct w:val="0"/>
        <w:autoSpaceDE/>
        <w:autoSpaceDN/>
        <w:bidi w:val="0"/>
        <w:spacing w:line="360" w:lineRule="auto"/>
        <w:ind w:firstLine="840" w:firstLineChars="350"/>
        <w:textAlignment w:val="auto"/>
        <w:rPr>
          <w:rFonts w:hint="eastAsia" w:ascii="宋体" w:hAnsi="宋体" w:eastAsia="宋体" w:cs="宋体"/>
          <w:sz w:val="24"/>
          <w:szCs w:val="24"/>
          <w:highlight w:val="none"/>
        </w:rPr>
      </w:pPr>
    </w:p>
    <w:p w14:paraId="11BF42D4">
      <w:pPr>
        <w:keepNext w:val="0"/>
        <w:keepLines w:val="0"/>
        <w:pageBreakBefore w:val="0"/>
        <w:kinsoku/>
        <w:wordWrap/>
        <w:overflowPunct/>
        <w:topLinePunct w:val="0"/>
        <w:autoSpaceDE/>
        <w:autoSpaceDN/>
        <w:bidi w:val="0"/>
        <w:spacing w:line="360" w:lineRule="auto"/>
        <w:ind w:firstLine="840" w:firstLineChars="350"/>
        <w:textAlignment w:val="auto"/>
        <w:rPr>
          <w:rFonts w:hint="eastAsia" w:ascii="宋体" w:hAnsi="宋体" w:eastAsia="宋体" w:cs="宋体"/>
          <w:sz w:val="24"/>
          <w:szCs w:val="24"/>
          <w:highlight w:val="none"/>
        </w:rPr>
      </w:pPr>
    </w:p>
    <w:p w14:paraId="1FD74CE5">
      <w:pPr>
        <w:keepNext w:val="0"/>
        <w:keepLines w:val="0"/>
        <w:pageBreakBefore w:val="0"/>
        <w:kinsoku/>
        <w:wordWrap/>
        <w:overflowPunct/>
        <w:topLinePunct w:val="0"/>
        <w:autoSpaceDE/>
        <w:autoSpaceDN/>
        <w:bidi w:val="0"/>
        <w:spacing w:line="360" w:lineRule="auto"/>
        <w:ind w:firstLine="840" w:firstLineChars="3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lang w:val="en-US" w:eastAsia="zh-CN"/>
        </w:rPr>
        <w:t xml:space="preserve">                                乙方：</w:t>
      </w:r>
    </w:p>
    <w:p w14:paraId="0F9E24FF">
      <w:pPr>
        <w:keepNext w:val="0"/>
        <w:keepLines w:val="0"/>
        <w:pageBreakBefore w:val="0"/>
        <w:widowControl/>
        <w:kinsoku/>
        <w:wordWrap/>
        <w:overflowPunct/>
        <w:topLinePunct w:val="0"/>
        <w:autoSpaceDE/>
        <w:autoSpaceDN/>
        <w:bidi w:val="0"/>
        <w:spacing w:line="360" w:lineRule="auto"/>
        <w:jc w:val="center"/>
        <w:textAlignment w:val="auto"/>
        <w:outlineLvl w:val="0"/>
        <w:rPr>
          <w:rFonts w:hint="eastAsia" w:ascii="宋体" w:hAnsi="宋体" w:eastAsia="宋体" w:cs="宋体"/>
          <w:b/>
          <w:color w:val="000000"/>
          <w:sz w:val="24"/>
          <w:szCs w:val="24"/>
          <w:highlight w:val="none"/>
        </w:rPr>
      </w:pPr>
    </w:p>
    <w:p w14:paraId="3974C9B6">
      <w:pPr>
        <w:widowControl/>
        <w:spacing w:line="420" w:lineRule="exact"/>
        <w:jc w:val="center"/>
        <w:outlineLvl w:val="0"/>
        <w:rPr>
          <w:rFonts w:hint="eastAsia" w:ascii="宋体" w:hAnsi="宋体" w:eastAsia="宋体" w:cs="宋体"/>
          <w:b/>
          <w:color w:val="000000"/>
          <w:sz w:val="30"/>
          <w:szCs w:val="30"/>
          <w:highlight w:val="none"/>
        </w:rPr>
      </w:pPr>
      <w:r>
        <w:rPr>
          <w:rFonts w:hint="eastAsia" w:ascii="宋体" w:hAnsi="宋体" w:eastAsia="宋体" w:cs="宋体"/>
          <w:b/>
          <w:color w:val="000000"/>
          <w:sz w:val="36"/>
          <w:szCs w:val="36"/>
          <w:highlight w:val="none"/>
        </w:rPr>
        <w:br w:type="page"/>
      </w:r>
      <w:r>
        <w:rPr>
          <w:rFonts w:hint="eastAsia" w:ascii="宋体" w:hAnsi="宋体" w:eastAsia="宋体" w:cs="宋体"/>
          <w:b/>
          <w:color w:val="000000"/>
          <w:sz w:val="36"/>
          <w:szCs w:val="36"/>
          <w:highlight w:val="none"/>
        </w:rPr>
        <w:t>第六部分  投标文件格式</w:t>
      </w:r>
      <w:bookmarkEnd w:id="667"/>
    </w:p>
    <w:p w14:paraId="1895A135">
      <w:pPr>
        <w:spacing w:line="440" w:lineRule="exact"/>
        <w:jc w:val="center"/>
        <w:rPr>
          <w:rFonts w:hint="eastAsia" w:ascii="宋体" w:hAnsi="宋体" w:eastAsia="宋体" w:cs="宋体"/>
          <w:b/>
          <w:bCs/>
          <w:color w:val="000000"/>
          <w:highlight w:val="none"/>
        </w:rPr>
      </w:pPr>
    </w:p>
    <w:p w14:paraId="18A8DAA4">
      <w:pPr>
        <w:spacing w:line="440" w:lineRule="exact"/>
        <w:jc w:val="center"/>
        <w:rPr>
          <w:rFonts w:hint="eastAsia" w:ascii="宋体" w:hAnsi="宋体" w:eastAsia="宋体" w:cs="宋体"/>
          <w:b/>
          <w:bCs/>
          <w:color w:val="000000"/>
          <w:sz w:val="28"/>
          <w:szCs w:val="24"/>
          <w:highlight w:val="none"/>
        </w:rPr>
      </w:pPr>
    </w:p>
    <w:p w14:paraId="06E34D80">
      <w:pPr>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投标文件封面示例</w:t>
      </w:r>
    </w:p>
    <w:p w14:paraId="002F9DCB">
      <w:pPr>
        <w:jc w:val="righ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bdr w:val="single" w:color="auto" w:sz="4" w:space="0"/>
        </w:rPr>
        <w:t>正本</w:t>
      </w:r>
    </w:p>
    <w:p w14:paraId="1F86E4E6">
      <w:pPr>
        <w:jc w:val="center"/>
        <w:rPr>
          <w:rFonts w:hint="eastAsia" w:ascii="宋体" w:hAnsi="宋体" w:eastAsia="宋体" w:cs="宋体"/>
          <w:b/>
          <w:bCs/>
          <w:color w:val="000000"/>
          <w:sz w:val="24"/>
          <w:szCs w:val="24"/>
          <w:highlight w:val="none"/>
        </w:rPr>
      </w:pPr>
    </w:p>
    <w:p w14:paraId="2E9D8C35">
      <w:pPr>
        <w:jc w:val="center"/>
        <w:rPr>
          <w:rFonts w:hint="eastAsia" w:ascii="宋体" w:hAnsi="宋体" w:eastAsia="宋体" w:cs="宋体"/>
          <w:b/>
          <w:bCs/>
          <w:color w:val="000000"/>
          <w:sz w:val="24"/>
          <w:szCs w:val="24"/>
          <w:highlight w:val="none"/>
        </w:rPr>
      </w:pPr>
    </w:p>
    <w:p w14:paraId="15C68234">
      <w:pPr>
        <w:jc w:val="center"/>
        <w:rPr>
          <w:rFonts w:hint="eastAsia" w:ascii="宋体" w:hAnsi="宋体" w:eastAsia="宋体" w:cs="宋体"/>
          <w:b/>
          <w:bCs/>
          <w:color w:val="000000"/>
          <w:sz w:val="24"/>
          <w:szCs w:val="24"/>
          <w:highlight w:val="none"/>
        </w:rPr>
      </w:pPr>
    </w:p>
    <w:p w14:paraId="23A5E037">
      <w:pPr>
        <w:jc w:val="center"/>
        <w:rPr>
          <w:rFonts w:hint="eastAsia" w:ascii="宋体" w:hAnsi="宋体" w:eastAsia="宋体" w:cs="宋体"/>
          <w:b/>
          <w:bCs/>
          <w:color w:val="000000"/>
          <w:sz w:val="24"/>
          <w:szCs w:val="24"/>
          <w:highlight w:val="none"/>
        </w:rPr>
      </w:pPr>
    </w:p>
    <w:p w14:paraId="58AB515F">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投标文件</w:t>
      </w:r>
    </w:p>
    <w:p w14:paraId="3B119C29">
      <w:pPr>
        <w:rPr>
          <w:rFonts w:hint="eastAsia" w:ascii="宋体" w:hAnsi="宋体" w:eastAsia="宋体" w:cs="宋体"/>
          <w:color w:val="000000"/>
          <w:sz w:val="24"/>
          <w:szCs w:val="24"/>
          <w:highlight w:val="none"/>
        </w:rPr>
      </w:pPr>
    </w:p>
    <w:p w14:paraId="722B8ED0">
      <w:pPr>
        <w:rPr>
          <w:rFonts w:hint="eastAsia" w:ascii="宋体" w:hAnsi="宋体" w:eastAsia="宋体" w:cs="宋体"/>
          <w:color w:val="000000"/>
          <w:sz w:val="24"/>
          <w:szCs w:val="24"/>
          <w:highlight w:val="none"/>
        </w:rPr>
      </w:pPr>
    </w:p>
    <w:p w14:paraId="79DD8DF8">
      <w:pPr>
        <w:rPr>
          <w:rFonts w:hint="eastAsia" w:ascii="宋体" w:hAnsi="宋体" w:eastAsia="宋体" w:cs="宋体"/>
          <w:color w:val="000000"/>
          <w:sz w:val="24"/>
          <w:szCs w:val="24"/>
          <w:highlight w:val="none"/>
        </w:rPr>
      </w:pPr>
    </w:p>
    <w:p w14:paraId="5E34C37A">
      <w:pPr>
        <w:rPr>
          <w:rFonts w:hint="eastAsia" w:ascii="宋体" w:hAnsi="宋体" w:eastAsia="宋体" w:cs="宋体"/>
          <w:color w:val="000000"/>
          <w:sz w:val="24"/>
          <w:szCs w:val="24"/>
          <w:highlight w:val="none"/>
        </w:rPr>
      </w:pPr>
    </w:p>
    <w:p w14:paraId="74BD8AEC">
      <w:pPr>
        <w:rPr>
          <w:rFonts w:hint="eastAsia" w:ascii="宋体" w:hAnsi="宋体" w:eastAsia="宋体" w:cs="宋体"/>
          <w:color w:val="000000"/>
          <w:sz w:val="24"/>
          <w:szCs w:val="24"/>
          <w:highlight w:val="none"/>
        </w:rPr>
      </w:pPr>
    </w:p>
    <w:p w14:paraId="67DEAA2E">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招标工程名称：</w:t>
      </w:r>
      <w:r>
        <w:rPr>
          <w:rFonts w:hint="eastAsia" w:ascii="宋体" w:hAnsi="宋体" w:eastAsia="宋体" w:cs="宋体"/>
          <w:color w:val="000000"/>
          <w:sz w:val="24"/>
          <w:szCs w:val="24"/>
          <w:highlight w:val="none"/>
          <w:u w:val="single"/>
        </w:rPr>
        <w:t>×××××</w:t>
      </w:r>
    </w:p>
    <w:p w14:paraId="1EC4B63F">
      <w:pPr>
        <w:rPr>
          <w:rFonts w:hint="eastAsia" w:ascii="宋体" w:hAnsi="宋体" w:eastAsia="宋体" w:cs="宋体"/>
          <w:color w:val="000000"/>
          <w:sz w:val="24"/>
          <w:szCs w:val="24"/>
          <w:highlight w:val="none"/>
        </w:rPr>
      </w:pPr>
    </w:p>
    <w:p w14:paraId="4A1E329B">
      <w:pPr>
        <w:rPr>
          <w:rFonts w:hint="eastAsia" w:ascii="宋体" w:hAnsi="宋体" w:eastAsia="宋体" w:cs="宋体"/>
          <w:color w:val="000000"/>
          <w:sz w:val="24"/>
          <w:szCs w:val="24"/>
          <w:highlight w:val="none"/>
          <w:u w:val="single"/>
        </w:rPr>
      </w:pPr>
      <w:r>
        <w:rPr>
          <w:rFonts w:hint="eastAsia" w:ascii="宋体" w:hAnsi="宋体" w:eastAsia="宋体" w:cs="宋体"/>
          <w:color w:val="000000"/>
          <w:spacing w:val="47"/>
          <w:w w:val="85"/>
          <w:kern w:val="0"/>
          <w:sz w:val="24"/>
          <w:szCs w:val="24"/>
          <w:highlight w:val="none"/>
        </w:rPr>
        <w:t>招标人名</w:t>
      </w:r>
      <w:r>
        <w:rPr>
          <w:rFonts w:hint="eastAsia" w:ascii="宋体" w:hAnsi="宋体" w:eastAsia="宋体" w:cs="宋体"/>
          <w:color w:val="000000"/>
          <w:w w:val="85"/>
          <w:kern w:val="0"/>
          <w:sz w:val="24"/>
          <w:szCs w:val="24"/>
          <w:highlight w:val="none"/>
        </w:rPr>
        <w:t>称</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w:t>
      </w:r>
    </w:p>
    <w:p w14:paraId="527E2104">
      <w:pPr>
        <w:rPr>
          <w:rFonts w:hint="eastAsia" w:ascii="宋体" w:hAnsi="宋体" w:eastAsia="宋体" w:cs="宋体"/>
          <w:color w:val="000000"/>
          <w:kern w:val="0"/>
          <w:sz w:val="24"/>
          <w:szCs w:val="24"/>
          <w:highlight w:val="none"/>
        </w:rPr>
      </w:pPr>
    </w:p>
    <w:p w14:paraId="79135087">
      <w:pPr>
        <w:rPr>
          <w:rFonts w:hint="eastAsia" w:ascii="宋体" w:hAnsi="宋体" w:eastAsia="宋体" w:cs="宋体"/>
          <w:color w:val="000000"/>
          <w:sz w:val="24"/>
          <w:szCs w:val="24"/>
          <w:highlight w:val="none"/>
          <w:u w:val="single"/>
        </w:rPr>
      </w:pPr>
      <w:r>
        <w:rPr>
          <w:rFonts w:hint="eastAsia" w:ascii="宋体" w:hAnsi="宋体" w:eastAsia="宋体" w:cs="宋体"/>
          <w:color w:val="000000"/>
          <w:spacing w:val="39"/>
          <w:w w:val="90"/>
          <w:kern w:val="0"/>
          <w:sz w:val="24"/>
          <w:szCs w:val="24"/>
          <w:highlight w:val="none"/>
        </w:rPr>
        <w:t>投标人名</w:t>
      </w:r>
      <w:r>
        <w:rPr>
          <w:rFonts w:hint="eastAsia" w:ascii="宋体" w:hAnsi="宋体" w:eastAsia="宋体" w:cs="宋体"/>
          <w:color w:val="000000"/>
          <w:spacing w:val="2"/>
          <w:w w:val="90"/>
          <w:kern w:val="0"/>
          <w:sz w:val="24"/>
          <w:szCs w:val="24"/>
          <w:highlight w:val="none"/>
        </w:rPr>
        <w:t>称</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×××××（盖章）</w:t>
      </w:r>
    </w:p>
    <w:p w14:paraId="3703FBEE">
      <w:pPr>
        <w:rPr>
          <w:rFonts w:hint="eastAsia" w:ascii="宋体" w:hAnsi="宋体" w:eastAsia="宋体" w:cs="宋体"/>
          <w:color w:val="000000"/>
          <w:sz w:val="24"/>
          <w:szCs w:val="24"/>
          <w:highlight w:val="none"/>
          <w:u w:val="single"/>
        </w:rPr>
      </w:pPr>
    </w:p>
    <w:p w14:paraId="560F6E54">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（签字或盖章）</w:t>
      </w:r>
    </w:p>
    <w:p w14:paraId="3DB5E46E">
      <w:pPr>
        <w:rPr>
          <w:rFonts w:hint="eastAsia" w:ascii="宋体" w:hAnsi="宋体" w:eastAsia="宋体" w:cs="宋体"/>
          <w:b/>
          <w:color w:val="000000"/>
          <w:sz w:val="24"/>
          <w:szCs w:val="24"/>
          <w:highlight w:val="none"/>
        </w:rPr>
      </w:pPr>
    </w:p>
    <w:p w14:paraId="3DC24B8D">
      <w:pPr>
        <w:rPr>
          <w:rFonts w:hint="eastAsia" w:ascii="宋体" w:hAnsi="宋体" w:eastAsia="宋体" w:cs="宋体"/>
          <w:b/>
          <w:bCs/>
          <w:color w:val="000000"/>
          <w:sz w:val="24"/>
          <w:szCs w:val="24"/>
          <w:highlight w:val="none"/>
        </w:rPr>
      </w:pPr>
      <w:r>
        <w:rPr>
          <w:rFonts w:hint="eastAsia" w:ascii="宋体" w:hAnsi="宋体" w:eastAsia="宋体" w:cs="宋体"/>
          <w:color w:val="000000"/>
          <w:sz w:val="28"/>
          <w:szCs w:val="28"/>
          <w:highlight w:val="none"/>
        </w:rPr>
        <w:br w:type="page"/>
      </w:r>
      <w:r>
        <w:rPr>
          <w:rFonts w:hint="eastAsia" w:ascii="宋体" w:hAnsi="宋体" w:eastAsia="宋体" w:cs="宋体"/>
          <w:b/>
          <w:color w:val="000000"/>
          <w:sz w:val="24"/>
          <w:szCs w:val="24"/>
          <w:highlight w:val="none"/>
        </w:rPr>
        <w:t>投标文件</w:t>
      </w:r>
      <w:r>
        <w:rPr>
          <w:rFonts w:hint="eastAsia" w:ascii="宋体" w:hAnsi="宋体" w:eastAsia="宋体" w:cs="宋体"/>
          <w:b/>
          <w:bCs/>
          <w:color w:val="000000"/>
          <w:sz w:val="24"/>
          <w:szCs w:val="24"/>
          <w:highlight w:val="none"/>
        </w:rPr>
        <w:t>目录</w:t>
      </w:r>
    </w:p>
    <w:p w14:paraId="310E4513">
      <w:pPr>
        <w:pStyle w:val="84"/>
        <w:ind w:firstLine="0" w:firstLineChars="0"/>
        <w:rPr>
          <w:rFonts w:hint="eastAsia" w:ascii="宋体" w:hAnsi="宋体" w:eastAsia="宋体" w:cs="宋体"/>
          <w:b/>
          <w:bCs/>
          <w:color w:val="000000"/>
          <w:sz w:val="24"/>
          <w:highlight w:val="none"/>
        </w:rPr>
      </w:pPr>
    </w:p>
    <w:p w14:paraId="6B2CF2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1、投 标 函</w:t>
      </w:r>
    </w:p>
    <w:p w14:paraId="088E9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2、法定代表人身份证明书、法定代表人授权委托书</w:t>
      </w:r>
    </w:p>
    <w:p w14:paraId="744921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2"/>
          <w:highlight w:val="none"/>
        </w:rPr>
      </w:pPr>
      <w:r>
        <w:rPr>
          <w:rFonts w:hint="eastAsia" w:ascii="宋体" w:hAnsi="宋体" w:eastAsia="宋体" w:cs="宋体"/>
          <w:bCs/>
          <w:color w:val="000000"/>
          <w:sz w:val="24"/>
          <w:szCs w:val="22"/>
          <w:highlight w:val="none"/>
        </w:rPr>
        <w:t>3、开标一览表</w:t>
      </w:r>
    </w:p>
    <w:p w14:paraId="0F59A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4、关于资格的声明函</w:t>
      </w:r>
    </w:p>
    <w:p w14:paraId="12362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5、投标保证金</w:t>
      </w:r>
    </w:p>
    <w:p w14:paraId="1D94CB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6、投标人基本情况表（附资格审查资料）</w:t>
      </w:r>
    </w:p>
    <w:p w14:paraId="191CB6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7、拟投入项目人员</w:t>
      </w:r>
    </w:p>
    <w:p w14:paraId="1D1F2D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8、投标人近三年类似业绩表</w:t>
      </w:r>
    </w:p>
    <w:p w14:paraId="5C6854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9、</w:t>
      </w:r>
      <w:r>
        <w:rPr>
          <w:rFonts w:hint="eastAsia" w:ascii="宋体" w:hAnsi="宋体" w:eastAsia="宋体" w:cs="宋体"/>
          <w:color w:val="000000"/>
          <w:kern w:val="0"/>
          <w:sz w:val="24"/>
          <w:szCs w:val="24"/>
          <w:highlight w:val="none"/>
          <w:lang w:eastAsia="zh-CN"/>
        </w:rPr>
        <w:t>服务要求响应偏离表</w:t>
      </w:r>
    </w:p>
    <w:p w14:paraId="40116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10、商务条件响应偏离表</w:t>
      </w:r>
    </w:p>
    <w:p w14:paraId="71370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11、服务方案</w:t>
      </w:r>
    </w:p>
    <w:p w14:paraId="72903F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、优惠承诺</w:t>
      </w:r>
    </w:p>
    <w:p w14:paraId="3F8CC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、投标单位（服务商）《反商业贿赂承诺书》</w:t>
      </w:r>
    </w:p>
    <w:p w14:paraId="4408AA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、中小微企业及残疾人福利性单位等证明文件（如有）</w:t>
      </w:r>
    </w:p>
    <w:p w14:paraId="2262FC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、提供其它有利于投标的资料（如有，自行补充）</w:t>
      </w:r>
    </w:p>
    <w:p w14:paraId="549B9BD3">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16、中小企业划型标准</w:t>
      </w:r>
    </w:p>
    <w:p w14:paraId="707B26C0">
      <w:pPr>
        <w:pStyle w:val="15"/>
        <w:rPr>
          <w:rFonts w:hint="eastAsia" w:ascii="宋体" w:hAnsi="宋体" w:eastAsia="宋体" w:cs="宋体"/>
          <w:highlight w:val="none"/>
          <w:lang w:val="en-US" w:eastAsia="zh-CN"/>
        </w:rPr>
      </w:pPr>
    </w:p>
    <w:p w14:paraId="4E40F3A9">
      <w:pPr>
        <w:rPr>
          <w:rFonts w:hint="eastAsia" w:ascii="宋体" w:hAnsi="宋体" w:eastAsia="宋体" w:cs="宋体"/>
          <w:b/>
          <w:bCs/>
          <w:color w:val="000000"/>
          <w:sz w:val="24"/>
          <w:szCs w:val="24"/>
          <w:highlight w:val="none"/>
        </w:rPr>
      </w:pPr>
    </w:p>
    <w:p w14:paraId="5A7C4761">
      <w:pP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注：为了便于查找，请按上述顺序编排投标文件内容，并在目录中标明每项内容的起始页码。  </w:t>
      </w:r>
    </w:p>
    <w:p w14:paraId="74096BFC">
      <w:pP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    未提供格式的，由投标人自行编制。</w:t>
      </w:r>
    </w:p>
    <w:p w14:paraId="7498DD77">
      <w:pPr>
        <w:pStyle w:val="21"/>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color w:val="000000"/>
          <w:sz w:val="28"/>
          <w:szCs w:val="28"/>
          <w:highlight w:val="none"/>
        </w:rPr>
        <w:br w:type="page"/>
      </w:r>
    </w:p>
    <w:p w14:paraId="5CAF3138">
      <w:pPr>
        <w:pStyle w:val="2"/>
        <w:keepNext/>
        <w:keepLines/>
        <w:pageBreakBefore/>
        <w:widowControl w:val="0"/>
        <w:numPr>
          <w:ilvl w:val="0"/>
          <w:numId w:val="0"/>
        </w:numPr>
        <w:kinsoku/>
        <w:wordWrap/>
        <w:overflowPunct/>
        <w:topLinePunct w:val="0"/>
        <w:autoSpaceDE/>
        <w:autoSpaceDN/>
        <w:bidi w:val="0"/>
        <w:adjustRightInd/>
        <w:snapToGrid/>
        <w:spacing w:before="220" w:after="220" w:line="480" w:lineRule="auto"/>
        <w:jc w:val="center"/>
        <w:textAlignment w:val="auto"/>
        <w:rPr>
          <w:rFonts w:hint="eastAsia" w:ascii="宋体" w:hAnsi="宋体" w:eastAsia="宋体" w:cs="宋体"/>
          <w:b/>
          <w:bCs/>
          <w:color w:val="auto"/>
          <w:kern w:val="44"/>
          <w:sz w:val="36"/>
          <w:szCs w:val="36"/>
          <w:highlight w:val="none"/>
          <w:lang w:val="en-US" w:eastAsia="zh-CN" w:bidi="ar-SA"/>
        </w:rPr>
      </w:pPr>
      <w:bookmarkStart w:id="668" w:name="_Toc1759"/>
      <w:r>
        <w:rPr>
          <w:rFonts w:hint="eastAsia" w:ascii="宋体" w:hAnsi="宋体" w:eastAsia="宋体" w:cs="宋体"/>
          <w:b/>
          <w:bCs/>
          <w:color w:val="auto"/>
          <w:kern w:val="44"/>
          <w:sz w:val="36"/>
          <w:szCs w:val="36"/>
          <w:highlight w:val="none"/>
          <w:lang w:val="en-US" w:eastAsia="zh-CN" w:bidi="ar-SA"/>
        </w:rPr>
        <w:t>第七章 投标文件格式</w:t>
      </w:r>
      <w:bookmarkEnd w:id="666"/>
      <w:bookmarkEnd w:id="668"/>
    </w:p>
    <w:p w14:paraId="20B1063D">
      <w:pPr>
        <w:ind w:left="240" w:leftChars="100" w:firstLine="480" w:firstLineChars="200"/>
        <w:rPr>
          <w:rFonts w:hint="eastAsia" w:ascii="宋体" w:hAnsi="宋体" w:eastAsia="宋体" w:cs="宋体"/>
          <w:color w:val="auto"/>
          <w:szCs w:val="24"/>
          <w:highlight w:val="none"/>
        </w:rPr>
      </w:pPr>
    </w:p>
    <w:p w14:paraId="29D44C55">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44DD0F1">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9EDECB5">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5F9B001">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2E1D158">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E6822E5">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2CA045B">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893E9FD">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95452EF">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AA66CC1">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69FA17D">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72E3CAE">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565C3EB">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7DA079A">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E15166A">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3A9983C">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48F8DEC">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F52A8AF">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FC05CF">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61F2B5A">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99474F0">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390F1A2">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A93A46C">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C290983">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55D68F1">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025489F">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08F138C">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CDCE37B">
      <w:pPr>
        <w:ind w:firstLine="480" w:firstLineChars="200"/>
        <w:rPr>
          <w:rFonts w:hint="eastAsia" w:ascii="宋体" w:hAnsi="宋体" w:eastAsia="宋体" w:cs="宋体"/>
          <w:color w:val="auto"/>
          <w:szCs w:val="24"/>
          <w:highlight w:val="none"/>
          <w:lang w:val="zh-CN"/>
        </w:rPr>
      </w:pPr>
    </w:p>
    <w:p w14:paraId="2D9E98AD">
      <w:pPr>
        <w:ind w:firstLine="480" w:firstLineChars="200"/>
        <w:rPr>
          <w:rFonts w:hint="eastAsia" w:ascii="宋体" w:hAnsi="宋体" w:eastAsia="宋体" w:cs="宋体"/>
          <w:color w:val="auto"/>
          <w:szCs w:val="24"/>
          <w:highlight w:val="none"/>
          <w:lang w:val="zh-CN"/>
        </w:rPr>
      </w:pPr>
    </w:p>
    <w:p w14:paraId="696F399C">
      <w:pPr>
        <w:pStyle w:val="16"/>
        <w:rPr>
          <w:rFonts w:hint="eastAsia" w:ascii="宋体" w:hAnsi="宋体" w:eastAsia="宋体" w:cs="宋体"/>
          <w:color w:val="auto"/>
          <w:szCs w:val="24"/>
          <w:highlight w:val="none"/>
          <w:lang w:val="zh-CN"/>
        </w:rPr>
      </w:pPr>
    </w:p>
    <w:p w14:paraId="7CFB02AA">
      <w:pPr>
        <w:rPr>
          <w:rFonts w:hint="eastAsia" w:ascii="宋体" w:hAnsi="宋体" w:eastAsia="宋体" w:cs="宋体"/>
          <w:highlight w:val="none"/>
          <w:lang w:val="zh-CN"/>
        </w:rPr>
      </w:pPr>
    </w:p>
    <w:p w14:paraId="3D40132F">
      <w:pPr>
        <w:ind w:firstLine="480" w:firstLineChars="200"/>
        <w:rPr>
          <w:rFonts w:hint="eastAsia" w:ascii="宋体" w:hAnsi="宋体" w:eastAsia="宋体" w:cs="宋体"/>
          <w:color w:val="auto"/>
          <w:szCs w:val="24"/>
          <w:highlight w:val="none"/>
          <w:lang w:val="zh-CN"/>
        </w:rPr>
      </w:pPr>
    </w:p>
    <w:p w14:paraId="6DC90E3C">
      <w:pPr>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封面：</w:t>
      </w:r>
    </w:p>
    <w:p w14:paraId="202803F7">
      <w:pPr>
        <w:autoSpaceDE w:val="0"/>
        <w:autoSpaceDN w:val="0"/>
        <w:adjustRightInd w:val="0"/>
        <w:rPr>
          <w:rFonts w:hint="eastAsia" w:ascii="宋体" w:hAnsi="宋体" w:eastAsia="宋体" w:cs="宋体"/>
          <w:color w:val="auto"/>
          <w:sz w:val="21"/>
          <w:szCs w:val="24"/>
          <w:highlight w:val="none"/>
        </w:rPr>
      </w:pPr>
    </w:p>
    <w:p w14:paraId="73B11C8A">
      <w:pPr>
        <w:autoSpaceDE w:val="0"/>
        <w:autoSpaceDN w:val="0"/>
        <w:adjustRightInd w:val="0"/>
        <w:rPr>
          <w:rFonts w:hint="eastAsia" w:ascii="宋体" w:hAnsi="宋体" w:eastAsia="宋体" w:cs="宋体"/>
          <w:color w:val="auto"/>
          <w:sz w:val="21"/>
          <w:szCs w:val="24"/>
          <w:highlight w:val="none"/>
        </w:rPr>
      </w:pPr>
    </w:p>
    <w:p w14:paraId="36DF3F4E">
      <w:pPr>
        <w:autoSpaceDE w:val="0"/>
        <w:autoSpaceDN w:val="0"/>
        <w:adjustRightInd w:val="0"/>
        <w:jc w:val="center"/>
        <w:rPr>
          <w:rFonts w:hint="eastAsia" w:ascii="宋体" w:hAnsi="宋体" w:eastAsia="宋体" w:cs="宋体"/>
          <w:color w:val="auto"/>
          <w:sz w:val="21"/>
          <w:szCs w:val="24"/>
          <w:highlight w:val="none"/>
        </w:rPr>
      </w:pPr>
    </w:p>
    <w:p w14:paraId="336E03FA">
      <w:pPr>
        <w:pStyle w:val="3"/>
        <w:bidi w:val="0"/>
        <w:jc w:val="center"/>
        <w:rPr>
          <w:rFonts w:hint="eastAsia" w:ascii="宋体" w:hAnsi="宋体" w:eastAsia="宋体" w:cs="宋体"/>
          <w:sz w:val="84"/>
          <w:szCs w:val="84"/>
          <w:highlight w:val="none"/>
        </w:rPr>
      </w:pPr>
      <w:bookmarkStart w:id="669" w:name="_Toc17713"/>
      <w:bookmarkStart w:id="670" w:name="_Toc7054"/>
      <w:r>
        <w:rPr>
          <w:rFonts w:hint="eastAsia" w:ascii="宋体" w:hAnsi="宋体" w:eastAsia="宋体" w:cs="宋体"/>
          <w:sz w:val="84"/>
          <w:szCs w:val="84"/>
          <w:highlight w:val="none"/>
        </w:rPr>
        <w:t>投 标 文 件</w:t>
      </w:r>
      <w:bookmarkEnd w:id="669"/>
      <w:bookmarkEnd w:id="670"/>
    </w:p>
    <w:p w14:paraId="0D217A8D">
      <w:pPr>
        <w:pStyle w:val="3"/>
        <w:bidi w:val="0"/>
        <w:jc w:val="center"/>
        <w:rPr>
          <w:rFonts w:hint="eastAsia" w:ascii="宋体" w:hAnsi="宋体" w:eastAsia="宋体" w:cs="宋体"/>
          <w:sz w:val="52"/>
          <w:szCs w:val="52"/>
          <w:highlight w:val="none"/>
        </w:rPr>
      </w:pPr>
      <w:bookmarkStart w:id="671" w:name="_Toc17826"/>
      <w:bookmarkStart w:id="672" w:name="_Toc25800"/>
      <w:r>
        <w:rPr>
          <w:rFonts w:hint="eastAsia" w:ascii="宋体" w:hAnsi="宋体" w:eastAsia="宋体" w:cs="宋体"/>
          <w:sz w:val="52"/>
          <w:szCs w:val="52"/>
          <w:highlight w:val="none"/>
        </w:rPr>
        <w:t>资格证明文件</w:t>
      </w:r>
      <w:bookmarkEnd w:id="671"/>
      <w:bookmarkEnd w:id="672"/>
    </w:p>
    <w:p w14:paraId="3713B9EF">
      <w:pPr>
        <w:autoSpaceDE w:val="0"/>
        <w:autoSpaceDN w:val="0"/>
        <w:adjustRightInd w:val="0"/>
        <w:rPr>
          <w:rFonts w:hint="eastAsia" w:ascii="宋体" w:hAnsi="宋体" w:eastAsia="宋体" w:cs="宋体"/>
          <w:b/>
          <w:bCs/>
          <w:color w:val="auto"/>
          <w:sz w:val="22"/>
          <w:highlight w:val="none"/>
        </w:rPr>
      </w:pPr>
    </w:p>
    <w:p w14:paraId="4C95B1E8">
      <w:pPr>
        <w:autoSpaceDE w:val="0"/>
        <w:autoSpaceDN w:val="0"/>
        <w:adjustRightInd w:val="0"/>
        <w:rPr>
          <w:rFonts w:hint="eastAsia" w:ascii="宋体" w:hAnsi="宋体" w:eastAsia="宋体" w:cs="宋体"/>
          <w:color w:val="auto"/>
          <w:sz w:val="21"/>
          <w:szCs w:val="21"/>
          <w:highlight w:val="none"/>
        </w:rPr>
      </w:pPr>
    </w:p>
    <w:p w14:paraId="4A15B7B6">
      <w:pPr>
        <w:pStyle w:val="3"/>
        <w:rPr>
          <w:rFonts w:hint="eastAsia" w:ascii="宋体" w:hAnsi="宋体" w:eastAsia="宋体" w:cs="宋体"/>
          <w:color w:val="auto"/>
          <w:highlight w:val="none"/>
        </w:rPr>
      </w:pPr>
    </w:p>
    <w:p w14:paraId="6D2F1984">
      <w:pPr>
        <w:autoSpaceDE w:val="0"/>
        <w:autoSpaceDN w:val="0"/>
        <w:adjustRightInd w:val="0"/>
        <w:rPr>
          <w:rFonts w:hint="eastAsia" w:ascii="宋体" w:hAnsi="宋体" w:eastAsia="宋体" w:cs="宋体"/>
          <w:color w:val="auto"/>
          <w:sz w:val="21"/>
          <w:szCs w:val="21"/>
          <w:highlight w:val="none"/>
        </w:rPr>
      </w:pPr>
    </w:p>
    <w:p w14:paraId="13936900">
      <w:pPr>
        <w:autoSpaceDE w:val="0"/>
        <w:autoSpaceDN w:val="0"/>
        <w:adjustRightInd w:val="0"/>
        <w:rPr>
          <w:rFonts w:hint="eastAsia" w:ascii="宋体" w:hAnsi="宋体" w:eastAsia="宋体" w:cs="宋体"/>
          <w:color w:val="auto"/>
          <w:sz w:val="21"/>
          <w:szCs w:val="21"/>
          <w:highlight w:val="none"/>
        </w:rPr>
      </w:pPr>
    </w:p>
    <w:p w14:paraId="7F8AB2C1">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4FB039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B06112D">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720DE04">
      <w:pPr>
        <w:ind w:left="840" w:firstLine="420"/>
        <w:rPr>
          <w:rFonts w:hint="eastAsia" w:ascii="宋体" w:hAnsi="宋体" w:eastAsia="宋体" w:cs="宋体"/>
          <w:b/>
          <w:bCs/>
          <w:color w:val="auto"/>
          <w:sz w:val="28"/>
          <w:szCs w:val="28"/>
          <w:highlight w:val="none"/>
        </w:rPr>
      </w:pPr>
    </w:p>
    <w:p w14:paraId="5D0DC607">
      <w:pPr>
        <w:ind w:left="840" w:firstLine="420"/>
        <w:rPr>
          <w:rFonts w:hint="eastAsia" w:ascii="宋体" w:hAnsi="宋体" w:eastAsia="宋体" w:cs="宋体"/>
          <w:b/>
          <w:bCs/>
          <w:color w:val="auto"/>
          <w:sz w:val="28"/>
          <w:szCs w:val="28"/>
          <w:highlight w:val="none"/>
        </w:rPr>
      </w:pPr>
    </w:p>
    <w:p w14:paraId="306FCCBF">
      <w:pPr>
        <w:ind w:left="840" w:firstLine="420"/>
        <w:rPr>
          <w:rFonts w:hint="eastAsia" w:ascii="宋体" w:hAnsi="宋体" w:eastAsia="宋体" w:cs="宋体"/>
          <w:b/>
          <w:bCs/>
          <w:color w:val="auto"/>
          <w:sz w:val="28"/>
          <w:szCs w:val="28"/>
          <w:highlight w:val="none"/>
        </w:rPr>
      </w:pPr>
    </w:p>
    <w:p w14:paraId="22CE1A9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447D651">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215FC2E3">
      <w:pPr>
        <w:pStyle w:val="3"/>
        <w:bidi w:val="0"/>
        <w:rPr>
          <w:rFonts w:hint="eastAsia" w:ascii="宋体" w:hAnsi="宋体" w:eastAsia="宋体" w:cs="宋体"/>
          <w:highlight w:val="none"/>
          <w:lang w:val="en-US" w:eastAsia="zh-CN"/>
        </w:rPr>
      </w:pPr>
      <w:bookmarkStart w:id="673" w:name="_Toc3692"/>
      <w:bookmarkStart w:id="674" w:name="_Toc21897"/>
      <w:bookmarkStart w:id="675" w:name="_Toc24224"/>
      <w:bookmarkStart w:id="676" w:name="_Toc155185927"/>
      <w:r>
        <w:rPr>
          <w:rFonts w:hint="eastAsia" w:ascii="宋体" w:hAnsi="宋体" w:eastAsia="宋体" w:cs="宋体"/>
          <w:highlight w:val="none"/>
          <w:lang w:val="en-US" w:eastAsia="zh-CN"/>
        </w:rPr>
        <w:t>一、满足《中华人民共和国政府采购法》第二十二条规定</w:t>
      </w:r>
      <w:bookmarkEnd w:id="673"/>
      <w:bookmarkEnd w:id="674"/>
      <w:bookmarkEnd w:id="675"/>
    </w:p>
    <w:bookmarkEnd w:id="676"/>
    <w:p w14:paraId="61960C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bookmarkStart w:id="677" w:name="_Toc155185928"/>
      <w:bookmarkStart w:id="678" w:name="_Toc163492922"/>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6E9D20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1、投标人为企业（包括合伙企业）的，应提供有效的“营业执照”；</w:t>
      </w:r>
    </w:p>
    <w:p w14:paraId="420A9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2、投标人为事业单位的，应提供有效的“事业单位法人证书”；</w:t>
      </w:r>
    </w:p>
    <w:p w14:paraId="30B26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3、投标人为非企业机构的，应提供有效的“执业许可证”、“登记证书”等证明文件；</w:t>
      </w:r>
    </w:p>
    <w:p w14:paraId="4FDE64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4、投标人是个体工商户的，应提供有效的“个体工商户营业执照”；</w:t>
      </w:r>
    </w:p>
    <w:p w14:paraId="1DE16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5、投标人是自然人的，应提供有效的自然人身份证明。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128F3677">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bookmarkEnd w:id="677"/>
    <w:bookmarkEnd w:id="678"/>
    <w:p w14:paraId="69A95AD2">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bookmarkStart w:id="679" w:name="_Toc14117"/>
      <w:bookmarkStart w:id="680" w:name="_Toc21161"/>
      <w:bookmarkStart w:id="681" w:name="_Toc143"/>
      <w:r>
        <w:rPr>
          <w:rFonts w:hint="eastAsia" w:ascii="宋体" w:hAnsi="宋体" w:eastAsia="宋体" w:cs="宋体"/>
          <w:b/>
          <w:bCs/>
          <w:color w:val="auto"/>
          <w:kern w:val="2"/>
          <w:sz w:val="24"/>
          <w:szCs w:val="24"/>
          <w:highlight w:val="none"/>
          <w:lang w:val="en-US" w:eastAsia="zh-CN" w:bidi="ar-SA"/>
        </w:rPr>
        <w:t>二、新疆政府采购供应商信用承诺函</w:t>
      </w:r>
      <w:bookmarkEnd w:id="679"/>
      <w:bookmarkEnd w:id="680"/>
      <w:bookmarkEnd w:id="681"/>
    </w:p>
    <w:p w14:paraId="149786FB">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8FFA3C0">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7DA4A26F">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565F5FE">
      <w:pPr>
        <w:spacing w:line="560" w:lineRule="exact"/>
        <w:ind w:firstLine="480" w:firstLineChars="200"/>
        <w:rPr>
          <w:rFonts w:hint="eastAsia" w:ascii="宋体" w:hAnsi="宋体" w:eastAsia="宋体" w:cs="宋体"/>
          <w:color w:val="auto"/>
          <w:kern w:val="0"/>
          <w:sz w:val="24"/>
          <w:szCs w:val="24"/>
          <w:highlight w:val="none"/>
        </w:rPr>
      </w:pPr>
    </w:p>
    <w:p w14:paraId="39CDD6B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15BD267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3218A35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036C60E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32BE914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5C988BD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64311F8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09591AFC">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1BA808C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、重大税收违法失信主体、政府采购严重违法失信行为记录名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70127B20">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32445A77">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color w:val="auto"/>
          <w:highlight w:val="none"/>
        </w:rPr>
        <w:t>中华人民共和国政府采购法</w:t>
      </w:r>
      <w:r>
        <w:rPr>
          <w:rFonts w:hint="eastAsia" w:ascii="宋体" w:hAnsi="宋体" w:eastAsia="宋体" w:cs="宋体"/>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CE52DB">
      <w:pPr>
        <w:spacing w:line="560" w:lineRule="exact"/>
        <w:rPr>
          <w:rFonts w:hint="eastAsia" w:ascii="宋体" w:hAnsi="宋体" w:eastAsia="宋体" w:cs="宋体"/>
          <w:color w:val="auto"/>
          <w:kern w:val="0"/>
          <w:sz w:val="24"/>
          <w:szCs w:val="24"/>
          <w:highlight w:val="none"/>
        </w:rPr>
      </w:pPr>
    </w:p>
    <w:p w14:paraId="5883D10C">
      <w:pPr>
        <w:spacing w:line="560" w:lineRule="exact"/>
        <w:rPr>
          <w:rFonts w:hint="eastAsia" w:ascii="宋体" w:hAnsi="宋体" w:eastAsia="宋体" w:cs="宋体"/>
          <w:color w:val="auto"/>
          <w:kern w:val="0"/>
          <w:sz w:val="24"/>
          <w:szCs w:val="24"/>
          <w:highlight w:val="none"/>
        </w:rPr>
      </w:pPr>
    </w:p>
    <w:p w14:paraId="02066849">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供应商名称</w:t>
      </w:r>
      <w:r>
        <w:rPr>
          <w:rFonts w:hint="eastAsia" w:ascii="宋体" w:hAnsi="宋体" w:eastAsia="宋体" w:cs="宋体"/>
          <w:color w:val="auto"/>
          <w:kern w:val="0"/>
          <w:sz w:val="24"/>
          <w:szCs w:val="24"/>
          <w:highlight w:val="none"/>
          <w:lang w:eastAsia="zh-CN"/>
        </w:rPr>
        <w:t>（公章）</w:t>
      </w:r>
      <w:r>
        <w:rPr>
          <w:rFonts w:hint="eastAsia" w:ascii="宋体" w:hAnsi="宋体" w:eastAsia="宋体" w:cs="宋体"/>
          <w:color w:val="auto"/>
          <w:kern w:val="0"/>
          <w:sz w:val="24"/>
          <w:szCs w:val="24"/>
          <w:highlight w:val="none"/>
        </w:rPr>
        <w:t>：</w:t>
      </w:r>
    </w:p>
    <w:p w14:paraId="3FCFFDC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szCs w:val="24"/>
          <w:highlight w:val="none"/>
        </w:rPr>
        <w:t>：</w:t>
      </w:r>
    </w:p>
    <w:p w14:paraId="510A1256">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F4E790D">
      <w:pPr>
        <w:widowControl/>
        <w:spacing w:line="560" w:lineRule="exact"/>
        <w:ind w:firstLine="630"/>
        <w:jc w:val="left"/>
        <w:rPr>
          <w:rFonts w:hint="eastAsia" w:ascii="宋体" w:hAnsi="宋体" w:eastAsia="宋体" w:cs="宋体"/>
          <w:color w:val="auto"/>
          <w:kern w:val="0"/>
          <w:sz w:val="24"/>
          <w:szCs w:val="24"/>
          <w:highlight w:val="none"/>
        </w:rPr>
      </w:pPr>
    </w:p>
    <w:p w14:paraId="282D3B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74386CF">
      <w:pPr>
        <w:pStyle w:val="3"/>
        <w:bidi w:val="0"/>
        <w:rPr>
          <w:rFonts w:hint="eastAsia" w:ascii="宋体" w:hAnsi="宋体" w:eastAsia="宋体" w:cs="宋体"/>
          <w:highlight w:val="none"/>
          <w:lang w:val="en-US" w:eastAsia="zh-CN"/>
        </w:rPr>
      </w:pPr>
      <w:bookmarkStart w:id="682" w:name="_Toc163492926"/>
      <w:bookmarkStart w:id="683" w:name="_Toc155185932"/>
      <w:bookmarkStart w:id="684" w:name="_Toc18617"/>
      <w:bookmarkStart w:id="685" w:name="_Toc20325"/>
      <w:r>
        <w:rPr>
          <w:rFonts w:hint="eastAsia" w:ascii="宋体" w:hAnsi="宋体" w:eastAsia="宋体" w:cs="宋体"/>
          <w:highlight w:val="none"/>
          <w:lang w:val="en-US" w:eastAsia="zh-CN"/>
        </w:rPr>
        <w:t>三、</w:t>
      </w:r>
      <w:bookmarkEnd w:id="682"/>
      <w:bookmarkEnd w:id="683"/>
      <w:r>
        <w:rPr>
          <w:rFonts w:hint="eastAsia" w:ascii="宋体" w:hAnsi="宋体" w:eastAsia="宋体" w:cs="宋体"/>
          <w:highlight w:val="none"/>
          <w:lang w:val="en-US" w:eastAsia="zh-CN"/>
        </w:rPr>
        <w:t>落实政府采购政策相关证明文件</w:t>
      </w:r>
      <w:bookmarkEnd w:id="684"/>
      <w:bookmarkEnd w:id="685"/>
    </w:p>
    <w:p w14:paraId="7A518507">
      <w:pPr>
        <w:pStyle w:val="4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ascii="宋体" w:hAnsi="宋体" w:eastAsia="宋体" w:cs="宋体"/>
          <w:b/>
          <w:bCs/>
          <w:color w:val="auto"/>
          <w:sz w:val="32"/>
          <w:szCs w:val="32"/>
          <w:highlight w:val="none"/>
        </w:rPr>
      </w:pPr>
    </w:p>
    <w:p w14:paraId="760F43E1">
      <w:pPr>
        <w:pStyle w:val="42"/>
        <w:numPr>
          <w:ilvl w:val="0"/>
          <w:numId w:val="0"/>
        </w:numPr>
        <w:ind w:left="420" w:leftChars="0" w:hanging="42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78BC1CF1">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Cs w:val="24"/>
          <w:highlight w:val="none"/>
          <w:u w:val="single"/>
        </w:rPr>
        <w:t xml:space="preserve"> （单位名称）</w:t>
      </w:r>
      <w:r>
        <w:rPr>
          <w:rFonts w:hint="eastAsia" w:ascii="宋体" w:hAnsi="宋体" w:eastAsia="宋体" w:cs="宋体"/>
          <w:color w:val="auto"/>
          <w:spacing w:val="6"/>
          <w:szCs w:val="24"/>
          <w:highlight w:val="none"/>
        </w:rPr>
        <w:t xml:space="preserve"> 的</w:t>
      </w:r>
      <w:r>
        <w:rPr>
          <w:rFonts w:hint="eastAsia" w:ascii="宋体" w:hAnsi="宋体" w:eastAsia="宋体" w:cs="宋体"/>
          <w:color w:val="auto"/>
          <w:spacing w:val="6"/>
          <w:szCs w:val="24"/>
          <w:highlight w:val="none"/>
          <w:u w:val="single"/>
        </w:rPr>
        <w:t xml:space="preserve"> （项目名称） </w:t>
      </w:r>
      <w:r>
        <w:rPr>
          <w:rFonts w:hint="eastAsia" w:ascii="宋体" w:hAnsi="宋体" w:eastAsia="宋体" w:cs="宋体"/>
          <w:color w:val="auto"/>
          <w:spacing w:val="6"/>
          <w:szCs w:val="24"/>
          <w:highlight w:val="none"/>
        </w:rPr>
        <w:t>采购活动，提供的货物全部由符合政策要求的中小企业制造。相关企业（含联合体中的中小企业、签订分包意向协议的中小企业）的具体情况如下：</w:t>
      </w:r>
    </w:p>
    <w:p w14:paraId="5FCC96F1">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1.</w:t>
      </w:r>
      <w:r>
        <w:rPr>
          <w:rFonts w:hint="eastAsia" w:ascii="宋体" w:hAnsi="宋体" w:eastAsia="宋体" w:cs="宋体"/>
          <w:color w:val="auto"/>
          <w:spacing w:val="6"/>
          <w:szCs w:val="24"/>
          <w:highlight w:val="none"/>
          <w:u w:val="single"/>
        </w:rPr>
        <w:t xml:space="preserve"> （标的名称） </w:t>
      </w:r>
      <w:r>
        <w:rPr>
          <w:rFonts w:hint="eastAsia" w:ascii="宋体" w:hAnsi="宋体" w:eastAsia="宋体" w:cs="宋体"/>
          <w:color w:val="auto"/>
          <w:spacing w:val="6"/>
          <w:szCs w:val="24"/>
          <w:highlight w:val="none"/>
        </w:rPr>
        <w:t>，属于</w:t>
      </w:r>
      <w:r>
        <w:rPr>
          <w:rFonts w:hint="eastAsia" w:ascii="宋体" w:hAnsi="宋体" w:eastAsia="宋体" w:cs="宋体"/>
          <w:color w:val="auto"/>
          <w:spacing w:val="6"/>
          <w:szCs w:val="24"/>
          <w:highlight w:val="none"/>
          <w:u w:val="single"/>
        </w:rPr>
        <w:t xml:space="preserve"> （采购文件中明确的所属行业）</w:t>
      </w:r>
      <w:r>
        <w:rPr>
          <w:rFonts w:hint="eastAsia" w:ascii="宋体" w:hAnsi="宋体" w:eastAsia="宋体" w:cs="宋体"/>
          <w:color w:val="auto"/>
          <w:spacing w:val="6"/>
          <w:szCs w:val="24"/>
          <w:highlight w:val="none"/>
        </w:rPr>
        <w:t>行业 ；制造商为</w:t>
      </w:r>
      <w:r>
        <w:rPr>
          <w:rFonts w:hint="eastAsia" w:ascii="宋体" w:hAnsi="宋体" w:eastAsia="宋体" w:cs="宋体"/>
          <w:color w:val="auto"/>
          <w:spacing w:val="6"/>
          <w:szCs w:val="24"/>
          <w:highlight w:val="none"/>
          <w:u w:val="single"/>
        </w:rPr>
        <w:t xml:space="preserve"> （企业名称） </w:t>
      </w:r>
      <w:r>
        <w:rPr>
          <w:rFonts w:hint="eastAsia" w:ascii="宋体" w:hAnsi="宋体" w:eastAsia="宋体" w:cs="宋体"/>
          <w:color w:val="auto"/>
          <w:spacing w:val="6"/>
          <w:szCs w:val="24"/>
          <w:highlight w:val="none"/>
        </w:rPr>
        <w:t>，从业人员</w:t>
      </w:r>
      <w:r>
        <w:rPr>
          <w:rFonts w:hint="eastAsia" w:ascii="宋体" w:hAnsi="宋体" w:eastAsia="宋体" w:cs="宋体"/>
          <w:color w:val="auto"/>
          <w:spacing w:val="6"/>
          <w:szCs w:val="24"/>
          <w:highlight w:val="none"/>
          <w:u w:val="single"/>
          <w:lang w:val="en-US" w:eastAsia="zh-CN"/>
        </w:rPr>
        <w:t xml:space="preserve">     </w:t>
      </w:r>
      <w:r>
        <w:rPr>
          <w:rFonts w:hint="eastAsia" w:ascii="宋体" w:hAnsi="宋体" w:eastAsia="宋体" w:cs="宋体"/>
          <w:color w:val="auto"/>
          <w:spacing w:val="6"/>
          <w:szCs w:val="24"/>
          <w:highlight w:val="none"/>
        </w:rPr>
        <w:t>人，营业收入为</w:t>
      </w:r>
      <w:r>
        <w:rPr>
          <w:rFonts w:hint="eastAsia" w:ascii="宋体" w:hAnsi="宋体" w:eastAsia="宋体" w:cs="宋体"/>
          <w:color w:val="auto"/>
          <w:spacing w:val="6"/>
          <w:szCs w:val="24"/>
          <w:highlight w:val="none"/>
          <w:u w:val="single"/>
          <w:lang w:val="en-US" w:eastAsia="zh-CN"/>
        </w:rPr>
        <w:t xml:space="preserve">      </w:t>
      </w:r>
      <w:r>
        <w:rPr>
          <w:rFonts w:hint="eastAsia" w:ascii="宋体" w:hAnsi="宋体" w:eastAsia="宋体" w:cs="宋体"/>
          <w:color w:val="auto"/>
          <w:spacing w:val="6"/>
          <w:szCs w:val="24"/>
          <w:highlight w:val="none"/>
        </w:rPr>
        <w:t>万元，资产总额为</w:t>
      </w:r>
      <w:r>
        <w:rPr>
          <w:rFonts w:hint="eastAsia" w:ascii="宋体" w:hAnsi="宋体" w:eastAsia="宋体" w:cs="宋体"/>
          <w:color w:val="auto"/>
          <w:spacing w:val="6"/>
          <w:szCs w:val="24"/>
          <w:highlight w:val="none"/>
          <w:u w:val="single"/>
          <w:lang w:val="en-US" w:eastAsia="zh-CN"/>
        </w:rPr>
        <w:t xml:space="preserve">       </w:t>
      </w:r>
      <w:r>
        <w:rPr>
          <w:rFonts w:hint="eastAsia" w:ascii="宋体" w:hAnsi="宋体" w:eastAsia="宋体" w:cs="宋体"/>
          <w:color w:val="auto"/>
          <w:spacing w:val="6"/>
          <w:szCs w:val="24"/>
          <w:highlight w:val="none"/>
        </w:rPr>
        <w:t>万元，属于</w:t>
      </w:r>
      <w:r>
        <w:rPr>
          <w:rFonts w:hint="eastAsia" w:ascii="宋体" w:hAnsi="宋体" w:eastAsia="宋体" w:cs="宋体"/>
          <w:color w:val="auto"/>
          <w:spacing w:val="6"/>
          <w:szCs w:val="24"/>
          <w:highlight w:val="none"/>
          <w:u w:val="single"/>
        </w:rPr>
        <w:t xml:space="preserve"> （中型企业、小型企业、微型企业）</w:t>
      </w:r>
      <w:r>
        <w:rPr>
          <w:rFonts w:hint="eastAsia" w:ascii="宋体" w:hAnsi="宋体" w:eastAsia="宋体" w:cs="宋体"/>
          <w:color w:val="auto"/>
          <w:spacing w:val="6"/>
          <w:szCs w:val="24"/>
          <w:highlight w:val="none"/>
        </w:rPr>
        <w:t>；</w:t>
      </w:r>
    </w:p>
    <w:p w14:paraId="1D01E102">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2.</w:t>
      </w:r>
      <w:r>
        <w:rPr>
          <w:rFonts w:hint="eastAsia" w:ascii="宋体" w:hAnsi="宋体" w:eastAsia="宋体" w:cs="宋体"/>
          <w:color w:val="auto"/>
          <w:spacing w:val="6"/>
          <w:szCs w:val="24"/>
          <w:highlight w:val="none"/>
          <w:u w:val="single"/>
        </w:rPr>
        <w:t xml:space="preserve"> （标的名称） </w:t>
      </w:r>
      <w:r>
        <w:rPr>
          <w:rFonts w:hint="eastAsia" w:ascii="宋体" w:hAnsi="宋体" w:eastAsia="宋体" w:cs="宋体"/>
          <w:color w:val="auto"/>
          <w:spacing w:val="6"/>
          <w:szCs w:val="24"/>
          <w:highlight w:val="none"/>
        </w:rPr>
        <w:t>，属于</w:t>
      </w:r>
      <w:r>
        <w:rPr>
          <w:rFonts w:hint="eastAsia" w:ascii="宋体" w:hAnsi="宋体" w:eastAsia="宋体" w:cs="宋体"/>
          <w:color w:val="auto"/>
          <w:spacing w:val="6"/>
          <w:szCs w:val="24"/>
          <w:highlight w:val="none"/>
          <w:u w:val="single"/>
        </w:rPr>
        <w:t xml:space="preserve"> （采购文件中明确的所属行业）</w:t>
      </w:r>
      <w:r>
        <w:rPr>
          <w:rFonts w:hint="eastAsia" w:ascii="宋体" w:hAnsi="宋体" w:eastAsia="宋体" w:cs="宋体"/>
          <w:color w:val="auto"/>
          <w:spacing w:val="6"/>
          <w:szCs w:val="24"/>
          <w:highlight w:val="none"/>
        </w:rPr>
        <w:t>行业 ；制造商为</w:t>
      </w:r>
      <w:r>
        <w:rPr>
          <w:rFonts w:hint="eastAsia" w:ascii="宋体" w:hAnsi="宋体" w:eastAsia="宋体" w:cs="宋体"/>
          <w:color w:val="auto"/>
          <w:spacing w:val="6"/>
          <w:szCs w:val="24"/>
          <w:highlight w:val="none"/>
          <w:u w:val="single"/>
        </w:rPr>
        <w:t xml:space="preserve"> （企业名称） </w:t>
      </w:r>
      <w:r>
        <w:rPr>
          <w:rFonts w:hint="eastAsia" w:ascii="宋体" w:hAnsi="宋体" w:eastAsia="宋体" w:cs="宋体"/>
          <w:color w:val="auto"/>
          <w:spacing w:val="6"/>
          <w:szCs w:val="24"/>
          <w:highlight w:val="none"/>
        </w:rPr>
        <w:t>，从业人员</w:t>
      </w:r>
      <w:r>
        <w:rPr>
          <w:rFonts w:hint="eastAsia" w:ascii="宋体" w:hAnsi="宋体" w:eastAsia="宋体" w:cs="宋体"/>
          <w:color w:val="auto"/>
          <w:spacing w:val="6"/>
          <w:szCs w:val="24"/>
          <w:highlight w:val="none"/>
          <w:u w:val="single"/>
          <w:lang w:val="en-US" w:eastAsia="zh-CN"/>
        </w:rPr>
        <w:t xml:space="preserve">      </w:t>
      </w:r>
      <w:r>
        <w:rPr>
          <w:rFonts w:hint="eastAsia" w:ascii="宋体" w:hAnsi="宋体" w:eastAsia="宋体" w:cs="宋体"/>
          <w:color w:val="auto"/>
          <w:spacing w:val="6"/>
          <w:szCs w:val="24"/>
          <w:highlight w:val="none"/>
        </w:rPr>
        <w:t>人，营业收入为</w:t>
      </w:r>
      <w:r>
        <w:rPr>
          <w:rFonts w:hint="eastAsia" w:ascii="宋体" w:hAnsi="宋体" w:eastAsia="宋体" w:cs="宋体"/>
          <w:color w:val="auto"/>
          <w:spacing w:val="6"/>
          <w:szCs w:val="24"/>
          <w:highlight w:val="none"/>
          <w:u w:val="single"/>
          <w:lang w:val="en-US" w:eastAsia="zh-CN"/>
        </w:rPr>
        <w:t xml:space="preserve">      </w:t>
      </w:r>
      <w:r>
        <w:rPr>
          <w:rFonts w:hint="eastAsia" w:ascii="宋体" w:hAnsi="宋体" w:eastAsia="宋体" w:cs="宋体"/>
          <w:color w:val="auto"/>
          <w:spacing w:val="6"/>
          <w:szCs w:val="24"/>
          <w:highlight w:val="none"/>
        </w:rPr>
        <w:t>万元，资产总额为</w:t>
      </w:r>
      <w:r>
        <w:rPr>
          <w:rFonts w:hint="eastAsia" w:ascii="宋体" w:hAnsi="宋体" w:eastAsia="宋体" w:cs="宋体"/>
          <w:color w:val="auto"/>
          <w:spacing w:val="6"/>
          <w:szCs w:val="24"/>
          <w:highlight w:val="none"/>
          <w:u w:val="single"/>
          <w:lang w:val="en-US" w:eastAsia="zh-CN"/>
        </w:rPr>
        <w:t xml:space="preserve">       </w:t>
      </w:r>
      <w:r>
        <w:rPr>
          <w:rFonts w:hint="eastAsia" w:ascii="宋体" w:hAnsi="宋体" w:eastAsia="宋体" w:cs="宋体"/>
          <w:color w:val="auto"/>
          <w:spacing w:val="6"/>
          <w:szCs w:val="24"/>
          <w:highlight w:val="none"/>
        </w:rPr>
        <w:t>万元，属于</w:t>
      </w:r>
      <w:r>
        <w:rPr>
          <w:rFonts w:hint="eastAsia" w:ascii="宋体" w:hAnsi="宋体" w:eastAsia="宋体" w:cs="宋体"/>
          <w:color w:val="auto"/>
          <w:spacing w:val="6"/>
          <w:szCs w:val="24"/>
          <w:highlight w:val="none"/>
          <w:u w:val="single"/>
        </w:rPr>
        <w:t xml:space="preserve"> （中型企业、小型企业、微型企业）</w:t>
      </w:r>
      <w:r>
        <w:rPr>
          <w:rFonts w:hint="eastAsia" w:ascii="宋体" w:hAnsi="宋体" w:eastAsia="宋体" w:cs="宋体"/>
          <w:color w:val="auto"/>
          <w:spacing w:val="6"/>
          <w:szCs w:val="24"/>
          <w:highlight w:val="none"/>
        </w:rPr>
        <w:t>；</w:t>
      </w:r>
    </w:p>
    <w:p w14:paraId="7CB1DD8C">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w:t>
      </w:r>
    </w:p>
    <w:p w14:paraId="776FE44A">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以上企业，不属于大企业的分支机构，不存在控股股东为大企业的情形，也不存在与大企业的负责人为同一人的情形。</w:t>
      </w:r>
    </w:p>
    <w:p w14:paraId="3A720EA2">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本企业对上述声明内容的真实性负责。如有虚假，将依法承担相应责任。</w:t>
      </w:r>
    </w:p>
    <w:p w14:paraId="5A6D844B">
      <w:pPr>
        <w:ind w:right="1008" w:firstLine="4788" w:firstLineChars="1900"/>
        <w:rPr>
          <w:rFonts w:hint="eastAsia" w:ascii="宋体" w:hAnsi="宋体" w:eastAsia="宋体" w:cs="宋体"/>
          <w:color w:val="auto"/>
          <w:spacing w:val="6"/>
          <w:szCs w:val="24"/>
          <w:highlight w:val="none"/>
        </w:rPr>
      </w:pPr>
    </w:p>
    <w:p w14:paraId="165AEE2D">
      <w:pPr>
        <w:ind w:right="1008" w:firstLine="4284" w:firstLineChars="17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lang w:val="en-US" w:eastAsia="zh-CN"/>
        </w:rPr>
        <w:t>投标人</w:t>
      </w:r>
      <w:r>
        <w:rPr>
          <w:rFonts w:hint="eastAsia" w:ascii="宋体" w:hAnsi="宋体" w:eastAsia="宋体" w:cs="宋体"/>
          <w:color w:val="auto"/>
          <w:spacing w:val="6"/>
          <w:szCs w:val="24"/>
          <w:highlight w:val="none"/>
        </w:rPr>
        <w:t>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pacing w:val="6"/>
          <w:szCs w:val="24"/>
          <w:highlight w:val="none"/>
        </w:rPr>
        <w:t>：</w:t>
      </w:r>
    </w:p>
    <w:p w14:paraId="5183E380">
      <w:pPr>
        <w:ind w:right="1008" w:firstLine="4284" w:firstLineChars="1700"/>
        <w:rPr>
          <w:rFonts w:hint="eastAsia" w:ascii="宋体" w:hAnsi="宋体" w:eastAsia="宋体" w:cs="宋体"/>
          <w:color w:val="auto"/>
          <w:spacing w:val="6"/>
          <w:szCs w:val="24"/>
          <w:highlight w:val="none"/>
          <w:lang w:val="en-US" w:eastAsia="zh-CN"/>
        </w:rPr>
      </w:pPr>
      <w:r>
        <w:rPr>
          <w:rFonts w:hint="eastAsia" w:ascii="宋体" w:hAnsi="宋体" w:eastAsia="宋体" w:cs="宋体"/>
          <w:color w:val="auto"/>
          <w:spacing w:val="6"/>
          <w:szCs w:val="24"/>
          <w:highlight w:val="none"/>
        </w:rPr>
        <w:t>日期：</w:t>
      </w:r>
      <w:r>
        <w:rPr>
          <w:rFonts w:hint="eastAsia" w:ascii="宋体" w:hAnsi="宋体" w:eastAsia="宋体" w:cs="宋体"/>
          <w:color w:val="auto"/>
          <w:spacing w:val="6"/>
          <w:szCs w:val="24"/>
          <w:highlight w:val="none"/>
          <w:lang w:val="en-US" w:eastAsia="zh-CN"/>
        </w:rPr>
        <w:t xml:space="preserve">   年  月  日</w:t>
      </w:r>
    </w:p>
    <w:p w14:paraId="7BA8C73B">
      <w:pPr>
        <w:ind w:firstLine="504" w:firstLineChars="200"/>
        <w:rPr>
          <w:rFonts w:hint="eastAsia" w:ascii="宋体" w:hAnsi="宋体" w:eastAsia="宋体" w:cs="宋体"/>
          <w:color w:val="auto"/>
          <w:spacing w:val="6"/>
          <w:szCs w:val="24"/>
          <w:highlight w:val="none"/>
        </w:rPr>
      </w:pPr>
    </w:p>
    <w:p w14:paraId="748B4DD4">
      <w:pPr>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rPr>
        <w:t>说明：</w:t>
      </w:r>
      <w:r>
        <w:rPr>
          <w:rFonts w:hint="eastAsia" w:ascii="宋体" w:hAnsi="宋体" w:eastAsia="宋体" w:cs="宋体"/>
          <w:b/>
          <w:bCs/>
          <w:color w:val="auto"/>
          <w:spacing w:val="6"/>
          <w:sz w:val="21"/>
          <w:szCs w:val="21"/>
          <w:highlight w:val="none"/>
          <w:lang w:val="en-US" w:eastAsia="zh-CN"/>
        </w:rPr>
        <w:t>1.重要提示：供应商应仔细阅读本函附件1关于</w:t>
      </w:r>
      <w:r>
        <w:rPr>
          <w:rFonts w:hint="eastAsia" w:ascii="宋体" w:hAnsi="宋体" w:eastAsia="宋体" w:cs="宋体"/>
          <w:color w:val="auto"/>
          <w:spacing w:val="-6"/>
          <w:kern w:val="0"/>
          <w:sz w:val="21"/>
          <w:szCs w:val="21"/>
          <w:highlight w:val="none"/>
          <w:lang w:val="en-US" w:eastAsia="zh-CN" w:bidi="ar"/>
        </w:rPr>
        <w:t>“</w:t>
      </w:r>
      <w:r>
        <w:rPr>
          <w:rFonts w:hint="eastAsia" w:ascii="宋体" w:hAnsi="宋体" w:eastAsia="宋体" w:cs="宋体"/>
          <w:b/>
          <w:bCs/>
          <w:color w:val="auto"/>
          <w:spacing w:val="6"/>
          <w:sz w:val="21"/>
          <w:szCs w:val="21"/>
          <w:highlight w:val="none"/>
          <w:lang w:val="en-US" w:eastAsia="zh-CN"/>
        </w:rPr>
        <w:t>中小企业声明函”的填写要求及提交要求，否则，因填写或提交等产生的一切不利后果，须自行承担。</w:t>
      </w:r>
    </w:p>
    <w:p w14:paraId="126DF3AF">
      <w:pPr>
        <w:ind w:firstLine="668" w:firstLineChars="30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从业人员、营业收入、资产总额填报上一年度数据，无上一年度数据的新成立企业可不填报。</w:t>
      </w:r>
    </w:p>
    <w:p w14:paraId="54C60C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p>
    <w:p w14:paraId="44B897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p>
    <w:p w14:paraId="766576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p>
    <w:p w14:paraId="4B9EE2D8">
      <w:pPr>
        <w:pStyle w:val="3"/>
        <w:bidi w:val="0"/>
        <w:rPr>
          <w:rFonts w:hint="eastAsia" w:ascii="宋体" w:hAnsi="宋体" w:eastAsia="宋体" w:cs="宋体"/>
          <w:highlight w:val="none"/>
          <w:lang w:val="en-US" w:eastAsia="zh-CN"/>
        </w:rPr>
      </w:pPr>
      <w:bookmarkStart w:id="686" w:name="_Toc29132"/>
      <w:bookmarkStart w:id="687" w:name="_Toc1368"/>
      <w:r>
        <w:rPr>
          <w:rFonts w:hint="eastAsia" w:ascii="宋体" w:hAnsi="宋体" w:eastAsia="宋体" w:cs="宋体"/>
          <w:highlight w:val="none"/>
          <w:lang w:val="en-US" w:eastAsia="zh-CN"/>
        </w:rPr>
        <w:t>四、不参与围标串标承诺书</w:t>
      </w:r>
      <w:bookmarkEnd w:id="686"/>
      <w:bookmarkEnd w:id="687"/>
    </w:p>
    <w:p w14:paraId="70D7F20B">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b/>
          <w:bCs/>
          <w:color w:val="auto"/>
          <w:kern w:val="2"/>
          <w:sz w:val="32"/>
          <w:szCs w:val="32"/>
          <w:highlight w:val="none"/>
          <w:lang w:val="en-US" w:eastAsia="zh-CN" w:bidi="ar-SA"/>
        </w:rPr>
      </w:pPr>
    </w:p>
    <w:p w14:paraId="75FF23AC">
      <w:pPr>
        <w:jc w:val="center"/>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32"/>
          <w:szCs w:val="32"/>
          <w:highlight w:val="none"/>
          <w:lang w:val="en-US" w:eastAsia="zh-CN" w:bidi="ar-SA"/>
        </w:rPr>
        <w:t>不参与围标串标承诺书</w:t>
      </w:r>
    </w:p>
    <w:p w14:paraId="6B233C07">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本人作为经授权的投标人代表,清楚知晓我单位本项目投标活动,对以下事项作出承诺：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二、我单位和我本人在本项目政府采购投标活动中,未参与围标串标。</w:t>
      </w:r>
    </w:p>
    <w:p w14:paraId="1A7E3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9E3C848">
      <w:pPr>
        <w:pStyle w:val="15"/>
        <w:rPr>
          <w:rFonts w:hint="eastAsia" w:ascii="宋体" w:hAnsi="宋体" w:eastAsia="宋体" w:cs="宋体"/>
          <w:color w:val="auto"/>
          <w:highlight w:val="none"/>
          <w:lang w:val="en-US" w:eastAsia="zh-CN"/>
        </w:rPr>
      </w:pPr>
    </w:p>
    <w:p w14:paraId="39CB3E48">
      <w:pPr>
        <w:spacing w:line="560" w:lineRule="exact"/>
        <w:rPr>
          <w:rFonts w:hint="eastAsia" w:ascii="宋体" w:hAnsi="宋体" w:eastAsia="宋体" w:cs="宋体"/>
          <w:color w:val="auto"/>
          <w:kern w:val="0"/>
          <w:sz w:val="24"/>
          <w:szCs w:val="24"/>
          <w:highlight w:val="none"/>
        </w:rPr>
      </w:pPr>
    </w:p>
    <w:p w14:paraId="19648C53">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投标人名称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rPr>
        <w:t>：</w:t>
      </w:r>
    </w:p>
    <w:p w14:paraId="2CCE383A">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szCs w:val="24"/>
          <w:highlight w:val="none"/>
        </w:rPr>
        <w:t>：</w:t>
      </w:r>
    </w:p>
    <w:p w14:paraId="692B327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3DA43E0">
      <w:pPr>
        <w:widowControl/>
        <w:spacing w:line="560" w:lineRule="exact"/>
        <w:ind w:firstLine="630"/>
        <w:jc w:val="left"/>
        <w:rPr>
          <w:rFonts w:hint="eastAsia" w:ascii="宋体" w:hAnsi="宋体" w:eastAsia="宋体" w:cs="宋体"/>
          <w:color w:val="auto"/>
          <w:kern w:val="0"/>
          <w:sz w:val="24"/>
          <w:szCs w:val="24"/>
          <w:highlight w:val="none"/>
        </w:rPr>
      </w:pPr>
    </w:p>
    <w:p w14:paraId="7CD72A88">
      <w:pPr>
        <w:pStyle w:val="15"/>
        <w:rPr>
          <w:rFonts w:hint="eastAsia" w:ascii="宋体" w:hAnsi="宋体" w:eastAsia="宋体" w:cs="宋体"/>
          <w:color w:val="auto"/>
          <w:highlight w:val="none"/>
          <w:lang w:val="en-US" w:eastAsia="zh-CN"/>
        </w:rPr>
      </w:pPr>
    </w:p>
    <w:p w14:paraId="6FC519D1">
      <w:pPr>
        <w:pStyle w:val="15"/>
        <w:rPr>
          <w:rFonts w:hint="eastAsia" w:ascii="宋体" w:hAnsi="宋体" w:eastAsia="宋体" w:cs="宋体"/>
          <w:color w:val="auto"/>
          <w:highlight w:val="none"/>
          <w:lang w:val="en-US" w:eastAsia="zh-CN"/>
        </w:rPr>
      </w:pPr>
    </w:p>
    <w:p w14:paraId="7500053D">
      <w:pPr>
        <w:pStyle w:val="15"/>
        <w:rPr>
          <w:rFonts w:hint="eastAsia" w:ascii="宋体" w:hAnsi="宋体" w:eastAsia="宋体" w:cs="宋体"/>
          <w:color w:val="auto"/>
          <w:highlight w:val="none"/>
          <w:lang w:val="en-US" w:eastAsia="zh-CN"/>
        </w:rPr>
      </w:pPr>
    </w:p>
    <w:p w14:paraId="5BF64493">
      <w:pPr>
        <w:pStyle w:val="15"/>
        <w:rPr>
          <w:rFonts w:hint="eastAsia" w:ascii="宋体" w:hAnsi="宋体" w:eastAsia="宋体" w:cs="宋体"/>
          <w:color w:val="auto"/>
          <w:highlight w:val="none"/>
          <w:lang w:val="en-US" w:eastAsia="zh-CN"/>
        </w:rPr>
      </w:pPr>
    </w:p>
    <w:p w14:paraId="5CA01A8B">
      <w:pPr>
        <w:pStyle w:val="15"/>
        <w:rPr>
          <w:rFonts w:hint="eastAsia" w:ascii="宋体" w:hAnsi="宋体" w:eastAsia="宋体" w:cs="宋体"/>
          <w:color w:val="auto"/>
          <w:highlight w:val="none"/>
          <w:lang w:val="en-US" w:eastAsia="zh-CN"/>
        </w:rPr>
      </w:pPr>
    </w:p>
    <w:p w14:paraId="029F743D">
      <w:pPr>
        <w:pStyle w:val="15"/>
        <w:rPr>
          <w:rFonts w:hint="eastAsia" w:ascii="宋体" w:hAnsi="宋体" w:eastAsia="宋体" w:cs="宋体"/>
          <w:color w:val="auto"/>
          <w:highlight w:val="none"/>
          <w:lang w:val="en-US" w:eastAsia="zh-CN"/>
        </w:rPr>
      </w:pPr>
    </w:p>
    <w:p w14:paraId="41587146">
      <w:pPr>
        <w:pStyle w:val="15"/>
        <w:rPr>
          <w:rFonts w:hint="eastAsia" w:ascii="宋体" w:hAnsi="宋体" w:eastAsia="宋体" w:cs="宋体"/>
          <w:color w:val="auto"/>
          <w:highlight w:val="none"/>
          <w:lang w:val="en-US" w:eastAsia="zh-CN"/>
        </w:rPr>
      </w:pPr>
    </w:p>
    <w:p w14:paraId="34406338">
      <w:pPr>
        <w:pStyle w:val="15"/>
        <w:rPr>
          <w:rFonts w:hint="eastAsia" w:ascii="宋体" w:hAnsi="宋体" w:eastAsia="宋体" w:cs="宋体"/>
          <w:color w:val="auto"/>
          <w:highlight w:val="none"/>
          <w:lang w:val="en-US" w:eastAsia="zh-CN"/>
        </w:rPr>
      </w:pPr>
    </w:p>
    <w:p w14:paraId="30C8D33E">
      <w:pPr>
        <w:pStyle w:val="3"/>
        <w:bidi w:val="0"/>
        <w:rPr>
          <w:rFonts w:hint="eastAsia" w:ascii="宋体" w:hAnsi="宋体" w:eastAsia="宋体" w:cs="宋体"/>
          <w:highlight w:val="none"/>
          <w:lang w:val="zh-CN" w:eastAsia="zh-CN"/>
        </w:rPr>
      </w:pPr>
      <w:bookmarkStart w:id="688" w:name="_Toc12419"/>
      <w:bookmarkStart w:id="689" w:name="_Toc1433"/>
      <w:r>
        <w:rPr>
          <w:rFonts w:hint="eastAsia" w:ascii="宋体" w:hAnsi="宋体" w:eastAsia="宋体" w:cs="宋体"/>
          <w:highlight w:val="none"/>
          <w:lang w:val="en-US" w:eastAsia="zh-CN"/>
        </w:rPr>
        <w:t>五、</w:t>
      </w:r>
      <w:r>
        <w:rPr>
          <w:rFonts w:hint="eastAsia" w:ascii="宋体" w:hAnsi="宋体" w:eastAsia="宋体" w:cs="宋体"/>
          <w:highlight w:val="none"/>
          <w:lang w:val="zh-CN" w:eastAsia="zh-CN"/>
        </w:rPr>
        <w:t>其他资格证明文件</w:t>
      </w:r>
      <w:bookmarkEnd w:id="688"/>
      <w:bookmarkEnd w:id="689"/>
    </w:p>
    <w:p w14:paraId="0C24F0AE">
      <w:pPr>
        <w:pStyle w:val="40"/>
        <w:rPr>
          <w:rFonts w:hint="eastAsia" w:ascii="宋体" w:hAnsi="宋体" w:eastAsia="宋体" w:cs="宋体"/>
          <w:color w:val="auto"/>
          <w:highlight w:val="none"/>
        </w:rPr>
      </w:pPr>
      <w:r>
        <w:rPr>
          <w:rFonts w:hint="eastAsia" w:ascii="宋体" w:hAnsi="宋体" w:eastAsia="宋体" w:cs="宋体"/>
          <w:color w:val="auto"/>
          <w:szCs w:val="24"/>
          <w:highlight w:val="none"/>
        </w:rPr>
        <w:t>投标人认为需提供的其它相关资格证明材料</w:t>
      </w:r>
    </w:p>
    <w:p w14:paraId="7C2C3E83">
      <w:pPr>
        <w:pStyle w:val="40"/>
        <w:rPr>
          <w:rFonts w:hint="eastAsia" w:ascii="宋体" w:hAnsi="宋体" w:eastAsia="宋体" w:cs="宋体"/>
          <w:color w:val="auto"/>
          <w:highlight w:val="none"/>
        </w:rPr>
      </w:pPr>
    </w:p>
    <w:p w14:paraId="58A36194">
      <w:pPr>
        <w:pStyle w:val="40"/>
        <w:rPr>
          <w:rFonts w:hint="eastAsia" w:ascii="宋体" w:hAnsi="宋体" w:eastAsia="宋体" w:cs="宋体"/>
          <w:color w:val="auto"/>
          <w:highlight w:val="none"/>
        </w:rPr>
      </w:pPr>
    </w:p>
    <w:p w14:paraId="3553B395">
      <w:pPr>
        <w:pStyle w:val="40"/>
        <w:rPr>
          <w:rFonts w:hint="eastAsia" w:ascii="宋体" w:hAnsi="宋体" w:eastAsia="宋体" w:cs="宋体"/>
          <w:color w:val="auto"/>
          <w:highlight w:val="none"/>
        </w:rPr>
      </w:pPr>
    </w:p>
    <w:p w14:paraId="49D404FC">
      <w:pPr>
        <w:pStyle w:val="40"/>
        <w:rPr>
          <w:rFonts w:hint="eastAsia" w:ascii="宋体" w:hAnsi="宋体" w:eastAsia="宋体" w:cs="宋体"/>
          <w:color w:val="auto"/>
          <w:highlight w:val="none"/>
        </w:rPr>
      </w:pPr>
    </w:p>
    <w:p w14:paraId="4B98E4B6">
      <w:pPr>
        <w:pStyle w:val="40"/>
        <w:rPr>
          <w:rFonts w:hint="eastAsia" w:ascii="宋体" w:hAnsi="宋体" w:eastAsia="宋体" w:cs="宋体"/>
          <w:color w:val="auto"/>
          <w:highlight w:val="none"/>
        </w:rPr>
      </w:pPr>
    </w:p>
    <w:p w14:paraId="737FEDD3">
      <w:pPr>
        <w:pStyle w:val="40"/>
        <w:rPr>
          <w:rFonts w:hint="eastAsia" w:ascii="宋体" w:hAnsi="宋体" w:eastAsia="宋体" w:cs="宋体"/>
          <w:color w:val="auto"/>
          <w:highlight w:val="none"/>
        </w:rPr>
      </w:pPr>
    </w:p>
    <w:p w14:paraId="1C876135">
      <w:pPr>
        <w:pStyle w:val="40"/>
        <w:rPr>
          <w:rFonts w:hint="eastAsia" w:ascii="宋体" w:hAnsi="宋体" w:eastAsia="宋体" w:cs="宋体"/>
          <w:color w:val="auto"/>
          <w:highlight w:val="none"/>
        </w:rPr>
      </w:pPr>
    </w:p>
    <w:p w14:paraId="7E85C842">
      <w:pPr>
        <w:pStyle w:val="40"/>
        <w:rPr>
          <w:rFonts w:hint="eastAsia" w:ascii="宋体" w:hAnsi="宋体" w:eastAsia="宋体" w:cs="宋体"/>
          <w:color w:val="auto"/>
          <w:highlight w:val="none"/>
        </w:rPr>
      </w:pPr>
    </w:p>
    <w:p w14:paraId="4CBE3B0D">
      <w:pPr>
        <w:pStyle w:val="40"/>
        <w:rPr>
          <w:rFonts w:hint="eastAsia" w:ascii="宋体" w:hAnsi="宋体" w:eastAsia="宋体" w:cs="宋体"/>
          <w:color w:val="auto"/>
          <w:highlight w:val="none"/>
        </w:rPr>
      </w:pPr>
    </w:p>
    <w:p w14:paraId="2E6E451F">
      <w:pPr>
        <w:pStyle w:val="40"/>
        <w:rPr>
          <w:rFonts w:hint="eastAsia" w:ascii="宋体" w:hAnsi="宋体" w:eastAsia="宋体" w:cs="宋体"/>
          <w:color w:val="auto"/>
          <w:highlight w:val="none"/>
        </w:rPr>
      </w:pPr>
    </w:p>
    <w:p w14:paraId="38DC2C55">
      <w:pPr>
        <w:pStyle w:val="40"/>
        <w:rPr>
          <w:rFonts w:hint="eastAsia" w:ascii="宋体" w:hAnsi="宋体" w:eastAsia="宋体" w:cs="宋体"/>
          <w:color w:val="auto"/>
          <w:highlight w:val="none"/>
        </w:rPr>
      </w:pPr>
    </w:p>
    <w:p w14:paraId="04DAFD3C">
      <w:pPr>
        <w:pStyle w:val="40"/>
        <w:rPr>
          <w:rFonts w:hint="eastAsia" w:ascii="宋体" w:hAnsi="宋体" w:eastAsia="宋体" w:cs="宋体"/>
          <w:color w:val="auto"/>
          <w:highlight w:val="none"/>
        </w:rPr>
      </w:pPr>
    </w:p>
    <w:p w14:paraId="51E24CDC">
      <w:pPr>
        <w:pStyle w:val="40"/>
        <w:rPr>
          <w:rFonts w:hint="eastAsia" w:ascii="宋体" w:hAnsi="宋体" w:eastAsia="宋体" w:cs="宋体"/>
          <w:color w:val="auto"/>
          <w:highlight w:val="none"/>
        </w:rPr>
      </w:pPr>
    </w:p>
    <w:p w14:paraId="1AC1942E">
      <w:pPr>
        <w:pStyle w:val="40"/>
        <w:rPr>
          <w:rFonts w:hint="eastAsia" w:ascii="宋体" w:hAnsi="宋体" w:eastAsia="宋体" w:cs="宋体"/>
          <w:color w:val="auto"/>
          <w:highlight w:val="none"/>
        </w:rPr>
      </w:pPr>
    </w:p>
    <w:p w14:paraId="4722E259">
      <w:pPr>
        <w:pStyle w:val="40"/>
        <w:rPr>
          <w:rFonts w:hint="eastAsia" w:ascii="宋体" w:hAnsi="宋体" w:eastAsia="宋体" w:cs="宋体"/>
          <w:color w:val="auto"/>
          <w:highlight w:val="none"/>
        </w:rPr>
      </w:pPr>
    </w:p>
    <w:p w14:paraId="07033BD3">
      <w:pPr>
        <w:pStyle w:val="40"/>
        <w:rPr>
          <w:rFonts w:hint="eastAsia" w:ascii="宋体" w:hAnsi="宋体" w:eastAsia="宋体" w:cs="宋体"/>
          <w:color w:val="auto"/>
          <w:highlight w:val="none"/>
        </w:rPr>
      </w:pPr>
    </w:p>
    <w:p w14:paraId="6E1D094D">
      <w:pPr>
        <w:pStyle w:val="40"/>
        <w:rPr>
          <w:rFonts w:hint="eastAsia" w:ascii="宋体" w:hAnsi="宋体" w:eastAsia="宋体" w:cs="宋体"/>
          <w:color w:val="auto"/>
          <w:highlight w:val="none"/>
        </w:rPr>
      </w:pPr>
    </w:p>
    <w:p w14:paraId="23B0DB54">
      <w:pPr>
        <w:pStyle w:val="40"/>
        <w:rPr>
          <w:rFonts w:hint="eastAsia" w:ascii="宋体" w:hAnsi="宋体" w:eastAsia="宋体" w:cs="宋体"/>
          <w:color w:val="auto"/>
          <w:highlight w:val="none"/>
        </w:rPr>
      </w:pPr>
    </w:p>
    <w:p w14:paraId="07159DF6">
      <w:pPr>
        <w:pStyle w:val="40"/>
        <w:rPr>
          <w:rFonts w:hint="eastAsia" w:ascii="宋体" w:hAnsi="宋体" w:eastAsia="宋体" w:cs="宋体"/>
          <w:color w:val="auto"/>
          <w:highlight w:val="none"/>
        </w:rPr>
      </w:pPr>
    </w:p>
    <w:p w14:paraId="44B3A5AA">
      <w:pPr>
        <w:pStyle w:val="40"/>
        <w:rPr>
          <w:rFonts w:hint="eastAsia" w:ascii="宋体" w:hAnsi="宋体" w:eastAsia="宋体" w:cs="宋体"/>
          <w:color w:val="auto"/>
          <w:highlight w:val="none"/>
        </w:rPr>
      </w:pPr>
    </w:p>
    <w:p w14:paraId="05BB178A">
      <w:pPr>
        <w:pStyle w:val="40"/>
        <w:rPr>
          <w:rFonts w:hint="eastAsia" w:ascii="宋体" w:hAnsi="宋体" w:eastAsia="宋体" w:cs="宋体"/>
          <w:color w:val="auto"/>
          <w:highlight w:val="none"/>
        </w:rPr>
      </w:pPr>
    </w:p>
    <w:p w14:paraId="0E7980AB">
      <w:pPr>
        <w:pStyle w:val="40"/>
        <w:rPr>
          <w:rFonts w:hint="eastAsia" w:ascii="宋体" w:hAnsi="宋体" w:eastAsia="宋体" w:cs="宋体"/>
          <w:color w:val="auto"/>
          <w:highlight w:val="none"/>
        </w:rPr>
      </w:pPr>
    </w:p>
    <w:p w14:paraId="5A09B930">
      <w:pPr>
        <w:pStyle w:val="40"/>
        <w:rPr>
          <w:rFonts w:hint="eastAsia" w:ascii="宋体" w:hAnsi="宋体" w:eastAsia="宋体" w:cs="宋体"/>
          <w:color w:val="auto"/>
          <w:highlight w:val="none"/>
        </w:rPr>
      </w:pPr>
    </w:p>
    <w:p w14:paraId="3FB1F62E">
      <w:pPr>
        <w:pStyle w:val="40"/>
        <w:rPr>
          <w:rFonts w:hint="eastAsia" w:ascii="宋体" w:hAnsi="宋体" w:eastAsia="宋体" w:cs="宋体"/>
          <w:color w:val="auto"/>
          <w:highlight w:val="none"/>
        </w:rPr>
      </w:pPr>
    </w:p>
    <w:p w14:paraId="0642FA4E">
      <w:pPr>
        <w:pStyle w:val="40"/>
        <w:rPr>
          <w:rFonts w:hint="eastAsia" w:ascii="宋体" w:hAnsi="宋体" w:eastAsia="宋体" w:cs="宋体"/>
          <w:color w:val="auto"/>
          <w:highlight w:val="none"/>
        </w:rPr>
      </w:pPr>
    </w:p>
    <w:p w14:paraId="3E9AC4C9">
      <w:pPr>
        <w:pStyle w:val="40"/>
        <w:rPr>
          <w:rFonts w:hint="eastAsia" w:ascii="宋体" w:hAnsi="宋体" w:eastAsia="宋体" w:cs="宋体"/>
          <w:color w:val="auto"/>
          <w:highlight w:val="none"/>
        </w:rPr>
      </w:pPr>
    </w:p>
    <w:p w14:paraId="04384634">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0582944">
      <w:pPr>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封面：</w:t>
      </w:r>
    </w:p>
    <w:p w14:paraId="4D1553A3">
      <w:pPr>
        <w:autoSpaceDE w:val="0"/>
        <w:autoSpaceDN w:val="0"/>
        <w:adjustRightInd w:val="0"/>
        <w:rPr>
          <w:rFonts w:hint="eastAsia" w:ascii="宋体" w:hAnsi="宋体" w:eastAsia="宋体" w:cs="宋体"/>
          <w:color w:val="auto"/>
          <w:sz w:val="21"/>
          <w:szCs w:val="24"/>
          <w:highlight w:val="none"/>
        </w:rPr>
      </w:pPr>
    </w:p>
    <w:p w14:paraId="4625D57D">
      <w:pPr>
        <w:autoSpaceDE w:val="0"/>
        <w:autoSpaceDN w:val="0"/>
        <w:adjustRightInd w:val="0"/>
        <w:rPr>
          <w:rFonts w:hint="eastAsia" w:ascii="宋体" w:hAnsi="宋体" w:eastAsia="宋体" w:cs="宋体"/>
          <w:color w:val="auto"/>
          <w:sz w:val="21"/>
          <w:szCs w:val="24"/>
          <w:highlight w:val="none"/>
        </w:rPr>
      </w:pPr>
    </w:p>
    <w:p w14:paraId="426BCEA1">
      <w:pPr>
        <w:autoSpaceDE w:val="0"/>
        <w:autoSpaceDN w:val="0"/>
        <w:adjustRightInd w:val="0"/>
        <w:jc w:val="center"/>
        <w:rPr>
          <w:rFonts w:hint="eastAsia" w:ascii="宋体" w:hAnsi="宋体" w:eastAsia="宋体" w:cs="宋体"/>
          <w:color w:val="auto"/>
          <w:sz w:val="21"/>
          <w:szCs w:val="24"/>
          <w:highlight w:val="none"/>
        </w:rPr>
      </w:pPr>
    </w:p>
    <w:p w14:paraId="3902644C">
      <w:pPr>
        <w:pStyle w:val="3"/>
        <w:bidi w:val="0"/>
        <w:jc w:val="center"/>
        <w:rPr>
          <w:rFonts w:hint="eastAsia" w:ascii="宋体" w:hAnsi="宋体" w:eastAsia="宋体" w:cs="宋体"/>
          <w:sz w:val="84"/>
          <w:szCs w:val="84"/>
          <w:highlight w:val="none"/>
        </w:rPr>
      </w:pPr>
      <w:bookmarkStart w:id="690" w:name="_Toc1014"/>
      <w:bookmarkStart w:id="691" w:name="_Toc25734"/>
      <w:r>
        <w:rPr>
          <w:rFonts w:hint="eastAsia" w:ascii="宋体" w:hAnsi="宋体" w:eastAsia="宋体" w:cs="宋体"/>
          <w:sz w:val="84"/>
          <w:szCs w:val="84"/>
          <w:highlight w:val="none"/>
        </w:rPr>
        <w:t>投 标 文 件</w:t>
      </w:r>
      <w:bookmarkEnd w:id="690"/>
      <w:bookmarkEnd w:id="691"/>
    </w:p>
    <w:p w14:paraId="5B89FC04">
      <w:pPr>
        <w:pStyle w:val="3"/>
        <w:bidi w:val="0"/>
        <w:jc w:val="center"/>
        <w:rPr>
          <w:rFonts w:hint="eastAsia" w:ascii="宋体" w:hAnsi="宋体" w:eastAsia="宋体" w:cs="宋体"/>
          <w:sz w:val="56"/>
          <w:szCs w:val="56"/>
          <w:highlight w:val="none"/>
          <w:lang w:val="en-US" w:eastAsia="zh-CN"/>
        </w:rPr>
      </w:pPr>
      <w:bookmarkStart w:id="692" w:name="_Toc16181"/>
      <w:bookmarkStart w:id="693" w:name="_Toc6959"/>
      <w:r>
        <w:rPr>
          <w:rFonts w:hint="eastAsia" w:ascii="宋体" w:hAnsi="宋体" w:eastAsia="宋体" w:cs="宋体"/>
          <w:sz w:val="56"/>
          <w:szCs w:val="56"/>
          <w:highlight w:val="none"/>
          <w:lang w:val="en-US" w:eastAsia="zh-CN"/>
        </w:rPr>
        <w:t>报价文件</w:t>
      </w:r>
      <w:bookmarkEnd w:id="692"/>
      <w:bookmarkEnd w:id="693"/>
    </w:p>
    <w:p w14:paraId="054E0C81">
      <w:pPr>
        <w:pStyle w:val="3"/>
        <w:rPr>
          <w:rFonts w:hint="eastAsia" w:ascii="宋体" w:hAnsi="宋体" w:eastAsia="宋体" w:cs="宋体"/>
          <w:color w:val="auto"/>
          <w:sz w:val="21"/>
          <w:szCs w:val="21"/>
          <w:highlight w:val="none"/>
        </w:rPr>
      </w:pPr>
    </w:p>
    <w:p w14:paraId="425E1EDC">
      <w:pPr>
        <w:rPr>
          <w:rFonts w:hint="eastAsia" w:ascii="宋体" w:hAnsi="宋体" w:eastAsia="宋体" w:cs="宋体"/>
          <w:color w:val="auto"/>
          <w:sz w:val="21"/>
          <w:szCs w:val="21"/>
          <w:highlight w:val="none"/>
        </w:rPr>
      </w:pPr>
    </w:p>
    <w:p w14:paraId="5FFD5616">
      <w:pPr>
        <w:rPr>
          <w:rFonts w:hint="eastAsia" w:ascii="宋体" w:hAnsi="宋体" w:eastAsia="宋体" w:cs="宋体"/>
          <w:color w:val="auto"/>
          <w:highlight w:val="none"/>
        </w:rPr>
      </w:pPr>
    </w:p>
    <w:p w14:paraId="0338FA55">
      <w:pPr>
        <w:autoSpaceDE w:val="0"/>
        <w:autoSpaceDN w:val="0"/>
        <w:adjustRightInd w:val="0"/>
        <w:rPr>
          <w:rFonts w:hint="eastAsia" w:ascii="宋体" w:hAnsi="宋体" w:eastAsia="宋体" w:cs="宋体"/>
          <w:color w:val="auto"/>
          <w:sz w:val="21"/>
          <w:szCs w:val="21"/>
          <w:highlight w:val="none"/>
        </w:rPr>
      </w:pPr>
    </w:p>
    <w:p w14:paraId="336C0AE3">
      <w:pPr>
        <w:autoSpaceDE w:val="0"/>
        <w:autoSpaceDN w:val="0"/>
        <w:adjustRightInd w:val="0"/>
        <w:rPr>
          <w:rFonts w:hint="eastAsia" w:ascii="宋体" w:hAnsi="宋体" w:eastAsia="宋体" w:cs="宋体"/>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rFonts w:hint="eastAsia" w:ascii="宋体" w:hAnsi="宋体" w:eastAsia="宋体" w:cs="宋体"/>
          <w:b/>
          <w:bCs/>
          <w:color w:val="auto"/>
          <w:sz w:val="28"/>
          <w:szCs w:val="28"/>
          <w:highlight w:val="none"/>
        </w:rPr>
      </w:pPr>
    </w:p>
    <w:p w14:paraId="5776D25B">
      <w:pPr>
        <w:ind w:left="840" w:firstLine="420"/>
        <w:rPr>
          <w:rFonts w:hint="eastAsia" w:ascii="宋体" w:hAnsi="宋体" w:eastAsia="宋体" w:cs="宋体"/>
          <w:b/>
          <w:bCs/>
          <w:color w:val="auto"/>
          <w:sz w:val="28"/>
          <w:szCs w:val="28"/>
          <w:highlight w:val="none"/>
        </w:rPr>
      </w:pPr>
    </w:p>
    <w:p w14:paraId="153E0B1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B025C97">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5A6B7717">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color w:val="auto"/>
          <w:kern w:val="2"/>
          <w:sz w:val="32"/>
          <w:szCs w:val="32"/>
          <w:highlight w:val="none"/>
          <w:lang w:val="en-US" w:eastAsia="zh-CN" w:bidi="ar-SA"/>
        </w:rPr>
      </w:pPr>
    </w:p>
    <w:p w14:paraId="730DA0BC">
      <w:pPr>
        <w:pStyle w:val="3"/>
        <w:bidi w:val="0"/>
        <w:jc w:val="center"/>
        <w:rPr>
          <w:rFonts w:hint="eastAsia" w:ascii="宋体" w:hAnsi="宋体" w:eastAsia="宋体" w:cs="宋体"/>
          <w:highlight w:val="none"/>
          <w:lang w:val="en-US" w:eastAsia="zh-CN"/>
        </w:rPr>
      </w:pPr>
      <w:bookmarkStart w:id="694" w:name="_Toc12167"/>
      <w:bookmarkStart w:id="695" w:name="_Toc13682"/>
      <w:r>
        <w:rPr>
          <w:rFonts w:hint="eastAsia" w:ascii="宋体" w:hAnsi="宋体" w:eastAsia="宋体" w:cs="宋体"/>
          <w:highlight w:val="none"/>
          <w:lang w:val="en-US" w:eastAsia="zh-CN"/>
        </w:rPr>
        <w:t>一、开标一览表</w:t>
      </w:r>
      <w:bookmarkEnd w:id="694"/>
      <w:bookmarkEnd w:id="695"/>
    </w:p>
    <w:p w14:paraId="2AB3D72A">
      <w:pPr>
        <w:spacing w:line="300" w:lineRule="auto"/>
        <w:rPr>
          <w:rFonts w:hint="eastAsia" w:ascii="宋体" w:hAnsi="宋体" w:eastAsia="宋体" w:cs="宋体"/>
          <w:color w:val="auto"/>
          <w:szCs w:val="24"/>
          <w:highlight w:val="none"/>
        </w:rPr>
      </w:pPr>
    </w:p>
    <w:p w14:paraId="599D3A7B">
      <w:pPr>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项目名称：</w:t>
      </w:r>
      <w:r>
        <w:rPr>
          <w:rFonts w:hint="eastAsia" w:ascii="宋体" w:hAnsi="宋体" w:eastAsia="宋体" w:cs="宋体"/>
          <w:b w:val="0"/>
          <w:bCs/>
          <w:color w:val="auto"/>
          <w:szCs w:val="21"/>
          <w:highlight w:val="none"/>
          <w:u w:val="single"/>
          <w:lang w:val="zh-CN"/>
        </w:rPr>
        <w:t xml:space="preserve">                     </w:t>
      </w:r>
    </w:p>
    <w:p w14:paraId="0CABFDF4">
      <w:pPr>
        <w:rPr>
          <w:rFonts w:hint="eastAsia" w:ascii="宋体" w:hAnsi="宋体" w:eastAsia="宋体" w:cs="宋体"/>
          <w:b w:val="0"/>
          <w:bCs/>
          <w:color w:val="auto"/>
          <w:szCs w:val="21"/>
          <w:highlight w:val="none"/>
          <w:u w:val="single"/>
          <w:lang w:val="zh-CN"/>
        </w:rPr>
      </w:pPr>
      <w:r>
        <w:rPr>
          <w:rFonts w:hint="eastAsia" w:ascii="宋体" w:hAnsi="宋体" w:eastAsia="宋体" w:cs="宋体"/>
          <w:b w:val="0"/>
          <w:bCs/>
          <w:color w:val="auto"/>
          <w:szCs w:val="21"/>
          <w:highlight w:val="none"/>
          <w:lang w:val="zh-CN"/>
        </w:rPr>
        <w:t>项目编号</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val="zh-CN"/>
        </w:rPr>
        <w:t>包号：</w:t>
      </w:r>
      <w:r>
        <w:rPr>
          <w:rFonts w:hint="eastAsia" w:ascii="宋体" w:hAnsi="宋体" w:eastAsia="宋体" w:cs="宋体"/>
          <w:b w:val="0"/>
          <w:bCs/>
          <w:color w:val="auto"/>
          <w:szCs w:val="21"/>
          <w:highlight w:val="none"/>
          <w:u w:val="single"/>
          <w:lang w:val="zh-CN"/>
        </w:rPr>
        <w:t xml:space="preserve">                </w:t>
      </w:r>
    </w:p>
    <w:tbl>
      <w:tblPr>
        <w:tblStyle w:val="32"/>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355"/>
        <w:gridCol w:w="2164"/>
        <w:gridCol w:w="2615"/>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04" w:type="dxa"/>
            <w:vAlign w:val="center"/>
          </w:tcPr>
          <w:p w14:paraId="68B46E6E">
            <w:pPr>
              <w:widowControl/>
              <w:autoSpaceDE w:val="0"/>
              <w:autoSpaceDN w:val="0"/>
              <w:spacing w:line="24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55" w:type="dxa"/>
            <w:vAlign w:val="center"/>
          </w:tcPr>
          <w:p w14:paraId="5D10FF2E">
            <w:pPr>
              <w:widowControl/>
              <w:autoSpaceDE w:val="0"/>
              <w:autoSpaceDN w:val="0"/>
              <w:ind w:left="851" w:leftChars="0" w:hanging="851" w:firstLineChars="0"/>
              <w:jc w:val="center"/>
              <w:textAlignment w:val="bottom"/>
              <w:rPr>
                <w:rFonts w:hint="eastAsia" w:ascii="宋体" w:hAnsi="宋体" w:eastAsia="宋体" w:cs="宋体"/>
                <w:color w:val="auto"/>
                <w:sz w:val="24"/>
                <w:szCs w:val="24"/>
                <w:highlight w:val="none"/>
                <w:lang w:val="en-US" w:eastAsia="zh-CN"/>
              </w:rPr>
            </w:pPr>
            <w:r>
              <w:rPr>
                <w:rFonts w:hint="eastAsia"/>
                <w:i w:val="0"/>
                <w:iCs w:val="0"/>
                <w:color w:val="auto"/>
                <w:szCs w:val="21"/>
                <w:highlight w:val="none"/>
                <w:lang w:val="en-US" w:eastAsia="zh-CN"/>
              </w:rPr>
              <w:t>投标</w:t>
            </w:r>
            <w:r>
              <w:rPr>
                <w:rFonts w:hint="eastAsia"/>
                <w:i w:val="0"/>
                <w:iCs w:val="0"/>
                <w:color w:val="auto"/>
                <w:szCs w:val="21"/>
                <w:highlight w:val="none"/>
              </w:rPr>
              <w:t>报价</w:t>
            </w:r>
          </w:p>
        </w:tc>
        <w:tc>
          <w:tcPr>
            <w:tcW w:w="2164" w:type="dxa"/>
            <w:vAlign w:val="center"/>
          </w:tcPr>
          <w:p w14:paraId="48CC1886">
            <w:pPr>
              <w:widowControl/>
              <w:autoSpaceDE w:val="0"/>
              <w:autoSpaceDN w:val="0"/>
              <w:spacing w:line="240" w:lineRule="auto"/>
              <w:ind w:left="851" w:hanging="851"/>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期限</w:t>
            </w:r>
          </w:p>
        </w:tc>
        <w:tc>
          <w:tcPr>
            <w:tcW w:w="2615" w:type="dxa"/>
            <w:vAlign w:val="center"/>
          </w:tcPr>
          <w:p w14:paraId="620875ED">
            <w:pPr>
              <w:widowControl/>
              <w:autoSpaceDE w:val="0"/>
              <w:autoSpaceDN w:val="0"/>
              <w:spacing w:line="24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404" w:type="dxa"/>
            <w:vAlign w:val="center"/>
          </w:tcPr>
          <w:p w14:paraId="73431128">
            <w:pPr>
              <w:widowControl/>
              <w:autoSpaceDE w:val="0"/>
              <w:autoSpaceDN w:val="0"/>
              <w:spacing w:line="240" w:lineRule="auto"/>
              <w:ind w:left="851" w:hanging="851"/>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55" w:type="dxa"/>
            <w:vAlign w:val="center"/>
          </w:tcPr>
          <w:p w14:paraId="62256A56">
            <w:pPr>
              <w:widowControl/>
              <w:autoSpaceDE w:val="0"/>
              <w:autoSpaceDN w:val="0"/>
              <w:spacing w:line="240" w:lineRule="auto"/>
              <w:ind w:left="851" w:hanging="851"/>
              <w:jc w:val="left"/>
              <w:textAlignment w:val="bottom"/>
              <w:rPr>
                <w:rFonts w:hint="eastAsia"/>
                <w:i w:val="0"/>
                <w:iCs w:val="0"/>
                <w:color w:val="auto"/>
                <w:szCs w:val="21"/>
                <w:highlight w:val="none"/>
                <w:lang w:val="en-US" w:eastAsia="zh-CN"/>
              </w:rPr>
            </w:pPr>
            <w:r>
              <w:rPr>
                <w:rFonts w:hint="eastAsia"/>
                <w:i w:val="0"/>
                <w:iCs w:val="0"/>
                <w:color w:val="auto"/>
                <w:szCs w:val="21"/>
                <w:highlight w:val="none"/>
                <w:lang w:val="en-US" w:eastAsia="zh-CN"/>
              </w:rPr>
              <w:t>小写：</w:t>
            </w:r>
          </w:p>
          <w:p w14:paraId="64CBC232">
            <w:pPr>
              <w:jc w:val="left"/>
              <w:rPr>
                <w:rFonts w:hint="eastAsia" w:ascii="宋体" w:hAnsi="宋体" w:eastAsia="宋体" w:cs="宋体"/>
                <w:color w:val="auto"/>
                <w:sz w:val="24"/>
                <w:szCs w:val="24"/>
                <w:highlight w:val="none"/>
                <w:lang w:val="en-US" w:eastAsia="zh-CN"/>
              </w:rPr>
            </w:pPr>
            <w:r>
              <w:rPr>
                <w:rFonts w:hint="eastAsia"/>
                <w:i w:val="0"/>
                <w:iCs w:val="0"/>
                <w:color w:val="auto"/>
                <w:szCs w:val="21"/>
                <w:highlight w:val="none"/>
                <w:lang w:val="en-US" w:eastAsia="zh-CN"/>
              </w:rPr>
              <w:t>大写：</w:t>
            </w:r>
          </w:p>
        </w:tc>
        <w:tc>
          <w:tcPr>
            <w:tcW w:w="2164" w:type="dxa"/>
            <w:vAlign w:val="center"/>
          </w:tcPr>
          <w:p w14:paraId="3409D243">
            <w:pPr>
              <w:widowControl/>
              <w:autoSpaceDE w:val="0"/>
              <w:autoSpaceDN w:val="0"/>
              <w:spacing w:line="240" w:lineRule="auto"/>
              <w:ind w:left="851" w:hanging="851"/>
              <w:jc w:val="center"/>
              <w:textAlignment w:val="bottom"/>
              <w:rPr>
                <w:rFonts w:hint="eastAsia" w:ascii="宋体" w:hAnsi="宋体" w:eastAsia="宋体" w:cs="宋体"/>
                <w:color w:val="auto"/>
                <w:sz w:val="24"/>
                <w:szCs w:val="24"/>
                <w:highlight w:val="none"/>
              </w:rPr>
            </w:pPr>
          </w:p>
        </w:tc>
        <w:tc>
          <w:tcPr>
            <w:tcW w:w="2615" w:type="dxa"/>
            <w:vAlign w:val="center"/>
          </w:tcPr>
          <w:p w14:paraId="35602B49">
            <w:pPr>
              <w:widowControl/>
              <w:autoSpaceDE w:val="0"/>
              <w:autoSpaceDN w:val="0"/>
              <w:spacing w:line="240" w:lineRule="auto"/>
              <w:ind w:left="851" w:hanging="851"/>
              <w:jc w:val="center"/>
              <w:textAlignment w:val="bottom"/>
              <w:rPr>
                <w:rFonts w:hint="eastAsia" w:ascii="宋体" w:hAnsi="宋体" w:eastAsia="宋体" w:cs="宋体"/>
                <w:color w:val="auto"/>
                <w:sz w:val="24"/>
                <w:szCs w:val="24"/>
                <w:highlight w:val="none"/>
              </w:rPr>
            </w:pPr>
          </w:p>
        </w:tc>
      </w:tr>
    </w:tbl>
    <w:p w14:paraId="7413B506">
      <w:pPr>
        <w:spacing w:line="300" w:lineRule="auto"/>
        <w:rPr>
          <w:rFonts w:hint="eastAsia" w:ascii="宋体" w:hAnsi="宋体" w:eastAsia="宋体" w:cs="宋体"/>
          <w:color w:val="auto"/>
          <w:szCs w:val="21"/>
          <w:highlight w:val="none"/>
          <w:u w:val="single"/>
        </w:rPr>
      </w:pPr>
    </w:p>
    <w:p w14:paraId="0270EFB4">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zCs w:val="21"/>
          <w:highlight w:val="none"/>
        </w:rPr>
        <w:t>：</w:t>
      </w:r>
    </w:p>
    <w:p w14:paraId="6302F8A6">
      <w:pPr>
        <w:spacing w:line="30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p>
    <w:p w14:paraId="722CC087">
      <w:pPr>
        <w:rPr>
          <w:rFonts w:hint="eastAsia" w:ascii="宋体" w:hAnsi="宋体" w:eastAsia="宋体" w:cs="宋体"/>
          <w:color w:val="auto"/>
          <w:szCs w:val="24"/>
          <w:highlight w:val="none"/>
        </w:rPr>
      </w:pPr>
    </w:p>
    <w:p w14:paraId="21BB3A26">
      <w:pPr>
        <w:pStyle w:val="15"/>
        <w:rPr>
          <w:rFonts w:hint="eastAsia" w:ascii="宋体" w:hAnsi="宋体" w:eastAsia="宋体" w:cs="宋体"/>
          <w:color w:val="auto"/>
          <w:szCs w:val="24"/>
          <w:highlight w:val="none"/>
        </w:rPr>
      </w:pPr>
    </w:p>
    <w:p w14:paraId="4C551945">
      <w:pPr>
        <w:pStyle w:val="15"/>
        <w:rPr>
          <w:rFonts w:hint="eastAsia" w:ascii="宋体" w:hAnsi="宋体" w:eastAsia="宋体" w:cs="宋体"/>
          <w:color w:val="auto"/>
          <w:szCs w:val="24"/>
          <w:highlight w:val="none"/>
        </w:rPr>
      </w:pPr>
    </w:p>
    <w:p w14:paraId="09ACCEBB">
      <w:pPr>
        <w:pStyle w:val="15"/>
        <w:rPr>
          <w:rFonts w:hint="eastAsia" w:ascii="宋体" w:hAnsi="宋体" w:eastAsia="宋体" w:cs="宋体"/>
          <w:color w:val="auto"/>
          <w:szCs w:val="24"/>
          <w:highlight w:val="none"/>
        </w:rPr>
      </w:pPr>
    </w:p>
    <w:p w14:paraId="54CAC625">
      <w:pPr>
        <w:pStyle w:val="15"/>
        <w:rPr>
          <w:rFonts w:hint="eastAsia" w:ascii="宋体" w:hAnsi="宋体" w:eastAsia="宋体" w:cs="宋体"/>
          <w:color w:val="auto"/>
          <w:szCs w:val="24"/>
          <w:highlight w:val="none"/>
        </w:rPr>
      </w:pP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68588FF0">
      <w:pPr>
        <w:pStyle w:val="15"/>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4D6E4C40">
      <w:pPr>
        <w:pStyle w:val="15"/>
        <w:ind w:firstLine="480" w:firstLineChars="200"/>
        <w:rPr>
          <w:rFonts w:hint="eastAsia" w:ascii="宋体" w:hAnsi="宋体" w:eastAsia="宋体" w:cs="宋体"/>
          <w:color w:val="auto"/>
          <w:sz w:val="24"/>
          <w:szCs w:val="24"/>
          <w:highlight w:val="none"/>
        </w:rPr>
      </w:pPr>
    </w:p>
    <w:p w14:paraId="5E0B168A">
      <w:pPr>
        <w:pStyle w:val="15"/>
        <w:ind w:firstLine="480" w:firstLineChars="200"/>
        <w:rPr>
          <w:rFonts w:hint="eastAsia" w:ascii="宋体" w:hAnsi="宋体" w:eastAsia="宋体" w:cs="宋体"/>
          <w:color w:val="auto"/>
          <w:sz w:val="24"/>
          <w:szCs w:val="24"/>
          <w:highlight w:val="none"/>
        </w:rPr>
      </w:pPr>
    </w:p>
    <w:p w14:paraId="050DEE08">
      <w:pPr>
        <w:pStyle w:val="15"/>
        <w:ind w:firstLine="480" w:firstLineChars="200"/>
        <w:rPr>
          <w:rFonts w:hint="eastAsia" w:ascii="宋体" w:hAnsi="宋体" w:eastAsia="宋体" w:cs="宋体"/>
          <w:color w:val="auto"/>
          <w:sz w:val="24"/>
          <w:szCs w:val="24"/>
          <w:highlight w:val="none"/>
        </w:rPr>
      </w:pPr>
    </w:p>
    <w:p w14:paraId="34C17548">
      <w:pPr>
        <w:rPr>
          <w:rFonts w:hint="eastAsia"/>
          <w:highlight w:val="none"/>
        </w:rPr>
      </w:pPr>
    </w:p>
    <w:p w14:paraId="748B9D64">
      <w:pPr>
        <w:rPr>
          <w:rFonts w:hint="eastAsia" w:ascii="宋体" w:hAnsi="宋体" w:eastAsia="宋体" w:cs="宋体"/>
          <w:highlight w:val="none"/>
          <w:lang w:val="en-US" w:eastAsia="zh-CN"/>
        </w:rPr>
      </w:pPr>
      <w:bookmarkStart w:id="696" w:name="_Toc17062"/>
    </w:p>
    <w:bookmarkEnd w:id="696"/>
    <w:p w14:paraId="7B2B178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697" w:name="_Toc27300"/>
      <w:r>
        <w:rPr>
          <w:rFonts w:hint="eastAsia" w:cstheme="majorBidi"/>
          <w:b/>
          <w:bCs/>
          <w:i w:val="0"/>
          <w:iCs w:val="0"/>
          <w:color w:val="auto"/>
          <w:kern w:val="2"/>
          <w:sz w:val="32"/>
          <w:szCs w:val="32"/>
          <w:highlight w:val="none"/>
          <w:lang w:val="en-US" w:eastAsia="zh-CN" w:bidi="ar-SA"/>
        </w:rPr>
        <w:t>二、分项报价表</w:t>
      </w:r>
      <w:bookmarkEnd w:id="697"/>
    </w:p>
    <w:p w14:paraId="36B29882">
      <w:pPr>
        <w:rPr>
          <w:b w:val="0"/>
          <w:bCs/>
          <w:i w:val="0"/>
          <w:iCs w:val="0"/>
          <w:color w:val="auto"/>
          <w:szCs w:val="21"/>
          <w:highlight w:val="none"/>
          <w:lang w:val="zh-CN"/>
        </w:rPr>
      </w:pPr>
      <w:r>
        <w:rPr>
          <w:rFonts w:hint="eastAsia"/>
          <w:b w:val="0"/>
          <w:bCs/>
          <w:i w:val="0"/>
          <w:iCs w:val="0"/>
          <w:color w:val="auto"/>
          <w:szCs w:val="21"/>
          <w:highlight w:val="none"/>
          <w:lang w:val="zh-CN"/>
        </w:rPr>
        <w:t>项目名称：</w:t>
      </w:r>
      <w:r>
        <w:rPr>
          <w:rFonts w:hint="eastAsia"/>
          <w:b w:val="0"/>
          <w:bCs/>
          <w:i w:val="0"/>
          <w:iCs w:val="0"/>
          <w:color w:val="auto"/>
          <w:szCs w:val="21"/>
          <w:highlight w:val="none"/>
          <w:u w:val="single"/>
          <w:lang w:val="zh-CN"/>
        </w:rPr>
        <w:t xml:space="preserve">                  </w:t>
      </w:r>
      <w:r>
        <w:rPr>
          <w:rFonts w:hint="eastAsia"/>
          <w:b w:val="0"/>
          <w:bCs/>
          <w:i w:val="0"/>
          <w:iCs w:val="0"/>
          <w:color w:val="auto"/>
          <w:szCs w:val="21"/>
          <w:highlight w:val="none"/>
          <w:u w:val="single"/>
          <w:lang w:val="en-US" w:eastAsia="zh-CN"/>
        </w:rPr>
        <w:t xml:space="preserve">     </w:t>
      </w:r>
      <w:r>
        <w:rPr>
          <w:rFonts w:hint="eastAsia"/>
          <w:b w:val="0"/>
          <w:bCs/>
          <w:i w:val="0"/>
          <w:iCs w:val="0"/>
          <w:color w:val="auto"/>
          <w:szCs w:val="21"/>
          <w:highlight w:val="none"/>
          <w:u w:val="single"/>
          <w:lang w:val="zh-CN"/>
        </w:rPr>
        <w:t xml:space="preserve">   </w:t>
      </w:r>
    </w:p>
    <w:p w14:paraId="369D32C9">
      <w:pPr>
        <w:rPr>
          <w:rFonts w:hint="eastAsia"/>
          <w:b w:val="0"/>
          <w:bCs/>
          <w:i w:val="0"/>
          <w:iCs w:val="0"/>
          <w:color w:val="auto"/>
          <w:szCs w:val="21"/>
          <w:highlight w:val="none"/>
          <w:u w:val="single"/>
          <w:lang w:val="zh-CN"/>
        </w:rPr>
      </w:pPr>
      <w:r>
        <w:rPr>
          <w:rFonts w:hint="eastAsia"/>
          <w:b w:val="0"/>
          <w:bCs/>
          <w:i w:val="0"/>
          <w:iCs w:val="0"/>
          <w:color w:val="auto"/>
          <w:szCs w:val="21"/>
          <w:highlight w:val="none"/>
          <w:lang w:val="zh-CN"/>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r>
        <w:rPr>
          <w:rFonts w:hint="eastAsia"/>
          <w:b w:val="0"/>
          <w:bCs/>
          <w:i w:val="0"/>
          <w:iCs w:val="0"/>
          <w:color w:val="auto"/>
          <w:szCs w:val="21"/>
          <w:highlight w:val="none"/>
          <w:u w:val="single"/>
          <w:lang w:val="zh-CN"/>
        </w:rPr>
        <w:t xml:space="preserve">                     </w:t>
      </w:r>
    </w:p>
    <w:tbl>
      <w:tblPr>
        <w:tblStyle w:val="3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59B3E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序号</w:t>
            </w:r>
          </w:p>
        </w:tc>
        <w:tc>
          <w:tcPr>
            <w:tcW w:w="3720" w:type="dxa"/>
            <w:vAlign w:val="center"/>
          </w:tcPr>
          <w:p w14:paraId="088C5C1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名称</w:t>
            </w:r>
          </w:p>
        </w:tc>
        <w:tc>
          <w:tcPr>
            <w:tcW w:w="1065" w:type="dxa"/>
            <w:vAlign w:val="center"/>
          </w:tcPr>
          <w:p w14:paraId="73E9587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数量</w:t>
            </w:r>
          </w:p>
        </w:tc>
        <w:tc>
          <w:tcPr>
            <w:tcW w:w="1065" w:type="dxa"/>
            <w:vAlign w:val="center"/>
          </w:tcPr>
          <w:p w14:paraId="46AE39CD">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单价（元）</w:t>
            </w:r>
          </w:p>
        </w:tc>
        <w:tc>
          <w:tcPr>
            <w:tcW w:w="1066" w:type="dxa"/>
            <w:vAlign w:val="center"/>
          </w:tcPr>
          <w:p w14:paraId="39D5688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总价</w:t>
            </w:r>
          </w:p>
        </w:tc>
        <w:tc>
          <w:tcPr>
            <w:tcW w:w="947" w:type="dxa"/>
            <w:vAlign w:val="center"/>
          </w:tcPr>
          <w:p w14:paraId="7A26779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备注</w:t>
            </w:r>
          </w:p>
        </w:tc>
      </w:tr>
      <w:tr w14:paraId="467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5FF6D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1</w:t>
            </w:r>
          </w:p>
        </w:tc>
        <w:tc>
          <w:tcPr>
            <w:tcW w:w="3720" w:type="dxa"/>
            <w:vAlign w:val="center"/>
          </w:tcPr>
          <w:p w14:paraId="07A38CC0">
            <w:pPr>
              <w:adjustRightInd w:val="0"/>
              <w:snapToGrid w:val="0"/>
              <w:spacing w:line="240" w:lineRule="auto"/>
              <w:jc w:val="center"/>
              <w:rPr>
                <w:i w:val="0"/>
                <w:iCs w:val="0"/>
                <w:color w:val="auto"/>
                <w:szCs w:val="21"/>
                <w:highlight w:val="none"/>
              </w:rPr>
            </w:pPr>
          </w:p>
        </w:tc>
        <w:tc>
          <w:tcPr>
            <w:tcW w:w="1065" w:type="dxa"/>
            <w:vAlign w:val="center"/>
          </w:tcPr>
          <w:p w14:paraId="0D2CE283">
            <w:pPr>
              <w:adjustRightInd w:val="0"/>
              <w:snapToGrid w:val="0"/>
              <w:spacing w:line="240" w:lineRule="auto"/>
              <w:jc w:val="center"/>
              <w:rPr>
                <w:i w:val="0"/>
                <w:iCs w:val="0"/>
                <w:color w:val="auto"/>
                <w:szCs w:val="21"/>
                <w:highlight w:val="none"/>
              </w:rPr>
            </w:pPr>
          </w:p>
        </w:tc>
        <w:tc>
          <w:tcPr>
            <w:tcW w:w="1065" w:type="dxa"/>
            <w:vAlign w:val="center"/>
          </w:tcPr>
          <w:p w14:paraId="347A98B0">
            <w:pPr>
              <w:adjustRightInd w:val="0"/>
              <w:snapToGrid w:val="0"/>
              <w:spacing w:line="240" w:lineRule="auto"/>
              <w:jc w:val="center"/>
              <w:rPr>
                <w:i w:val="0"/>
                <w:iCs w:val="0"/>
                <w:color w:val="auto"/>
                <w:szCs w:val="21"/>
                <w:highlight w:val="none"/>
              </w:rPr>
            </w:pPr>
          </w:p>
        </w:tc>
        <w:tc>
          <w:tcPr>
            <w:tcW w:w="1066" w:type="dxa"/>
            <w:vAlign w:val="center"/>
          </w:tcPr>
          <w:p w14:paraId="439055D0">
            <w:pPr>
              <w:adjustRightInd w:val="0"/>
              <w:snapToGrid w:val="0"/>
              <w:spacing w:line="240" w:lineRule="auto"/>
              <w:jc w:val="center"/>
              <w:rPr>
                <w:i w:val="0"/>
                <w:iCs w:val="0"/>
                <w:color w:val="auto"/>
                <w:szCs w:val="21"/>
                <w:highlight w:val="none"/>
              </w:rPr>
            </w:pPr>
          </w:p>
        </w:tc>
        <w:tc>
          <w:tcPr>
            <w:tcW w:w="947" w:type="dxa"/>
            <w:vAlign w:val="center"/>
          </w:tcPr>
          <w:p w14:paraId="53350EE9">
            <w:pPr>
              <w:adjustRightInd w:val="0"/>
              <w:snapToGrid w:val="0"/>
              <w:spacing w:line="240" w:lineRule="auto"/>
              <w:jc w:val="center"/>
              <w:rPr>
                <w:i w:val="0"/>
                <w:iCs w:val="0"/>
                <w:color w:val="auto"/>
                <w:szCs w:val="21"/>
                <w:highlight w:val="none"/>
              </w:rPr>
            </w:pPr>
          </w:p>
        </w:tc>
      </w:tr>
      <w:tr w14:paraId="510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E786EF">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2</w:t>
            </w:r>
          </w:p>
        </w:tc>
        <w:tc>
          <w:tcPr>
            <w:tcW w:w="3720" w:type="dxa"/>
            <w:vAlign w:val="center"/>
          </w:tcPr>
          <w:p w14:paraId="19F17531">
            <w:pPr>
              <w:adjustRightInd w:val="0"/>
              <w:snapToGrid w:val="0"/>
              <w:spacing w:line="240" w:lineRule="auto"/>
              <w:jc w:val="center"/>
              <w:rPr>
                <w:i w:val="0"/>
                <w:iCs w:val="0"/>
                <w:color w:val="auto"/>
                <w:szCs w:val="21"/>
                <w:highlight w:val="none"/>
              </w:rPr>
            </w:pPr>
          </w:p>
        </w:tc>
        <w:tc>
          <w:tcPr>
            <w:tcW w:w="1065" w:type="dxa"/>
            <w:vAlign w:val="center"/>
          </w:tcPr>
          <w:p w14:paraId="5FA2A257">
            <w:pPr>
              <w:adjustRightInd w:val="0"/>
              <w:snapToGrid w:val="0"/>
              <w:spacing w:line="240" w:lineRule="auto"/>
              <w:jc w:val="center"/>
              <w:rPr>
                <w:i w:val="0"/>
                <w:iCs w:val="0"/>
                <w:color w:val="auto"/>
                <w:szCs w:val="21"/>
                <w:highlight w:val="none"/>
              </w:rPr>
            </w:pPr>
          </w:p>
        </w:tc>
        <w:tc>
          <w:tcPr>
            <w:tcW w:w="1065" w:type="dxa"/>
            <w:vAlign w:val="center"/>
          </w:tcPr>
          <w:p w14:paraId="634862ED">
            <w:pPr>
              <w:adjustRightInd w:val="0"/>
              <w:snapToGrid w:val="0"/>
              <w:spacing w:line="240" w:lineRule="auto"/>
              <w:jc w:val="center"/>
              <w:rPr>
                <w:i w:val="0"/>
                <w:iCs w:val="0"/>
                <w:color w:val="auto"/>
                <w:szCs w:val="21"/>
                <w:highlight w:val="none"/>
              </w:rPr>
            </w:pPr>
          </w:p>
        </w:tc>
        <w:tc>
          <w:tcPr>
            <w:tcW w:w="1066" w:type="dxa"/>
            <w:vAlign w:val="center"/>
          </w:tcPr>
          <w:p w14:paraId="604070DF">
            <w:pPr>
              <w:adjustRightInd w:val="0"/>
              <w:snapToGrid w:val="0"/>
              <w:spacing w:line="240" w:lineRule="auto"/>
              <w:jc w:val="center"/>
              <w:rPr>
                <w:i w:val="0"/>
                <w:iCs w:val="0"/>
                <w:color w:val="auto"/>
                <w:szCs w:val="21"/>
                <w:highlight w:val="none"/>
              </w:rPr>
            </w:pPr>
          </w:p>
        </w:tc>
        <w:tc>
          <w:tcPr>
            <w:tcW w:w="947" w:type="dxa"/>
            <w:vAlign w:val="center"/>
          </w:tcPr>
          <w:p w14:paraId="45B52869">
            <w:pPr>
              <w:adjustRightInd w:val="0"/>
              <w:snapToGrid w:val="0"/>
              <w:spacing w:line="240" w:lineRule="auto"/>
              <w:jc w:val="center"/>
              <w:rPr>
                <w:i w:val="0"/>
                <w:iCs w:val="0"/>
                <w:color w:val="auto"/>
                <w:szCs w:val="21"/>
                <w:highlight w:val="none"/>
              </w:rPr>
            </w:pPr>
          </w:p>
        </w:tc>
      </w:tr>
      <w:tr w14:paraId="102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47A33D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3</w:t>
            </w:r>
          </w:p>
        </w:tc>
        <w:tc>
          <w:tcPr>
            <w:tcW w:w="3720" w:type="dxa"/>
            <w:vAlign w:val="center"/>
          </w:tcPr>
          <w:p w14:paraId="7605B56B">
            <w:pPr>
              <w:adjustRightInd w:val="0"/>
              <w:snapToGrid w:val="0"/>
              <w:spacing w:line="240" w:lineRule="auto"/>
              <w:jc w:val="center"/>
              <w:rPr>
                <w:i w:val="0"/>
                <w:iCs w:val="0"/>
                <w:color w:val="auto"/>
                <w:szCs w:val="21"/>
                <w:highlight w:val="none"/>
              </w:rPr>
            </w:pPr>
          </w:p>
        </w:tc>
        <w:tc>
          <w:tcPr>
            <w:tcW w:w="1065" w:type="dxa"/>
            <w:vAlign w:val="center"/>
          </w:tcPr>
          <w:p w14:paraId="2DB12A28">
            <w:pPr>
              <w:adjustRightInd w:val="0"/>
              <w:snapToGrid w:val="0"/>
              <w:spacing w:line="240" w:lineRule="auto"/>
              <w:jc w:val="center"/>
              <w:rPr>
                <w:i w:val="0"/>
                <w:iCs w:val="0"/>
                <w:color w:val="auto"/>
                <w:szCs w:val="21"/>
                <w:highlight w:val="none"/>
              </w:rPr>
            </w:pPr>
          </w:p>
        </w:tc>
        <w:tc>
          <w:tcPr>
            <w:tcW w:w="1065" w:type="dxa"/>
            <w:vAlign w:val="center"/>
          </w:tcPr>
          <w:p w14:paraId="317BFF74">
            <w:pPr>
              <w:adjustRightInd w:val="0"/>
              <w:snapToGrid w:val="0"/>
              <w:spacing w:line="240" w:lineRule="auto"/>
              <w:jc w:val="center"/>
              <w:rPr>
                <w:i w:val="0"/>
                <w:iCs w:val="0"/>
                <w:color w:val="auto"/>
                <w:szCs w:val="21"/>
                <w:highlight w:val="none"/>
              </w:rPr>
            </w:pPr>
          </w:p>
        </w:tc>
        <w:tc>
          <w:tcPr>
            <w:tcW w:w="1066" w:type="dxa"/>
            <w:vAlign w:val="center"/>
          </w:tcPr>
          <w:p w14:paraId="4B6F17D3">
            <w:pPr>
              <w:adjustRightInd w:val="0"/>
              <w:snapToGrid w:val="0"/>
              <w:spacing w:line="240" w:lineRule="auto"/>
              <w:jc w:val="center"/>
              <w:rPr>
                <w:i w:val="0"/>
                <w:iCs w:val="0"/>
                <w:color w:val="auto"/>
                <w:szCs w:val="21"/>
                <w:highlight w:val="none"/>
              </w:rPr>
            </w:pPr>
          </w:p>
        </w:tc>
        <w:tc>
          <w:tcPr>
            <w:tcW w:w="947" w:type="dxa"/>
            <w:vAlign w:val="center"/>
          </w:tcPr>
          <w:p w14:paraId="1E8ED10E">
            <w:pPr>
              <w:adjustRightInd w:val="0"/>
              <w:snapToGrid w:val="0"/>
              <w:spacing w:line="240" w:lineRule="auto"/>
              <w:jc w:val="center"/>
              <w:rPr>
                <w:i w:val="0"/>
                <w:iCs w:val="0"/>
                <w:color w:val="auto"/>
                <w:szCs w:val="21"/>
                <w:highlight w:val="none"/>
              </w:rPr>
            </w:pPr>
          </w:p>
        </w:tc>
      </w:tr>
      <w:tr w14:paraId="353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B358B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4</w:t>
            </w:r>
          </w:p>
        </w:tc>
        <w:tc>
          <w:tcPr>
            <w:tcW w:w="3720" w:type="dxa"/>
            <w:vAlign w:val="center"/>
          </w:tcPr>
          <w:p w14:paraId="0B0031F2">
            <w:pPr>
              <w:adjustRightInd w:val="0"/>
              <w:snapToGrid w:val="0"/>
              <w:spacing w:line="240" w:lineRule="auto"/>
              <w:jc w:val="center"/>
              <w:rPr>
                <w:i w:val="0"/>
                <w:iCs w:val="0"/>
                <w:color w:val="auto"/>
                <w:szCs w:val="21"/>
                <w:highlight w:val="none"/>
              </w:rPr>
            </w:pPr>
          </w:p>
        </w:tc>
        <w:tc>
          <w:tcPr>
            <w:tcW w:w="1065" w:type="dxa"/>
            <w:vAlign w:val="center"/>
          </w:tcPr>
          <w:p w14:paraId="1A9AB905">
            <w:pPr>
              <w:adjustRightInd w:val="0"/>
              <w:snapToGrid w:val="0"/>
              <w:spacing w:line="240" w:lineRule="auto"/>
              <w:jc w:val="center"/>
              <w:rPr>
                <w:i w:val="0"/>
                <w:iCs w:val="0"/>
                <w:color w:val="auto"/>
                <w:szCs w:val="21"/>
                <w:highlight w:val="none"/>
              </w:rPr>
            </w:pPr>
          </w:p>
        </w:tc>
        <w:tc>
          <w:tcPr>
            <w:tcW w:w="1065" w:type="dxa"/>
            <w:vAlign w:val="center"/>
          </w:tcPr>
          <w:p w14:paraId="20C40B8C">
            <w:pPr>
              <w:adjustRightInd w:val="0"/>
              <w:snapToGrid w:val="0"/>
              <w:spacing w:line="240" w:lineRule="auto"/>
              <w:jc w:val="center"/>
              <w:rPr>
                <w:i w:val="0"/>
                <w:iCs w:val="0"/>
                <w:color w:val="auto"/>
                <w:szCs w:val="21"/>
                <w:highlight w:val="none"/>
              </w:rPr>
            </w:pPr>
          </w:p>
        </w:tc>
        <w:tc>
          <w:tcPr>
            <w:tcW w:w="1066" w:type="dxa"/>
            <w:vAlign w:val="center"/>
          </w:tcPr>
          <w:p w14:paraId="7FDFD679">
            <w:pPr>
              <w:adjustRightInd w:val="0"/>
              <w:snapToGrid w:val="0"/>
              <w:spacing w:line="240" w:lineRule="auto"/>
              <w:jc w:val="center"/>
              <w:rPr>
                <w:i w:val="0"/>
                <w:iCs w:val="0"/>
                <w:color w:val="auto"/>
                <w:szCs w:val="21"/>
                <w:highlight w:val="none"/>
              </w:rPr>
            </w:pPr>
          </w:p>
        </w:tc>
        <w:tc>
          <w:tcPr>
            <w:tcW w:w="947" w:type="dxa"/>
            <w:vAlign w:val="center"/>
          </w:tcPr>
          <w:p w14:paraId="3C259360">
            <w:pPr>
              <w:adjustRightInd w:val="0"/>
              <w:snapToGrid w:val="0"/>
              <w:spacing w:line="240" w:lineRule="auto"/>
              <w:jc w:val="center"/>
              <w:rPr>
                <w:i w:val="0"/>
                <w:iCs w:val="0"/>
                <w:color w:val="auto"/>
                <w:szCs w:val="21"/>
                <w:highlight w:val="none"/>
              </w:rPr>
            </w:pPr>
          </w:p>
        </w:tc>
      </w:tr>
      <w:tr w14:paraId="51C6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D2AC16">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5</w:t>
            </w:r>
          </w:p>
        </w:tc>
        <w:tc>
          <w:tcPr>
            <w:tcW w:w="3720" w:type="dxa"/>
            <w:vAlign w:val="center"/>
          </w:tcPr>
          <w:p w14:paraId="2B6E9910">
            <w:pPr>
              <w:adjustRightInd w:val="0"/>
              <w:snapToGrid w:val="0"/>
              <w:spacing w:line="240" w:lineRule="auto"/>
              <w:jc w:val="center"/>
              <w:rPr>
                <w:i w:val="0"/>
                <w:iCs w:val="0"/>
                <w:color w:val="auto"/>
                <w:szCs w:val="21"/>
                <w:highlight w:val="none"/>
              </w:rPr>
            </w:pPr>
          </w:p>
        </w:tc>
        <w:tc>
          <w:tcPr>
            <w:tcW w:w="1065" w:type="dxa"/>
            <w:vAlign w:val="center"/>
          </w:tcPr>
          <w:p w14:paraId="34E951A1">
            <w:pPr>
              <w:adjustRightInd w:val="0"/>
              <w:snapToGrid w:val="0"/>
              <w:spacing w:line="240" w:lineRule="auto"/>
              <w:jc w:val="center"/>
              <w:rPr>
                <w:i w:val="0"/>
                <w:iCs w:val="0"/>
                <w:color w:val="auto"/>
                <w:szCs w:val="21"/>
                <w:highlight w:val="none"/>
              </w:rPr>
            </w:pPr>
          </w:p>
        </w:tc>
        <w:tc>
          <w:tcPr>
            <w:tcW w:w="1065" w:type="dxa"/>
            <w:vAlign w:val="center"/>
          </w:tcPr>
          <w:p w14:paraId="5D9FC8D6">
            <w:pPr>
              <w:adjustRightInd w:val="0"/>
              <w:snapToGrid w:val="0"/>
              <w:spacing w:line="240" w:lineRule="auto"/>
              <w:jc w:val="center"/>
              <w:rPr>
                <w:i w:val="0"/>
                <w:iCs w:val="0"/>
                <w:color w:val="auto"/>
                <w:szCs w:val="21"/>
                <w:highlight w:val="none"/>
              </w:rPr>
            </w:pPr>
          </w:p>
        </w:tc>
        <w:tc>
          <w:tcPr>
            <w:tcW w:w="1066" w:type="dxa"/>
            <w:vAlign w:val="center"/>
          </w:tcPr>
          <w:p w14:paraId="7745BDE0">
            <w:pPr>
              <w:adjustRightInd w:val="0"/>
              <w:snapToGrid w:val="0"/>
              <w:spacing w:line="240" w:lineRule="auto"/>
              <w:jc w:val="center"/>
              <w:rPr>
                <w:i w:val="0"/>
                <w:iCs w:val="0"/>
                <w:color w:val="auto"/>
                <w:szCs w:val="21"/>
                <w:highlight w:val="none"/>
              </w:rPr>
            </w:pPr>
          </w:p>
        </w:tc>
        <w:tc>
          <w:tcPr>
            <w:tcW w:w="947" w:type="dxa"/>
            <w:vAlign w:val="center"/>
          </w:tcPr>
          <w:p w14:paraId="2F20BA25">
            <w:pPr>
              <w:adjustRightInd w:val="0"/>
              <w:snapToGrid w:val="0"/>
              <w:spacing w:line="240" w:lineRule="auto"/>
              <w:jc w:val="center"/>
              <w:rPr>
                <w:i w:val="0"/>
                <w:iCs w:val="0"/>
                <w:color w:val="auto"/>
                <w:szCs w:val="21"/>
                <w:highlight w:val="none"/>
              </w:rPr>
            </w:pPr>
          </w:p>
        </w:tc>
      </w:tr>
      <w:tr w14:paraId="054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9BF07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6</w:t>
            </w:r>
          </w:p>
        </w:tc>
        <w:tc>
          <w:tcPr>
            <w:tcW w:w="3720" w:type="dxa"/>
            <w:vAlign w:val="center"/>
          </w:tcPr>
          <w:p w14:paraId="63E7761B">
            <w:pPr>
              <w:adjustRightInd w:val="0"/>
              <w:snapToGrid w:val="0"/>
              <w:spacing w:line="240" w:lineRule="auto"/>
              <w:jc w:val="center"/>
              <w:rPr>
                <w:i w:val="0"/>
                <w:iCs w:val="0"/>
                <w:color w:val="auto"/>
                <w:szCs w:val="21"/>
                <w:highlight w:val="none"/>
              </w:rPr>
            </w:pPr>
          </w:p>
        </w:tc>
        <w:tc>
          <w:tcPr>
            <w:tcW w:w="1065" w:type="dxa"/>
            <w:vAlign w:val="center"/>
          </w:tcPr>
          <w:p w14:paraId="3BA61A9A">
            <w:pPr>
              <w:adjustRightInd w:val="0"/>
              <w:snapToGrid w:val="0"/>
              <w:spacing w:line="240" w:lineRule="auto"/>
              <w:jc w:val="center"/>
              <w:rPr>
                <w:i w:val="0"/>
                <w:iCs w:val="0"/>
                <w:color w:val="auto"/>
                <w:szCs w:val="21"/>
                <w:highlight w:val="none"/>
              </w:rPr>
            </w:pPr>
          </w:p>
        </w:tc>
        <w:tc>
          <w:tcPr>
            <w:tcW w:w="1065" w:type="dxa"/>
            <w:vAlign w:val="center"/>
          </w:tcPr>
          <w:p w14:paraId="7DCA522F">
            <w:pPr>
              <w:adjustRightInd w:val="0"/>
              <w:snapToGrid w:val="0"/>
              <w:spacing w:line="240" w:lineRule="auto"/>
              <w:jc w:val="center"/>
              <w:rPr>
                <w:i w:val="0"/>
                <w:iCs w:val="0"/>
                <w:color w:val="auto"/>
                <w:szCs w:val="21"/>
                <w:highlight w:val="none"/>
              </w:rPr>
            </w:pPr>
          </w:p>
        </w:tc>
        <w:tc>
          <w:tcPr>
            <w:tcW w:w="1066" w:type="dxa"/>
            <w:vAlign w:val="center"/>
          </w:tcPr>
          <w:p w14:paraId="68A27993">
            <w:pPr>
              <w:adjustRightInd w:val="0"/>
              <w:snapToGrid w:val="0"/>
              <w:spacing w:line="240" w:lineRule="auto"/>
              <w:jc w:val="center"/>
              <w:rPr>
                <w:i w:val="0"/>
                <w:iCs w:val="0"/>
                <w:color w:val="auto"/>
                <w:szCs w:val="21"/>
                <w:highlight w:val="none"/>
              </w:rPr>
            </w:pPr>
          </w:p>
        </w:tc>
        <w:tc>
          <w:tcPr>
            <w:tcW w:w="947" w:type="dxa"/>
            <w:vAlign w:val="center"/>
          </w:tcPr>
          <w:p w14:paraId="33A904F9">
            <w:pPr>
              <w:adjustRightInd w:val="0"/>
              <w:snapToGrid w:val="0"/>
              <w:spacing w:line="240" w:lineRule="auto"/>
              <w:jc w:val="center"/>
              <w:rPr>
                <w:i w:val="0"/>
                <w:iCs w:val="0"/>
                <w:color w:val="auto"/>
                <w:szCs w:val="21"/>
                <w:highlight w:val="none"/>
              </w:rPr>
            </w:pPr>
          </w:p>
        </w:tc>
      </w:tr>
      <w:tr w14:paraId="57BA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8C27991">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7</w:t>
            </w:r>
          </w:p>
        </w:tc>
        <w:tc>
          <w:tcPr>
            <w:tcW w:w="3720" w:type="dxa"/>
            <w:vAlign w:val="center"/>
          </w:tcPr>
          <w:p w14:paraId="7864625B">
            <w:pPr>
              <w:adjustRightInd w:val="0"/>
              <w:snapToGrid w:val="0"/>
              <w:spacing w:line="240" w:lineRule="auto"/>
              <w:jc w:val="center"/>
              <w:rPr>
                <w:i w:val="0"/>
                <w:iCs w:val="0"/>
                <w:color w:val="auto"/>
                <w:szCs w:val="21"/>
                <w:highlight w:val="none"/>
              </w:rPr>
            </w:pPr>
          </w:p>
        </w:tc>
        <w:tc>
          <w:tcPr>
            <w:tcW w:w="1065" w:type="dxa"/>
            <w:vAlign w:val="center"/>
          </w:tcPr>
          <w:p w14:paraId="2B4D906C">
            <w:pPr>
              <w:adjustRightInd w:val="0"/>
              <w:snapToGrid w:val="0"/>
              <w:spacing w:line="240" w:lineRule="auto"/>
              <w:jc w:val="center"/>
              <w:rPr>
                <w:i w:val="0"/>
                <w:iCs w:val="0"/>
                <w:color w:val="auto"/>
                <w:szCs w:val="21"/>
                <w:highlight w:val="none"/>
              </w:rPr>
            </w:pPr>
          </w:p>
        </w:tc>
        <w:tc>
          <w:tcPr>
            <w:tcW w:w="1065" w:type="dxa"/>
            <w:vAlign w:val="center"/>
          </w:tcPr>
          <w:p w14:paraId="6A8DF27F">
            <w:pPr>
              <w:adjustRightInd w:val="0"/>
              <w:snapToGrid w:val="0"/>
              <w:spacing w:line="240" w:lineRule="auto"/>
              <w:jc w:val="center"/>
              <w:rPr>
                <w:i w:val="0"/>
                <w:iCs w:val="0"/>
                <w:color w:val="auto"/>
                <w:szCs w:val="21"/>
                <w:highlight w:val="none"/>
              </w:rPr>
            </w:pPr>
          </w:p>
        </w:tc>
        <w:tc>
          <w:tcPr>
            <w:tcW w:w="1066" w:type="dxa"/>
            <w:vAlign w:val="center"/>
          </w:tcPr>
          <w:p w14:paraId="54C5FBF7">
            <w:pPr>
              <w:adjustRightInd w:val="0"/>
              <w:snapToGrid w:val="0"/>
              <w:spacing w:line="240" w:lineRule="auto"/>
              <w:jc w:val="center"/>
              <w:rPr>
                <w:i w:val="0"/>
                <w:iCs w:val="0"/>
                <w:color w:val="auto"/>
                <w:szCs w:val="21"/>
                <w:highlight w:val="none"/>
              </w:rPr>
            </w:pPr>
          </w:p>
        </w:tc>
        <w:tc>
          <w:tcPr>
            <w:tcW w:w="947" w:type="dxa"/>
            <w:vAlign w:val="center"/>
          </w:tcPr>
          <w:p w14:paraId="2690F475">
            <w:pPr>
              <w:adjustRightInd w:val="0"/>
              <w:snapToGrid w:val="0"/>
              <w:spacing w:line="240" w:lineRule="auto"/>
              <w:jc w:val="center"/>
              <w:rPr>
                <w:i w:val="0"/>
                <w:iCs w:val="0"/>
                <w:color w:val="auto"/>
                <w:szCs w:val="21"/>
                <w:highlight w:val="none"/>
              </w:rPr>
            </w:pPr>
          </w:p>
        </w:tc>
      </w:tr>
      <w:tr w14:paraId="27F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F06304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8</w:t>
            </w:r>
          </w:p>
        </w:tc>
        <w:tc>
          <w:tcPr>
            <w:tcW w:w="3720" w:type="dxa"/>
            <w:vAlign w:val="center"/>
          </w:tcPr>
          <w:p w14:paraId="7C3908AC">
            <w:pPr>
              <w:adjustRightInd w:val="0"/>
              <w:snapToGrid w:val="0"/>
              <w:spacing w:line="240" w:lineRule="auto"/>
              <w:jc w:val="center"/>
              <w:rPr>
                <w:i w:val="0"/>
                <w:iCs w:val="0"/>
                <w:color w:val="auto"/>
                <w:szCs w:val="21"/>
                <w:highlight w:val="none"/>
              </w:rPr>
            </w:pPr>
          </w:p>
        </w:tc>
        <w:tc>
          <w:tcPr>
            <w:tcW w:w="1065" w:type="dxa"/>
            <w:vAlign w:val="center"/>
          </w:tcPr>
          <w:p w14:paraId="362E8E82">
            <w:pPr>
              <w:adjustRightInd w:val="0"/>
              <w:snapToGrid w:val="0"/>
              <w:spacing w:line="240" w:lineRule="auto"/>
              <w:jc w:val="center"/>
              <w:rPr>
                <w:i w:val="0"/>
                <w:iCs w:val="0"/>
                <w:color w:val="auto"/>
                <w:szCs w:val="21"/>
                <w:highlight w:val="none"/>
              </w:rPr>
            </w:pPr>
          </w:p>
        </w:tc>
        <w:tc>
          <w:tcPr>
            <w:tcW w:w="1065" w:type="dxa"/>
            <w:vAlign w:val="center"/>
          </w:tcPr>
          <w:p w14:paraId="6F2704AB">
            <w:pPr>
              <w:adjustRightInd w:val="0"/>
              <w:snapToGrid w:val="0"/>
              <w:spacing w:line="240" w:lineRule="auto"/>
              <w:jc w:val="center"/>
              <w:rPr>
                <w:i w:val="0"/>
                <w:iCs w:val="0"/>
                <w:color w:val="auto"/>
                <w:szCs w:val="21"/>
                <w:highlight w:val="none"/>
              </w:rPr>
            </w:pPr>
          </w:p>
        </w:tc>
        <w:tc>
          <w:tcPr>
            <w:tcW w:w="1066" w:type="dxa"/>
            <w:vAlign w:val="center"/>
          </w:tcPr>
          <w:p w14:paraId="79394E0B">
            <w:pPr>
              <w:adjustRightInd w:val="0"/>
              <w:snapToGrid w:val="0"/>
              <w:spacing w:line="240" w:lineRule="auto"/>
              <w:jc w:val="center"/>
              <w:rPr>
                <w:i w:val="0"/>
                <w:iCs w:val="0"/>
                <w:color w:val="auto"/>
                <w:szCs w:val="21"/>
                <w:highlight w:val="none"/>
              </w:rPr>
            </w:pPr>
          </w:p>
        </w:tc>
        <w:tc>
          <w:tcPr>
            <w:tcW w:w="947" w:type="dxa"/>
            <w:vAlign w:val="center"/>
          </w:tcPr>
          <w:p w14:paraId="5A8DCEE1">
            <w:pPr>
              <w:adjustRightInd w:val="0"/>
              <w:snapToGrid w:val="0"/>
              <w:spacing w:line="240" w:lineRule="auto"/>
              <w:jc w:val="center"/>
              <w:rPr>
                <w:i w:val="0"/>
                <w:iCs w:val="0"/>
                <w:color w:val="auto"/>
                <w:szCs w:val="21"/>
                <w:highlight w:val="none"/>
              </w:rPr>
            </w:pPr>
          </w:p>
        </w:tc>
      </w:tr>
      <w:tr w14:paraId="2D0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shd w:val="clear" w:color="auto" w:fill="auto"/>
            <w:vAlign w:val="center"/>
          </w:tcPr>
          <w:p w14:paraId="36B30C90">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3720" w:type="dxa"/>
            <w:shd w:val="clear" w:color="auto" w:fill="auto"/>
            <w:vAlign w:val="center"/>
          </w:tcPr>
          <w:p w14:paraId="547CA859">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1065" w:type="dxa"/>
            <w:vAlign w:val="center"/>
          </w:tcPr>
          <w:p w14:paraId="7B9DBE1E">
            <w:pPr>
              <w:adjustRightInd w:val="0"/>
              <w:snapToGrid w:val="0"/>
              <w:spacing w:line="240" w:lineRule="auto"/>
              <w:jc w:val="center"/>
              <w:rPr>
                <w:i w:val="0"/>
                <w:iCs w:val="0"/>
                <w:color w:val="auto"/>
                <w:szCs w:val="21"/>
                <w:highlight w:val="none"/>
              </w:rPr>
            </w:pPr>
          </w:p>
        </w:tc>
        <w:tc>
          <w:tcPr>
            <w:tcW w:w="1065" w:type="dxa"/>
            <w:vAlign w:val="center"/>
          </w:tcPr>
          <w:p w14:paraId="6851C226">
            <w:pPr>
              <w:adjustRightInd w:val="0"/>
              <w:snapToGrid w:val="0"/>
              <w:spacing w:line="240" w:lineRule="auto"/>
              <w:jc w:val="center"/>
              <w:rPr>
                <w:i w:val="0"/>
                <w:iCs w:val="0"/>
                <w:color w:val="auto"/>
                <w:szCs w:val="21"/>
                <w:highlight w:val="none"/>
              </w:rPr>
            </w:pPr>
          </w:p>
        </w:tc>
        <w:tc>
          <w:tcPr>
            <w:tcW w:w="1066" w:type="dxa"/>
            <w:vAlign w:val="center"/>
          </w:tcPr>
          <w:p w14:paraId="39505459">
            <w:pPr>
              <w:adjustRightInd w:val="0"/>
              <w:snapToGrid w:val="0"/>
              <w:spacing w:line="240" w:lineRule="auto"/>
              <w:jc w:val="center"/>
              <w:rPr>
                <w:i w:val="0"/>
                <w:iCs w:val="0"/>
                <w:color w:val="auto"/>
                <w:szCs w:val="21"/>
                <w:highlight w:val="none"/>
              </w:rPr>
            </w:pPr>
          </w:p>
        </w:tc>
        <w:tc>
          <w:tcPr>
            <w:tcW w:w="947" w:type="dxa"/>
            <w:vAlign w:val="center"/>
          </w:tcPr>
          <w:p w14:paraId="14D910E3">
            <w:pPr>
              <w:adjustRightInd w:val="0"/>
              <w:snapToGrid w:val="0"/>
              <w:spacing w:line="240" w:lineRule="auto"/>
              <w:jc w:val="center"/>
              <w:rPr>
                <w:i w:val="0"/>
                <w:iCs w:val="0"/>
                <w:color w:val="auto"/>
                <w:szCs w:val="21"/>
                <w:highlight w:val="none"/>
              </w:rPr>
            </w:pPr>
          </w:p>
        </w:tc>
      </w:tr>
      <w:tr w14:paraId="0CA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727E85">
            <w:pPr>
              <w:adjustRightInd w:val="0"/>
              <w:snapToGrid w:val="0"/>
              <w:spacing w:line="240" w:lineRule="auto"/>
              <w:jc w:val="center"/>
              <w:rPr>
                <w:i w:val="0"/>
                <w:iCs w:val="0"/>
                <w:color w:val="auto"/>
                <w:szCs w:val="21"/>
                <w:highlight w:val="none"/>
              </w:rPr>
            </w:pPr>
          </w:p>
        </w:tc>
        <w:tc>
          <w:tcPr>
            <w:tcW w:w="3720" w:type="dxa"/>
            <w:vAlign w:val="center"/>
          </w:tcPr>
          <w:p w14:paraId="6E3D4C24">
            <w:pPr>
              <w:adjustRightInd w:val="0"/>
              <w:snapToGrid w:val="0"/>
              <w:spacing w:line="240" w:lineRule="auto"/>
              <w:jc w:val="center"/>
              <w:rPr>
                <w:i w:val="0"/>
                <w:iCs w:val="0"/>
                <w:color w:val="auto"/>
                <w:szCs w:val="21"/>
                <w:highlight w:val="none"/>
              </w:rPr>
            </w:pPr>
            <w:r>
              <w:rPr>
                <w:rFonts w:hint="eastAsia" w:asciiTheme="minorEastAsia" w:hAnsiTheme="minorEastAsia" w:eastAsiaTheme="minorEastAsia"/>
                <w:i w:val="0"/>
                <w:iCs w:val="0"/>
                <w:color w:val="auto"/>
                <w:highlight w:val="none"/>
              </w:rPr>
              <w:t>其他费用</w:t>
            </w:r>
          </w:p>
        </w:tc>
        <w:tc>
          <w:tcPr>
            <w:tcW w:w="1065" w:type="dxa"/>
            <w:vAlign w:val="center"/>
          </w:tcPr>
          <w:p w14:paraId="34269FA2">
            <w:pPr>
              <w:adjustRightInd w:val="0"/>
              <w:snapToGrid w:val="0"/>
              <w:spacing w:line="240" w:lineRule="auto"/>
              <w:jc w:val="center"/>
              <w:rPr>
                <w:i w:val="0"/>
                <w:iCs w:val="0"/>
                <w:color w:val="auto"/>
                <w:szCs w:val="21"/>
                <w:highlight w:val="none"/>
              </w:rPr>
            </w:pPr>
          </w:p>
        </w:tc>
        <w:tc>
          <w:tcPr>
            <w:tcW w:w="1065" w:type="dxa"/>
            <w:vAlign w:val="center"/>
          </w:tcPr>
          <w:p w14:paraId="646717F9">
            <w:pPr>
              <w:adjustRightInd w:val="0"/>
              <w:snapToGrid w:val="0"/>
              <w:spacing w:line="240" w:lineRule="auto"/>
              <w:jc w:val="center"/>
              <w:rPr>
                <w:i w:val="0"/>
                <w:iCs w:val="0"/>
                <w:color w:val="auto"/>
                <w:szCs w:val="21"/>
                <w:highlight w:val="none"/>
              </w:rPr>
            </w:pPr>
          </w:p>
        </w:tc>
        <w:tc>
          <w:tcPr>
            <w:tcW w:w="1066" w:type="dxa"/>
            <w:vAlign w:val="center"/>
          </w:tcPr>
          <w:p w14:paraId="61629B6A">
            <w:pPr>
              <w:adjustRightInd w:val="0"/>
              <w:snapToGrid w:val="0"/>
              <w:spacing w:line="240" w:lineRule="auto"/>
              <w:jc w:val="center"/>
              <w:rPr>
                <w:i w:val="0"/>
                <w:iCs w:val="0"/>
                <w:color w:val="auto"/>
                <w:szCs w:val="21"/>
                <w:highlight w:val="none"/>
              </w:rPr>
            </w:pPr>
          </w:p>
        </w:tc>
        <w:tc>
          <w:tcPr>
            <w:tcW w:w="947" w:type="dxa"/>
            <w:vAlign w:val="center"/>
          </w:tcPr>
          <w:p w14:paraId="7F337C52">
            <w:pPr>
              <w:adjustRightInd w:val="0"/>
              <w:snapToGrid w:val="0"/>
              <w:spacing w:line="240" w:lineRule="auto"/>
              <w:jc w:val="center"/>
              <w:rPr>
                <w:i w:val="0"/>
                <w:iCs w:val="0"/>
                <w:color w:val="auto"/>
                <w:szCs w:val="21"/>
                <w:highlight w:val="none"/>
              </w:rPr>
            </w:pPr>
          </w:p>
        </w:tc>
      </w:tr>
      <w:tr w14:paraId="209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55F28">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3720" w:type="dxa"/>
            <w:vAlign w:val="center"/>
          </w:tcPr>
          <w:p w14:paraId="5D4BF5AE">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1065" w:type="dxa"/>
            <w:vAlign w:val="center"/>
          </w:tcPr>
          <w:p w14:paraId="3E6B6F32">
            <w:pPr>
              <w:adjustRightInd w:val="0"/>
              <w:snapToGrid w:val="0"/>
              <w:spacing w:line="240" w:lineRule="auto"/>
              <w:jc w:val="center"/>
              <w:rPr>
                <w:i w:val="0"/>
                <w:iCs w:val="0"/>
                <w:color w:val="auto"/>
                <w:szCs w:val="21"/>
                <w:highlight w:val="none"/>
              </w:rPr>
            </w:pPr>
          </w:p>
        </w:tc>
        <w:tc>
          <w:tcPr>
            <w:tcW w:w="1065" w:type="dxa"/>
            <w:vAlign w:val="center"/>
          </w:tcPr>
          <w:p w14:paraId="02B6CE3C">
            <w:pPr>
              <w:adjustRightInd w:val="0"/>
              <w:snapToGrid w:val="0"/>
              <w:spacing w:line="240" w:lineRule="auto"/>
              <w:jc w:val="center"/>
              <w:rPr>
                <w:i w:val="0"/>
                <w:iCs w:val="0"/>
                <w:color w:val="auto"/>
                <w:szCs w:val="21"/>
                <w:highlight w:val="none"/>
              </w:rPr>
            </w:pPr>
          </w:p>
        </w:tc>
        <w:tc>
          <w:tcPr>
            <w:tcW w:w="1066" w:type="dxa"/>
            <w:vAlign w:val="center"/>
          </w:tcPr>
          <w:p w14:paraId="15025601">
            <w:pPr>
              <w:adjustRightInd w:val="0"/>
              <w:snapToGrid w:val="0"/>
              <w:spacing w:line="240" w:lineRule="auto"/>
              <w:jc w:val="center"/>
              <w:rPr>
                <w:i w:val="0"/>
                <w:iCs w:val="0"/>
                <w:color w:val="auto"/>
                <w:szCs w:val="21"/>
                <w:highlight w:val="none"/>
              </w:rPr>
            </w:pPr>
          </w:p>
        </w:tc>
        <w:tc>
          <w:tcPr>
            <w:tcW w:w="947" w:type="dxa"/>
            <w:vAlign w:val="center"/>
          </w:tcPr>
          <w:p w14:paraId="39116035">
            <w:pPr>
              <w:adjustRightInd w:val="0"/>
              <w:snapToGrid w:val="0"/>
              <w:spacing w:line="240" w:lineRule="auto"/>
              <w:jc w:val="center"/>
              <w:rPr>
                <w:i w:val="0"/>
                <w:iCs w:val="0"/>
                <w:color w:val="auto"/>
                <w:szCs w:val="21"/>
                <w:highlight w:val="none"/>
              </w:rPr>
            </w:pPr>
          </w:p>
        </w:tc>
      </w:tr>
      <w:tr w14:paraId="16F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DD5DA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报价合计（元）</w:t>
            </w:r>
          </w:p>
        </w:tc>
        <w:tc>
          <w:tcPr>
            <w:tcW w:w="2013" w:type="dxa"/>
            <w:gridSpan w:val="2"/>
            <w:vAlign w:val="center"/>
          </w:tcPr>
          <w:p w14:paraId="0609C717">
            <w:pPr>
              <w:adjustRightInd w:val="0"/>
              <w:snapToGrid w:val="0"/>
              <w:spacing w:line="240" w:lineRule="auto"/>
              <w:jc w:val="center"/>
              <w:rPr>
                <w:i w:val="0"/>
                <w:iCs w:val="0"/>
                <w:color w:val="auto"/>
                <w:szCs w:val="21"/>
                <w:highlight w:val="none"/>
              </w:rPr>
            </w:pPr>
          </w:p>
        </w:tc>
      </w:tr>
    </w:tbl>
    <w:p w14:paraId="76D9FA12">
      <w:pPr>
        <w:pStyle w:val="15"/>
        <w:rPr>
          <w:rFonts w:hint="eastAsia"/>
          <w:b w:val="0"/>
          <w:bCs/>
          <w:i w:val="0"/>
          <w:iCs w:val="0"/>
          <w:color w:val="auto"/>
          <w:szCs w:val="21"/>
          <w:highlight w:val="none"/>
          <w:u w:val="single"/>
          <w:lang w:val="zh-CN"/>
        </w:rPr>
      </w:pPr>
    </w:p>
    <w:p w14:paraId="4ADE4675">
      <w:pPr>
        <w:spacing w:line="300" w:lineRule="auto"/>
        <w:rPr>
          <w:rFonts w:ascii="Arial" w:hAnsi="Arial" w:cs="Arial"/>
          <w:i w:val="0"/>
          <w:iCs w:val="0"/>
          <w:color w:val="auto"/>
          <w:szCs w:val="21"/>
          <w:highlight w:val="none"/>
        </w:rPr>
      </w:pPr>
    </w:p>
    <w:p w14:paraId="7856DF79">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10A8DB8">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F99A5A5">
      <w:pPr>
        <w:spacing w:line="300" w:lineRule="auto"/>
        <w:rPr>
          <w:rFonts w:ascii="Arial" w:hAnsi="Arial" w:cs="Arial"/>
          <w:i w:val="0"/>
          <w:iCs w:val="0"/>
          <w:color w:val="auto"/>
          <w:szCs w:val="21"/>
          <w:highlight w:val="none"/>
        </w:rPr>
      </w:pPr>
    </w:p>
    <w:p w14:paraId="19373AA9">
      <w:pPr>
        <w:spacing w:line="360" w:lineRule="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lang w:eastAsia="zh-CN"/>
        </w:rPr>
        <w:t>注：</w:t>
      </w:r>
    </w:p>
    <w:p w14:paraId="4681585F">
      <w:pPr>
        <w:spacing w:line="360" w:lineRule="auto"/>
        <w:ind w:firstLine="435"/>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default" w:ascii="宋体" w:hAnsi="宋体" w:eastAsia="宋体" w:cs="宋体"/>
          <w:i w:val="0"/>
          <w:iCs w:val="0"/>
          <w:color w:val="auto"/>
          <w:sz w:val="21"/>
          <w:szCs w:val="21"/>
          <w:highlight w:val="none"/>
          <w:lang w:val="en-US" w:eastAsia="zh-CN"/>
        </w:rPr>
        <w:t>按照本表填写的各项目的报价合计填写到</w:t>
      </w:r>
      <w:r>
        <w:rPr>
          <w:rFonts w:hint="eastAsia" w:ascii="宋体" w:hAnsi="宋体" w:eastAsia="宋体" w:cs="宋体"/>
          <w:i w:val="0"/>
          <w:iCs w:val="0"/>
          <w:color w:val="auto"/>
          <w:sz w:val="21"/>
          <w:szCs w:val="21"/>
          <w:highlight w:val="none"/>
          <w:lang w:val="en-US" w:eastAsia="zh-CN"/>
        </w:rPr>
        <w:t>“</w:t>
      </w:r>
      <w:r>
        <w:rPr>
          <w:rFonts w:hint="eastAsia" w:cs="宋体"/>
          <w:i w:val="0"/>
          <w:iCs w:val="0"/>
          <w:color w:val="auto"/>
          <w:sz w:val="21"/>
          <w:szCs w:val="21"/>
          <w:highlight w:val="none"/>
          <w:lang w:val="en-US" w:eastAsia="zh-CN"/>
        </w:rPr>
        <w:t>报价</w:t>
      </w:r>
      <w:r>
        <w:rPr>
          <w:rFonts w:hint="eastAsia" w:ascii="宋体" w:hAnsi="宋体" w:eastAsia="宋体" w:cs="宋体"/>
          <w:i w:val="0"/>
          <w:iCs w:val="0"/>
          <w:color w:val="auto"/>
          <w:sz w:val="21"/>
          <w:szCs w:val="21"/>
          <w:highlight w:val="none"/>
          <w:lang w:val="en-US" w:eastAsia="zh-CN"/>
        </w:rPr>
        <w:t>一览表”</w:t>
      </w:r>
      <w:r>
        <w:rPr>
          <w:rFonts w:hint="default" w:ascii="宋体" w:hAnsi="宋体" w:eastAsia="宋体" w:cs="宋体"/>
          <w:i w:val="0"/>
          <w:iCs w:val="0"/>
          <w:color w:val="auto"/>
          <w:sz w:val="21"/>
          <w:szCs w:val="21"/>
          <w:highlight w:val="none"/>
          <w:lang w:val="en-US" w:eastAsia="zh-CN"/>
        </w:rPr>
        <w:t>中对应的</w:t>
      </w:r>
      <w:r>
        <w:rPr>
          <w:rFonts w:hint="eastAsia" w:cs="宋体"/>
          <w:i w:val="0"/>
          <w:iCs w:val="0"/>
          <w:color w:val="auto"/>
          <w:sz w:val="21"/>
          <w:szCs w:val="21"/>
          <w:highlight w:val="none"/>
          <w:lang w:val="en-US" w:eastAsia="zh-CN"/>
        </w:rPr>
        <w:t>“磋商报价”</w:t>
      </w:r>
      <w:r>
        <w:rPr>
          <w:rFonts w:hint="default" w:ascii="宋体" w:hAnsi="宋体" w:eastAsia="宋体" w:cs="宋体"/>
          <w:i w:val="0"/>
          <w:iCs w:val="0"/>
          <w:color w:val="auto"/>
          <w:sz w:val="21"/>
          <w:szCs w:val="21"/>
          <w:highlight w:val="none"/>
          <w:lang w:val="en-US" w:eastAsia="zh-CN"/>
        </w:rPr>
        <w:t>栏中。</w:t>
      </w:r>
    </w:p>
    <w:p w14:paraId="6B43AF2E">
      <w:pPr>
        <w:spacing w:line="360" w:lineRule="auto"/>
        <w:ind w:firstLine="435"/>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.所列服务为对应本项目需求的全部服务内容。如有漏项或缺项，</w:t>
      </w:r>
      <w:r>
        <w:rPr>
          <w:rFonts w:hint="eastAsia"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承担全部责任。</w:t>
      </w:r>
    </w:p>
    <w:p w14:paraId="61B7A26D">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7B71C0B3">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14342570">
      <w:pPr>
        <w:pStyle w:val="64"/>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1810CE8">
      <w:pPr>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封面：</w:t>
      </w:r>
    </w:p>
    <w:p w14:paraId="62869EA6">
      <w:pPr>
        <w:autoSpaceDE w:val="0"/>
        <w:autoSpaceDN w:val="0"/>
        <w:adjustRightInd w:val="0"/>
        <w:rPr>
          <w:rFonts w:hint="eastAsia" w:ascii="宋体" w:hAnsi="宋体" w:eastAsia="宋体" w:cs="宋体"/>
          <w:color w:val="auto"/>
          <w:sz w:val="21"/>
          <w:szCs w:val="24"/>
          <w:highlight w:val="none"/>
        </w:rPr>
      </w:pPr>
    </w:p>
    <w:p w14:paraId="5B0902B7">
      <w:pPr>
        <w:autoSpaceDE w:val="0"/>
        <w:autoSpaceDN w:val="0"/>
        <w:adjustRightInd w:val="0"/>
        <w:rPr>
          <w:rFonts w:hint="eastAsia" w:ascii="宋体" w:hAnsi="宋体" w:eastAsia="宋体" w:cs="宋体"/>
          <w:color w:val="auto"/>
          <w:sz w:val="21"/>
          <w:szCs w:val="24"/>
          <w:highlight w:val="none"/>
        </w:rPr>
      </w:pPr>
    </w:p>
    <w:p w14:paraId="5A04F91B">
      <w:pPr>
        <w:autoSpaceDE w:val="0"/>
        <w:autoSpaceDN w:val="0"/>
        <w:adjustRightInd w:val="0"/>
        <w:jc w:val="center"/>
        <w:rPr>
          <w:rFonts w:hint="eastAsia" w:ascii="宋体" w:hAnsi="宋体" w:eastAsia="宋体" w:cs="宋体"/>
          <w:color w:val="auto"/>
          <w:sz w:val="21"/>
          <w:szCs w:val="24"/>
          <w:highlight w:val="none"/>
        </w:rPr>
      </w:pPr>
    </w:p>
    <w:p w14:paraId="47D22CDA">
      <w:pPr>
        <w:pStyle w:val="3"/>
        <w:bidi w:val="0"/>
        <w:jc w:val="center"/>
        <w:rPr>
          <w:rFonts w:hint="eastAsia" w:ascii="宋体" w:hAnsi="宋体" w:eastAsia="宋体" w:cs="宋体"/>
          <w:sz w:val="84"/>
          <w:szCs w:val="84"/>
          <w:highlight w:val="none"/>
        </w:rPr>
      </w:pPr>
      <w:bookmarkStart w:id="698" w:name="_Toc29099"/>
      <w:bookmarkStart w:id="699" w:name="_Toc5027"/>
      <w:r>
        <w:rPr>
          <w:rFonts w:hint="eastAsia" w:ascii="宋体" w:hAnsi="宋体" w:eastAsia="宋体" w:cs="宋体"/>
          <w:sz w:val="84"/>
          <w:szCs w:val="84"/>
          <w:highlight w:val="none"/>
        </w:rPr>
        <w:t>投 标 文 件</w:t>
      </w:r>
      <w:bookmarkEnd w:id="698"/>
      <w:bookmarkEnd w:id="699"/>
    </w:p>
    <w:p w14:paraId="2059EAAA">
      <w:pPr>
        <w:pStyle w:val="3"/>
        <w:bidi w:val="0"/>
        <w:jc w:val="center"/>
        <w:rPr>
          <w:rFonts w:hint="eastAsia" w:ascii="宋体" w:hAnsi="宋体" w:eastAsia="宋体" w:cs="宋体"/>
          <w:sz w:val="56"/>
          <w:szCs w:val="56"/>
          <w:highlight w:val="none"/>
          <w:lang w:val="en-US" w:eastAsia="zh-CN"/>
        </w:rPr>
      </w:pPr>
      <w:bookmarkStart w:id="700" w:name="_Toc17239"/>
      <w:bookmarkStart w:id="701" w:name="_Toc17964"/>
      <w:r>
        <w:rPr>
          <w:rFonts w:hint="eastAsia" w:ascii="宋体" w:hAnsi="宋体" w:eastAsia="宋体" w:cs="宋体"/>
          <w:sz w:val="56"/>
          <w:szCs w:val="56"/>
          <w:highlight w:val="none"/>
          <w:lang w:val="en-US" w:eastAsia="zh-CN"/>
        </w:rPr>
        <w:t>商务技术文件</w:t>
      </w:r>
      <w:bookmarkEnd w:id="700"/>
      <w:bookmarkEnd w:id="701"/>
    </w:p>
    <w:p w14:paraId="039027FC">
      <w:pPr>
        <w:pStyle w:val="3"/>
        <w:rPr>
          <w:rFonts w:hint="eastAsia" w:ascii="宋体" w:hAnsi="宋体" w:eastAsia="宋体" w:cs="宋体"/>
          <w:color w:val="auto"/>
          <w:sz w:val="21"/>
          <w:szCs w:val="21"/>
          <w:highlight w:val="none"/>
        </w:rPr>
      </w:pPr>
    </w:p>
    <w:p w14:paraId="1B35F1EE">
      <w:pPr>
        <w:rPr>
          <w:rFonts w:hint="eastAsia" w:ascii="宋体" w:hAnsi="宋体" w:eastAsia="宋体" w:cs="宋体"/>
          <w:color w:val="auto"/>
          <w:sz w:val="21"/>
          <w:szCs w:val="21"/>
          <w:highlight w:val="none"/>
        </w:rPr>
      </w:pPr>
    </w:p>
    <w:p w14:paraId="54B78BF7">
      <w:pPr>
        <w:rPr>
          <w:rFonts w:hint="eastAsia" w:ascii="宋体" w:hAnsi="宋体" w:eastAsia="宋体" w:cs="宋体"/>
          <w:color w:val="auto"/>
          <w:highlight w:val="none"/>
        </w:rPr>
      </w:pPr>
    </w:p>
    <w:p w14:paraId="44CE1222">
      <w:pPr>
        <w:autoSpaceDE w:val="0"/>
        <w:autoSpaceDN w:val="0"/>
        <w:adjustRightInd w:val="0"/>
        <w:rPr>
          <w:rFonts w:hint="eastAsia" w:ascii="宋体" w:hAnsi="宋体" w:eastAsia="宋体" w:cs="宋体"/>
          <w:color w:val="auto"/>
          <w:sz w:val="21"/>
          <w:szCs w:val="21"/>
          <w:highlight w:val="none"/>
        </w:rPr>
      </w:pPr>
    </w:p>
    <w:p w14:paraId="7AA0A974">
      <w:pPr>
        <w:autoSpaceDE w:val="0"/>
        <w:autoSpaceDN w:val="0"/>
        <w:adjustRightInd w:val="0"/>
        <w:rPr>
          <w:rFonts w:hint="eastAsia" w:ascii="宋体" w:hAnsi="宋体" w:eastAsia="宋体" w:cs="宋体"/>
          <w:color w:val="auto"/>
          <w:sz w:val="21"/>
          <w:szCs w:val="21"/>
          <w:highlight w:val="none"/>
        </w:rPr>
      </w:pPr>
    </w:p>
    <w:p w14:paraId="037029E5">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2BCF110">
      <w:pPr>
        <w:ind w:left="420" w:leftChars="175"/>
        <w:rPr>
          <w:rFonts w:hint="eastAsia" w:ascii="宋体" w:hAnsi="宋体" w:eastAsia="宋体" w:cs="宋体"/>
          <w:color w:val="auto"/>
          <w:sz w:val="32"/>
          <w:szCs w:val="32"/>
          <w:highlight w:val="none"/>
        </w:rPr>
      </w:pPr>
    </w:p>
    <w:p w14:paraId="2EF2CC50">
      <w:pPr>
        <w:ind w:left="840" w:firstLine="420"/>
        <w:rPr>
          <w:rFonts w:hint="eastAsia" w:ascii="宋体" w:hAnsi="宋体" w:eastAsia="宋体" w:cs="宋体"/>
          <w:b/>
          <w:bCs/>
          <w:color w:val="auto"/>
          <w:sz w:val="28"/>
          <w:szCs w:val="28"/>
          <w:highlight w:val="none"/>
        </w:rPr>
      </w:pPr>
    </w:p>
    <w:p w14:paraId="2451F1DE">
      <w:pPr>
        <w:ind w:left="840" w:firstLine="420"/>
        <w:rPr>
          <w:rFonts w:hint="eastAsia" w:ascii="宋体" w:hAnsi="宋体" w:eastAsia="宋体" w:cs="宋体"/>
          <w:b/>
          <w:bCs/>
          <w:color w:val="auto"/>
          <w:sz w:val="28"/>
          <w:szCs w:val="28"/>
          <w:highlight w:val="none"/>
        </w:rPr>
      </w:pPr>
    </w:p>
    <w:p w14:paraId="5B12266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C2AEB63">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374BEE88">
      <w:pPr>
        <w:pStyle w:val="3"/>
        <w:bidi w:val="0"/>
        <w:jc w:val="center"/>
        <w:rPr>
          <w:rFonts w:hint="eastAsia" w:ascii="宋体" w:hAnsi="宋体" w:eastAsia="宋体" w:cs="宋体"/>
          <w:highlight w:val="none"/>
          <w:lang w:val="en-US" w:eastAsia="zh-CN"/>
        </w:rPr>
      </w:pPr>
      <w:bookmarkStart w:id="702" w:name="_Toc28302"/>
      <w:bookmarkStart w:id="703" w:name="_Toc3577"/>
      <w:bookmarkStart w:id="704" w:name="_Toc25402"/>
      <w:bookmarkStart w:id="705" w:name="_Toc109900327"/>
      <w:bookmarkStart w:id="706" w:name="_Toc26340"/>
      <w:bookmarkStart w:id="707" w:name="_Toc140132831"/>
      <w:bookmarkStart w:id="708" w:name="_Toc109899489"/>
      <w:bookmarkStart w:id="709" w:name="_Toc109899908"/>
      <w:bookmarkStart w:id="710" w:name="_Toc155185921"/>
      <w:r>
        <w:rPr>
          <w:rFonts w:hint="eastAsia" w:ascii="宋体" w:hAnsi="宋体" w:eastAsia="宋体" w:cs="宋体"/>
          <w:highlight w:val="none"/>
          <w:lang w:val="en-US" w:eastAsia="zh-CN"/>
        </w:rPr>
        <w:t>一、投标函</w:t>
      </w:r>
      <w:bookmarkEnd w:id="702"/>
      <w:bookmarkEnd w:id="703"/>
      <w:bookmarkEnd w:id="704"/>
      <w:bookmarkEnd w:id="705"/>
      <w:bookmarkEnd w:id="706"/>
      <w:bookmarkEnd w:id="707"/>
      <w:bookmarkEnd w:id="708"/>
      <w:bookmarkEnd w:id="709"/>
      <w:bookmarkEnd w:id="710"/>
    </w:p>
    <w:p w14:paraId="0ABD9EA3">
      <w:pPr>
        <w:rPr>
          <w:rFonts w:hint="eastAsia" w:ascii="宋体" w:hAnsi="宋体" w:eastAsia="宋体" w:cs="宋体"/>
          <w:color w:val="auto"/>
          <w:highlight w:val="none"/>
        </w:rPr>
      </w:pPr>
      <w:r>
        <w:rPr>
          <w:rFonts w:hint="eastAsia" w:ascii="宋体" w:hAnsi="宋体" w:eastAsia="宋体" w:cs="宋体"/>
          <w:color w:val="auto"/>
          <w:highlight w:val="none"/>
        </w:rPr>
        <w:t>致：（采购人）</w:t>
      </w:r>
    </w:p>
    <w:p w14:paraId="35C4266A">
      <w:pPr>
        <w:ind w:firstLine="480" w:firstLineChars="200"/>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根据贵方</w:t>
      </w:r>
      <w:r>
        <w:rPr>
          <w:rFonts w:hint="eastAsia" w:ascii="宋体" w:hAnsi="宋体" w:eastAsia="宋体" w:cs="宋体"/>
          <w:color w:val="auto"/>
          <w:szCs w:val="24"/>
          <w:highlight w:val="none"/>
          <w:u w:val="single"/>
        </w:rPr>
        <w:t>（项目名称）（项目编号</w:t>
      </w:r>
      <w:r>
        <w:rPr>
          <w:rFonts w:hint="eastAsia" w:ascii="宋体" w:hAnsi="宋体" w:eastAsia="宋体" w:cs="宋体"/>
          <w:color w:val="auto"/>
          <w:szCs w:val="24"/>
          <w:highlight w:val="none"/>
          <w:u w:val="single"/>
          <w:lang w:val="en-US" w:eastAsia="zh-CN"/>
        </w:rPr>
        <w:t>/包号</w:t>
      </w:r>
      <w:r>
        <w:rPr>
          <w:rFonts w:hint="eastAsia" w:ascii="宋体" w:hAnsi="宋体" w:eastAsia="宋体" w:cs="宋体"/>
          <w:color w:val="auto"/>
          <w:szCs w:val="24"/>
          <w:highlight w:val="none"/>
          <w:u w:val="single"/>
        </w:rPr>
        <w:t>）</w:t>
      </w:r>
      <w:r>
        <w:rPr>
          <w:rFonts w:hint="eastAsia" w:ascii="宋体" w:hAnsi="宋体" w:eastAsia="宋体" w:cs="宋体"/>
          <w:color w:val="auto"/>
          <w:szCs w:val="24"/>
          <w:highlight w:val="none"/>
          <w:lang w:val="en-US" w:eastAsia="zh-CN"/>
        </w:rPr>
        <w:t>项目</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val="en-US" w:eastAsia="zh-CN"/>
        </w:rPr>
        <w:t>招标公告</w:t>
      </w:r>
      <w:r>
        <w:rPr>
          <w:rFonts w:hint="eastAsia" w:ascii="宋体" w:hAnsi="宋体" w:eastAsia="宋体" w:cs="宋体"/>
          <w:color w:val="auto"/>
          <w:szCs w:val="24"/>
          <w:highlight w:val="none"/>
        </w:rPr>
        <w:t>，签字代表</w:t>
      </w:r>
      <w:r>
        <w:rPr>
          <w:rFonts w:hint="eastAsia" w:ascii="宋体" w:hAnsi="宋体" w:eastAsia="宋体" w:cs="宋体"/>
          <w:color w:val="auto"/>
          <w:szCs w:val="24"/>
          <w:highlight w:val="none"/>
          <w:u w:val="single"/>
        </w:rPr>
        <w:t>（姓名、职务）</w:t>
      </w:r>
      <w:r>
        <w:rPr>
          <w:rFonts w:hint="eastAsia" w:ascii="宋体" w:hAnsi="宋体" w:eastAsia="宋体" w:cs="宋体"/>
          <w:color w:val="auto"/>
          <w:szCs w:val="24"/>
          <w:highlight w:val="none"/>
        </w:rPr>
        <w:t>经正式授权并代表投标人</w:t>
      </w:r>
      <w:r>
        <w:rPr>
          <w:rFonts w:hint="eastAsia" w:ascii="宋体" w:hAnsi="宋体" w:eastAsia="宋体" w:cs="宋体"/>
          <w:color w:val="auto"/>
          <w:szCs w:val="24"/>
          <w:highlight w:val="none"/>
          <w:u w:val="single"/>
        </w:rPr>
        <w:t>（投标人名称、地址）</w:t>
      </w:r>
      <w:r>
        <w:rPr>
          <w:rFonts w:hint="eastAsia" w:ascii="宋体" w:hAnsi="宋体" w:eastAsia="宋体" w:cs="宋体"/>
          <w:color w:val="auto"/>
          <w:szCs w:val="24"/>
          <w:highlight w:val="none"/>
        </w:rPr>
        <w:t>提交下述文件</w:t>
      </w:r>
      <w:r>
        <w:rPr>
          <w:rFonts w:hint="eastAsia" w:ascii="宋体" w:hAnsi="宋体" w:eastAsia="宋体" w:cs="宋体"/>
          <w:b/>
          <w:bCs/>
          <w:color w:val="auto"/>
          <w:szCs w:val="24"/>
          <w:highlight w:val="none"/>
        </w:rPr>
        <w:t>：</w:t>
      </w:r>
    </w:p>
    <w:p w14:paraId="21BBF032">
      <w:pPr>
        <w:numPr>
          <w:ilvl w:val="0"/>
          <w:numId w:val="0"/>
        </w:numPr>
        <w:spacing w:line="324"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Cs w:val="24"/>
          <w:highlight w:val="none"/>
        </w:rPr>
        <w:t>资格</w:t>
      </w:r>
      <w:r>
        <w:rPr>
          <w:rFonts w:hint="eastAsia" w:ascii="宋体" w:hAnsi="宋体" w:eastAsia="宋体" w:cs="宋体"/>
          <w:color w:val="auto"/>
          <w:szCs w:val="24"/>
          <w:highlight w:val="none"/>
          <w:lang w:val="en-US" w:eastAsia="zh-CN"/>
        </w:rPr>
        <w:t>证明</w:t>
      </w:r>
      <w:r>
        <w:rPr>
          <w:rFonts w:hint="eastAsia" w:ascii="宋体" w:hAnsi="宋体" w:eastAsia="宋体" w:cs="宋体"/>
          <w:color w:val="auto"/>
          <w:szCs w:val="24"/>
          <w:highlight w:val="none"/>
        </w:rPr>
        <w:t>文件；</w:t>
      </w:r>
    </w:p>
    <w:p w14:paraId="0A0EA079">
      <w:pPr>
        <w:numPr>
          <w:ilvl w:val="0"/>
          <w:numId w:val="0"/>
        </w:numPr>
        <w:spacing w:line="324"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Cs w:val="24"/>
          <w:highlight w:val="none"/>
        </w:rPr>
        <w:t>投标报价文件；</w:t>
      </w:r>
    </w:p>
    <w:p w14:paraId="7C008F28">
      <w:pPr>
        <w:numPr>
          <w:ilvl w:val="0"/>
          <w:numId w:val="0"/>
        </w:numPr>
        <w:spacing w:line="324"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Cs w:val="24"/>
          <w:highlight w:val="none"/>
          <w:lang w:val="en-US" w:eastAsia="zh-CN"/>
        </w:rPr>
        <w:t>商务技术</w:t>
      </w:r>
      <w:r>
        <w:rPr>
          <w:rFonts w:hint="eastAsia" w:ascii="宋体" w:hAnsi="宋体" w:eastAsia="宋体" w:cs="宋体"/>
          <w:color w:val="auto"/>
          <w:szCs w:val="24"/>
          <w:highlight w:val="none"/>
        </w:rPr>
        <w:t>文件。</w:t>
      </w:r>
    </w:p>
    <w:p w14:paraId="2038C573">
      <w:pPr>
        <w:spacing w:line="324"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根据此函，签字代表宣布同意如下：</w:t>
      </w:r>
    </w:p>
    <w:p w14:paraId="1AFE67BD">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Cs w:val="24"/>
          <w:highlight w:val="none"/>
        </w:rPr>
        <w:t>所附投标价格表中规定的应提交和交付的货物和</w:t>
      </w:r>
      <w:r>
        <w:rPr>
          <w:rFonts w:hint="eastAsia" w:ascii="宋体" w:hAnsi="宋体" w:eastAsia="宋体" w:cs="宋体"/>
          <w:color w:val="auto"/>
          <w:szCs w:val="24"/>
          <w:highlight w:val="none"/>
          <w:lang w:val="en-US" w:eastAsia="zh-CN"/>
        </w:rPr>
        <w:t>相关</w:t>
      </w:r>
      <w:r>
        <w:rPr>
          <w:rFonts w:hint="eastAsia" w:ascii="宋体" w:hAnsi="宋体" w:eastAsia="宋体" w:cs="宋体"/>
          <w:color w:val="auto"/>
          <w:szCs w:val="24"/>
          <w:highlight w:val="none"/>
        </w:rPr>
        <w:t>服务（如有）的</w:t>
      </w:r>
      <w:r>
        <w:rPr>
          <w:rFonts w:hint="eastAsia" w:cs="Arial"/>
          <w:i w:val="0"/>
          <w:iCs w:val="0"/>
          <w:color w:val="auto"/>
          <w:szCs w:val="24"/>
          <w:highlight w:val="none"/>
        </w:rPr>
        <w:t>报价</w:t>
      </w:r>
      <w:r>
        <w:rPr>
          <w:rFonts w:cs="Arial"/>
          <w:i w:val="0"/>
          <w:iCs w:val="0"/>
          <w:color w:val="auto"/>
          <w:szCs w:val="24"/>
          <w:highlight w:val="none"/>
        </w:rPr>
        <w:t>为</w:t>
      </w:r>
      <w:r>
        <w:rPr>
          <w:rFonts w:hint="eastAsia" w:cs="Arial"/>
          <w:i w:val="0"/>
          <w:iCs w:val="0"/>
          <w:color w:val="auto"/>
          <w:szCs w:val="24"/>
          <w:highlight w:val="none"/>
        </w:rPr>
        <w:t xml:space="preserve"> </w:t>
      </w:r>
      <w:r>
        <w:rPr>
          <w:rFonts w:hint="eastAsia" w:cs="Arial"/>
          <w:i w:val="0"/>
          <w:iCs w:val="0"/>
          <w:color w:val="auto"/>
          <w:szCs w:val="24"/>
          <w:highlight w:val="none"/>
          <w:u w:val="single"/>
        </w:rPr>
        <w:t xml:space="preserve">                  </w:t>
      </w:r>
      <w:r>
        <w:rPr>
          <w:rFonts w:cs="Arial"/>
          <w:i w:val="0"/>
          <w:iCs w:val="0"/>
          <w:color w:val="auto"/>
          <w:szCs w:val="24"/>
          <w:highlight w:val="none"/>
        </w:rPr>
        <w:t>。</w:t>
      </w:r>
    </w:p>
    <w:p w14:paraId="3FF1B405">
      <w:pPr>
        <w:numPr>
          <w:ilvl w:val="0"/>
          <w:numId w:val="0"/>
        </w:numPr>
        <w:spacing w:line="324"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Cs w:val="24"/>
          <w:highlight w:val="none"/>
        </w:rPr>
        <w:t>我方将按招标文件的规定履行合同责任和义务。</w:t>
      </w:r>
    </w:p>
    <w:p w14:paraId="464D767C">
      <w:pPr>
        <w:numPr>
          <w:ilvl w:val="0"/>
          <w:numId w:val="0"/>
        </w:numPr>
        <w:spacing w:line="324"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Cs w:val="24"/>
          <w:highlight w:val="none"/>
        </w:rPr>
        <w:t>我方已详细审查全部招标文件，包括第</w:t>
      </w:r>
      <w:r>
        <w:rPr>
          <w:rFonts w:hint="eastAsia" w:ascii="宋体" w:hAnsi="宋体" w:eastAsia="宋体" w:cs="宋体"/>
          <w:i w:val="0"/>
          <w:iCs/>
          <w:color w:val="auto"/>
          <w:szCs w:val="24"/>
          <w:highlight w:val="none"/>
          <w:u w:val="single"/>
        </w:rPr>
        <w:t>（编号、补遗书）（如果有的话）</w:t>
      </w:r>
      <w:r>
        <w:rPr>
          <w:rFonts w:hint="eastAsia" w:ascii="宋体" w:hAnsi="宋体" w:eastAsia="宋体" w:cs="宋体"/>
          <w:color w:val="auto"/>
          <w:szCs w:val="24"/>
          <w:highlight w:val="none"/>
        </w:rPr>
        <w:t>。我方完全理解并同意放弃对这方面有不明及误解的权力。</w:t>
      </w:r>
    </w:p>
    <w:p w14:paraId="70CAE828">
      <w:pPr>
        <w:numPr>
          <w:ilvl w:val="0"/>
          <w:numId w:val="0"/>
        </w:numPr>
        <w:spacing w:line="324"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Cs w:val="24"/>
          <w:highlight w:val="none"/>
        </w:rPr>
        <w:t>投标有效期为自提交投标文件的截止之日起</w:t>
      </w:r>
      <w:r>
        <w:rPr>
          <w:rFonts w:hint="eastAsia" w:ascii="宋体" w:hAnsi="宋体" w:eastAsia="宋体" w:cs="宋体"/>
          <w:i/>
          <w:color w:val="auto"/>
          <w:szCs w:val="24"/>
          <w:highlight w:val="none"/>
          <w:u w:val="single"/>
        </w:rPr>
        <w:t xml:space="preserve"> </w:t>
      </w:r>
      <w:r>
        <w:rPr>
          <w:rFonts w:hint="eastAsia" w:ascii="宋体" w:hAnsi="宋体" w:eastAsia="宋体" w:cs="宋体"/>
          <w:i w:val="0"/>
          <w:iCs/>
          <w:color w:val="auto"/>
          <w:szCs w:val="24"/>
          <w:highlight w:val="none"/>
          <w:u w:val="single"/>
        </w:rPr>
        <w:t>（由投标人填写）</w:t>
      </w:r>
      <w:r>
        <w:rPr>
          <w:rFonts w:hint="eastAsia" w:ascii="宋体" w:hAnsi="宋体" w:eastAsia="宋体" w:cs="宋体"/>
          <w:color w:val="auto"/>
          <w:szCs w:val="24"/>
          <w:highlight w:val="none"/>
        </w:rPr>
        <w:t>个日历天。</w:t>
      </w:r>
    </w:p>
    <w:p w14:paraId="52EDF2A7">
      <w:pPr>
        <w:numPr>
          <w:ilvl w:val="0"/>
          <w:numId w:val="0"/>
        </w:numPr>
        <w:spacing w:line="324"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Cs w:val="24"/>
          <w:highlight w:val="none"/>
        </w:rPr>
        <w:t>我方同意提供按照贵方</w:t>
      </w:r>
      <w:r>
        <w:rPr>
          <w:rFonts w:hint="eastAsia" w:ascii="宋体" w:hAnsi="宋体" w:eastAsia="宋体" w:cs="宋体"/>
          <w:color w:val="auto"/>
          <w:szCs w:val="24"/>
          <w:highlight w:val="none"/>
          <w:lang w:val="en-US" w:eastAsia="zh-CN"/>
        </w:rPr>
        <w:t>招标</w:t>
      </w:r>
      <w:r>
        <w:rPr>
          <w:rFonts w:hint="eastAsia" w:ascii="宋体" w:hAnsi="宋体" w:eastAsia="宋体" w:cs="宋体"/>
          <w:color w:val="auto"/>
          <w:szCs w:val="24"/>
          <w:highlight w:val="none"/>
        </w:rPr>
        <w:t>文件要求的与投标有关的一切数据或资料，采用综合评分法时，我方完全理解贵方不一定接受最低价的投标。</w:t>
      </w:r>
    </w:p>
    <w:p w14:paraId="3CF5A666">
      <w:pPr>
        <w:numPr>
          <w:ilvl w:val="0"/>
          <w:numId w:val="0"/>
        </w:numPr>
        <w:spacing w:line="324"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Cs w:val="24"/>
          <w:highlight w:val="none"/>
        </w:rPr>
        <w:t>重要声明：</w:t>
      </w:r>
    </w:p>
    <w:p w14:paraId="40AFB77A">
      <w:pPr>
        <w:snapToGrid w:val="0"/>
        <w:spacing w:line="324"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1）与我方单位负责人为同一人的其他单位名称：</w:t>
      </w:r>
    </w:p>
    <w:p w14:paraId="409D2F71">
      <w:pPr>
        <w:snapToGrid w:val="0"/>
        <w:spacing w:line="324" w:lineRule="auto"/>
        <w:ind w:left="456" w:leftChars="190" w:firstLine="355" w:firstLineChars="148"/>
        <w:rPr>
          <w:rFonts w:hint="eastAsia" w:ascii="宋体" w:hAnsi="宋体" w:eastAsia="宋体" w:cs="宋体"/>
          <w:i w:val="0"/>
          <w:iCs/>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无；</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有，具体单位名称为：</w:t>
      </w:r>
      <w:r>
        <w:rPr>
          <w:rFonts w:hint="eastAsia" w:ascii="宋体" w:hAnsi="宋体" w:eastAsia="宋体" w:cs="宋体"/>
          <w:i w:val="0"/>
          <w:iCs/>
          <w:color w:val="auto"/>
          <w:szCs w:val="24"/>
          <w:highlight w:val="none"/>
          <w:u w:val="single"/>
        </w:rPr>
        <w:t>（由投标人如实填写）</w:t>
      </w:r>
      <w:r>
        <w:rPr>
          <w:rFonts w:hint="eastAsia" w:ascii="宋体" w:hAnsi="宋体" w:eastAsia="宋体" w:cs="宋体"/>
          <w:i w:val="0"/>
          <w:iCs/>
          <w:color w:val="auto"/>
          <w:szCs w:val="24"/>
          <w:highlight w:val="none"/>
        </w:rPr>
        <w:t>。</w:t>
      </w:r>
    </w:p>
    <w:p w14:paraId="0B2F52C6">
      <w:pPr>
        <w:snapToGrid w:val="0"/>
        <w:spacing w:line="324" w:lineRule="auto"/>
        <w:ind w:firstLine="480" w:firstLineChars="200"/>
        <w:rPr>
          <w:rFonts w:hint="eastAsia" w:ascii="宋体" w:hAnsi="宋体" w:eastAsia="宋体" w:cs="宋体"/>
          <w:i w:val="0"/>
          <w:iCs/>
          <w:color w:val="auto"/>
          <w:szCs w:val="24"/>
          <w:highlight w:val="none"/>
        </w:rPr>
      </w:pPr>
      <w:r>
        <w:rPr>
          <w:rFonts w:hint="eastAsia" w:ascii="宋体" w:hAnsi="宋体" w:eastAsia="宋体" w:cs="宋体"/>
          <w:i w:val="0"/>
          <w:iCs/>
          <w:color w:val="auto"/>
          <w:szCs w:val="24"/>
          <w:highlight w:val="none"/>
        </w:rPr>
        <w:t>2）与我方存在控股、管理关系的其他单位的名称：</w:t>
      </w:r>
    </w:p>
    <w:p w14:paraId="3BE8BBB8">
      <w:pPr>
        <w:snapToGrid w:val="0"/>
        <w:spacing w:line="324" w:lineRule="auto"/>
        <w:ind w:left="456" w:leftChars="190" w:firstLine="355" w:firstLineChars="148"/>
        <w:rPr>
          <w:rFonts w:hint="eastAsia" w:ascii="宋体" w:hAnsi="宋体" w:eastAsia="宋体" w:cs="宋体"/>
          <w:color w:val="auto"/>
          <w:szCs w:val="24"/>
          <w:highlight w:val="none"/>
        </w:rPr>
      </w:pPr>
      <w:r>
        <w:rPr>
          <w:rFonts w:hint="eastAsia" w:ascii="宋体" w:hAnsi="宋体" w:eastAsia="宋体" w:cs="宋体"/>
          <w:i w:val="0"/>
          <w:iCs/>
          <w:color w:val="auto"/>
          <w:szCs w:val="24"/>
          <w:highlight w:val="none"/>
          <w:lang w:eastAsia="zh-CN"/>
        </w:rPr>
        <w:t>□</w:t>
      </w:r>
      <w:r>
        <w:rPr>
          <w:rFonts w:hint="eastAsia" w:ascii="宋体" w:hAnsi="宋体" w:eastAsia="宋体" w:cs="宋体"/>
          <w:i w:val="0"/>
          <w:iCs/>
          <w:color w:val="auto"/>
          <w:szCs w:val="24"/>
          <w:highlight w:val="none"/>
        </w:rPr>
        <w:t xml:space="preserve">无；□有，具体单位名称为： </w:t>
      </w:r>
      <w:r>
        <w:rPr>
          <w:rFonts w:hint="eastAsia" w:ascii="宋体" w:hAnsi="宋体" w:eastAsia="宋体" w:cs="宋体"/>
          <w:i w:val="0"/>
          <w:iCs/>
          <w:color w:val="auto"/>
          <w:szCs w:val="24"/>
          <w:highlight w:val="none"/>
          <w:u w:val="single"/>
        </w:rPr>
        <w:t>（由投标人如实填写）</w:t>
      </w:r>
      <w:r>
        <w:rPr>
          <w:rFonts w:hint="eastAsia" w:ascii="宋体" w:hAnsi="宋体" w:eastAsia="宋体" w:cs="宋体"/>
          <w:color w:val="auto"/>
          <w:szCs w:val="24"/>
          <w:highlight w:val="none"/>
        </w:rPr>
        <w:t>。</w:t>
      </w:r>
    </w:p>
    <w:p w14:paraId="1103F8A2">
      <w:pPr>
        <w:snapToGrid w:val="0"/>
        <w:spacing w:line="324"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无；□有，已提供的具体服务内容为：</w:t>
      </w:r>
      <w:r>
        <w:rPr>
          <w:rFonts w:hint="eastAsia" w:ascii="宋体" w:hAnsi="宋体" w:eastAsia="宋体" w:cs="宋体"/>
          <w:i w:val="0"/>
          <w:iCs w:val="0"/>
          <w:color w:val="auto"/>
          <w:szCs w:val="24"/>
          <w:highlight w:val="none"/>
        </w:rPr>
        <w:t xml:space="preserve"> </w:t>
      </w:r>
      <w:r>
        <w:rPr>
          <w:rFonts w:hint="eastAsia" w:ascii="宋体" w:hAnsi="宋体" w:eastAsia="宋体" w:cs="宋体"/>
          <w:i w:val="0"/>
          <w:iCs w:val="0"/>
          <w:color w:val="auto"/>
          <w:szCs w:val="24"/>
          <w:highlight w:val="none"/>
          <w:u w:val="single"/>
        </w:rPr>
        <w:t>（由投标人如实填写）</w:t>
      </w:r>
      <w:r>
        <w:rPr>
          <w:rFonts w:hint="eastAsia" w:ascii="宋体" w:hAnsi="宋体" w:eastAsia="宋体" w:cs="宋体"/>
          <w:color w:val="auto"/>
          <w:szCs w:val="24"/>
          <w:highlight w:val="none"/>
        </w:rPr>
        <w:t>。</w:t>
      </w:r>
    </w:p>
    <w:p w14:paraId="4FC84088">
      <w:pPr>
        <w:spacing w:line="324"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（备注：以上3项声明，必须如实选择，选中项用</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bookmarkStart w:id="711" w:name="_Hlk161604053"/>
      <w:r>
        <w:rPr>
          <w:rFonts w:hint="eastAsia" w:ascii="宋体" w:hAnsi="宋体" w:eastAsia="宋体" w:cs="宋体"/>
          <w:color w:val="auto"/>
          <w:szCs w:val="24"/>
          <w:highlight w:val="none"/>
        </w:rPr>
        <w:t>我方承诺本《投标函》的签章对本投标文件全部内容具有约束力并承担法律责任。</w:t>
      </w:r>
      <w:bookmarkEnd w:id="711"/>
    </w:p>
    <w:p w14:paraId="2A195747">
      <w:pPr>
        <w:spacing w:line="300" w:lineRule="auto"/>
        <w:rPr>
          <w:rFonts w:hint="eastAsia" w:ascii="宋体" w:hAnsi="宋体" w:eastAsia="宋体" w:cs="宋体"/>
          <w:color w:val="auto"/>
          <w:szCs w:val="24"/>
          <w:highlight w:val="none"/>
        </w:rPr>
      </w:pPr>
    </w:p>
    <w:p w14:paraId="3F664789">
      <w:pPr>
        <w:spacing w:line="300" w:lineRule="auto"/>
        <w:rPr>
          <w:rFonts w:hint="eastAsia" w:ascii="宋体" w:hAnsi="宋体" w:eastAsia="宋体" w:cs="宋体"/>
          <w:color w:val="auto"/>
          <w:szCs w:val="24"/>
          <w:highlight w:val="none"/>
        </w:rPr>
      </w:pPr>
    </w:p>
    <w:p w14:paraId="6C365FF0">
      <w:pPr>
        <w:spacing w:line="300" w:lineRule="auto"/>
        <w:rPr>
          <w:rFonts w:hint="eastAsia" w:ascii="宋体" w:hAnsi="宋体" w:eastAsia="宋体" w:cs="宋体"/>
          <w:color w:val="auto"/>
          <w:szCs w:val="24"/>
          <w:highlight w:val="none"/>
        </w:rPr>
      </w:pPr>
    </w:p>
    <w:p w14:paraId="448666AB">
      <w:pPr>
        <w:autoSpaceDE w:val="0"/>
        <w:autoSpaceDN w:val="0"/>
        <w:adjustRightInd w:val="0"/>
        <w:snapToGrid w:val="0"/>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投标人名称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p>
    <w:p w14:paraId="4CCC9D16">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通  讯  地  址：</w:t>
      </w:r>
    </w:p>
    <w:p w14:paraId="268281DA">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传          真：</w:t>
      </w:r>
    </w:p>
    <w:p w14:paraId="0A396883">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电          话：</w:t>
      </w:r>
    </w:p>
    <w:p w14:paraId="21203E4D">
      <w:pPr>
        <w:autoSpaceDE w:val="0"/>
        <w:autoSpaceDN w:val="0"/>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授  权  代  表：</w:t>
      </w:r>
    </w:p>
    <w:p w14:paraId="63C92097">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日           期：</w:t>
      </w:r>
    </w:p>
    <w:p w14:paraId="6674502E">
      <w:pPr>
        <w:rPr>
          <w:rFonts w:hint="eastAsia" w:ascii="宋体" w:hAnsi="宋体" w:eastAsia="宋体" w:cs="宋体"/>
          <w:color w:val="auto"/>
          <w:szCs w:val="24"/>
          <w:highlight w:val="none"/>
          <w:u w:val="single"/>
        </w:rPr>
      </w:pPr>
    </w:p>
    <w:p w14:paraId="478BFBB8">
      <w:pP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br w:type="page"/>
      </w:r>
    </w:p>
    <w:p w14:paraId="24B4BD65">
      <w:pPr>
        <w:pStyle w:val="3"/>
        <w:bidi w:val="0"/>
        <w:jc w:val="center"/>
        <w:rPr>
          <w:rFonts w:hint="eastAsia" w:ascii="宋体" w:hAnsi="宋体" w:eastAsia="宋体" w:cs="宋体"/>
          <w:highlight w:val="none"/>
          <w:lang w:val="en-US" w:eastAsia="zh-CN"/>
        </w:rPr>
      </w:pPr>
      <w:bookmarkStart w:id="712" w:name="_Toc155185924"/>
      <w:bookmarkStart w:id="713" w:name="_Toc7151"/>
      <w:bookmarkStart w:id="714" w:name="_Toc24486"/>
      <w:r>
        <w:rPr>
          <w:rFonts w:hint="eastAsia" w:ascii="宋体" w:hAnsi="宋体" w:eastAsia="宋体" w:cs="宋体"/>
          <w:highlight w:val="none"/>
          <w:lang w:val="en-US" w:eastAsia="zh-CN"/>
        </w:rPr>
        <w:t>二、法定代表人（单位负责人）身份证明</w:t>
      </w:r>
      <w:bookmarkEnd w:id="712"/>
      <w:bookmarkEnd w:id="713"/>
      <w:bookmarkEnd w:id="714"/>
    </w:p>
    <w:p w14:paraId="46CF1AA3">
      <w:pPr>
        <w:spacing w:line="48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致：（采购人或采购代理机构） </w:t>
      </w:r>
    </w:p>
    <w:p w14:paraId="3DE52D6F">
      <w:pPr>
        <w:spacing w:line="480" w:lineRule="auto"/>
        <w:ind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兹证明， </w:t>
      </w:r>
    </w:p>
    <w:p w14:paraId="1D36B9E0">
      <w:pPr>
        <w:spacing w:line="48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姓名：____性别：____年龄：____职务：____ </w:t>
      </w:r>
    </w:p>
    <w:p w14:paraId="38746EB6">
      <w:pPr>
        <w:spacing w:line="48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系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en-US" w:eastAsia="zh-CN"/>
        </w:rPr>
        <w:t xml:space="preserve">（投标人名称）的法定代表人（单位负责人）。 </w:t>
      </w:r>
    </w:p>
    <w:p w14:paraId="3B002BC6">
      <w:pPr>
        <w:spacing w:line="48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hint="eastAsia" w:ascii="宋体" w:hAnsi="宋体" w:eastAsia="宋体" w:cs="宋体"/>
          <w:color w:val="auto"/>
          <w:szCs w:val="24"/>
          <w:highlight w:val="none"/>
        </w:rPr>
      </w:pPr>
    </w:p>
    <w:p w14:paraId="473563CD">
      <w:pPr>
        <w:rPr>
          <w:rFonts w:hint="eastAsia" w:ascii="宋体" w:hAnsi="宋体" w:eastAsia="宋体" w:cs="宋体"/>
          <w:color w:val="auto"/>
          <w:sz w:val="21"/>
          <w:szCs w:val="21"/>
          <w:highlight w:val="none"/>
        </w:rPr>
      </w:pPr>
    </w:p>
    <w:tbl>
      <w:tblPr>
        <w:tblStyle w:val="3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hint="eastAsia" w:ascii="宋体" w:hAnsi="宋体" w:eastAsia="宋体" w:cs="宋体"/>
                <w:color w:val="auto"/>
                <w:highlight w:val="none"/>
              </w:rPr>
            </w:pPr>
          </w:p>
        </w:tc>
      </w:tr>
    </w:tbl>
    <w:p w14:paraId="76B5C725">
      <w:pPr>
        <w:ind w:firstLine="840" w:firstLineChars="350"/>
        <w:jc w:val="center"/>
        <w:rPr>
          <w:rFonts w:hint="eastAsia" w:ascii="宋体" w:hAnsi="宋体" w:eastAsia="宋体" w:cs="宋体"/>
          <w:color w:val="auto"/>
          <w:highlight w:val="none"/>
        </w:rPr>
      </w:pPr>
    </w:p>
    <w:p w14:paraId="4AD74708">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 xml:space="preserve">：________________ </w:t>
      </w:r>
    </w:p>
    <w:p w14:paraId="364A1245">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日期：_____年______月______日</w:t>
      </w:r>
    </w:p>
    <w:p w14:paraId="6948CD78">
      <w:pPr>
        <w:rPr>
          <w:rFonts w:hint="eastAsia" w:ascii="宋体" w:hAnsi="宋体" w:eastAsia="宋体" w:cs="宋体"/>
          <w:b/>
          <w:color w:val="auto"/>
          <w:sz w:val="28"/>
          <w:szCs w:val="28"/>
          <w:highlight w:val="none"/>
        </w:rPr>
      </w:pPr>
    </w:p>
    <w:p w14:paraId="04FDD70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EEE8A23">
      <w:pPr>
        <w:pStyle w:val="3"/>
        <w:bidi w:val="0"/>
        <w:jc w:val="center"/>
        <w:rPr>
          <w:rFonts w:hint="eastAsia" w:ascii="宋体" w:hAnsi="宋体" w:eastAsia="宋体" w:cs="宋体"/>
          <w:highlight w:val="none"/>
          <w:lang w:val="en-US" w:eastAsia="zh-CN"/>
        </w:rPr>
      </w:pPr>
      <w:bookmarkStart w:id="715" w:name="_Toc13994"/>
      <w:bookmarkStart w:id="716" w:name="_Toc31191"/>
      <w:bookmarkStart w:id="717" w:name="_Toc155185925"/>
      <w:r>
        <w:rPr>
          <w:rFonts w:hint="eastAsia" w:ascii="宋体" w:hAnsi="宋体" w:eastAsia="宋体" w:cs="宋体"/>
          <w:highlight w:val="none"/>
          <w:lang w:val="en-US" w:eastAsia="zh-CN"/>
        </w:rPr>
        <w:t>三、授权委托书</w:t>
      </w:r>
      <w:bookmarkEnd w:id="715"/>
      <w:bookmarkEnd w:id="716"/>
      <w:bookmarkEnd w:id="717"/>
    </w:p>
    <w:p w14:paraId="593F068D">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none"/>
        </w:rPr>
        <w:t>（姓名）</w:t>
      </w:r>
      <w:r>
        <w:rPr>
          <w:rFonts w:hint="eastAsia" w:ascii="宋体" w:hAnsi="宋体" w:eastAsia="宋体" w:cs="宋体"/>
          <w:color w:val="auto"/>
          <w:szCs w:val="24"/>
          <w:highlight w:val="none"/>
        </w:rPr>
        <w:t>系</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none"/>
        </w:rPr>
        <w:t>（投标人名称）</w:t>
      </w:r>
      <w:r>
        <w:rPr>
          <w:rFonts w:hint="eastAsia" w:ascii="宋体" w:hAnsi="宋体" w:eastAsia="宋体" w:cs="宋体"/>
          <w:color w:val="auto"/>
          <w:szCs w:val="24"/>
          <w:highlight w:val="none"/>
        </w:rPr>
        <w:t>的法定代表人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负责人）</w:t>
      </w:r>
      <w:r>
        <w:rPr>
          <w:rFonts w:hint="eastAsia" w:ascii="宋体" w:hAnsi="宋体" w:eastAsia="宋体" w:cs="宋体"/>
          <w:color w:val="auto"/>
          <w:szCs w:val="24"/>
          <w:highlight w:val="none"/>
        </w:rPr>
        <w:t>，现委托</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（姓名）为我方代理人。代理人根据授权，以我方名义签署、澄清</w:t>
      </w:r>
      <w:r>
        <w:rPr>
          <w:rFonts w:hint="eastAsia" w:ascii="宋体" w:hAnsi="宋体" w:eastAsia="宋体" w:cs="宋体"/>
          <w:color w:val="auto"/>
          <w:szCs w:val="24"/>
          <w:highlight w:val="none"/>
          <w:lang w:val="en-US" w:eastAsia="zh-CN"/>
        </w:rPr>
        <w:t>确认</w:t>
      </w:r>
      <w:r>
        <w:rPr>
          <w:rFonts w:hint="eastAsia" w:ascii="宋体" w:hAnsi="宋体" w:eastAsia="宋体" w:cs="宋体"/>
          <w:color w:val="auto"/>
          <w:szCs w:val="24"/>
          <w:highlight w:val="none"/>
        </w:rPr>
        <w:t>、说明、补正、递交、撤回、修改</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（项目名称）投标文件、签订合同和处理有关事宜，其法律后果由我方承担。</w:t>
      </w:r>
    </w:p>
    <w:p w14:paraId="56B80D1C">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委托期限：</w:t>
      </w:r>
      <w:r>
        <w:rPr>
          <w:rFonts w:hint="eastAsia" w:ascii="宋体" w:hAnsi="宋体" w:eastAsia="宋体" w:cs="宋体"/>
          <w:color w:val="auto"/>
          <w:szCs w:val="24"/>
          <w:highlight w:val="none"/>
          <w:lang w:val="en-US" w:eastAsia="zh-CN"/>
        </w:rPr>
        <w:t>自本授权委托书签署之日起至投标有效期届满之日止。</w:t>
      </w:r>
    </w:p>
    <w:p w14:paraId="0A605ABE">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eastAsia="zh-CN" w:bidi="ar"/>
        </w:rPr>
        <w:t>委托代理人（签字或</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：________________    联系电话：________</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日期：_____年______月______日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3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hint="eastAsia" w:ascii="宋体" w:hAnsi="宋体" w:eastAsia="宋体" w:cs="宋体"/>
                <w:color w:val="auto"/>
                <w:highlight w:val="none"/>
              </w:rPr>
            </w:pPr>
          </w:p>
        </w:tc>
      </w:tr>
    </w:tbl>
    <w:p w14:paraId="003FC2D7">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说明： </w:t>
      </w:r>
    </w:p>
    <w:p w14:paraId="6A6FAC65">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2.若投标文件中签字之处均为法定代表人（单位负责人）本人签署，则可不提供本《授权委托书》，但须提供《法定代表人（单位负责人）身份证明》。 </w:t>
      </w:r>
    </w:p>
    <w:p w14:paraId="7D81952A">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3.投标人为自然人的情形，可不提供本《授权委托书》。 </w:t>
      </w:r>
    </w:p>
    <w:p w14:paraId="16E91B57">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4.投标人应随本《授权委托书》同时提供法定代表人（单位负责人）及委托代理人的有效的身份证、护照等身份证明文件电子件。提供身份证的，应同时提供身份证</w:t>
      </w:r>
      <w:r>
        <w:rPr>
          <w:rFonts w:hint="eastAsia" w:ascii="宋体" w:hAnsi="宋体" w:eastAsia="宋体" w:cs="宋体"/>
          <w:b/>
          <w:bCs/>
          <w:color w:val="auto"/>
          <w:szCs w:val="24"/>
          <w:highlight w:val="none"/>
          <w:lang w:val="en-US" w:eastAsia="zh-CN"/>
        </w:rPr>
        <w:t>双面</w:t>
      </w:r>
      <w:r>
        <w:rPr>
          <w:rFonts w:hint="eastAsia" w:ascii="宋体" w:hAnsi="宋体" w:eastAsia="宋体" w:cs="宋体"/>
          <w:color w:val="auto"/>
          <w:szCs w:val="24"/>
          <w:highlight w:val="none"/>
          <w:lang w:val="en-US" w:eastAsia="zh-CN"/>
        </w:rPr>
        <w:t>电子件。</w:t>
      </w:r>
    </w:p>
    <w:p w14:paraId="0B2EBA1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7D25C9">
      <w:pPr>
        <w:pStyle w:val="3"/>
        <w:bidi w:val="0"/>
        <w:jc w:val="center"/>
        <w:rPr>
          <w:rFonts w:hint="eastAsia" w:ascii="宋体" w:hAnsi="宋体" w:eastAsia="宋体" w:cs="宋体"/>
          <w:highlight w:val="none"/>
          <w:lang w:val="en-US" w:eastAsia="zh-CN"/>
        </w:rPr>
      </w:pPr>
      <w:bookmarkStart w:id="718" w:name="_Toc163492928"/>
      <w:bookmarkStart w:id="719" w:name="_Toc155185934"/>
      <w:bookmarkStart w:id="720" w:name="_Toc11798"/>
      <w:bookmarkStart w:id="721" w:name="_Toc7753"/>
      <w:r>
        <w:rPr>
          <w:rFonts w:hint="eastAsia" w:ascii="宋体" w:hAnsi="宋体" w:eastAsia="宋体" w:cs="宋体"/>
          <w:highlight w:val="none"/>
          <w:lang w:val="en-US" w:eastAsia="zh-CN"/>
        </w:rPr>
        <w:t>四、</w:t>
      </w:r>
      <w:bookmarkEnd w:id="718"/>
      <w:bookmarkEnd w:id="719"/>
      <w:r>
        <w:rPr>
          <w:rFonts w:hint="eastAsia" w:ascii="宋体" w:hAnsi="宋体" w:eastAsia="宋体" w:cs="宋体"/>
          <w:highlight w:val="none"/>
          <w:lang w:val="zh-CN" w:eastAsia="zh-CN"/>
        </w:rPr>
        <w:t>政府采购</w:t>
      </w:r>
      <w:r>
        <w:rPr>
          <w:rFonts w:hint="eastAsia" w:ascii="宋体" w:hAnsi="宋体" w:eastAsia="宋体" w:cs="宋体"/>
          <w:highlight w:val="none"/>
          <w:lang w:val="en-US" w:eastAsia="zh-CN"/>
        </w:rPr>
        <w:t>投标人</w:t>
      </w:r>
      <w:r>
        <w:rPr>
          <w:rFonts w:hint="eastAsia" w:ascii="宋体" w:hAnsi="宋体" w:eastAsia="宋体" w:cs="宋体"/>
          <w:highlight w:val="none"/>
          <w:lang w:val="zh-CN" w:eastAsia="zh-CN"/>
        </w:rPr>
        <w:t>廉洁自律承诺书</w:t>
      </w:r>
      <w:bookmarkEnd w:id="720"/>
      <w:bookmarkEnd w:id="721"/>
    </w:p>
    <w:p w14:paraId="2AB445CF">
      <w:pPr>
        <w:pStyle w:val="15"/>
        <w:rPr>
          <w:rFonts w:hint="eastAsia" w:ascii="宋体" w:hAnsi="宋体" w:eastAsia="宋体" w:cs="宋体"/>
          <w:color w:val="auto"/>
          <w:highlight w:val="none"/>
        </w:rPr>
      </w:pPr>
    </w:p>
    <w:p w14:paraId="2CE177B4">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（采购人）、（采购代理机构）</w:t>
      </w:r>
      <w:r>
        <w:rPr>
          <w:rFonts w:hint="eastAsia" w:ascii="宋体" w:hAnsi="宋体" w:eastAsia="宋体" w:cs="宋体"/>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我单位响应你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项目招标要求参加投标。在这次投标过程中和中标后，我们将严格遵守国家法律法规要求，并郑重承诺：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六、严格遵守《中华人民共和国政府采购法》《中华人民共和国政府采购法</w:t>
      </w:r>
      <w:r>
        <w:rPr>
          <w:rFonts w:hint="eastAsia" w:ascii="宋体" w:hAnsi="宋体" w:eastAsia="宋体" w:cs="宋体"/>
          <w:color w:val="auto"/>
          <w:kern w:val="0"/>
          <w:sz w:val="24"/>
          <w:szCs w:val="24"/>
          <w:highlight w:val="none"/>
          <w:lang w:val="en-US" w:eastAsia="zh-CN"/>
        </w:rPr>
        <w:t>实施条例</w:t>
      </w:r>
      <w:r>
        <w:rPr>
          <w:rFonts w:hint="eastAsia" w:ascii="宋体" w:hAnsi="宋体" w:eastAsia="宋体" w:cs="宋体"/>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eastAsia="宋体" w:cs="宋体"/>
          <w:color w:val="auto"/>
          <w:kern w:val="0"/>
          <w:sz w:val="24"/>
          <w:szCs w:val="24"/>
          <w:highlight w:val="none"/>
          <w:lang w:val="en-US" w:eastAsia="zh-CN"/>
        </w:rPr>
        <w:t>财政局</w:t>
      </w:r>
      <w:r>
        <w:rPr>
          <w:rFonts w:hint="eastAsia" w:ascii="宋体" w:hAnsi="宋体" w:eastAsia="宋体" w:cs="宋体"/>
          <w:color w:val="auto"/>
          <w:kern w:val="0"/>
          <w:sz w:val="24"/>
          <w:szCs w:val="24"/>
          <w:highlight w:val="none"/>
          <w:lang w:val="zh-CN"/>
        </w:rPr>
        <w:t>。由此引起的相应损失均由我单位承担。</w:t>
      </w:r>
    </w:p>
    <w:p w14:paraId="5E22ECB4">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0914ACDE">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02E01AF0">
      <w:pPr>
        <w:autoSpaceDE w:val="0"/>
        <w:autoSpaceDN w:val="0"/>
        <w:spacing w:line="360" w:lineRule="auto"/>
        <w:ind w:left="2"/>
        <w:jc w:val="left"/>
        <w:rPr>
          <w:rFonts w:hint="eastAsia" w:ascii="宋体" w:hAnsi="宋体" w:eastAsia="宋体" w:cs="宋体"/>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val="zh-CN"/>
        </w:rPr>
        <w:t xml:space="preserve">：                                                                                                                                                                                                               </w:t>
      </w:r>
    </w:p>
    <w:p w14:paraId="0FD8A2DC">
      <w:pPr>
        <w:ind w:firstLine="4560" w:firstLineChars="19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5AA40BF9">
      <w:pPr>
        <w:rPr>
          <w:rFonts w:hint="eastAsia" w:ascii="宋体" w:hAnsi="宋体" w:eastAsia="宋体" w:cs="宋体"/>
          <w:b/>
          <w:bCs/>
          <w:color w:val="auto"/>
          <w:kern w:val="2"/>
          <w:sz w:val="24"/>
          <w:szCs w:val="24"/>
          <w:highlight w:val="none"/>
          <w:lang w:val="en-US" w:eastAsia="zh-CN" w:bidi="ar-SA"/>
        </w:rPr>
      </w:pPr>
    </w:p>
    <w:p w14:paraId="2917743B">
      <w:pPr>
        <w:pStyle w:val="15"/>
        <w:rPr>
          <w:rFonts w:hint="eastAsia" w:ascii="宋体" w:hAnsi="宋体" w:eastAsia="宋体" w:cs="宋体"/>
          <w:b/>
          <w:bCs/>
          <w:color w:val="auto"/>
          <w:kern w:val="2"/>
          <w:sz w:val="24"/>
          <w:szCs w:val="24"/>
          <w:highlight w:val="none"/>
          <w:lang w:val="en-US" w:eastAsia="zh-CN" w:bidi="ar-SA"/>
        </w:rPr>
      </w:pPr>
    </w:p>
    <w:p w14:paraId="2CC927CA">
      <w:pPr>
        <w:pStyle w:val="15"/>
        <w:rPr>
          <w:rFonts w:hint="eastAsia" w:ascii="宋体" w:hAnsi="宋体" w:eastAsia="宋体" w:cs="宋体"/>
          <w:b/>
          <w:bCs/>
          <w:color w:val="auto"/>
          <w:kern w:val="2"/>
          <w:sz w:val="24"/>
          <w:szCs w:val="24"/>
          <w:highlight w:val="none"/>
          <w:lang w:val="en-US" w:eastAsia="zh-CN" w:bidi="ar-SA"/>
        </w:rPr>
      </w:pPr>
    </w:p>
    <w:p w14:paraId="18FDCDE0">
      <w:pPr>
        <w:pStyle w:val="15"/>
        <w:rPr>
          <w:rFonts w:hint="eastAsia" w:ascii="宋体" w:hAnsi="宋体" w:eastAsia="宋体" w:cs="宋体"/>
          <w:b/>
          <w:bCs/>
          <w:color w:val="auto"/>
          <w:kern w:val="2"/>
          <w:sz w:val="24"/>
          <w:szCs w:val="24"/>
          <w:highlight w:val="none"/>
          <w:lang w:val="en-US" w:eastAsia="zh-CN" w:bidi="ar-SA"/>
        </w:rPr>
      </w:pPr>
    </w:p>
    <w:p w14:paraId="74E8B7C7">
      <w:pPr>
        <w:pStyle w:val="3"/>
        <w:bidi w:val="0"/>
        <w:jc w:val="center"/>
        <w:rPr>
          <w:rFonts w:hint="eastAsia" w:ascii="宋体" w:hAnsi="宋体" w:eastAsia="宋体" w:cs="宋体"/>
          <w:highlight w:val="none"/>
          <w:lang w:val="en-US" w:eastAsia="zh-CN"/>
        </w:rPr>
      </w:pPr>
      <w:bookmarkStart w:id="722" w:name="_Toc20842"/>
      <w:bookmarkStart w:id="723" w:name="_Toc25996"/>
      <w:r>
        <w:rPr>
          <w:rFonts w:hint="eastAsia" w:ascii="宋体" w:hAnsi="宋体" w:eastAsia="宋体" w:cs="宋体"/>
          <w:highlight w:val="none"/>
          <w:lang w:val="en-US" w:eastAsia="zh-CN"/>
        </w:rPr>
        <w:t>五、</w:t>
      </w:r>
      <w:r>
        <w:rPr>
          <w:rFonts w:hint="eastAsia" w:ascii="宋体" w:hAnsi="宋体" w:eastAsia="宋体" w:cs="宋体"/>
          <w:highlight w:val="none"/>
          <w:lang w:val="zh-CN" w:eastAsia="zh-CN"/>
        </w:rPr>
        <w:t>实质性响应一览表【</w:t>
      </w:r>
      <w:r>
        <w:rPr>
          <w:rFonts w:hint="eastAsia" w:ascii="宋体" w:hAnsi="宋体" w:eastAsia="宋体" w:cs="宋体"/>
          <w:highlight w:val="none"/>
          <w:lang w:val="en-US" w:eastAsia="zh-CN"/>
        </w:rPr>
        <w:t>本表须与第五章的一致】</w:t>
      </w:r>
      <w:bookmarkEnd w:id="722"/>
      <w:bookmarkEnd w:id="723"/>
    </w:p>
    <w:p w14:paraId="3FC7E450">
      <w:pPr>
        <w:shd w:val="clear" w:color="auto" w:fill="FFFFFF"/>
        <w:tabs>
          <w:tab w:val="left" w:pos="3045"/>
        </w:tabs>
        <w:autoSpaceDE w:val="0"/>
        <w:autoSpaceDN w:val="0"/>
        <w:adjustRightInd w:val="0"/>
        <w:snapToGrid w:val="0"/>
        <w:spacing w:line="36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投标人</w:t>
      </w:r>
      <w:r>
        <w:rPr>
          <w:rFonts w:hint="eastAsia" w:ascii="宋体" w:hAnsi="宋体" w:eastAsia="宋体" w:cs="宋体"/>
          <w:b w:val="0"/>
          <w:bCs/>
          <w:color w:val="auto"/>
          <w:sz w:val="24"/>
          <w:highlight w:val="none"/>
        </w:rPr>
        <w:t>须对本附表所有内容逐条响应且无负偏离，否则</w:t>
      </w:r>
      <w:r>
        <w:rPr>
          <w:rFonts w:hint="eastAsia" w:ascii="宋体" w:hAnsi="宋体" w:eastAsia="宋体" w:cs="宋体"/>
          <w:b w:val="0"/>
          <w:bCs/>
          <w:color w:val="auto"/>
          <w:sz w:val="24"/>
          <w:highlight w:val="none"/>
          <w:lang w:val="en-US" w:eastAsia="zh-CN"/>
        </w:rPr>
        <w:t>其</w:t>
      </w:r>
      <w:r>
        <w:rPr>
          <w:rFonts w:hint="eastAsia" w:ascii="宋体" w:hAnsi="宋体" w:eastAsia="宋体" w:cs="宋体"/>
          <w:b/>
          <w:bCs w:val="0"/>
          <w:color w:val="auto"/>
          <w:sz w:val="24"/>
          <w:highlight w:val="none"/>
        </w:rPr>
        <w:t>投标无效</w:t>
      </w:r>
      <w:r>
        <w:rPr>
          <w:rFonts w:hint="eastAsia" w:ascii="宋体" w:hAnsi="宋体" w:eastAsia="宋体" w:cs="宋体"/>
          <w:b w:val="0"/>
          <w:bCs/>
          <w:color w:val="auto"/>
          <w:sz w:val="24"/>
          <w:highlight w:val="none"/>
        </w:rPr>
        <w:t>）</w:t>
      </w:r>
    </w:p>
    <w:p w14:paraId="3B3C031E">
      <w:pPr>
        <w:pStyle w:val="26"/>
        <w:rPr>
          <w:rFonts w:hint="eastAsia" w:ascii="宋体" w:hAnsi="宋体" w:eastAsia="宋体" w:cs="宋体"/>
          <w:color w:val="auto"/>
          <w:highlight w:val="none"/>
        </w:rPr>
      </w:pPr>
    </w:p>
    <w:tbl>
      <w:tblPr>
        <w:tblStyle w:val="32"/>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3744"/>
        <w:gridCol w:w="1956"/>
        <w:gridCol w:w="924"/>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noWrap w:val="0"/>
            <w:vAlign w:val="center"/>
          </w:tcPr>
          <w:p w14:paraId="101C8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8" w:type="pct"/>
            <w:gridSpan w:val="2"/>
            <w:noWrap w:val="0"/>
            <w:vAlign w:val="center"/>
          </w:tcPr>
          <w:p w14:paraId="02D605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文件要求的实质性响应内容</w:t>
            </w:r>
          </w:p>
        </w:tc>
        <w:tc>
          <w:tcPr>
            <w:tcW w:w="1083" w:type="pct"/>
            <w:vMerge w:val="restart"/>
            <w:noWrap w:val="0"/>
            <w:vAlign w:val="center"/>
          </w:tcPr>
          <w:p w14:paraId="56144F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511" w:type="pct"/>
            <w:vMerge w:val="restart"/>
            <w:noWrap w:val="0"/>
            <w:vAlign w:val="center"/>
          </w:tcPr>
          <w:p w14:paraId="3D4BAC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noWrap w:val="0"/>
            <w:vAlign w:val="center"/>
          </w:tcPr>
          <w:p w14:paraId="6135354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103" w:type="pct"/>
            <w:noWrap w:val="0"/>
            <w:vAlign w:val="center"/>
          </w:tcPr>
          <w:p w14:paraId="6B0E16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实质性要求</w:t>
            </w:r>
          </w:p>
        </w:tc>
        <w:tc>
          <w:tcPr>
            <w:tcW w:w="2074" w:type="pct"/>
            <w:noWrap w:val="0"/>
            <w:vAlign w:val="center"/>
          </w:tcPr>
          <w:p w14:paraId="3466A6A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招标文件中的规定</w:t>
            </w:r>
          </w:p>
        </w:tc>
        <w:tc>
          <w:tcPr>
            <w:tcW w:w="1083" w:type="pct"/>
            <w:vMerge w:val="continue"/>
            <w:noWrap w:val="0"/>
            <w:vAlign w:val="center"/>
          </w:tcPr>
          <w:p w14:paraId="230A57B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511" w:type="pct"/>
            <w:vMerge w:val="continue"/>
            <w:noWrap w:val="0"/>
            <w:vAlign w:val="center"/>
          </w:tcPr>
          <w:p w14:paraId="140156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5D4136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3" w:type="pct"/>
            <w:shd w:val="clear" w:color="auto" w:fill="auto"/>
            <w:noWrap w:val="0"/>
            <w:vAlign w:val="center"/>
          </w:tcPr>
          <w:p w14:paraId="11E3D90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D6274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1E4B72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ED2EBD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708A3B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3" w:type="pct"/>
            <w:shd w:val="clear" w:color="auto" w:fill="auto"/>
            <w:noWrap w:val="0"/>
            <w:vAlign w:val="center"/>
          </w:tcPr>
          <w:p w14:paraId="7DC773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011D967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8F62CE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4CC2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6A2DB15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103" w:type="pct"/>
            <w:shd w:val="clear" w:color="auto" w:fill="auto"/>
            <w:noWrap w:val="0"/>
            <w:vAlign w:val="center"/>
          </w:tcPr>
          <w:p w14:paraId="46BFE239">
            <w:pPr>
              <w:pStyle w:val="52"/>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486ABA85">
            <w:pPr>
              <w:pStyle w:val="52"/>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9491DC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511A2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12289F6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103" w:type="pct"/>
            <w:shd w:val="clear" w:color="auto" w:fill="auto"/>
            <w:noWrap w:val="0"/>
            <w:vAlign w:val="center"/>
          </w:tcPr>
          <w:p w14:paraId="1D3E0310">
            <w:pPr>
              <w:pStyle w:val="52"/>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81089E1">
            <w:pPr>
              <w:pStyle w:val="52"/>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6CCA3E7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A8FC1E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36B59CD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03" w:type="pct"/>
            <w:noWrap w:val="0"/>
            <w:vAlign w:val="center"/>
          </w:tcPr>
          <w:p w14:paraId="43A0BEF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310F1D1A">
            <w:pPr>
              <w:pStyle w:val="76"/>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83" w:type="pct"/>
            <w:noWrap w:val="0"/>
            <w:vAlign w:val="center"/>
          </w:tcPr>
          <w:p w14:paraId="492A3FE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AFD0B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0C145D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103" w:type="pct"/>
            <w:noWrap w:val="0"/>
            <w:vAlign w:val="center"/>
          </w:tcPr>
          <w:p w14:paraId="24DF7F3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5482D5F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24D82C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0A3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2F26FC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103" w:type="pct"/>
            <w:noWrap w:val="0"/>
            <w:vAlign w:val="center"/>
          </w:tcPr>
          <w:p w14:paraId="7BD1DFF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0998D7BE">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83" w:type="pct"/>
            <w:noWrap w:val="0"/>
            <w:vAlign w:val="center"/>
          </w:tcPr>
          <w:p w14:paraId="4CB9861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15D30C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103"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83"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BAA11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kern w:val="2"/>
          <w:sz w:val="28"/>
          <w:szCs w:val="28"/>
          <w:highlight w:val="none"/>
          <w:lang w:val="en-US" w:eastAsia="zh-CN" w:bidi="ar-SA"/>
        </w:rPr>
      </w:pPr>
    </w:p>
    <w:p w14:paraId="61F3D6B1">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color w:val="auto"/>
          <w:kern w:val="2"/>
          <w:sz w:val="32"/>
          <w:szCs w:val="32"/>
          <w:highlight w:val="none"/>
          <w:lang w:val="en-US" w:eastAsia="zh-CN" w:bidi="ar-SA"/>
        </w:rPr>
      </w:pPr>
    </w:p>
    <w:p w14:paraId="01639337">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color w:val="auto"/>
          <w:kern w:val="2"/>
          <w:sz w:val="32"/>
          <w:szCs w:val="32"/>
          <w:highlight w:val="none"/>
          <w:lang w:val="en-US" w:eastAsia="zh-CN" w:bidi="ar-SA"/>
        </w:rPr>
      </w:pPr>
    </w:p>
    <w:p w14:paraId="626EF50E">
      <w:pPr>
        <w:pStyle w:val="3"/>
        <w:bidi w:val="0"/>
        <w:jc w:val="center"/>
        <w:rPr>
          <w:rFonts w:hint="eastAsia" w:ascii="宋体" w:hAnsi="宋体" w:eastAsia="宋体" w:cs="宋体"/>
          <w:highlight w:val="none"/>
          <w:lang w:val="en-US" w:eastAsia="zh-CN"/>
        </w:rPr>
      </w:pPr>
      <w:bookmarkStart w:id="724" w:name="_Toc26965"/>
      <w:bookmarkStart w:id="725" w:name="_Toc2280"/>
      <w:r>
        <w:rPr>
          <w:rFonts w:hint="eastAsia" w:ascii="宋体" w:hAnsi="宋体" w:eastAsia="宋体" w:cs="宋体"/>
          <w:highlight w:val="none"/>
          <w:lang w:val="en-US" w:eastAsia="zh-CN"/>
        </w:rPr>
        <w:t>六、商务响应偏离表</w:t>
      </w:r>
      <w:bookmarkEnd w:id="724"/>
      <w:bookmarkEnd w:id="725"/>
    </w:p>
    <w:p w14:paraId="21AF32D6">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项目名称：                                         </w:t>
      </w:r>
    </w:p>
    <w:p w14:paraId="0424C095">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val="zh-CN"/>
        </w:rPr>
        <w:t>包号</w:t>
      </w:r>
      <w:r>
        <w:rPr>
          <w:rFonts w:hint="eastAsia" w:ascii="宋体" w:hAnsi="宋体" w:eastAsia="宋体" w:cs="宋体"/>
          <w:color w:val="auto"/>
          <w:szCs w:val="24"/>
          <w:highlight w:val="none"/>
        </w:rPr>
        <w:t xml:space="preserve">：        </w:t>
      </w:r>
    </w:p>
    <w:tbl>
      <w:tblPr>
        <w:tblStyle w:val="32"/>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420" w:type="pct"/>
            <w:vAlign w:val="center"/>
          </w:tcPr>
          <w:p w14:paraId="1A4BE3A9">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pct"/>
            <w:vAlign w:val="center"/>
          </w:tcPr>
          <w:p w14:paraId="7CB83CD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招标文件的商务条款</w:t>
            </w:r>
          </w:p>
        </w:tc>
        <w:tc>
          <w:tcPr>
            <w:tcW w:w="1002" w:type="pct"/>
            <w:vAlign w:val="center"/>
          </w:tcPr>
          <w:p w14:paraId="55A47B5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投标文件的响应内容</w:t>
            </w:r>
          </w:p>
        </w:tc>
        <w:tc>
          <w:tcPr>
            <w:tcW w:w="1090" w:type="pct"/>
            <w:vAlign w:val="center"/>
          </w:tcPr>
          <w:p w14:paraId="2572E859">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090" w:type="pct"/>
            <w:vAlign w:val="center"/>
          </w:tcPr>
          <w:p w14:paraId="7884F20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5" w:type="pct"/>
            <w:vAlign w:val="center"/>
          </w:tcPr>
          <w:p w14:paraId="34566CA0">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1C6482B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1BBD041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响应/偏离</w:t>
            </w:r>
          </w:p>
        </w:tc>
        <w:tc>
          <w:tcPr>
            <w:tcW w:w="1090" w:type="pct"/>
            <w:vAlign w:val="center"/>
          </w:tcPr>
          <w:p w14:paraId="1A90E39C">
            <w:pPr>
              <w:pStyle w:val="52"/>
              <w:jc w:val="center"/>
              <w:rPr>
                <w:rFonts w:hint="eastAsia" w:ascii="宋体" w:hAnsi="宋体" w:eastAsia="宋体" w:cs="宋体"/>
                <w:color w:val="auto"/>
                <w:sz w:val="21"/>
                <w:szCs w:val="21"/>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5" w:type="pct"/>
            <w:vAlign w:val="center"/>
          </w:tcPr>
          <w:p w14:paraId="2A717A5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20EC757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923E58D">
            <w:pPr>
              <w:pStyle w:val="52"/>
              <w:jc w:val="center"/>
              <w:rPr>
                <w:rFonts w:hint="eastAsia" w:ascii="宋体" w:hAnsi="宋体" w:eastAsia="宋体" w:cs="宋体"/>
                <w:color w:val="auto"/>
                <w:sz w:val="21"/>
                <w:szCs w:val="21"/>
                <w:highlight w:val="none"/>
              </w:rPr>
            </w:pPr>
          </w:p>
        </w:tc>
        <w:tc>
          <w:tcPr>
            <w:tcW w:w="1090" w:type="pct"/>
            <w:vAlign w:val="center"/>
          </w:tcPr>
          <w:p w14:paraId="59C2C317">
            <w:pPr>
              <w:pStyle w:val="52"/>
              <w:jc w:val="center"/>
              <w:rPr>
                <w:rFonts w:hint="eastAsia" w:ascii="宋体" w:hAnsi="宋体" w:eastAsia="宋体" w:cs="宋体"/>
                <w:color w:val="auto"/>
                <w:sz w:val="21"/>
                <w:szCs w:val="21"/>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5" w:type="pct"/>
            <w:vAlign w:val="center"/>
          </w:tcPr>
          <w:p w14:paraId="595245DB">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A16B4B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8535F72">
            <w:pPr>
              <w:pStyle w:val="52"/>
              <w:jc w:val="center"/>
              <w:rPr>
                <w:rFonts w:hint="eastAsia" w:ascii="宋体" w:hAnsi="宋体" w:eastAsia="宋体" w:cs="宋体"/>
                <w:color w:val="auto"/>
                <w:sz w:val="21"/>
                <w:szCs w:val="21"/>
                <w:highlight w:val="none"/>
              </w:rPr>
            </w:pPr>
          </w:p>
        </w:tc>
        <w:tc>
          <w:tcPr>
            <w:tcW w:w="1090" w:type="pct"/>
            <w:vAlign w:val="center"/>
          </w:tcPr>
          <w:p w14:paraId="50AB520B">
            <w:pPr>
              <w:pStyle w:val="52"/>
              <w:jc w:val="center"/>
              <w:rPr>
                <w:rFonts w:hint="eastAsia" w:ascii="宋体" w:hAnsi="宋体" w:eastAsia="宋体" w:cs="宋体"/>
                <w:color w:val="auto"/>
                <w:sz w:val="21"/>
                <w:szCs w:val="21"/>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52"/>
              <w:jc w:val="center"/>
              <w:rPr>
                <w:rFonts w:hint="eastAsia" w:ascii="宋体" w:hAnsi="宋体" w:eastAsia="宋体" w:cs="宋体"/>
                <w:color w:val="auto"/>
                <w:sz w:val="21"/>
                <w:szCs w:val="21"/>
                <w:highlight w:val="none"/>
              </w:rPr>
            </w:pPr>
          </w:p>
        </w:tc>
        <w:tc>
          <w:tcPr>
            <w:tcW w:w="1395" w:type="pct"/>
            <w:vAlign w:val="center"/>
          </w:tcPr>
          <w:p w14:paraId="14968038">
            <w:pPr>
              <w:pStyle w:val="52"/>
              <w:jc w:val="center"/>
              <w:rPr>
                <w:rFonts w:hint="eastAsia" w:ascii="宋体" w:hAnsi="宋体" w:eastAsia="宋体" w:cs="宋体"/>
                <w:color w:val="auto"/>
                <w:sz w:val="21"/>
                <w:szCs w:val="21"/>
                <w:highlight w:val="none"/>
              </w:rPr>
            </w:pPr>
          </w:p>
        </w:tc>
        <w:tc>
          <w:tcPr>
            <w:tcW w:w="1002" w:type="pct"/>
            <w:vAlign w:val="center"/>
          </w:tcPr>
          <w:p w14:paraId="10A6B59E">
            <w:pPr>
              <w:pStyle w:val="52"/>
              <w:jc w:val="center"/>
              <w:rPr>
                <w:rFonts w:hint="eastAsia" w:ascii="宋体" w:hAnsi="宋体" w:eastAsia="宋体" w:cs="宋体"/>
                <w:color w:val="auto"/>
                <w:sz w:val="21"/>
                <w:szCs w:val="21"/>
                <w:highlight w:val="none"/>
              </w:rPr>
            </w:pPr>
          </w:p>
        </w:tc>
        <w:tc>
          <w:tcPr>
            <w:tcW w:w="1090" w:type="pct"/>
            <w:vAlign w:val="center"/>
          </w:tcPr>
          <w:p w14:paraId="61702DF6">
            <w:pPr>
              <w:pStyle w:val="52"/>
              <w:jc w:val="center"/>
              <w:rPr>
                <w:rFonts w:hint="eastAsia" w:ascii="宋体" w:hAnsi="宋体" w:eastAsia="宋体" w:cs="宋体"/>
                <w:color w:val="auto"/>
                <w:sz w:val="21"/>
                <w:szCs w:val="21"/>
                <w:highlight w:val="none"/>
              </w:rPr>
            </w:pPr>
          </w:p>
        </w:tc>
        <w:tc>
          <w:tcPr>
            <w:tcW w:w="1090" w:type="pct"/>
            <w:vAlign w:val="center"/>
          </w:tcPr>
          <w:p w14:paraId="0CC18FC2">
            <w:pPr>
              <w:pStyle w:val="52"/>
              <w:jc w:val="center"/>
              <w:rPr>
                <w:rFonts w:hint="eastAsia" w:ascii="宋体" w:hAnsi="宋体" w:eastAsia="宋体" w:cs="宋体"/>
                <w:color w:val="auto"/>
                <w:sz w:val="21"/>
                <w:szCs w:val="21"/>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52"/>
              <w:jc w:val="center"/>
              <w:rPr>
                <w:rFonts w:hint="eastAsia" w:ascii="宋体" w:hAnsi="宋体" w:eastAsia="宋体" w:cs="宋体"/>
                <w:color w:val="auto"/>
                <w:sz w:val="21"/>
                <w:szCs w:val="21"/>
                <w:highlight w:val="none"/>
              </w:rPr>
            </w:pPr>
          </w:p>
        </w:tc>
        <w:tc>
          <w:tcPr>
            <w:tcW w:w="1395" w:type="pct"/>
            <w:vAlign w:val="center"/>
          </w:tcPr>
          <w:p w14:paraId="5DDD9937">
            <w:pPr>
              <w:pStyle w:val="52"/>
              <w:jc w:val="center"/>
              <w:rPr>
                <w:rFonts w:hint="eastAsia" w:ascii="宋体" w:hAnsi="宋体" w:eastAsia="宋体" w:cs="宋体"/>
                <w:color w:val="auto"/>
                <w:sz w:val="21"/>
                <w:szCs w:val="21"/>
                <w:highlight w:val="none"/>
              </w:rPr>
            </w:pPr>
          </w:p>
        </w:tc>
        <w:tc>
          <w:tcPr>
            <w:tcW w:w="1002" w:type="pct"/>
            <w:vAlign w:val="center"/>
          </w:tcPr>
          <w:p w14:paraId="0B29A018">
            <w:pPr>
              <w:pStyle w:val="52"/>
              <w:jc w:val="center"/>
              <w:rPr>
                <w:rFonts w:hint="eastAsia" w:ascii="宋体" w:hAnsi="宋体" w:eastAsia="宋体" w:cs="宋体"/>
                <w:color w:val="auto"/>
                <w:sz w:val="21"/>
                <w:szCs w:val="21"/>
                <w:highlight w:val="none"/>
              </w:rPr>
            </w:pPr>
          </w:p>
        </w:tc>
        <w:tc>
          <w:tcPr>
            <w:tcW w:w="1090" w:type="pct"/>
            <w:vAlign w:val="center"/>
          </w:tcPr>
          <w:p w14:paraId="1FA693DE">
            <w:pPr>
              <w:pStyle w:val="52"/>
              <w:jc w:val="center"/>
              <w:rPr>
                <w:rFonts w:hint="eastAsia" w:ascii="宋体" w:hAnsi="宋体" w:eastAsia="宋体" w:cs="宋体"/>
                <w:color w:val="auto"/>
                <w:sz w:val="21"/>
                <w:szCs w:val="21"/>
                <w:highlight w:val="none"/>
              </w:rPr>
            </w:pPr>
          </w:p>
        </w:tc>
        <w:tc>
          <w:tcPr>
            <w:tcW w:w="1090" w:type="pct"/>
            <w:vAlign w:val="center"/>
          </w:tcPr>
          <w:p w14:paraId="3D633AB6">
            <w:pPr>
              <w:pStyle w:val="52"/>
              <w:jc w:val="center"/>
              <w:rPr>
                <w:rFonts w:hint="eastAsia" w:ascii="宋体" w:hAnsi="宋体" w:eastAsia="宋体" w:cs="宋体"/>
                <w:color w:val="auto"/>
                <w:sz w:val="21"/>
                <w:szCs w:val="21"/>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52"/>
              <w:jc w:val="center"/>
              <w:rPr>
                <w:rFonts w:hint="eastAsia" w:ascii="宋体" w:hAnsi="宋体" w:eastAsia="宋体" w:cs="宋体"/>
                <w:color w:val="auto"/>
                <w:sz w:val="21"/>
                <w:szCs w:val="21"/>
                <w:highlight w:val="none"/>
              </w:rPr>
            </w:pPr>
          </w:p>
        </w:tc>
        <w:tc>
          <w:tcPr>
            <w:tcW w:w="1395" w:type="pct"/>
            <w:vAlign w:val="center"/>
          </w:tcPr>
          <w:p w14:paraId="014A297F">
            <w:pPr>
              <w:pStyle w:val="52"/>
              <w:jc w:val="center"/>
              <w:rPr>
                <w:rFonts w:hint="eastAsia" w:ascii="宋体" w:hAnsi="宋体" w:eastAsia="宋体" w:cs="宋体"/>
                <w:color w:val="auto"/>
                <w:sz w:val="21"/>
                <w:szCs w:val="21"/>
                <w:highlight w:val="none"/>
              </w:rPr>
            </w:pPr>
          </w:p>
        </w:tc>
        <w:tc>
          <w:tcPr>
            <w:tcW w:w="1002" w:type="pct"/>
            <w:vAlign w:val="center"/>
          </w:tcPr>
          <w:p w14:paraId="51467013">
            <w:pPr>
              <w:pStyle w:val="52"/>
              <w:jc w:val="center"/>
              <w:rPr>
                <w:rFonts w:hint="eastAsia" w:ascii="宋体" w:hAnsi="宋体" w:eastAsia="宋体" w:cs="宋体"/>
                <w:color w:val="auto"/>
                <w:sz w:val="21"/>
                <w:szCs w:val="21"/>
                <w:highlight w:val="none"/>
              </w:rPr>
            </w:pPr>
          </w:p>
        </w:tc>
        <w:tc>
          <w:tcPr>
            <w:tcW w:w="1090" w:type="pct"/>
            <w:vAlign w:val="center"/>
          </w:tcPr>
          <w:p w14:paraId="011E40CA">
            <w:pPr>
              <w:pStyle w:val="52"/>
              <w:jc w:val="center"/>
              <w:rPr>
                <w:rFonts w:hint="eastAsia" w:ascii="宋体" w:hAnsi="宋体" w:eastAsia="宋体" w:cs="宋体"/>
                <w:color w:val="auto"/>
                <w:sz w:val="21"/>
                <w:szCs w:val="21"/>
                <w:highlight w:val="none"/>
              </w:rPr>
            </w:pPr>
          </w:p>
        </w:tc>
        <w:tc>
          <w:tcPr>
            <w:tcW w:w="1090" w:type="pct"/>
            <w:vAlign w:val="center"/>
          </w:tcPr>
          <w:p w14:paraId="7062C313">
            <w:pPr>
              <w:pStyle w:val="52"/>
              <w:jc w:val="center"/>
              <w:rPr>
                <w:rFonts w:hint="eastAsia" w:ascii="宋体" w:hAnsi="宋体" w:eastAsia="宋体" w:cs="宋体"/>
                <w:color w:val="auto"/>
                <w:sz w:val="21"/>
                <w:szCs w:val="21"/>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52"/>
              <w:jc w:val="center"/>
              <w:rPr>
                <w:rFonts w:hint="eastAsia" w:ascii="宋体" w:hAnsi="宋体" w:eastAsia="宋体" w:cs="宋体"/>
                <w:color w:val="auto"/>
                <w:sz w:val="21"/>
                <w:szCs w:val="21"/>
                <w:highlight w:val="none"/>
              </w:rPr>
            </w:pPr>
          </w:p>
        </w:tc>
        <w:tc>
          <w:tcPr>
            <w:tcW w:w="1395" w:type="pct"/>
            <w:vAlign w:val="center"/>
          </w:tcPr>
          <w:p w14:paraId="010A1BB0">
            <w:pPr>
              <w:pStyle w:val="52"/>
              <w:jc w:val="center"/>
              <w:rPr>
                <w:rFonts w:hint="eastAsia" w:ascii="宋体" w:hAnsi="宋体" w:eastAsia="宋体" w:cs="宋体"/>
                <w:color w:val="auto"/>
                <w:sz w:val="21"/>
                <w:szCs w:val="21"/>
                <w:highlight w:val="none"/>
              </w:rPr>
            </w:pPr>
          </w:p>
        </w:tc>
        <w:tc>
          <w:tcPr>
            <w:tcW w:w="1002" w:type="pct"/>
            <w:vAlign w:val="center"/>
          </w:tcPr>
          <w:p w14:paraId="1EE22C75">
            <w:pPr>
              <w:pStyle w:val="52"/>
              <w:jc w:val="center"/>
              <w:rPr>
                <w:rFonts w:hint="eastAsia" w:ascii="宋体" w:hAnsi="宋体" w:eastAsia="宋体" w:cs="宋体"/>
                <w:color w:val="auto"/>
                <w:sz w:val="21"/>
                <w:szCs w:val="21"/>
                <w:highlight w:val="none"/>
              </w:rPr>
            </w:pPr>
          </w:p>
        </w:tc>
        <w:tc>
          <w:tcPr>
            <w:tcW w:w="1090" w:type="pct"/>
            <w:vAlign w:val="center"/>
          </w:tcPr>
          <w:p w14:paraId="3C86F2CC">
            <w:pPr>
              <w:pStyle w:val="52"/>
              <w:jc w:val="center"/>
              <w:rPr>
                <w:rFonts w:hint="eastAsia" w:ascii="宋体" w:hAnsi="宋体" w:eastAsia="宋体" w:cs="宋体"/>
                <w:color w:val="auto"/>
                <w:sz w:val="21"/>
                <w:szCs w:val="21"/>
                <w:highlight w:val="none"/>
              </w:rPr>
            </w:pPr>
          </w:p>
        </w:tc>
        <w:tc>
          <w:tcPr>
            <w:tcW w:w="1090" w:type="pct"/>
            <w:vAlign w:val="center"/>
          </w:tcPr>
          <w:p w14:paraId="515EA04E">
            <w:pPr>
              <w:pStyle w:val="52"/>
              <w:jc w:val="center"/>
              <w:rPr>
                <w:rFonts w:hint="eastAsia" w:ascii="宋体" w:hAnsi="宋体" w:eastAsia="宋体" w:cs="宋体"/>
                <w:color w:val="auto"/>
                <w:sz w:val="21"/>
                <w:szCs w:val="21"/>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52"/>
              <w:jc w:val="center"/>
              <w:rPr>
                <w:rFonts w:hint="eastAsia" w:ascii="宋体" w:hAnsi="宋体" w:eastAsia="宋体" w:cs="宋体"/>
                <w:color w:val="auto"/>
                <w:sz w:val="21"/>
                <w:szCs w:val="21"/>
                <w:highlight w:val="none"/>
              </w:rPr>
            </w:pPr>
          </w:p>
        </w:tc>
        <w:tc>
          <w:tcPr>
            <w:tcW w:w="1395" w:type="pct"/>
            <w:vAlign w:val="center"/>
          </w:tcPr>
          <w:p w14:paraId="1C7A6406">
            <w:pPr>
              <w:pStyle w:val="52"/>
              <w:jc w:val="center"/>
              <w:rPr>
                <w:rFonts w:hint="eastAsia" w:ascii="宋体" w:hAnsi="宋体" w:eastAsia="宋体" w:cs="宋体"/>
                <w:color w:val="auto"/>
                <w:sz w:val="21"/>
                <w:szCs w:val="21"/>
                <w:highlight w:val="none"/>
              </w:rPr>
            </w:pPr>
          </w:p>
        </w:tc>
        <w:tc>
          <w:tcPr>
            <w:tcW w:w="1002" w:type="pct"/>
            <w:vAlign w:val="center"/>
          </w:tcPr>
          <w:p w14:paraId="7F774DAF">
            <w:pPr>
              <w:pStyle w:val="52"/>
              <w:jc w:val="center"/>
              <w:rPr>
                <w:rFonts w:hint="eastAsia" w:ascii="宋体" w:hAnsi="宋体" w:eastAsia="宋体" w:cs="宋体"/>
                <w:color w:val="auto"/>
                <w:sz w:val="21"/>
                <w:szCs w:val="21"/>
                <w:highlight w:val="none"/>
              </w:rPr>
            </w:pPr>
          </w:p>
        </w:tc>
        <w:tc>
          <w:tcPr>
            <w:tcW w:w="1090" w:type="pct"/>
            <w:vAlign w:val="center"/>
          </w:tcPr>
          <w:p w14:paraId="66A55C54">
            <w:pPr>
              <w:pStyle w:val="52"/>
              <w:jc w:val="center"/>
              <w:rPr>
                <w:rFonts w:hint="eastAsia" w:ascii="宋体" w:hAnsi="宋体" w:eastAsia="宋体" w:cs="宋体"/>
                <w:color w:val="auto"/>
                <w:sz w:val="21"/>
                <w:szCs w:val="21"/>
                <w:highlight w:val="none"/>
              </w:rPr>
            </w:pPr>
          </w:p>
        </w:tc>
        <w:tc>
          <w:tcPr>
            <w:tcW w:w="1090" w:type="pct"/>
            <w:vAlign w:val="center"/>
          </w:tcPr>
          <w:p w14:paraId="6FC3A7DB">
            <w:pPr>
              <w:pStyle w:val="52"/>
              <w:jc w:val="center"/>
              <w:rPr>
                <w:rFonts w:hint="eastAsia" w:ascii="宋体" w:hAnsi="宋体" w:eastAsia="宋体" w:cs="宋体"/>
                <w:color w:val="auto"/>
                <w:sz w:val="21"/>
                <w:szCs w:val="21"/>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52"/>
              <w:jc w:val="center"/>
              <w:rPr>
                <w:rFonts w:hint="eastAsia" w:ascii="宋体" w:hAnsi="宋体" w:eastAsia="宋体" w:cs="宋体"/>
                <w:color w:val="auto"/>
                <w:sz w:val="21"/>
                <w:szCs w:val="21"/>
                <w:highlight w:val="none"/>
              </w:rPr>
            </w:pPr>
          </w:p>
        </w:tc>
        <w:tc>
          <w:tcPr>
            <w:tcW w:w="1395" w:type="pct"/>
            <w:vAlign w:val="center"/>
          </w:tcPr>
          <w:p w14:paraId="5A1690B5">
            <w:pPr>
              <w:pStyle w:val="52"/>
              <w:jc w:val="center"/>
              <w:rPr>
                <w:rFonts w:hint="eastAsia" w:ascii="宋体" w:hAnsi="宋体" w:eastAsia="宋体" w:cs="宋体"/>
                <w:color w:val="auto"/>
                <w:sz w:val="21"/>
                <w:szCs w:val="21"/>
                <w:highlight w:val="none"/>
              </w:rPr>
            </w:pPr>
          </w:p>
        </w:tc>
        <w:tc>
          <w:tcPr>
            <w:tcW w:w="1002" w:type="pct"/>
            <w:vAlign w:val="center"/>
          </w:tcPr>
          <w:p w14:paraId="735418C2">
            <w:pPr>
              <w:pStyle w:val="52"/>
              <w:jc w:val="center"/>
              <w:rPr>
                <w:rFonts w:hint="eastAsia" w:ascii="宋体" w:hAnsi="宋体" w:eastAsia="宋体" w:cs="宋体"/>
                <w:color w:val="auto"/>
                <w:sz w:val="21"/>
                <w:szCs w:val="21"/>
                <w:highlight w:val="none"/>
              </w:rPr>
            </w:pPr>
          </w:p>
        </w:tc>
        <w:tc>
          <w:tcPr>
            <w:tcW w:w="1090" w:type="pct"/>
            <w:vAlign w:val="center"/>
          </w:tcPr>
          <w:p w14:paraId="13F6671D">
            <w:pPr>
              <w:pStyle w:val="52"/>
              <w:jc w:val="center"/>
              <w:rPr>
                <w:rFonts w:hint="eastAsia" w:ascii="宋体" w:hAnsi="宋体" w:eastAsia="宋体" w:cs="宋体"/>
                <w:color w:val="auto"/>
                <w:sz w:val="21"/>
                <w:szCs w:val="21"/>
                <w:highlight w:val="none"/>
              </w:rPr>
            </w:pPr>
          </w:p>
        </w:tc>
        <w:tc>
          <w:tcPr>
            <w:tcW w:w="1090" w:type="pct"/>
            <w:vAlign w:val="center"/>
          </w:tcPr>
          <w:p w14:paraId="3DC0B3BB">
            <w:pPr>
              <w:pStyle w:val="52"/>
              <w:jc w:val="center"/>
              <w:rPr>
                <w:rFonts w:hint="eastAsia" w:ascii="宋体" w:hAnsi="宋体" w:eastAsia="宋体" w:cs="宋体"/>
                <w:color w:val="auto"/>
                <w:sz w:val="21"/>
                <w:szCs w:val="21"/>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52"/>
              <w:jc w:val="center"/>
              <w:rPr>
                <w:rFonts w:hint="eastAsia" w:ascii="宋体" w:hAnsi="宋体" w:eastAsia="宋体" w:cs="宋体"/>
                <w:color w:val="auto"/>
                <w:sz w:val="21"/>
                <w:szCs w:val="21"/>
                <w:highlight w:val="none"/>
              </w:rPr>
            </w:pPr>
          </w:p>
        </w:tc>
        <w:tc>
          <w:tcPr>
            <w:tcW w:w="1395" w:type="pct"/>
            <w:vAlign w:val="center"/>
          </w:tcPr>
          <w:p w14:paraId="4E1F25E0">
            <w:pPr>
              <w:pStyle w:val="52"/>
              <w:jc w:val="center"/>
              <w:rPr>
                <w:rFonts w:hint="eastAsia" w:ascii="宋体" w:hAnsi="宋体" w:eastAsia="宋体" w:cs="宋体"/>
                <w:color w:val="auto"/>
                <w:sz w:val="21"/>
                <w:szCs w:val="21"/>
                <w:highlight w:val="none"/>
              </w:rPr>
            </w:pPr>
          </w:p>
        </w:tc>
        <w:tc>
          <w:tcPr>
            <w:tcW w:w="1002" w:type="pct"/>
            <w:vAlign w:val="center"/>
          </w:tcPr>
          <w:p w14:paraId="4F1707F4">
            <w:pPr>
              <w:pStyle w:val="52"/>
              <w:jc w:val="center"/>
              <w:rPr>
                <w:rFonts w:hint="eastAsia" w:ascii="宋体" w:hAnsi="宋体" w:eastAsia="宋体" w:cs="宋体"/>
                <w:color w:val="auto"/>
                <w:sz w:val="21"/>
                <w:szCs w:val="21"/>
                <w:highlight w:val="none"/>
              </w:rPr>
            </w:pPr>
          </w:p>
        </w:tc>
        <w:tc>
          <w:tcPr>
            <w:tcW w:w="1090" w:type="pct"/>
            <w:vAlign w:val="center"/>
          </w:tcPr>
          <w:p w14:paraId="59E61A3B">
            <w:pPr>
              <w:pStyle w:val="52"/>
              <w:jc w:val="center"/>
              <w:rPr>
                <w:rFonts w:hint="eastAsia" w:ascii="宋体" w:hAnsi="宋体" w:eastAsia="宋体" w:cs="宋体"/>
                <w:color w:val="auto"/>
                <w:sz w:val="21"/>
                <w:szCs w:val="21"/>
                <w:highlight w:val="none"/>
              </w:rPr>
            </w:pPr>
          </w:p>
        </w:tc>
        <w:tc>
          <w:tcPr>
            <w:tcW w:w="1090" w:type="pct"/>
            <w:vAlign w:val="center"/>
          </w:tcPr>
          <w:p w14:paraId="33E07ECA">
            <w:pPr>
              <w:pStyle w:val="52"/>
              <w:jc w:val="center"/>
              <w:rPr>
                <w:rFonts w:hint="eastAsia" w:ascii="宋体" w:hAnsi="宋体" w:eastAsia="宋体" w:cs="宋体"/>
                <w:color w:val="auto"/>
                <w:sz w:val="21"/>
                <w:szCs w:val="21"/>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52"/>
              <w:jc w:val="center"/>
              <w:rPr>
                <w:rFonts w:hint="eastAsia" w:ascii="宋体" w:hAnsi="宋体" w:eastAsia="宋体" w:cs="宋体"/>
                <w:color w:val="auto"/>
                <w:sz w:val="21"/>
                <w:szCs w:val="21"/>
                <w:highlight w:val="none"/>
              </w:rPr>
            </w:pPr>
          </w:p>
        </w:tc>
        <w:tc>
          <w:tcPr>
            <w:tcW w:w="1395" w:type="pct"/>
            <w:vAlign w:val="center"/>
          </w:tcPr>
          <w:p w14:paraId="494F1780">
            <w:pPr>
              <w:pStyle w:val="52"/>
              <w:jc w:val="center"/>
              <w:rPr>
                <w:rFonts w:hint="eastAsia" w:ascii="宋体" w:hAnsi="宋体" w:eastAsia="宋体" w:cs="宋体"/>
                <w:color w:val="auto"/>
                <w:sz w:val="21"/>
                <w:szCs w:val="21"/>
                <w:highlight w:val="none"/>
              </w:rPr>
            </w:pPr>
          </w:p>
        </w:tc>
        <w:tc>
          <w:tcPr>
            <w:tcW w:w="1002" w:type="pct"/>
            <w:vAlign w:val="center"/>
          </w:tcPr>
          <w:p w14:paraId="02E24AFD">
            <w:pPr>
              <w:pStyle w:val="52"/>
              <w:jc w:val="center"/>
              <w:rPr>
                <w:rFonts w:hint="eastAsia" w:ascii="宋体" w:hAnsi="宋体" w:eastAsia="宋体" w:cs="宋体"/>
                <w:color w:val="auto"/>
                <w:sz w:val="21"/>
                <w:szCs w:val="21"/>
                <w:highlight w:val="none"/>
              </w:rPr>
            </w:pPr>
          </w:p>
        </w:tc>
        <w:tc>
          <w:tcPr>
            <w:tcW w:w="1090" w:type="pct"/>
            <w:vAlign w:val="center"/>
          </w:tcPr>
          <w:p w14:paraId="15C952B3">
            <w:pPr>
              <w:pStyle w:val="52"/>
              <w:jc w:val="center"/>
              <w:rPr>
                <w:rFonts w:hint="eastAsia" w:ascii="宋体" w:hAnsi="宋体" w:eastAsia="宋体" w:cs="宋体"/>
                <w:color w:val="auto"/>
                <w:sz w:val="21"/>
                <w:szCs w:val="21"/>
                <w:highlight w:val="none"/>
              </w:rPr>
            </w:pPr>
          </w:p>
        </w:tc>
        <w:tc>
          <w:tcPr>
            <w:tcW w:w="1090" w:type="pct"/>
            <w:vAlign w:val="center"/>
          </w:tcPr>
          <w:p w14:paraId="042480C5">
            <w:pPr>
              <w:pStyle w:val="52"/>
              <w:jc w:val="center"/>
              <w:rPr>
                <w:rFonts w:hint="eastAsia" w:ascii="宋体" w:hAnsi="宋体" w:eastAsia="宋体" w:cs="宋体"/>
                <w:color w:val="auto"/>
                <w:sz w:val="21"/>
                <w:szCs w:val="21"/>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52"/>
              <w:jc w:val="center"/>
              <w:rPr>
                <w:rFonts w:hint="eastAsia" w:ascii="宋体" w:hAnsi="宋体" w:eastAsia="宋体" w:cs="宋体"/>
                <w:color w:val="auto"/>
                <w:sz w:val="21"/>
                <w:szCs w:val="21"/>
                <w:highlight w:val="none"/>
              </w:rPr>
            </w:pPr>
          </w:p>
        </w:tc>
        <w:tc>
          <w:tcPr>
            <w:tcW w:w="1395" w:type="pct"/>
            <w:vAlign w:val="center"/>
          </w:tcPr>
          <w:p w14:paraId="3FA50495">
            <w:pPr>
              <w:pStyle w:val="52"/>
              <w:jc w:val="center"/>
              <w:rPr>
                <w:rFonts w:hint="eastAsia" w:ascii="宋体" w:hAnsi="宋体" w:eastAsia="宋体" w:cs="宋体"/>
                <w:color w:val="auto"/>
                <w:sz w:val="21"/>
                <w:szCs w:val="21"/>
                <w:highlight w:val="none"/>
              </w:rPr>
            </w:pPr>
          </w:p>
        </w:tc>
        <w:tc>
          <w:tcPr>
            <w:tcW w:w="1002" w:type="pct"/>
            <w:vAlign w:val="center"/>
          </w:tcPr>
          <w:p w14:paraId="65521973">
            <w:pPr>
              <w:pStyle w:val="52"/>
              <w:jc w:val="center"/>
              <w:rPr>
                <w:rFonts w:hint="eastAsia" w:ascii="宋体" w:hAnsi="宋体" w:eastAsia="宋体" w:cs="宋体"/>
                <w:color w:val="auto"/>
                <w:sz w:val="21"/>
                <w:szCs w:val="21"/>
                <w:highlight w:val="none"/>
              </w:rPr>
            </w:pPr>
          </w:p>
        </w:tc>
        <w:tc>
          <w:tcPr>
            <w:tcW w:w="1090" w:type="pct"/>
            <w:vAlign w:val="center"/>
          </w:tcPr>
          <w:p w14:paraId="505486BC">
            <w:pPr>
              <w:pStyle w:val="52"/>
              <w:jc w:val="center"/>
              <w:rPr>
                <w:rFonts w:hint="eastAsia" w:ascii="宋体" w:hAnsi="宋体" w:eastAsia="宋体" w:cs="宋体"/>
                <w:color w:val="auto"/>
                <w:sz w:val="21"/>
                <w:szCs w:val="21"/>
                <w:highlight w:val="none"/>
              </w:rPr>
            </w:pPr>
          </w:p>
        </w:tc>
        <w:tc>
          <w:tcPr>
            <w:tcW w:w="1090" w:type="pct"/>
            <w:vAlign w:val="center"/>
          </w:tcPr>
          <w:p w14:paraId="40E41834">
            <w:pPr>
              <w:pStyle w:val="52"/>
              <w:jc w:val="center"/>
              <w:rPr>
                <w:rFonts w:hint="eastAsia" w:ascii="宋体" w:hAnsi="宋体" w:eastAsia="宋体" w:cs="宋体"/>
                <w:color w:val="auto"/>
                <w:sz w:val="21"/>
                <w:szCs w:val="21"/>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52"/>
              <w:jc w:val="center"/>
              <w:rPr>
                <w:rFonts w:hint="eastAsia" w:ascii="宋体" w:hAnsi="宋体" w:eastAsia="宋体" w:cs="宋体"/>
                <w:color w:val="auto"/>
                <w:sz w:val="21"/>
                <w:szCs w:val="21"/>
                <w:highlight w:val="none"/>
              </w:rPr>
            </w:pPr>
          </w:p>
        </w:tc>
        <w:tc>
          <w:tcPr>
            <w:tcW w:w="1395" w:type="pct"/>
            <w:vAlign w:val="center"/>
          </w:tcPr>
          <w:p w14:paraId="199507E1">
            <w:pPr>
              <w:pStyle w:val="52"/>
              <w:jc w:val="center"/>
              <w:rPr>
                <w:rFonts w:hint="eastAsia" w:ascii="宋体" w:hAnsi="宋体" w:eastAsia="宋体" w:cs="宋体"/>
                <w:color w:val="auto"/>
                <w:sz w:val="21"/>
                <w:szCs w:val="21"/>
                <w:highlight w:val="none"/>
              </w:rPr>
            </w:pPr>
          </w:p>
        </w:tc>
        <w:tc>
          <w:tcPr>
            <w:tcW w:w="1002" w:type="pct"/>
            <w:vAlign w:val="center"/>
          </w:tcPr>
          <w:p w14:paraId="6691FD82">
            <w:pPr>
              <w:pStyle w:val="52"/>
              <w:jc w:val="center"/>
              <w:rPr>
                <w:rFonts w:hint="eastAsia" w:ascii="宋体" w:hAnsi="宋体" w:eastAsia="宋体" w:cs="宋体"/>
                <w:color w:val="auto"/>
                <w:sz w:val="21"/>
                <w:szCs w:val="21"/>
                <w:highlight w:val="none"/>
              </w:rPr>
            </w:pPr>
          </w:p>
        </w:tc>
        <w:tc>
          <w:tcPr>
            <w:tcW w:w="1090" w:type="pct"/>
            <w:vAlign w:val="center"/>
          </w:tcPr>
          <w:p w14:paraId="6E35002B">
            <w:pPr>
              <w:pStyle w:val="52"/>
              <w:jc w:val="center"/>
              <w:rPr>
                <w:rFonts w:hint="eastAsia" w:ascii="宋体" w:hAnsi="宋体" w:eastAsia="宋体" w:cs="宋体"/>
                <w:color w:val="auto"/>
                <w:sz w:val="21"/>
                <w:szCs w:val="21"/>
                <w:highlight w:val="none"/>
              </w:rPr>
            </w:pPr>
          </w:p>
        </w:tc>
        <w:tc>
          <w:tcPr>
            <w:tcW w:w="1090" w:type="pct"/>
            <w:vAlign w:val="center"/>
          </w:tcPr>
          <w:p w14:paraId="69818ED1">
            <w:pPr>
              <w:pStyle w:val="52"/>
              <w:jc w:val="center"/>
              <w:rPr>
                <w:rFonts w:hint="eastAsia" w:ascii="宋体" w:hAnsi="宋体" w:eastAsia="宋体" w:cs="宋体"/>
                <w:color w:val="auto"/>
                <w:sz w:val="21"/>
                <w:szCs w:val="21"/>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5" w:type="pct"/>
            <w:vAlign w:val="center"/>
          </w:tcPr>
          <w:p w14:paraId="6324A49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EE8378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A24BB2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CC08218">
            <w:pPr>
              <w:pStyle w:val="52"/>
              <w:jc w:val="center"/>
              <w:rPr>
                <w:rFonts w:hint="eastAsia" w:ascii="宋体" w:hAnsi="宋体" w:eastAsia="宋体" w:cs="宋体"/>
                <w:color w:val="auto"/>
                <w:sz w:val="21"/>
                <w:szCs w:val="21"/>
                <w:highlight w:val="none"/>
              </w:rPr>
            </w:pPr>
          </w:p>
        </w:tc>
      </w:tr>
    </w:tbl>
    <w:p w14:paraId="5516D2ED">
      <w:pPr>
        <w:ind w:firstLine="420" w:firstLineChars="200"/>
        <w:rPr>
          <w:rFonts w:hint="eastAsia" w:ascii="宋体" w:hAnsi="宋体" w:eastAsia="宋体" w:cs="宋体"/>
          <w:color w:val="auto"/>
          <w:sz w:val="21"/>
          <w:szCs w:val="21"/>
          <w:highlight w:val="none"/>
        </w:rPr>
      </w:pPr>
    </w:p>
    <w:p w14:paraId="79243E57">
      <w:pPr>
        <w:ind w:firstLine="420" w:firstLineChars="200"/>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注：投标人应按照招标文件“第三章 采购需求”</w:t>
      </w:r>
      <w:r>
        <w:rPr>
          <w:rFonts w:hint="eastAsia" w:ascii="宋体" w:hAnsi="宋体" w:eastAsia="宋体" w:cs="宋体"/>
          <w:color w:val="auto"/>
          <w:sz w:val="21"/>
          <w:szCs w:val="21"/>
          <w:highlight w:val="none"/>
          <w:lang w:val="en-US" w:eastAsia="zh-CN"/>
        </w:rPr>
        <w:t>中的商务要求</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“响应/偏离”应据实填写“响应”、“正偏离”或“负偏离”</w:t>
      </w:r>
      <w:r>
        <w:rPr>
          <w:rFonts w:hint="eastAsia" w:ascii="宋体" w:hAnsi="宋体" w:eastAsia="宋体" w:cs="宋体"/>
          <w:color w:val="auto"/>
          <w:sz w:val="21"/>
          <w:szCs w:val="21"/>
          <w:highlight w:val="none"/>
        </w:rPr>
        <w:t>。</w:t>
      </w:r>
    </w:p>
    <w:p w14:paraId="1A3EAC71">
      <w:pPr>
        <w:rPr>
          <w:rFonts w:hint="eastAsia" w:ascii="宋体" w:hAnsi="宋体" w:eastAsia="宋体" w:cs="宋体"/>
          <w:color w:val="auto"/>
          <w:szCs w:val="24"/>
          <w:highlight w:val="none"/>
        </w:rPr>
      </w:pPr>
    </w:p>
    <w:p w14:paraId="5CB06622">
      <w:pPr>
        <w:ind w:firstLine="480" w:firstLineChars="200"/>
        <w:rPr>
          <w:rFonts w:hint="eastAsia" w:ascii="宋体" w:hAnsi="宋体" w:eastAsia="宋体" w:cs="宋体"/>
          <w:color w:val="auto"/>
          <w:szCs w:val="24"/>
          <w:highlight w:val="none"/>
        </w:rPr>
      </w:pPr>
    </w:p>
    <w:p w14:paraId="2E8083B6">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zCs w:val="24"/>
          <w:highlight w:val="none"/>
        </w:rPr>
        <w:t xml:space="preserve">： </w:t>
      </w:r>
    </w:p>
    <w:p w14:paraId="77655944">
      <w:pPr>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14:paraId="598C43A6">
      <w:pPr>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287724FC">
      <w:pPr>
        <w:pStyle w:val="3"/>
        <w:bidi w:val="0"/>
        <w:jc w:val="center"/>
        <w:rPr>
          <w:rFonts w:hint="eastAsia" w:ascii="宋体" w:hAnsi="宋体" w:eastAsia="宋体" w:cs="宋体"/>
          <w:highlight w:val="none"/>
          <w:lang w:val="en-US" w:eastAsia="zh-CN"/>
        </w:rPr>
      </w:pPr>
      <w:bookmarkStart w:id="726" w:name="_Toc11926"/>
      <w:bookmarkStart w:id="727" w:name="_Toc32716"/>
      <w:r>
        <w:rPr>
          <w:rFonts w:hint="eastAsia" w:ascii="宋体" w:hAnsi="宋体" w:eastAsia="宋体" w:cs="宋体"/>
          <w:highlight w:val="none"/>
          <w:lang w:val="en-US" w:eastAsia="zh-CN"/>
        </w:rPr>
        <w:t>七、业绩证明文件</w:t>
      </w:r>
      <w:bookmarkEnd w:id="726"/>
      <w:bookmarkEnd w:id="727"/>
    </w:p>
    <w:p w14:paraId="4541380C">
      <w:pPr>
        <w:rPr>
          <w:rFonts w:hint="eastAsia" w:ascii="宋体" w:hAnsi="宋体" w:eastAsia="宋体" w:cs="宋体"/>
          <w:color w:val="auto"/>
          <w:szCs w:val="24"/>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LINK Word.Document.8 "D:\\音乐厅\\4通用设备\\招标文件\\音乐厅空调设备招标文件v1.0.doc" "OLE_LINK8" \r  \* MERGEFORMAT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4"/>
          <w:highlight w:val="none"/>
        </w:rPr>
        <w:t xml:space="preserve">项目名称：                                         </w:t>
      </w:r>
    </w:p>
    <w:p w14:paraId="159B24BA">
      <w:pPr>
        <w:rPr>
          <w:rFonts w:hint="eastAsia" w:ascii="宋体" w:hAnsi="宋体" w:eastAsia="宋体" w:cs="宋体"/>
          <w:bCs/>
          <w:color w:val="auto"/>
          <w:szCs w:val="21"/>
          <w:highlight w:val="none"/>
        </w:rPr>
      </w:pPr>
      <w:r>
        <w:rPr>
          <w:rFonts w:hint="eastAsia" w:ascii="宋体" w:hAnsi="宋体" w:eastAsia="宋体" w:cs="宋体"/>
          <w:color w:val="auto"/>
          <w:szCs w:val="24"/>
          <w:highlight w:val="none"/>
        </w:rPr>
        <w:t>项目编号</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val="zh-CN"/>
        </w:rPr>
        <w:t>包号</w:t>
      </w:r>
      <w:r>
        <w:rPr>
          <w:rFonts w:hint="eastAsia" w:ascii="宋体" w:hAnsi="宋体" w:eastAsia="宋体" w:cs="宋体"/>
          <w:color w:val="auto"/>
          <w:szCs w:val="24"/>
          <w:highlight w:val="none"/>
        </w:rPr>
        <w:t xml:space="preserve">：      </w:t>
      </w:r>
      <w:r>
        <w:rPr>
          <w:rFonts w:hint="eastAsia" w:ascii="宋体" w:hAnsi="宋体" w:eastAsia="宋体" w:cs="宋体"/>
          <w:bCs/>
          <w:color w:val="auto"/>
          <w:szCs w:val="21"/>
          <w:highlight w:val="none"/>
        </w:rPr>
        <w:fldChar w:fldCharType="end"/>
      </w:r>
    </w:p>
    <w:tbl>
      <w:tblPr>
        <w:tblStyle w:val="32"/>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E9572F9">
            <w:pPr>
              <w:jc w:val="center"/>
              <w:rPr>
                <w:rFonts w:hint="eastAsia" w:ascii="宋体" w:hAnsi="宋体" w:eastAsia="宋体" w:cs="宋体"/>
                <w:color w:val="auto"/>
                <w:sz w:val="21"/>
                <w:szCs w:val="21"/>
                <w:highlight w:val="none"/>
              </w:rPr>
            </w:pPr>
            <w:bookmarkStart w:id="728" w:name="_Hlk46779239"/>
            <w:r>
              <w:rPr>
                <w:rFonts w:hint="eastAsia" w:ascii="宋体" w:hAnsi="宋体" w:eastAsia="宋体" w:cs="宋体"/>
                <w:color w:val="auto"/>
                <w:sz w:val="21"/>
                <w:szCs w:val="21"/>
                <w:highlight w:val="none"/>
              </w:rPr>
              <w:t>序号</w:t>
            </w:r>
          </w:p>
        </w:tc>
        <w:tc>
          <w:tcPr>
            <w:tcW w:w="1080" w:type="dxa"/>
            <w:vAlign w:val="center"/>
          </w:tcPr>
          <w:p w14:paraId="51F55A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4D5C38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69717F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57C350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55D436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01352C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2DA424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27508E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27562AF7">
            <w:pPr>
              <w:rPr>
                <w:rFonts w:hint="eastAsia" w:ascii="宋体" w:hAnsi="宋体" w:eastAsia="宋体" w:cs="宋体"/>
                <w:color w:val="auto"/>
                <w:sz w:val="21"/>
                <w:szCs w:val="21"/>
                <w:highlight w:val="none"/>
              </w:rPr>
            </w:pPr>
          </w:p>
        </w:tc>
        <w:tc>
          <w:tcPr>
            <w:tcW w:w="1248" w:type="dxa"/>
            <w:vAlign w:val="center"/>
          </w:tcPr>
          <w:p w14:paraId="02799269">
            <w:pPr>
              <w:rPr>
                <w:rFonts w:hint="eastAsia" w:ascii="宋体" w:hAnsi="宋体" w:eastAsia="宋体" w:cs="宋体"/>
                <w:color w:val="auto"/>
                <w:sz w:val="21"/>
                <w:szCs w:val="21"/>
                <w:highlight w:val="none"/>
              </w:rPr>
            </w:pPr>
          </w:p>
        </w:tc>
        <w:tc>
          <w:tcPr>
            <w:tcW w:w="1129" w:type="dxa"/>
            <w:vAlign w:val="center"/>
          </w:tcPr>
          <w:p w14:paraId="6449ADDF">
            <w:pPr>
              <w:rPr>
                <w:rFonts w:hint="eastAsia" w:ascii="宋体" w:hAnsi="宋体" w:eastAsia="宋体" w:cs="宋体"/>
                <w:color w:val="auto"/>
                <w:sz w:val="21"/>
                <w:szCs w:val="21"/>
                <w:highlight w:val="none"/>
              </w:rPr>
            </w:pPr>
          </w:p>
        </w:tc>
        <w:tc>
          <w:tcPr>
            <w:tcW w:w="1283" w:type="dxa"/>
            <w:vAlign w:val="center"/>
          </w:tcPr>
          <w:p w14:paraId="183C0714">
            <w:pPr>
              <w:rPr>
                <w:rFonts w:hint="eastAsia" w:ascii="宋体" w:hAnsi="宋体" w:eastAsia="宋体" w:cs="宋体"/>
                <w:color w:val="auto"/>
                <w:sz w:val="21"/>
                <w:szCs w:val="21"/>
                <w:highlight w:val="none"/>
              </w:rPr>
            </w:pPr>
          </w:p>
        </w:tc>
        <w:tc>
          <w:tcPr>
            <w:tcW w:w="1368" w:type="dxa"/>
            <w:vAlign w:val="center"/>
          </w:tcPr>
          <w:p w14:paraId="4F169081">
            <w:pPr>
              <w:rPr>
                <w:rFonts w:hint="eastAsia" w:ascii="宋体" w:hAnsi="宋体" w:eastAsia="宋体" w:cs="宋体"/>
                <w:color w:val="auto"/>
                <w:sz w:val="21"/>
                <w:szCs w:val="21"/>
                <w:highlight w:val="none"/>
              </w:rPr>
            </w:pPr>
          </w:p>
        </w:tc>
        <w:tc>
          <w:tcPr>
            <w:tcW w:w="960" w:type="dxa"/>
            <w:vAlign w:val="center"/>
          </w:tcPr>
          <w:p w14:paraId="4A8D26BB">
            <w:pPr>
              <w:rPr>
                <w:rFonts w:hint="eastAsia" w:ascii="宋体" w:hAnsi="宋体" w:eastAsia="宋体" w:cs="宋体"/>
                <w:color w:val="auto"/>
                <w:sz w:val="21"/>
                <w:szCs w:val="21"/>
                <w:highlight w:val="none"/>
              </w:rPr>
            </w:pPr>
          </w:p>
        </w:tc>
        <w:tc>
          <w:tcPr>
            <w:tcW w:w="1176" w:type="dxa"/>
            <w:vAlign w:val="center"/>
          </w:tcPr>
          <w:p w14:paraId="09D0936A">
            <w:pPr>
              <w:rPr>
                <w:rFonts w:hint="eastAsia" w:ascii="宋体" w:hAnsi="宋体" w:eastAsia="宋体" w:cs="宋体"/>
                <w:color w:val="auto"/>
                <w:sz w:val="21"/>
                <w:szCs w:val="21"/>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A21B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7CA4B3F3">
            <w:pPr>
              <w:rPr>
                <w:rFonts w:hint="eastAsia" w:ascii="宋体" w:hAnsi="宋体" w:eastAsia="宋体" w:cs="宋体"/>
                <w:color w:val="auto"/>
                <w:sz w:val="21"/>
                <w:szCs w:val="21"/>
                <w:highlight w:val="none"/>
              </w:rPr>
            </w:pPr>
          </w:p>
        </w:tc>
        <w:tc>
          <w:tcPr>
            <w:tcW w:w="1248" w:type="dxa"/>
            <w:vAlign w:val="center"/>
          </w:tcPr>
          <w:p w14:paraId="59CCECB1">
            <w:pPr>
              <w:rPr>
                <w:rFonts w:hint="eastAsia" w:ascii="宋体" w:hAnsi="宋体" w:eastAsia="宋体" w:cs="宋体"/>
                <w:color w:val="auto"/>
                <w:sz w:val="21"/>
                <w:szCs w:val="21"/>
                <w:highlight w:val="none"/>
              </w:rPr>
            </w:pPr>
          </w:p>
        </w:tc>
        <w:tc>
          <w:tcPr>
            <w:tcW w:w="1129" w:type="dxa"/>
            <w:vAlign w:val="center"/>
          </w:tcPr>
          <w:p w14:paraId="4E8043C4">
            <w:pPr>
              <w:rPr>
                <w:rFonts w:hint="eastAsia" w:ascii="宋体" w:hAnsi="宋体" w:eastAsia="宋体" w:cs="宋体"/>
                <w:color w:val="auto"/>
                <w:sz w:val="21"/>
                <w:szCs w:val="21"/>
                <w:highlight w:val="none"/>
              </w:rPr>
            </w:pPr>
          </w:p>
        </w:tc>
        <w:tc>
          <w:tcPr>
            <w:tcW w:w="1283" w:type="dxa"/>
            <w:vAlign w:val="center"/>
          </w:tcPr>
          <w:p w14:paraId="2E195778">
            <w:pPr>
              <w:rPr>
                <w:rFonts w:hint="eastAsia" w:ascii="宋体" w:hAnsi="宋体" w:eastAsia="宋体" w:cs="宋体"/>
                <w:color w:val="auto"/>
                <w:sz w:val="21"/>
                <w:szCs w:val="21"/>
                <w:highlight w:val="none"/>
              </w:rPr>
            </w:pPr>
          </w:p>
        </w:tc>
        <w:tc>
          <w:tcPr>
            <w:tcW w:w="1368" w:type="dxa"/>
            <w:vAlign w:val="center"/>
          </w:tcPr>
          <w:p w14:paraId="49A8CC13">
            <w:pPr>
              <w:rPr>
                <w:rFonts w:hint="eastAsia" w:ascii="宋体" w:hAnsi="宋体" w:eastAsia="宋体" w:cs="宋体"/>
                <w:color w:val="auto"/>
                <w:sz w:val="21"/>
                <w:szCs w:val="21"/>
                <w:highlight w:val="none"/>
              </w:rPr>
            </w:pPr>
          </w:p>
        </w:tc>
        <w:tc>
          <w:tcPr>
            <w:tcW w:w="960" w:type="dxa"/>
            <w:vAlign w:val="center"/>
          </w:tcPr>
          <w:p w14:paraId="3DDF15B1">
            <w:pPr>
              <w:rPr>
                <w:rFonts w:hint="eastAsia" w:ascii="宋体" w:hAnsi="宋体" w:eastAsia="宋体" w:cs="宋体"/>
                <w:color w:val="auto"/>
                <w:sz w:val="21"/>
                <w:szCs w:val="21"/>
                <w:highlight w:val="none"/>
              </w:rPr>
            </w:pPr>
          </w:p>
        </w:tc>
        <w:tc>
          <w:tcPr>
            <w:tcW w:w="1176" w:type="dxa"/>
            <w:vAlign w:val="center"/>
          </w:tcPr>
          <w:p w14:paraId="185645D3">
            <w:pPr>
              <w:rPr>
                <w:rFonts w:hint="eastAsia" w:ascii="宋体" w:hAnsi="宋体" w:eastAsia="宋体" w:cs="宋体"/>
                <w:color w:val="auto"/>
                <w:sz w:val="21"/>
                <w:szCs w:val="21"/>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428D3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46AEF6AC">
            <w:pPr>
              <w:rPr>
                <w:rFonts w:hint="eastAsia" w:ascii="宋体" w:hAnsi="宋体" w:eastAsia="宋体" w:cs="宋体"/>
                <w:color w:val="auto"/>
                <w:sz w:val="21"/>
                <w:szCs w:val="21"/>
                <w:highlight w:val="none"/>
              </w:rPr>
            </w:pPr>
          </w:p>
        </w:tc>
        <w:tc>
          <w:tcPr>
            <w:tcW w:w="1248" w:type="dxa"/>
            <w:vAlign w:val="center"/>
          </w:tcPr>
          <w:p w14:paraId="601B0208">
            <w:pPr>
              <w:rPr>
                <w:rFonts w:hint="eastAsia" w:ascii="宋体" w:hAnsi="宋体" w:eastAsia="宋体" w:cs="宋体"/>
                <w:color w:val="auto"/>
                <w:sz w:val="21"/>
                <w:szCs w:val="21"/>
                <w:highlight w:val="none"/>
              </w:rPr>
            </w:pPr>
          </w:p>
        </w:tc>
        <w:tc>
          <w:tcPr>
            <w:tcW w:w="1129" w:type="dxa"/>
            <w:vAlign w:val="center"/>
          </w:tcPr>
          <w:p w14:paraId="56885EE6">
            <w:pPr>
              <w:rPr>
                <w:rFonts w:hint="eastAsia" w:ascii="宋体" w:hAnsi="宋体" w:eastAsia="宋体" w:cs="宋体"/>
                <w:color w:val="auto"/>
                <w:sz w:val="21"/>
                <w:szCs w:val="21"/>
                <w:highlight w:val="none"/>
              </w:rPr>
            </w:pPr>
          </w:p>
        </w:tc>
        <w:tc>
          <w:tcPr>
            <w:tcW w:w="1283" w:type="dxa"/>
            <w:vAlign w:val="center"/>
          </w:tcPr>
          <w:p w14:paraId="00552B19">
            <w:pPr>
              <w:rPr>
                <w:rFonts w:hint="eastAsia" w:ascii="宋体" w:hAnsi="宋体" w:eastAsia="宋体" w:cs="宋体"/>
                <w:color w:val="auto"/>
                <w:sz w:val="21"/>
                <w:szCs w:val="21"/>
                <w:highlight w:val="none"/>
              </w:rPr>
            </w:pPr>
          </w:p>
        </w:tc>
        <w:tc>
          <w:tcPr>
            <w:tcW w:w="1368" w:type="dxa"/>
            <w:vAlign w:val="center"/>
          </w:tcPr>
          <w:p w14:paraId="77BC6128">
            <w:pPr>
              <w:rPr>
                <w:rFonts w:hint="eastAsia" w:ascii="宋体" w:hAnsi="宋体" w:eastAsia="宋体" w:cs="宋体"/>
                <w:color w:val="auto"/>
                <w:sz w:val="21"/>
                <w:szCs w:val="21"/>
                <w:highlight w:val="none"/>
              </w:rPr>
            </w:pPr>
          </w:p>
        </w:tc>
        <w:tc>
          <w:tcPr>
            <w:tcW w:w="960" w:type="dxa"/>
            <w:vAlign w:val="center"/>
          </w:tcPr>
          <w:p w14:paraId="38FE3D5D">
            <w:pPr>
              <w:rPr>
                <w:rFonts w:hint="eastAsia" w:ascii="宋体" w:hAnsi="宋体" w:eastAsia="宋体" w:cs="宋体"/>
                <w:color w:val="auto"/>
                <w:sz w:val="21"/>
                <w:szCs w:val="21"/>
                <w:highlight w:val="none"/>
              </w:rPr>
            </w:pPr>
          </w:p>
        </w:tc>
        <w:tc>
          <w:tcPr>
            <w:tcW w:w="1176" w:type="dxa"/>
            <w:vAlign w:val="center"/>
          </w:tcPr>
          <w:p w14:paraId="20173386">
            <w:pPr>
              <w:rPr>
                <w:rFonts w:hint="eastAsia" w:ascii="宋体" w:hAnsi="宋体" w:eastAsia="宋体" w:cs="宋体"/>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2629B54">
            <w:pPr>
              <w:rPr>
                <w:rFonts w:hint="eastAsia" w:ascii="宋体" w:hAnsi="宋体" w:eastAsia="宋体" w:cs="宋体"/>
                <w:color w:val="auto"/>
                <w:sz w:val="21"/>
                <w:szCs w:val="21"/>
                <w:highlight w:val="none"/>
              </w:rPr>
            </w:pPr>
          </w:p>
        </w:tc>
        <w:tc>
          <w:tcPr>
            <w:tcW w:w="1248" w:type="dxa"/>
            <w:vAlign w:val="center"/>
          </w:tcPr>
          <w:p w14:paraId="278EE304">
            <w:pPr>
              <w:rPr>
                <w:rFonts w:hint="eastAsia" w:ascii="宋体" w:hAnsi="宋体" w:eastAsia="宋体" w:cs="宋体"/>
                <w:color w:val="auto"/>
                <w:sz w:val="21"/>
                <w:szCs w:val="21"/>
                <w:highlight w:val="none"/>
              </w:rPr>
            </w:pPr>
          </w:p>
        </w:tc>
        <w:tc>
          <w:tcPr>
            <w:tcW w:w="1129" w:type="dxa"/>
            <w:vAlign w:val="center"/>
          </w:tcPr>
          <w:p w14:paraId="502FE2B6">
            <w:pPr>
              <w:rPr>
                <w:rFonts w:hint="eastAsia" w:ascii="宋体" w:hAnsi="宋体" w:eastAsia="宋体" w:cs="宋体"/>
                <w:color w:val="auto"/>
                <w:sz w:val="21"/>
                <w:szCs w:val="21"/>
                <w:highlight w:val="none"/>
              </w:rPr>
            </w:pPr>
          </w:p>
        </w:tc>
        <w:tc>
          <w:tcPr>
            <w:tcW w:w="1283" w:type="dxa"/>
            <w:vAlign w:val="center"/>
          </w:tcPr>
          <w:p w14:paraId="44F7BE63">
            <w:pPr>
              <w:rPr>
                <w:rFonts w:hint="eastAsia" w:ascii="宋体" w:hAnsi="宋体" w:eastAsia="宋体" w:cs="宋体"/>
                <w:color w:val="auto"/>
                <w:sz w:val="21"/>
                <w:szCs w:val="21"/>
                <w:highlight w:val="none"/>
              </w:rPr>
            </w:pPr>
          </w:p>
        </w:tc>
        <w:tc>
          <w:tcPr>
            <w:tcW w:w="1368" w:type="dxa"/>
            <w:vAlign w:val="center"/>
          </w:tcPr>
          <w:p w14:paraId="463BDC1B">
            <w:pPr>
              <w:rPr>
                <w:rFonts w:hint="eastAsia" w:ascii="宋体" w:hAnsi="宋体" w:eastAsia="宋体" w:cs="宋体"/>
                <w:color w:val="auto"/>
                <w:sz w:val="21"/>
                <w:szCs w:val="21"/>
                <w:highlight w:val="none"/>
              </w:rPr>
            </w:pPr>
          </w:p>
        </w:tc>
        <w:tc>
          <w:tcPr>
            <w:tcW w:w="960" w:type="dxa"/>
            <w:vAlign w:val="center"/>
          </w:tcPr>
          <w:p w14:paraId="5208210B">
            <w:pPr>
              <w:rPr>
                <w:rFonts w:hint="eastAsia" w:ascii="宋体" w:hAnsi="宋体" w:eastAsia="宋体" w:cs="宋体"/>
                <w:color w:val="auto"/>
                <w:sz w:val="21"/>
                <w:szCs w:val="21"/>
                <w:highlight w:val="none"/>
              </w:rPr>
            </w:pPr>
          </w:p>
        </w:tc>
        <w:tc>
          <w:tcPr>
            <w:tcW w:w="1176" w:type="dxa"/>
            <w:vAlign w:val="center"/>
          </w:tcPr>
          <w:p w14:paraId="7EC41624">
            <w:pPr>
              <w:rPr>
                <w:rFonts w:hint="eastAsia" w:ascii="宋体" w:hAnsi="宋体" w:eastAsia="宋体" w:cs="宋体"/>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1728B663">
            <w:pPr>
              <w:rPr>
                <w:rFonts w:hint="eastAsia" w:ascii="宋体" w:hAnsi="宋体" w:eastAsia="宋体" w:cs="宋体"/>
                <w:color w:val="auto"/>
                <w:sz w:val="21"/>
                <w:szCs w:val="21"/>
                <w:highlight w:val="none"/>
              </w:rPr>
            </w:pPr>
          </w:p>
        </w:tc>
        <w:tc>
          <w:tcPr>
            <w:tcW w:w="1248" w:type="dxa"/>
            <w:vAlign w:val="center"/>
          </w:tcPr>
          <w:p w14:paraId="5B701B38">
            <w:pPr>
              <w:rPr>
                <w:rFonts w:hint="eastAsia" w:ascii="宋体" w:hAnsi="宋体" w:eastAsia="宋体" w:cs="宋体"/>
                <w:color w:val="auto"/>
                <w:sz w:val="21"/>
                <w:szCs w:val="21"/>
                <w:highlight w:val="none"/>
              </w:rPr>
            </w:pPr>
          </w:p>
        </w:tc>
        <w:tc>
          <w:tcPr>
            <w:tcW w:w="1129" w:type="dxa"/>
            <w:vAlign w:val="center"/>
          </w:tcPr>
          <w:p w14:paraId="0BFD5658">
            <w:pPr>
              <w:rPr>
                <w:rFonts w:hint="eastAsia" w:ascii="宋体" w:hAnsi="宋体" w:eastAsia="宋体" w:cs="宋体"/>
                <w:color w:val="auto"/>
                <w:sz w:val="21"/>
                <w:szCs w:val="21"/>
                <w:highlight w:val="none"/>
              </w:rPr>
            </w:pPr>
          </w:p>
        </w:tc>
        <w:tc>
          <w:tcPr>
            <w:tcW w:w="1283" w:type="dxa"/>
            <w:vAlign w:val="center"/>
          </w:tcPr>
          <w:p w14:paraId="56955758">
            <w:pPr>
              <w:rPr>
                <w:rFonts w:hint="eastAsia" w:ascii="宋体" w:hAnsi="宋体" w:eastAsia="宋体" w:cs="宋体"/>
                <w:color w:val="auto"/>
                <w:sz w:val="21"/>
                <w:szCs w:val="21"/>
                <w:highlight w:val="none"/>
              </w:rPr>
            </w:pPr>
          </w:p>
        </w:tc>
        <w:tc>
          <w:tcPr>
            <w:tcW w:w="1368" w:type="dxa"/>
            <w:vAlign w:val="center"/>
          </w:tcPr>
          <w:p w14:paraId="6AF4F252">
            <w:pPr>
              <w:rPr>
                <w:rFonts w:hint="eastAsia" w:ascii="宋体" w:hAnsi="宋体" w:eastAsia="宋体" w:cs="宋体"/>
                <w:color w:val="auto"/>
                <w:sz w:val="21"/>
                <w:szCs w:val="21"/>
                <w:highlight w:val="none"/>
              </w:rPr>
            </w:pPr>
          </w:p>
        </w:tc>
        <w:tc>
          <w:tcPr>
            <w:tcW w:w="960" w:type="dxa"/>
            <w:vAlign w:val="center"/>
          </w:tcPr>
          <w:p w14:paraId="0E461DD3">
            <w:pPr>
              <w:rPr>
                <w:rFonts w:hint="eastAsia" w:ascii="宋体" w:hAnsi="宋体" w:eastAsia="宋体" w:cs="宋体"/>
                <w:color w:val="auto"/>
                <w:sz w:val="21"/>
                <w:szCs w:val="21"/>
                <w:highlight w:val="none"/>
              </w:rPr>
            </w:pPr>
          </w:p>
        </w:tc>
        <w:tc>
          <w:tcPr>
            <w:tcW w:w="1176" w:type="dxa"/>
            <w:vAlign w:val="center"/>
          </w:tcPr>
          <w:p w14:paraId="5804A0BF">
            <w:pPr>
              <w:rPr>
                <w:rFonts w:hint="eastAsia" w:ascii="宋体" w:hAnsi="宋体" w:eastAsia="宋体" w:cs="宋体"/>
                <w:color w:val="auto"/>
                <w:sz w:val="21"/>
                <w:szCs w:val="21"/>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433A34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5D94CAA1">
            <w:pPr>
              <w:rPr>
                <w:rFonts w:hint="eastAsia" w:ascii="宋体" w:hAnsi="宋体" w:eastAsia="宋体" w:cs="宋体"/>
                <w:color w:val="auto"/>
                <w:sz w:val="21"/>
                <w:szCs w:val="21"/>
                <w:highlight w:val="none"/>
              </w:rPr>
            </w:pPr>
          </w:p>
        </w:tc>
        <w:tc>
          <w:tcPr>
            <w:tcW w:w="1248" w:type="dxa"/>
            <w:vAlign w:val="center"/>
          </w:tcPr>
          <w:p w14:paraId="48AC7386">
            <w:pPr>
              <w:rPr>
                <w:rFonts w:hint="eastAsia" w:ascii="宋体" w:hAnsi="宋体" w:eastAsia="宋体" w:cs="宋体"/>
                <w:color w:val="auto"/>
                <w:sz w:val="21"/>
                <w:szCs w:val="21"/>
                <w:highlight w:val="none"/>
              </w:rPr>
            </w:pPr>
          </w:p>
        </w:tc>
        <w:tc>
          <w:tcPr>
            <w:tcW w:w="1129" w:type="dxa"/>
            <w:vAlign w:val="center"/>
          </w:tcPr>
          <w:p w14:paraId="20172F35">
            <w:pPr>
              <w:rPr>
                <w:rFonts w:hint="eastAsia" w:ascii="宋体" w:hAnsi="宋体" w:eastAsia="宋体" w:cs="宋体"/>
                <w:color w:val="auto"/>
                <w:sz w:val="21"/>
                <w:szCs w:val="21"/>
                <w:highlight w:val="none"/>
              </w:rPr>
            </w:pPr>
          </w:p>
        </w:tc>
        <w:tc>
          <w:tcPr>
            <w:tcW w:w="1283" w:type="dxa"/>
            <w:vAlign w:val="center"/>
          </w:tcPr>
          <w:p w14:paraId="75CF74D1">
            <w:pPr>
              <w:rPr>
                <w:rFonts w:hint="eastAsia" w:ascii="宋体" w:hAnsi="宋体" w:eastAsia="宋体" w:cs="宋体"/>
                <w:color w:val="auto"/>
                <w:sz w:val="21"/>
                <w:szCs w:val="21"/>
                <w:highlight w:val="none"/>
              </w:rPr>
            </w:pPr>
          </w:p>
        </w:tc>
        <w:tc>
          <w:tcPr>
            <w:tcW w:w="1368" w:type="dxa"/>
            <w:vAlign w:val="center"/>
          </w:tcPr>
          <w:p w14:paraId="52CF4BF0">
            <w:pPr>
              <w:rPr>
                <w:rFonts w:hint="eastAsia" w:ascii="宋体" w:hAnsi="宋体" w:eastAsia="宋体" w:cs="宋体"/>
                <w:color w:val="auto"/>
                <w:sz w:val="21"/>
                <w:szCs w:val="21"/>
                <w:highlight w:val="none"/>
              </w:rPr>
            </w:pPr>
          </w:p>
        </w:tc>
        <w:tc>
          <w:tcPr>
            <w:tcW w:w="960" w:type="dxa"/>
            <w:vAlign w:val="center"/>
          </w:tcPr>
          <w:p w14:paraId="4A3F6BEC">
            <w:pPr>
              <w:rPr>
                <w:rFonts w:hint="eastAsia" w:ascii="宋体" w:hAnsi="宋体" w:eastAsia="宋体" w:cs="宋体"/>
                <w:color w:val="auto"/>
                <w:sz w:val="21"/>
                <w:szCs w:val="21"/>
                <w:highlight w:val="none"/>
              </w:rPr>
            </w:pPr>
          </w:p>
        </w:tc>
        <w:tc>
          <w:tcPr>
            <w:tcW w:w="1176" w:type="dxa"/>
            <w:vAlign w:val="center"/>
          </w:tcPr>
          <w:p w14:paraId="52BCFD5F">
            <w:pPr>
              <w:rPr>
                <w:rFonts w:hint="eastAsia" w:ascii="宋体" w:hAnsi="宋体" w:eastAsia="宋体" w:cs="宋体"/>
                <w:color w:val="auto"/>
                <w:sz w:val="21"/>
                <w:szCs w:val="21"/>
                <w:highlight w:val="none"/>
              </w:rPr>
            </w:pPr>
          </w:p>
        </w:tc>
      </w:tr>
      <w:bookmarkEnd w:id="728"/>
    </w:tbl>
    <w:p w14:paraId="0D2F5038">
      <w:pPr>
        <w:rPr>
          <w:rFonts w:hint="eastAsia" w:ascii="宋体" w:hAnsi="宋体" w:eastAsia="宋体" w:cs="宋体"/>
          <w:color w:val="auto"/>
          <w:szCs w:val="24"/>
          <w:highlight w:val="none"/>
        </w:rPr>
      </w:pPr>
    </w:p>
    <w:p w14:paraId="58FF379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注：投标人须按</w:t>
      </w:r>
      <w:r>
        <w:rPr>
          <w:rFonts w:hint="eastAsia" w:ascii="宋体" w:hAnsi="宋体" w:eastAsia="宋体" w:cs="宋体"/>
          <w:color w:val="auto"/>
          <w:sz w:val="21"/>
          <w:szCs w:val="21"/>
          <w:highlight w:val="none"/>
          <w:lang w:val="en-US" w:eastAsia="zh-CN"/>
        </w:rPr>
        <w:t>相关要求</w:t>
      </w:r>
      <w:r>
        <w:rPr>
          <w:rFonts w:hint="eastAsia" w:ascii="宋体" w:hAnsi="宋体" w:eastAsia="宋体" w:cs="宋体"/>
          <w:color w:val="auto"/>
          <w:sz w:val="21"/>
          <w:szCs w:val="21"/>
          <w:highlight w:val="none"/>
        </w:rPr>
        <w:t>提供相应的</w:t>
      </w:r>
      <w:r>
        <w:rPr>
          <w:rFonts w:hint="eastAsia" w:ascii="宋体" w:hAnsi="宋体" w:eastAsia="宋体" w:cs="宋体"/>
          <w:color w:val="auto"/>
          <w:sz w:val="21"/>
          <w:szCs w:val="21"/>
          <w:highlight w:val="none"/>
          <w:lang w:val="en-US" w:eastAsia="zh-CN"/>
        </w:rPr>
        <w:t>中标（成交）通知书、采购合同等</w:t>
      </w:r>
      <w:r>
        <w:rPr>
          <w:rFonts w:hint="eastAsia" w:ascii="宋体" w:hAnsi="宋体" w:eastAsia="宋体" w:cs="宋体"/>
          <w:color w:val="auto"/>
          <w:sz w:val="21"/>
          <w:szCs w:val="21"/>
          <w:highlight w:val="none"/>
        </w:rPr>
        <w:t>业绩证明资料。</w:t>
      </w:r>
    </w:p>
    <w:p w14:paraId="5DB99613">
      <w:pPr>
        <w:widowControl/>
        <w:spacing w:before="100" w:beforeAutospacing="1" w:after="100" w:afterAutospacing="1"/>
        <w:rPr>
          <w:rFonts w:hint="eastAsia" w:ascii="宋体" w:hAnsi="宋体" w:eastAsia="宋体" w:cs="宋体"/>
          <w:color w:val="auto"/>
          <w:szCs w:val="21"/>
          <w:highlight w:val="none"/>
        </w:rPr>
      </w:pPr>
    </w:p>
    <w:p w14:paraId="68FCBA1E">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zCs w:val="24"/>
          <w:highlight w:val="none"/>
        </w:rPr>
        <w:t xml:space="preserve">： </w:t>
      </w:r>
    </w:p>
    <w:p w14:paraId="360811C8">
      <w:pPr>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14:paraId="095105C8">
      <w:pPr>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4E924C81">
      <w:pPr>
        <w:pStyle w:val="3"/>
        <w:bidi w:val="0"/>
        <w:jc w:val="center"/>
        <w:rPr>
          <w:rFonts w:hint="eastAsia" w:ascii="宋体" w:hAnsi="宋体" w:eastAsia="宋体" w:cs="宋体"/>
          <w:highlight w:val="none"/>
          <w:lang w:val="en-US" w:eastAsia="zh-CN"/>
        </w:rPr>
      </w:pPr>
      <w:bookmarkStart w:id="729" w:name="_Toc13809"/>
      <w:bookmarkStart w:id="730" w:name="_Toc23739"/>
      <w:r>
        <w:rPr>
          <w:rFonts w:hint="eastAsia" w:ascii="宋体" w:hAnsi="宋体" w:eastAsia="宋体" w:cs="宋体"/>
          <w:highlight w:val="none"/>
          <w:lang w:val="en-US" w:eastAsia="zh-CN"/>
        </w:rPr>
        <w:t>八、拟派项目团队</w:t>
      </w:r>
      <w:bookmarkEnd w:id="729"/>
      <w:bookmarkEnd w:id="730"/>
    </w:p>
    <w:tbl>
      <w:tblPr>
        <w:tblStyle w:val="32"/>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1096055A">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09FA2F8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4D802FF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3116E3D2">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1115941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57503923">
            <w:pPr>
              <w:pStyle w:val="5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注册证书（岗位证书）名称及编号</w:t>
            </w:r>
          </w:p>
        </w:tc>
        <w:tc>
          <w:tcPr>
            <w:tcW w:w="1356" w:type="dxa"/>
            <w:vAlign w:val="center"/>
          </w:tcPr>
          <w:p w14:paraId="422D7D9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79229F1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52"/>
              <w:jc w:val="center"/>
              <w:rPr>
                <w:rFonts w:hint="eastAsia" w:ascii="宋体" w:hAnsi="宋体" w:eastAsia="宋体" w:cs="宋体"/>
                <w:color w:val="auto"/>
                <w:sz w:val="21"/>
                <w:szCs w:val="21"/>
                <w:highlight w:val="none"/>
              </w:rPr>
            </w:pPr>
            <w:bookmarkStart w:id="731" w:name="_Toc100090784"/>
            <w:bookmarkStart w:id="732" w:name="_Toc99533292"/>
            <w:r>
              <w:rPr>
                <w:rFonts w:hint="eastAsia" w:ascii="宋体" w:hAnsi="宋体" w:eastAsia="宋体" w:cs="宋体"/>
                <w:color w:val="auto"/>
                <w:sz w:val="21"/>
                <w:szCs w:val="21"/>
                <w:highlight w:val="none"/>
              </w:rPr>
              <w:t>1</w:t>
            </w:r>
            <w:bookmarkEnd w:id="731"/>
            <w:bookmarkEnd w:id="732"/>
          </w:p>
        </w:tc>
        <w:tc>
          <w:tcPr>
            <w:tcW w:w="1267" w:type="dxa"/>
            <w:vAlign w:val="center"/>
          </w:tcPr>
          <w:p w14:paraId="04D72608">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735158">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EF6F977">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483447B">
            <w:pPr>
              <w:pStyle w:val="52"/>
              <w:jc w:val="center"/>
              <w:rPr>
                <w:rFonts w:hint="eastAsia" w:ascii="宋体" w:hAnsi="宋体" w:eastAsia="宋体" w:cs="宋体"/>
                <w:color w:val="auto"/>
                <w:sz w:val="21"/>
                <w:szCs w:val="21"/>
                <w:highlight w:val="none"/>
              </w:rPr>
            </w:pPr>
          </w:p>
        </w:tc>
        <w:tc>
          <w:tcPr>
            <w:tcW w:w="1860" w:type="dxa"/>
            <w:vAlign w:val="center"/>
          </w:tcPr>
          <w:p w14:paraId="7F355EC3">
            <w:pPr>
              <w:pStyle w:val="52"/>
              <w:jc w:val="center"/>
              <w:rPr>
                <w:rFonts w:hint="eastAsia" w:ascii="宋体" w:hAnsi="宋体" w:eastAsia="宋体" w:cs="宋体"/>
                <w:color w:val="auto"/>
                <w:sz w:val="21"/>
                <w:szCs w:val="21"/>
                <w:highlight w:val="none"/>
              </w:rPr>
            </w:pPr>
          </w:p>
        </w:tc>
        <w:tc>
          <w:tcPr>
            <w:tcW w:w="1356" w:type="dxa"/>
            <w:vAlign w:val="center"/>
          </w:tcPr>
          <w:p w14:paraId="2148FD62">
            <w:pPr>
              <w:pStyle w:val="52"/>
              <w:jc w:val="center"/>
              <w:rPr>
                <w:rFonts w:hint="eastAsia" w:ascii="宋体" w:hAnsi="宋体" w:eastAsia="宋体" w:cs="宋体"/>
                <w:color w:val="auto"/>
                <w:sz w:val="21"/>
                <w:szCs w:val="21"/>
                <w:highlight w:val="none"/>
              </w:rPr>
            </w:pPr>
          </w:p>
        </w:tc>
        <w:tc>
          <w:tcPr>
            <w:tcW w:w="816" w:type="dxa"/>
            <w:vAlign w:val="center"/>
          </w:tcPr>
          <w:p w14:paraId="30F5864D">
            <w:pPr>
              <w:pStyle w:val="52"/>
              <w:jc w:val="center"/>
              <w:rPr>
                <w:rFonts w:hint="eastAsia" w:ascii="宋体" w:hAnsi="宋体" w:eastAsia="宋体" w:cs="宋体"/>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52"/>
              <w:jc w:val="center"/>
              <w:rPr>
                <w:rFonts w:hint="eastAsia" w:ascii="宋体" w:hAnsi="宋体" w:eastAsia="宋体" w:cs="宋体"/>
                <w:color w:val="auto"/>
                <w:sz w:val="21"/>
                <w:szCs w:val="21"/>
                <w:highlight w:val="none"/>
              </w:rPr>
            </w:pPr>
            <w:bookmarkStart w:id="733" w:name="_Toc99533293"/>
            <w:bookmarkStart w:id="734" w:name="_Toc100090785"/>
            <w:r>
              <w:rPr>
                <w:rFonts w:hint="eastAsia" w:ascii="宋体" w:hAnsi="宋体" w:eastAsia="宋体" w:cs="宋体"/>
                <w:color w:val="auto"/>
                <w:sz w:val="21"/>
                <w:szCs w:val="21"/>
                <w:highlight w:val="none"/>
              </w:rPr>
              <w:t>2</w:t>
            </w:r>
            <w:bookmarkEnd w:id="733"/>
            <w:bookmarkEnd w:id="734"/>
          </w:p>
        </w:tc>
        <w:tc>
          <w:tcPr>
            <w:tcW w:w="1267" w:type="dxa"/>
            <w:vAlign w:val="center"/>
          </w:tcPr>
          <w:p w14:paraId="3AE14FF6">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6FFE829">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A33E450">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76ECD82">
            <w:pPr>
              <w:pStyle w:val="52"/>
              <w:jc w:val="center"/>
              <w:rPr>
                <w:rFonts w:hint="eastAsia" w:ascii="宋体" w:hAnsi="宋体" w:eastAsia="宋体" w:cs="宋体"/>
                <w:color w:val="auto"/>
                <w:sz w:val="21"/>
                <w:szCs w:val="21"/>
                <w:highlight w:val="none"/>
              </w:rPr>
            </w:pPr>
          </w:p>
        </w:tc>
        <w:tc>
          <w:tcPr>
            <w:tcW w:w="1860" w:type="dxa"/>
            <w:vAlign w:val="center"/>
          </w:tcPr>
          <w:p w14:paraId="390E678F">
            <w:pPr>
              <w:pStyle w:val="52"/>
              <w:jc w:val="center"/>
              <w:rPr>
                <w:rFonts w:hint="eastAsia" w:ascii="宋体" w:hAnsi="宋体" w:eastAsia="宋体" w:cs="宋体"/>
                <w:color w:val="auto"/>
                <w:sz w:val="21"/>
                <w:szCs w:val="21"/>
                <w:highlight w:val="none"/>
              </w:rPr>
            </w:pPr>
          </w:p>
        </w:tc>
        <w:tc>
          <w:tcPr>
            <w:tcW w:w="1356" w:type="dxa"/>
            <w:vAlign w:val="center"/>
          </w:tcPr>
          <w:p w14:paraId="77E48E09">
            <w:pPr>
              <w:pStyle w:val="52"/>
              <w:jc w:val="center"/>
              <w:rPr>
                <w:rFonts w:hint="eastAsia" w:ascii="宋体" w:hAnsi="宋体" w:eastAsia="宋体" w:cs="宋体"/>
                <w:color w:val="auto"/>
                <w:sz w:val="21"/>
                <w:szCs w:val="21"/>
                <w:highlight w:val="none"/>
              </w:rPr>
            </w:pPr>
          </w:p>
        </w:tc>
        <w:tc>
          <w:tcPr>
            <w:tcW w:w="816" w:type="dxa"/>
            <w:vAlign w:val="center"/>
          </w:tcPr>
          <w:p w14:paraId="3D8C0BFB">
            <w:pPr>
              <w:pStyle w:val="52"/>
              <w:jc w:val="center"/>
              <w:rPr>
                <w:rFonts w:hint="eastAsia" w:ascii="宋体" w:hAnsi="宋体" w:eastAsia="宋体" w:cs="宋体"/>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52"/>
              <w:jc w:val="center"/>
              <w:rPr>
                <w:rFonts w:hint="eastAsia" w:ascii="宋体" w:hAnsi="宋体" w:eastAsia="宋体" w:cs="宋体"/>
                <w:color w:val="auto"/>
                <w:sz w:val="21"/>
                <w:szCs w:val="21"/>
                <w:highlight w:val="none"/>
              </w:rPr>
            </w:pPr>
            <w:bookmarkStart w:id="735" w:name="_Toc99533294"/>
            <w:bookmarkStart w:id="736" w:name="_Toc100090786"/>
            <w:r>
              <w:rPr>
                <w:rFonts w:hint="eastAsia" w:ascii="宋体" w:hAnsi="宋体" w:eastAsia="宋体" w:cs="宋体"/>
                <w:color w:val="auto"/>
                <w:sz w:val="21"/>
                <w:szCs w:val="21"/>
                <w:highlight w:val="none"/>
              </w:rPr>
              <w:t>3</w:t>
            </w:r>
            <w:bookmarkEnd w:id="735"/>
            <w:bookmarkEnd w:id="736"/>
          </w:p>
        </w:tc>
        <w:tc>
          <w:tcPr>
            <w:tcW w:w="1267" w:type="dxa"/>
            <w:vAlign w:val="center"/>
          </w:tcPr>
          <w:p w14:paraId="19C12411">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33B914">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0C10384">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57B47D5">
            <w:pPr>
              <w:pStyle w:val="52"/>
              <w:jc w:val="center"/>
              <w:rPr>
                <w:rFonts w:hint="eastAsia" w:ascii="宋体" w:hAnsi="宋体" w:eastAsia="宋体" w:cs="宋体"/>
                <w:color w:val="auto"/>
                <w:sz w:val="21"/>
                <w:szCs w:val="21"/>
                <w:highlight w:val="none"/>
              </w:rPr>
            </w:pPr>
          </w:p>
        </w:tc>
        <w:tc>
          <w:tcPr>
            <w:tcW w:w="1860" w:type="dxa"/>
            <w:vAlign w:val="center"/>
          </w:tcPr>
          <w:p w14:paraId="3F31D2CD">
            <w:pPr>
              <w:pStyle w:val="52"/>
              <w:jc w:val="center"/>
              <w:rPr>
                <w:rFonts w:hint="eastAsia" w:ascii="宋体" w:hAnsi="宋体" w:eastAsia="宋体" w:cs="宋体"/>
                <w:color w:val="auto"/>
                <w:sz w:val="21"/>
                <w:szCs w:val="21"/>
                <w:highlight w:val="none"/>
              </w:rPr>
            </w:pPr>
          </w:p>
        </w:tc>
        <w:tc>
          <w:tcPr>
            <w:tcW w:w="1356" w:type="dxa"/>
            <w:vAlign w:val="center"/>
          </w:tcPr>
          <w:p w14:paraId="107FDE9E">
            <w:pPr>
              <w:pStyle w:val="52"/>
              <w:jc w:val="center"/>
              <w:rPr>
                <w:rFonts w:hint="eastAsia" w:ascii="宋体" w:hAnsi="宋体" w:eastAsia="宋体" w:cs="宋体"/>
                <w:color w:val="auto"/>
                <w:sz w:val="21"/>
                <w:szCs w:val="21"/>
                <w:highlight w:val="none"/>
              </w:rPr>
            </w:pPr>
          </w:p>
        </w:tc>
        <w:tc>
          <w:tcPr>
            <w:tcW w:w="816" w:type="dxa"/>
            <w:vAlign w:val="center"/>
          </w:tcPr>
          <w:p w14:paraId="0ED9D4FB">
            <w:pPr>
              <w:pStyle w:val="52"/>
              <w:jc w:val="center"/>
              <w:rPr>
                <w:rFonts w:hint="eastAsia" w:ascii="宋体" w:hAnsi="宋体" w:eastAsia="宋体" w:cs="宋体"/>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52"/>
              <w:jc w:val="center"/>
              <w:rPr>
                <w:rFonts w:hint="eastAsia" w:ascii="宋体" w:hAnsi="宋体" w:eastAsia="宋体" w:cs="宋体"/>
                <w:color w:val="auto"/>
                <w:sz w:val="21"/>
                <w:szCs w:val="21"/>
                <w:highlight w:val="none"/>
              </w:rPr>
            </w:pPr>
            <w:bookmarkStart w:id="737" w:name="_Toc100090787"/>
            <w:bookmarkStart w:id="738" w:name="_Toc99533295"/>
            <w:r>
              <w:rPr>
                <w:rFonts w:hint="eastAsia" w:ascii="宋体" w:hAnsi="宋体" w:eastAsia="宋体" w:cs="宋体"/>
                <w:color w:val="auto"/>
                <w:sz w:val="21"/>
                <w:szCs w:val="21"/>
                <w:highlight w:val="none"/>
              </w:rPr>
              <w:t>4</w:t>
            </w:r>
            <w:bookmarkEnd w:id="737"/>
            <w:bookmarkEnd w:id="738"/>
          </w:p>
        </w:tc>
        <w:tc>
          <w:tcPr>
            <w:tcW w:w="1267" w:type="dxa"/>
            <w:vAlign w:val="center"/>
          </w:tcPr>
          <w:p w14:paraId="42DE0F63">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CA0809C">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D63F4E6">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96384D0">
            <w:pPr>
              <w:pStyle w:val="52"/>
              <w:jc w:val="center"/>
              <w:rPr>
                <w:rFonts w:hint="eastAsia" w:ascii="宋体" w:hAnsi="宋体" w:eastAsia="宋体" w:cs="宋体"/>
                <w:color w:val="auto"/>
                <w:sz w:val="21"/>
                <w:szCs w:val="21"/>
                <w:highlight w:val="none"/>
              </w:rPr>
            </w:pPr>
          </w:p>
        </w:tc>
        <w:tc>
          <w:tcPr>
            <w:tcW w:w="1860" w:type="dxa"/>
            <w:vAlign w:val="center"/>
          </w:tcPr>
          <w:p w14:paraId="068007BF">
            <w:pPr>
              <w:pStyle w:val="52"/>
              <w:jc w:val="center"/>
              <w:rPr>
                <w:rFonts w:hint="eastAsia" w:ascii="宋体" w:hAnsi="宋体" w:eastAsia="宋体" w:cs="宋体"/>
                <w:color w:val="auto"/>
                <w:sz w:val="21"/>
                <w:szCs w:val="21"/>
                <w:highlight w:val="none"/>
              </w:rPr>
            </w:pPr>
          </w:p>
        </w:tc>
        <w:tc>
          <w:tcPr>
            <w:tcW w:w="1356" w:type="dxa"/>
            <w:vAlign w:val="center"/>
          </w:tcPr>
          <w:p w14:paraId="7A6D63FA">
            <w:pPr>
              <w:pStyle w:val="52"/>
              <w:jc w:val="center"/>
              <w:rPr>
                <w:rFonts w:hint="eastAsia" w:ascii="宋体" w:hAnsi="宋体" w:eastAsia="宋体" w:cs="宋体"/>
                <w:color w:val="auto"/>
                <w:sz w:val="21"/>
                <w:szCs w:val="21"/>
                <w:highlight w:val="none"/>
              </w:rPr>
            </w:pPr>
          </w:p>
        </w:tc>
        <w:tc>
          <w:tcPr>
            <w:tcW w:w="816" w:type="dxa"/>
            <w:vAlign w:val="center"/>
          </w:tcPr>
          <w:p w14:paraId="01F1E6DB">
            <w:pPr>
              <w:pStyle w:val="52"/>
              <w:jc w:val="center"/>
              <w:rPr>
                <w:rFonts w:hint="eastAsia" w:ascii="宋体" w:hAnsi="宋体" w:eastAsia="宋体" w:cs="宋体"/>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52"/>
              <w:jc w:val="center"/>
              <w:rPr>
                <w:rFonts w:hint="eastAsia" w:ascii="宋体" w:hAnsi="宋体" w:eastAsia="宋体" w:cs="宋体"/>
                <w:color w:val="auto"/>
                <w:sz w:val="21"/>
                <w:szCs w:val="21"/>
                <w:highlight w:val="none"/>
              </w:rPr>
            </w:pPr>
            <w:bookmarkStart w:id="739" w:name="_Toc99533296"/>
            <w:bookmarkStart w:id="740" w:name="_Toc100090788"/>
            <w:r>
              <w:rPr>
                <w:rFonts w:hint="eastAsia" w:ascii="宋体" w:hAnsi="宋体" w:eastAsia="宋体" w:cs="宋体"/>
                <w:color w:val="auto"/>
                <w:sz w:val="21"/>
                <w:szCs w:val="21"/>
                <w:highlight w:val="none"/>
              </w:rPr>
              <w:t>5</w:t>
            </w:r>
            <w:bookmarkEnd w:id="739"/>
            <w:bookmarkEnd w:id="740"/>
          </w:p>
        </w:tc>
        <w:tc>
          <w:tcPr>
            <w:tcW w:w="1267" w:type="dxa"/>
            <w:vAlign w:val="center"/>
          </w:tcPr>
          <w:p w14:paraId="3241008C">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999E45B">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4009478">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5153765">
            <w:pPr>
              <w:pStyle w:val="52"/>
              <w:jc w:val="center"/>
              <w:rPr>
                <w:rFonts w:hint="eastAsia" w:ascii="宋体" w:hAnsi="宋体" w:eastAsia="宋体" w:cs="宋体"/>
                <w:color w:val="auto"/>
                <w:sz w:val="21"/>
                <w:szCs w:val="21"/>
                <w:highlight w:val="none"/>
              </w:rPr>
            </w:pPr>
          </w:p>
        </w:tc>
        <w:tc>
          <w:tcPr>
            <w:tcW w:w="1860" w:type="dxa"/>
            <w:vAlign w:val="center"/>
          </w:tcPr>
          <w:p w14:paraId="12AB49C0">
            <w:pPr>
              <w:pStyle w:val="52"/>
              <w:jc w:val="center"/>
              <w:rPr>
                <w:rFonts w:hint="eastAsia" w:ascii="宋体" w:hAnsi="宋体" w:eastAsia="宋体" w:cs="宋体"/>
                <w:color w:val="auto"/>
                <w:sz w:val="21"/>
                <w:szCs w:val="21"/>
                <w:highlight w:val="none"/>
              </w:rPr>
            </w:pPr>
          </w:p>
        </w:tc>
        <w:tc>
          <w:tcPr>
            <w:tcW w:w="1356" w:type="dxa"/>
            <w:vAlign w:val="center"/>
          </w:tcPr>
          <w:p w14:paraId="3943C72A">
            <w:pPr>
              <w:pStyle w:val="52"/>
              <w:jc w:val="center"/>
              <w:rPr>
                <w:rFonts w:hint="eastAsia" w:ascii="宋体" w:hAnsi="宋体" w:eastAsia="宋体" w:cs="宋体"/>
                <w:color w:val="auto"/>
                <w:sz w:val="21"/>
                <w:szCs w:val="21"/>
                <w:highlight w:val="none"/>
              </w:rPr>
            </w:pPr>
          </w:p>
        </w:tc>
        <w:tc>
          <w:tcPr>
            <w:tcW w:w="816" w:type="dxa"/>
            <w:vAlign w:val="center"/>
          </w:tcPr>
          <w:p w14:paraId="5FBE7410">
            <w:pPr>
              <w:pStyle w:val="52"/>
              <w:jc w:val="center"/>
              <w:rPr>
                <w:rFonts w:hint="eastAsia" w:ascii="宋体" w:hAnsi="宋体" w:eastAsia="宋体" w:cs="宋体"/>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52"/>
              <w:jc w:val="center"/>
              <w:rPr>
                <w:rFonts w:hint="eastAsia" w:ascii="宋体" w:hAnsi="宋体" w:eastAsia="宋体" w:cs="宋体"/>
                <w:color w:val="auto"/>
                <w:sz w:val="21"/>
                <w:szCs w:val="21"/>
                <w:highlight w:val="none"/>
              </w:rPr>
            </w:pPr>
            <w:bookmarkStart w:id="741" w:name="_Toc100090789"/>
            <w:bookmarkStart w:id="742" w:name="_Toc99533297"/>
            <w:r>
              <w:rPr>
                <w:rFonts w:hint="eastAsia" w:ascii="宋体" w:hAnsi="宋体" w:eastAsia="宋体" w:cs="宋体"/>
                <w:color w:val="auto"/>
                <w:sz w:val="21"/>
                <w:szCs w:val="21"/>
                <w:highlight w:val="none"/>
              </w:rPr>
              <w:t>6</w:t>
            </w:r>
            <w:bookmarkEnd w:id="741"/>
            <w:bookmarkEnd w:id="742"/>
          </w:p>
        </w:tc>
        <w:tc>
          <w:tcPr>
            <w:tcW w:w="1267" w:type="dxa"/>
            <w:vAlign w:val="center"/>
          </w:tcPr>
          <w:p w14:paraId="40527E11">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6947C68">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666B8AD">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5256EB9">
            <w:pPr>
              <w:pStyle w:val="52"/>
              <w:jc w:val="center"/>
              <w:rPr>
                <w:rFonts w:hint="eastAsia" w:ascii="宋体" w:hAnsi="宋体" w:eastAsia="宋体" w:cs="宋体"/>
                <w:color w:val="auto"/>
                <w:sz w:val="21"/>
                <w:szCs w:val="21"/>
                <w:highlight w:val="none"/>
              </w:rPr>
            </w:pPr>
          </w:p>
        </w:tc>
        <w:tc>
          <w:tcPr>
            <w:tcW w:w="1860" w:type="dxa"/>
            <w:vAlign w:val="center"/>
          </w:tcPr>
          <w:p w14:paraId="51ADEB68">
            <w:pPr>
              <w:pStyle w:val="52"/>
              <w:jc w:val="center"/>
              <w:rPr>
                <w:rFonts w:hint="eastAsia" w:ascii="宋体" w:hAnsi="宋体" w:eastAsia="宋体" w:cs="宋体"/>
                <w:color w:val="auto"/>
                <w:sz w:val="21"/>
                <w:szCs w:val="21"/>
                <w:highlight w:val="none"/>
              </w:rPr>
            </w:pPr>
          </w:p>
        </w:tc>
        <w:tc>
          <w:tcPr>
            <w:tcW w:w="1356" w:type="dxa"/>
            <w:vAlign w:val="center"/>
          </w:tcPr>
          <w:p w14:paraId="6FF03D95">
            <w:pPr>
              <w:pStyle w:val="52"/>
              <w:jc w:val="center"/>
              <w:rPr>
                <w:rFonts w:hint="eastAsia" w:ascii="宋体" w:hAnsi="宋体" w:eastAsia="宋体" w:cs="宋体"/>
                <w:color w:val="auto"/>
                <w:sz w:val="21"/>
                <w:szCs w:val="21"/>
                <w:highlight w:val="none"/>
              </w:rPr>
            </w:pPr>
          </w:p>
        </w:tc>
        <w:tc>
          <w:tcPr>
            <w:tcW w:w="816" w:type="dxa"/>
            <w:vAlign w:val="center"/>
          </w:tcPr>
          <w:p w14:paraId="4EF8AB8A">
            <w:pPr>
              <w:pStyle w:val="52"/>
              <w:jc w:val="center"/>
              <w:rPr>
                <w:rFonts w:hint="eastAsia" w:ascii="宋体" w:hAnsi="宋体" w:eastAsia="宋体" w:cs="宋体"/>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52"/>
              <w:jc w:val="center"/>
              <w:rPr>
                <w:rFonts w:hint="eastAsia" w:ascii="宋体" w:hAnsi="宋体" w:eastAsia="宋体" w:cs="宋体"/>
                <w:color w:val="auto"/>
                <w:sz w:val="21"/>
                <w:szCs w:val="21"/>
                <w:highlight w:val="none"/>
              </w:rPr>
            </w:pPr>
            <w:bookmarkStart w:id="743" w:name="_Toc100090790"/>
            <w:bookmarkStart w:id="744" w:name="_Toc99533298"/>
            <w:r>
              <w:rPr>
                <w:rFonts w:hint="eastAsia" w:ascii="宋体" w:hAnsi="宋体" w:eastAsia="宋体" w:cs="宋体"/>
                <w:color w:val="auto"/>
                <w:sz w:val="21"/>
                <w:szCs w:val="21"/>
                <w:highlight w:val="none"/>
              </w:rPr>
              <w:t>7</w:t>
            </w:r>
            <w:bookmarkEnd w:id="743"/>
            <w:bookmarkEnd w:id="744"/>
          </w:p>
        </w:tc>
        <w:tc>
          <w:tcPr>
            <w:tcW w:w="1267" w:type="dxa"/>
            <w:vAlign w:val="center"/>
          </w:tcPr>
          <w:p w14:paraId="3F3B684D">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8032A99">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01AE572">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1172C19">
            <w:pPr>
              <w:pStyle w:val="52"/>
              <w:jc w:val="center"/>
              <w:rPr>
                <w:rFonts w:hint="eastAsia" w:ascii="宋体" w:hAnsi="宋体" w:eastAsia="宋体" w:cs="宋体"/>
                <w:color w:val="auto"/>
                <w:sz w:val="21"/>
                <w:szCs w:val="21"/>
                <w:highlight w:val="none"/>
              </w:rPr>
            </w:pPr>
          </w:p>
        </w:tc>
        <w:tc>
          <w:tcPr>
            <w:tcW w:w="1860" w:type="dxa"/>
            <w:vAlign w:val="center"/>
          </w:tcPr>
          <w:p w14:paraId="7E9B2A2D">
            <w:pPr>
              <w:pStyle w:val="52"/>
              <w:jc w:val="center"/>
              <w:rPr>
                <w:rFonts w:hint="eastAsia" w:ascii="宋体" w:hAnsi="宋体" w:eastAsia="宋体" w:cs="宋体"/>
                <w:color w:val="auto"/>
                <w:sz w:val="21"/>
                <w:szCs w:val="21"/>
                <w:highlight w:val="none"/>
              </w:rPr>
            </w:pPr>
          </w:p>
        </w:tc>
        <w:tc>
          <w:tcPr>
            <w:tcW w:w="1356" w:type="dxa"/>
            <w:vAlign w:val="center"/>
          </w:tcPr>
          <w:p w14:paraId="5FBF328E">
            <w:pPr>
              <w:pStyle w:val="52"/>
              <w:jc w:val="center"/>
              <w:rPr>
                <w:rFonts w:hint="eastAsia" w:ascii="宋体" w:hAnsi="宋体" w:eastAsia="宋体" w:cs="宋体"/>
                <w:color w:val="auto"/>
                <w:sz w:val="21"/>
                <w:szCs w:val="21"/>
                <w:highlight w:val="none"/>
              </w:rPr>
            </w:pPr>
          </w:p>
        </w:tc>
        <w:tc>
          <w:tcPr>
            <w:tcW w:w="816" w:type="dxa"/>
            <w:vAlign w:val="center"/>
          </w:tcPr>
          <w:p w14:paraId="718DD530">
            <w:pPr>
              <w:pStyle w:val="52"/>
              <w:jc w:val="center"/>
              <w:rPr>
                <w:rFonts w:hint="eastAsia" w:ascii="宋体" w:hAnsi="宋体" w:eastAsia="宋体" w:cs="宋体"/>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52"/>
              <w:jc w:val="center"/>
              <w:rPr>
                <w:rFonts w:hint="eastAsia" w:ascii="宋体" w:hAnsi="宋体" w:eastAsia="宋体" w:cs="宋体"/>
                <w:color w:val="auto"/>
                <w:sz w:val="21"/>
                <w:szCs w:val="21"/>
                <w:highlight w:val="none"/>
              </w:rPr>
            </w:pPr>
            <w:bookmarkStart w:id="745" w:name="_Toc99533299"/>
            <w:bookmarkStart w:id="746" w:name="_Toc100090791"/>
            <w:r>
              <w:rPr>
                <w:rFonts w:hint="eastAsia" w:ascii="宋体" w:hAnsi="宋体" w:eastAsia="宋体" w:cs="宋体"/>
                <w:color w:val="auto"/>
                <w:sz w:val="21"/>
                <w:szCs w:val="21"/>
                <w:highlight w:val="none"/>
              </w:rPr>
              <w:t>8</w:t>
            </w:r>
            <w:bookmarkEnd w:id="745"/>
            <w:bookmarkEnd w:id="746"/>
          </w:p>
        </w:tc>
        <w:tc>
          <w:tcPr>
            <w:tcW w:w="1267" w:type="dxa"/>
            <w:vAlign w:val="center"/>
          </w:tcPr>
          <w:p w14:paraId="20BD29D0">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9D455C">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3548599B">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2842C962">
            <w:pPr>
              <w:pStyle w:val="52"/>
              <w:jc w:val="center"/>
              <w:rPr>
                <w:rFonts w:hint="eastAsia" w:ascii="宋体" w:hAnsi="宋体" w:eastAsia="宋体" w:cs="宋体"/>
                <w:color w:val="auto"/>
                <w:sz w:val="21"/>
                <w:szCs w:val="21"/>
                <w:highlight w:val="none"/>
              </w:rPr>
            </w:pPr>
          </w:p>
        </w:tc>
        <w:tc>
          <w:tcPr>
            <w:tcW w:w="1860" w:type="dxa"/>
            <w:vAlign w:val="center"/>
          </w:tcPr>
          <w:p w14:paraId="292DF220">
            <w:pPr>
              <w:pStyle w:val="52"/>
              <w:jc w:val="center"/>
              <w:rPr>
                <w:rFonts w:hint="eastAsia" w:ascii="宋体" w:hAnsi="宋体" w:eastAsia="宋体" w:cs="宋体"/>
                <w:color w:val="auto"/>
                <w:sz w:val="21"/>
                <w:szCs w:val="21"/>
                <w:highlight w:val="none"/>
              </w:rPr>
            </w:pPr>
          </w:p>
        </w:tc>
        <w:tc>
          <w:tcPr>
            <w:tcW w:w="1356" w:type="dxa"/>
            <w:vAlign w:val="center"/>
          </w:tcPr>
          <w:p w14:paraId="7107F6B0">
            <w:pPr>
              <w:pStyle w:val="52"/>
              <w:jc w:val="center"/>
              <w:rPr>
                <w:rFonts w:hint="eastAsia" w:ascii="宋体" w:hAnsi="宋体" w:eastAsia="宋体" w:cs="宋体"/>
                <w:color w:val="auto"/>
                <w:sz w:val="21"/>
                <w:szCs w:val="21"/>
                <w:highlight w:val="none"/>
              </w:rPr>
            </w:pPr>
          </w:p>
        </w:tc>
        <w:tc>
          <w:tcPr>
            <w:tcW w:w="816" w:type="dxa"/>
            <w:vAlign w:val="center"/>
          </w:tcPr>
          <w:p w14:paraId="247AF589">
            <w:pPr>
              <w:pStyle w:val="52"/>
              <w:jc w:val="center"/>
              <w:rPr>
                <w:rFonts w:hint="eastAsia" w:ascii="宋体" w:hAnsi="宋体" w:eastAsia="宋体" w:cs="宋体"/>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52"/>
              <w:jc w:val="center"/>
              <w:rPr>
                <w:rFonts w:hint="eastAsia" w:ascii="宋体" w:hAnsi="宋体" w:eastAsia="宋体" w:cs="宋体"/>
                <w:color w:val="auto"/>
                <w:sz w:val="21"/>
                <w:szCs w:val="21"/>
                <w:highlight w:val="none"/>
              </w:rPr>
            </w:pPr>
            <w:bookmarkStart w:id="747" w:name="_Toc100090792"/>
            <w:bookmarkStart w:id="748" w:name="_Toc99533300"/>
            <w:r>
              <w:rPr>
                <w:rFonts w:hint="eastAsia" w:ascii="宋体" w:hAnsi="宋体" w:eastAsia="宋体" w:cs="宋体"/>
                <w:color w:val="auto"/>
                <w:sz w:val="21"/>
                <w:szCs w:val="21"/>
                <w:highlight w:val="none"/>
              </w:rPr>
              <w:t>9</w:t>
            </w:r>
            <w:bookmarkEnd w:id="747"/>
            <w:bookmarkEnd w:id="748"/>
          </w:p>
        </w:tc>
        <w:tc>
          <w:tcPr>
            <w:tcW w:w="1267" w:type="dxa"/>
            <w:vAlign w:val="center"/>
          </w:tcPr>
          <w:p w14:paraId="6C5090EC">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2CD2ADB">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DD9EDDC">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5650614">
            <w:pPr>
              <w:pStyle w:val="52"/>
              <w:jc w:val="center"/>
              <w:rPr>
                <w:rFonts w:hint="eastAsia" w:ascii="宋体" w:hAnsi="宋体" w:eastAsia="宋体" w:cs="宋体"/>
                <w:color w:val="auto"/>
                <w:sz w:val="21"/>
                <w:szCs w:val="21"/>
                <w:highlight w:val="none"/>
              </w:rPr>
            </w:pPr>
          </w:p>
        </w:tc>
        <w:tc>
          <w:tcPr>
            <w:tcW w:w="1860" w:type="dxa"/>
            <w:vAlign w:val="center"/>
          </w:tcPr>
          <w:p w14:paraId="337B4053">
            <w:pPr>
              <w:pStyle w:val="52"/>
              <w:jc w:val="center"/>
              <w:rPr>
                <w:rFonts w:hint="eastAsia" w:ascii="宋体" w:hAnsi="宋体" w:eastAsia="宋体" w:cs="宋体"/>
                <w:color w:val="auto"/>
                <w:sz w:val="21"/>
                <w:szCs w:val="21"/>
                <w:highlight w:val="none"/>
              </w:rPr>
            </w:pPr>
          </w:p>
        </w:tc>
        <w:tc>
          <w:tcPr>
            <w:tcW w:w="1356" w:type="dxa"/>
            <w:vAlign w:val="center"/>
          </w:tcPr>
          <w:p w14:paraId="6968EA5F">
            <w:pPr>
              <w:pStyle w:val="52"/>
              <w:jc w:val="center"/>
              <w:rPr>
                <w:rFonts w:hint="eastAsia" w:ascii="宋体" w:hAnsi="宋体" w:eastAsia="宋体" w:cs="宋体"/>
                <w:color w:val="auto"/>
                <w:sz w:val="21"/>
                <w:szCs w:val="21"/>
                <w:highlight w:val="none"/>
              </w:rPr>
            </w:pPr>
          </w:p>
        </w:tc>
        <w:tc>
          <w:tcPr>
            <w:tcW w:w="816" w:type="dxa"/>
            <w:vAlign w:val="center"/>
          </w:tcPr>
          <w:p w14:paraId="45D99552">
            <w:pPr>
              <w:pStyle w:val="52"/>
              <w:jc w:val="center"/>
              <w:rPr>
                <w:rFonts w:hint="eastAsia" w:ascii="宋体" w:hAnsi="宋体" w:eastAsia="宋体" w:cs="宋体"/>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52"/>
              <w:jc w:val="center"/>
              <w:rPr>
                <w:rFonts w:hint="eastAsia" w:ascii="宋体" w:hAnsi="宋体" w:eastAsia="宋体" w:cs="宋体"/>
                <w:color w:val="auto"/>
                <w:sz w:val="21"/>
                <w:szCs w:val="21"/>
                <w:highlight w:val="none"/>
              </w:rPr>
            </w:pPr>
            <w:bookmarkStart w:id="749" w:name="_Toc99533301"/>
            <w:bookmarkStart w:id="750" w:name="_Toc100090793"/>
            <w:r>
              <w:rPr>
                <w:rFonts w:hint="eastAsia" w:ascii="宋体" w:hAnsi="宋体" w:eastAsia="宋体" w:cs="宋体"/>
                <w:color w:val="auto"/>
                <w:sz w:val="21"/>
                <w:szCs w:val="21"/>
                <w:highlight w:val="none"/>
              </w:rPr>
              <w:t>10</w:t>
            </w:r>
            <w:bookmarkEnd w:id="749"/>
            <w:bookmarkEnd w:id="750"/>
          </w:p>
        </w:tc>
        <w:tc>
          <w:tcPr>
            <w:tcW w:w="1267" w:type="dxa"/>
            <w:vAlign w:val="center"/>
          </w:tcPr>
          <w:p w14:paraId="0D84E205">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9F36313">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93C6909">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34049E">
            <w:pPr>
              <w:pStyle w:val="52"/>
              <w:jc w:val="center"/>
              <w:rPr>
                <w:rFonts w:hint="eastAsia" w:ascii="宋体" w:hAnsi="宋体" w:eastAsia="宋体" w:cs="宋体"/>
                <w:color w:val="auto"/>
                <w:sz w:val="21"/>
                <w:szCs w:val="21"/>
                <w:highlight w:val="none"/>
              </w:rPr>
            </w:pPr>
          </w:p>
        </w:tc>
        <w:tc>
          <w:tcPr>
            <w:tcW w:w="1860" w:type="dxa"/>
            <w:vAlign w:val="center"/>
          </w:tcPr>
          <w:p w14:paraId="7790D037">
            <w:pPr>
              <w:pStyle w:val="52"/>
              <w:jc w:val="center"/>
              <w:rPr>
                <w:rFonts w:hint="eastAsia" w:ascii="宋体" w:hAnsi="宋体" w:eastAsia="宋体" w:cs="宋体"/>
                <w:color w:val="auto"/>
                <w:sz w:val="21"/>
                <w:szCs w:val="21"/>
                <w:highlight w:val="none"/>
              </w:rPr>
            </w:pPr>
          </w:p>
        </w:tc>
        <w:tc>
          <w:tcPr>
            <w:tcW w:w="1356" w:type="dxa"/>
            <w:vAlign w:val="center"/>
          </w:tcPr>
          <w:p w14:paraId="292E64B7">
            <w:pPr>
              <w:pStyle w:val="52"/>
              <w:jc w:val="center"/>
              <w:rPr>
                <w:rFonts w:hint="eastAsia" w:ascii="宋体" w:hAnsi="宋体" w:eastAsia="宋体" w:cs="宋体"/>
                <w:color w:val="auto"/>
                <w:sz w:val="21"/>
                <w:szCs w:val="21"/>
                <w:highlight w:val="none"/>
              </w:rPr>
            </w:pPr>
          </w:p>
        </w:tc>
        <w:tc>
          <w:tcPr>
            <w:tcW w:w="816" w:type="dxa"/>
            <w:vAlign w:val="center"/>
          </w:tcPr>
          <w:p w14:paraId="77E1C162">
            <w:pPr>
              <w:pStyle w:val="52"/>
              <w:jc w:val="center"/>
              <w:rPr>
                <w:rFonts w:hint="eastAsia" w:ascii="宋体" w:hAnsi="宋体" w:eastAsia="宋体" w:cs="宋体"/>
                <w:color w:val="auto"/>
                <w:sz w:val="21"/>
                <w:szCs w:val="21"/>
                <w:highlight w:val="none"/>
              </w:rPr>
            </w:pPr>
          </w:p>
        </w:tc>
      </w:tr>
    </w:tbl>
    <w:p w14:paraId="51ED7B0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358285E">
      <w:pPr>
        <w:pStyle w:val="3"/>
        <w:bidi w:val="0"/>
        <w:jc w:val="center"/>
        <w:rPr>
          <w:rFonts w:hint="eastAsia" w:ascii="宋体" w:hAnsi="宋体" w:eastAsia="宋体" w:cs="宋体"/>
          <w:highlight w:val="none"/>
          <w:lang w:val="en-US" w:eastAsia="zh-CN"/>
        </w:rPr>
      </w:pPr>
      <w:bookmarkStart w:id="751" w:name="_Toc10837"/>
      <w:bookmarkStart w:id="752" w:name="_Toc18802"/>
      <w:r>
        <w:rPr>
          <w:rFonts w:hint="eastAsia" w:ascii="宋体" w:hAnsi="宋体" w:eastAsia="宋体" w:cs="宋体"/>
          <w:highlight w:val="none"/>
          <w:lang w:val="en-US" w:eastAsia="zh-CN"/>
        </w:rPr>
        <w:t>九、技术响应偏离表</w:t>
      </w:r>
      <w:bookmarkEnd w:id="751"/>
      <w:bookmarkEnd w:id="752"/>
    </w:p>
    <w:p w14:paraId="7EE50E6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项目名称：                                         </w:t>
      </w:r>
    </w:p>
    <w:p w14:paraId="10CF1BE4">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val="zh-CN"/>
        </w:rPr>
        <w:t>包号</w:t>
      </w:r>
      <w:r>
        <w:rPr>
          <w:rFonts w:hint="eastAsia" w:ascii="宋体" w:hAnsi="宋体" w:eastAsia="宋体" w:cs="宋体"/>
          <w:color w:val="auto"/>
          <w:szCs w:val="24"/>
          <w:highlight w:val="none"/>
        </w:rPr>
        <w:t xml:space="preserve">：         </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48E4867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0C5608DB">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0B845CF1">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4F79E073">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4AB4E9C3">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09D725B9">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69B288A0">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0E04AD72">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85AEA1C">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02D97874">
            <w:pPr>
              <w:pStyle w:val="52"/>
              <w:jc w:val="center"/>
              <w:rPr>
                <w:rFonts w:hint="eastAsia" w:ascii="宋体" w:hAnsi="宋体" w:eastAsia="宋体" w:cs="宋体"/>
                <w:color w:val="auto"/>
                <w:sz w:val="21"/>
                <w:szCs w:val="21"/>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30E52A7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29A6C1E1">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D92E460">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63E16449">
            <w:pPr>
              <w:pStyle w:val="52"/>
              <w:jc w:val="center"/>
              <w:rPr>
                <w:rFonts w:hint="eastAsia" w:ascii="宋体" w:hAnsi="宋体" w:eastAsia="宋体" w:cs="宋体"/>
                <w:color w:val="auto"/>
                <w:sz w:val="21"/>
                <w:szCs w:val="21"/>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52"/>
              <w:jc w:val="center"/>
              <w:rPr>
                <w:rFonts w:hint="eastAsia" w:ascii="宋体" w:hAnsi="宋体" w:eastAsia="宋体" w:cs="宋体"/>
                <w:color w:val="auto"/>
                <w:sz w:val="21"/>
                <w:szCs w:val="21"/>
                <w:highlight w:val="none"/>
              </w:rPr>
            </w:pPr>
          </w:p>
        </w:tc>
        <w:tc>
          <w:tcPr>
            <w:tcW w:w="1159" w:type="pct"/>
            <w:vAlign w:val="center"/>
          </w:tcPr>
          <w:p w14:paraId="6D1DD644">
            <w:pPr>
              <w:pStyle w:val="52"/>
              <w:jc w:val="center"/>
              <w:rPr>
                <w:rFonts w:hint="eastAsia" w:ascii="宋体" w:hAnsi="宋体" w:eastAsia="宋体" w:cs="宋体"/>
                <w:color w:val="auto"/>
                <w:sz w:val="21"/>
                <w:szCs w:val="21"/>
                <w:highlight w:val="none"/>
              </w:rPr>
            </w:pPr>
          </w:p>
        </w:tc>
        <w:tc>
          <w:tcPr>
            <w:tcW w:w="1031" w:type="pct"/>
            <w:vAlign w:val="center"/>
          </w:tcPr>
          <w:p w14:paraId="2982168B">
            <w:pPr>
              <w:pStyle w:val="52"/>
              <w:jc w:val="center"/>
              <w:rPr>
                <w:rFonts w:hint="eastAsia" w:ascii="宋体" w:hAnsi="宋体" w:eastAsia="宋体" w:cs="宋体"/>
                <w:color w:val="auto"/>
                <w:sz w:val="21"/>
                <w:szCs w:val="21"/>
                <w:highlight w:val="none"/>
              </w:rPr>
            </w:pPr>
          </w:p>
        </w:tc>
        <w:tc>
          <w:tcPr>
            <w:tcW w:w="1265" w:type="pct"/>
            <w:vAlign w:val="center"/>
          </w:tcPr>
          <w:p w14:paraId="78EC7D09">
            <w:pPr>
              <w:pStyle w:val="52"/>
              <w:jc w:val="center"/>
              <w:rPr>
                <w:rFonts w:hint="eastAsia" w:ascii="宋体" w:hAnsi="宋体" w:eastAsia="宋体" w:cs="宋体"/>
                <w:color w:val="auto"/>
                <w:sz w:val="21"/>
                <w:szCs w:val="21"/>
                <w:highlight w:val="none"/>
              </w:rPr>
            </w:pPr>
          </w:p>
        </w:tc>
        <w:tc>
          <w:tcPr>
            <w:tcW w:w="1135" w:type="pct"/>
            <w:vAlign w:val="center"/>
          </w:tcPr>
          <w:p w14:paraId="46369488">
            <w:pPr>
              <w:pStyle w:val="52"/>
              <w:jc w:val="center"/>
              <w:rPr>
                <w:rFonts w:hint="eastAsia" w:ascii="宋体" w:hAnsi="宋体" w:eastAsia="宋体" w:cs="宋体"/>
                <w:color w:val="auto"/>
                <w:sz w:val="21"/>
                <w:szCs w:val="21"/>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52"/>
              <w:jc w:val="center"/>
              <w:rPr>
                <w:rFonts w:hint="eastAsia" w:ascii="宋体" w:hAnsi="宋体" w:eastAsia="宋体" w:cs="宋体"/>
                <w:color w:val="auto"/>
                <w:sz w:val="21"/>
                <w:szCs w:val="21"/>
                <w:highlight w:val="none"/>
              </w:rPr>
            </w:pPr>
          </w:p>
        </w:tc>
        <w:tc>
          <w:tcPr>
            <w:tcW w:w="1159" w:type="pct"/>
            <w:vAlign w:val="center"/>
          </w:tcPr>
          <w:p w14:paraId="529041E2">
            <w:pPr>
              <w:pStyle w:val="52"/>
              <w:jc w:val="center"/>
              <w:rPr>
                <w:rFonts w:hint="eastAsia" w:ascii="宋体" w:hAnsi="宋体" w:eastAsia="宋体" w:cs="宋体"/>
                <w:color w:val="auto"/>
                <w:sz w:val="21"/>
                <w:szCs w:val="21"/>
                <w:highlight w:val="none"/>
              </w:rPr>
            </w:pPr>
          </w:p>
        </w:tc>
        <w:tc>
          <w:tcPr>
            <w:tcW w:w="1031" w:type="pct"/>
            <w:vAlign w:val="center"/>
          </w:tcPr>
          <w:p w14:paraId="301E476D">
            <w:pPr>
              <w:pStyle w:val="52"/>
              <w:jc w:val="center"/>
              <w:rPr>
                <w:rFonts w:hint="eastAsia" w:ascii="宋体" w:hAnsi="宋体" w:eastAsia="宋体" w:cs="宋体"/>
                <w:color w:val="auto"/>
                <w:sz w:val="21"/>
                <w:szCs w:val="21"/>
                <w:highlight w:val="none"/>
              </w:rPr>
            </w:pPr>
          </w:p>
        </w:tc>
        <w:tc>
          <w:tcPr>
            <w:tcW w:w="1265" w:type="pct"/>
            <w:vAlign w:val="center"/>
          </w:tcPr>
          <w:p w14:paraId="06F8AED7">
            <w:pPr>
              <w:pStyle w:val="52"/>
              <w:jc w:val="center"/>
              <w:rPr>
                <w:rFonts w:hint="eastAsia" w:ascii="宋体" w:hAnsi="宋体" w:eastAsia="宋体" w:cs="宋体"/>
                <w:color w:val="auto"/>
                <w:sz w:val="21"/>
                <w:szCs w:val="21"/>
                <w:highlight w:val="none"/>
              </w:rPr>
            </w:pPr>
          </w:p>
        </w:tc>
        <w:tc>
          <w:tcPr>
            <w:tcW w:w="1135" w:type="pct"/>
            <w:vAlign w:val="center"/>
          </w:tcPr>
          <w:p w14:paraId="0CE9DF45">
            <w:pPr>
              <w:pStyle w:val="52"/>
              <w:jc w:val="center"/>
              <w:rPr>
                <w:rFonts w:hint="eastAsia" w:ascii="宋体" w:hAnsi="宋体" w:eastAsia="宋体" w:cs="宋体"/>
                <w:color w:val="auto"/>
                <w:sz w:val="21"/>
                <w:szCs w:val="21"/>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52"/>
              <w:jc w:val="center"/>
              <w:rPr>
                <w:rFonts w:hint="eastAsia" w:ascii="宋体" w:hAnsi="宋体" w:eastAsia="宋体" w:cs="宋体"/>
                <w:color w:val="auto"/>
                <w:sz w:val="21"/>
                <w:szCs w:val="21"/>
                <w:highlight w:val="none"/>
              </w:rPr>
            </w:pPr>
          </w:p>
        </w:tc>
        <w:tc>
          <w:tcPr>
            <w:tcW w:w="1159" w:type="pct"/>
            <w:vAlign w:val="center"/>
          </w:tcPr>
          <w:p w14:paraId="77107295">
            <w:pPr>
              <w:pStyle w:val="52"/>
              <w:jc w:val="center"/>
              <w:rPr>
                <w:rFonts w:hint="eastAsia" w:ascii="宋体" w:hAnsi="宋体" w:eastAsia="宋体" w:cs="宋体"/>
                <w:color w:val="auto"/>
                <w:sz w:val="21"/>
                <w:szCs w:val="21"/>
                <w:highlight w:val="none"/>
              </w:rPr>
            </w:pPr>
          </w:p>
        </w:tc>
        <w:tc>
          <w:tcPr>
            <w:tcW w:w="1031" w:type="pct"/>
            <w:vAlign w:val="center"/>
          </w:tcPr>
          <w:p w14:paraId="4D01D78E">
            <w:pPr>
              <w:pStyle w:val="52"/>
              <w:jc w:val="center"/>
              <w:rPr>
                <w:rFonts w:hint="eastAsia" w:ascii="宋体" w:hAnsi="宋体" w:eastAsia="宋体" w:cs="宋体"/>
                <w:color w:val="auto"/>
                <w:sz w:val="21"/>
                <w:szCs w:val="21"/>
                <w:highlight w:val="none"/>
              </w:rPr>
            </w:pPr>
          </w:p>
        </w:tc>
        <w:tc>
          <w:tcPr>
            <w:tcW w:w="1265" w:type="pct"/>
            <w:vAlign w:val="center"/>
          </w:tcPr>
          <w:p w14:paraId="6D546857">
            <w:pPr>
              <w:pStyle w:val="52"/>
              <w:jc w:val="center"/>
              <w:rPr>
                <w:rFonts w:hint="eastAsia" w:ascii="宋体" w:hAnsi="宋体" w:eastAsia="宋体" w:cs="宋体"/>
                <w:color w:val="auto"/>
                <w:sz w:val="21"/>
                <w:szCs w:val="21"/>
                <w:highlight w:val="none"/>
              </w:rPr>
            </w:pPr>
          </w:p>
        </w:tc>
        <w:tc>
          <w:tcPr>
            <w:tcW w:w="1135" w:type="pct"/>
            <w:vAlign w:val="center"/>
          </w:tcPr>
          <w:p w14:paraId="2E1B7D0B">
            <w:pPr>
              <w:pStyle w:val="52"/>
              <w:jc w:val="center"/>
              <w:rPr>
                <w:rFonts w:hint="eastAsia" w:ascii="宋体" w:hAnsi="宋体" w:eastAsia="宋体" w:cs="宋体"/>
                <w:color w:val="auto"/>
                <w:sz w:val="21"/>
                <w:szCs w:val="21"/>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52"/>
              <w:jc w:val="center"/>
              <w:rPr>
                <w:rFonts w:hint="eastAsia" w:ascii="宋体" w:hAnsi="宋体" w:eastAsia="宋体" w:cs="宋体"/>
                <w:color w:val="auto"/>
                <w:sz w:val="21"/>
                <w:szCs w:val="21"/>
                <w:highlight w:val="none"/>
              </w:rPr>
            </w:pPr>
          </w:p>
        </w:tc>
        <w:tc>
          <w:tcPr>
            <w:tcW w:w="1159" w:type="pct"/>
            <w:vAlign w:val="center"/>
          </w:tcPr>
          <w:p w14:paraId="5C7E043B">
            <w:pPr>
              <w:pStyle w:val="52"/>
              <w:jc w:val="center"/>
              <w:rPr>
                <w:rFonts w:hint="eastAsia" w:ascii="宋体" w:hAnsi="宋体" w:eastAsia="宋体" w:cs="宋体"/>
                <w:color w:val="auto"/>
                <w:sz w:val="21"/>
                <w:szCs w:val="21"/>
                <w:highlight w:val="none"/>
              </w:rPr>
            </w:pPr>
          </w:p>
        </w:tc>
        <w:tc>
          <w:tcPr>
            <w:tcW w:w="1031" w:type="pct"/>
            <w:vAlign w:val="center"/>
          </w:tcPr>
          <w:p w14:paraId="64166C7A">
            <w:pPr>
              <w:pStyle w:val="52"/>
              <w:jc w:val="center"/>
              <w:rPr>
                <w:rFonts w:hint="eastAsia" w:ascii="宋体" w:hAnsi="宋体" w:eastAsia="宋体" w:cs="宋体"/>
                <w:color w:val="auto"/>
                <w:sz w:val="21"/>
                <w:szCs w:val="21"/>
                <w:highlight w:val="none"/>
              </w:rPr>
            </w:pPr>
          </w:p>
        </w:tc>
        <w:tc>
          <w:tcPr>
            <w:tcW w:w="1265" w:type="pct"/>
            <w:vAlign w:val="center"/>
          </w:tcPr>
          <w:p w14:paraId="2817CCE5">
            <w:pPr>
              <w:pStyle w:val="52"/>
              <w:jc w:val="center"/>
              <w:rPr>
                <w:rFonts w:hint="eastAsia" w:ascii="宋体" w:hAnsi="宋体" w:eastAsia="宋体" w:cs="宋体"/>
                <w:color w:val="auto"/>
                <w:sz w:val="21"/>
                <w:szCs w:val="21"/>
                <w:highlight w:val="none"/>
              </w:rPr>
            </w:pPr>
          </w:p>
        </w:tc>
        <w:tc>
          <w:tcPr>
            <w:tcW w:w="1135" w:type="pct"/>
            <w:vAlign w:val="center"/>
          </w:tcPr>
          <w:p w14:paraId="184E3F96">
            <w:pPr>
              <w:pStyle w:val="52"/>
              <w:jc w:val="center"/>
              <w:rPr>
                <w:rFonts w:hint="eastAsia" w:ascii="宋体" w:hAnsi="宋体" w:eastAsia="宋体" w:cs="宋体"/>
                <w:color w:val="auto"/>
                <w:sz w:val="21"/>
                <w:szCs w:val="21"/>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52"/>
              <w:jc w:val="center"/>
              <w:rPr>
                <w:rFonts w:hint="eastAsia" w:ascii="宋体" w:hAnsi="宋体" w:eastAsia="宋体" w:cs="宋体"/>
                <w:color w:val="auto"/>
                <w:sz w:val="21"/>
                <w:szCs w:val="21"/>
                <w:highlight w:val="none"/>
              </w:rPr>
            </w:pPr>
          </w:p>
        </w:tc>
        <w:tc>
          <w:tcPr>
            <w:tcW w:w="1159" w:type="pct"/>
            <w:vAlign w:val="center"/>
          </w:tcPr>
          <w:p w14:paraId="565EC642">
            <w:pPr>
              <w:pStyle w:val="52"/>
              <w:jc w:val="center"/>
              <w:rPr>
                <w:rFonts w:hint="eastAsia" w:ascii="宋体" w:hAnsi="宋体" w:eastAsia="宋体" w:cs="宋体"/>
                <w:color w:val="auto"/>
                <w:sz w:val="21"/>
                <w:szCs w:val="21"/>
                <w:highlight w:val="none"/>
              </w:rPr>
            </w:pPr>
          </w:p>
        </w:tc>
        <w:tc>
          <w:tcPr>
            <w:tcW w:w="1031" w:type="pct"/>
            <w:vAlign w:val="center"/>
          </w:tcPr>
          <w:p w14:paraId="4813DEC4">
            <w:pPr>
              <w:pStyle w:val="52"/>
              <w:jc w:val="center"/>
              <w:rPr>
                <w:rFonts w:hint="eastAsia" w:ascii="宋体" w:hAnsi="宋体" w:eastAsia="宋体" w:cs="宋体"/>
                <w:color w:val="auto"/>
                <w:sz w:val="21"/>
                <w:szCs w:val="21"/>
                <w:highlight w:val="none"/>
              </w:rPr>
            </w:pPr>
          </w:p>
        </w:tc>
        <w:tc>
          <w:tcPr>
            <w:tcW w:w="1265" w:type="pct"/>
            <w:vAlign w:val="center"/>
          </w:tcPr>
          <w:p w14:paraId="6FC99520">
            <w:pPr>
              <w:pStyle w:val="52"/>
              <w:jc w:val="center"/>
              <w:rPr>
                <w:rFonts w:hint="eastAsia" w:ascii="宋体" w:hAnsi="宋体" w:eastAsia="宋体" w:cs="宋体"/>
                <w:color w:val="auto"/>
                <w:sz w:val="21"/>
                <w:szCs w:val="21"/>
                <w:highlight w:val="none"/>
              </w:rPr>
            </w:pPr>
          </w:p>
        </w:tc>
        <w:tc>
          <w:tcPr>
            <w:tcW w:w="1135" w:type="pct"/>
            <w:vAlign w:val="center"/>
          </w:tcPr>
          <w:p w14:paraId="6C388A43">
            <w:pPr>
              <w:pStyle w:val="52"/>
              <w:jc w:val="center"/>
              <w:rPr>
                <w:rFonts w:hint="eastAsia" w:ascii="宋体" w:hAnsi="宋体" w:eastAsia="宋体" w:cs="宋体"/>
                <w:color w:val="auto"/>
                <w:sz w:val="21"/>
                <w:szCs w:val="21"/>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52"/>
              <w:jc w:val="center"/>
              <w:rPr>
                <w:rFonts w:hint="eastAsia" w:ascii="宋体" w:hAnsi="宋体" w:eastAsia="宋体" w:cs="宋体"/>
                <w:color w:val="auto"/>
                <w:sz w:val="21"/>
                <w:szCs w:val="21"/>
                <w:highlight w:val="none"/>
              </w:rPr>
            </w:pPr>
          </w:p>
        </w:tc>
        <w:tc>
          <w:tcPr>
            <w:tcW w:w="1159" w:type="pct"/>
            <w:vAlign w:val="center"/>
          </w:tcPr>
          <w:p w14:paraId="7E5C6D21">
            <w:pPr>
              <w:pStyle w:val="52"/>
              <w:jc w:val="center"/>
              <w:rPr>
                <w:rFonts w:hint="eastAsia" w:ascii="宋体" w:hAnsi="宋体" w:eastAsia="宋体" w:cs="宋体"/>
                <w:color w:val="auto"/>
                <w:sz w:val="21"/>
                <w:szCs w:val="21"/>
                <w:highlight w:val="none"/>
              </w:rPr>
            </w:pPr>
          </w:p>
        </w:tc>
        <w:tc>
          <w:tcPr>
            <w:tcW w:w="1031" w:type="pct"/>
            <w:vAlign w:val="center"/>
          </w:tcPr>
          <w:p w14:paraId="449C5534">
            <w:pPr>
              <w:pStyle w:val="52"/>
              <w:jc w:val="center"/>
              <w:rPr>
                <w:rFonts w:hint="eastAsia" w:ascii="宋体" w:hAnsi="宋体" w:eastAsia="宋体" w:cs="宋体"/>
                <w:color w:val="auto"/>
                <w:sz w:val="21"/>
                <w:szCs w:val="21"/>
                <w:highlight w:val="none"/>
              </w:rPr>
            </w:pPr>
          </w:p>
        </w:tc>
        <w:tc>
          <w:tcPr>
            <w:tcW w:w="1265" w:type="pct"/>
            <w:vAlign w:val="center"/>
          </w:tcPr>
          <w:p w14:paraId="43936EF1">
            <w:pPr>
              <w:pStyle w:val="52"/>
              <w:jc w:val="center"/>
              <w:rPr>
                <w:rFonts w:hint="eastAsia" w:ascii="宋体" w:hAnsi="宋体" w:eastAsia="宋体" w:cs="宋体"/>
                <w:color w:val="auto"/>
                <w:sz w:val="21"/>
                <w:szCs w:val="21"/>
                <w:highlight w:val="none"/>
              </w:rPr>
            </w:pPr>
          </w:p>
        </w:tc>
        <w:tc>
          <w:tcPr>
            <w:tcW w:w="1135" w:type="pct"/>
            <w:vAlign w:val="center"/>
          </w:tcPr>
          <w:p w14:paraId="015081ED">
            <w:pPr>
              <w:pStyle w:val="52"/>
              <w:jc w:val="center"/>
              <w:rPr>
                <w:rFonts w:hint="eastAsia" w:ascii="宋体" w:hAnsi="宋体" w:eastAsia="宋体" w:cs="宋体"/>
                <w:color w:val="auto"/>
                <w:sz w:val="21"/>
                <w:szCs w:val="21"/>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52"/>
              <w:jc w:val="center"/>
              <w:rPr>
                <w:rFonts w:hint="eastAsia" w:ascii="宋体" w:hAnsi="宋体" w:eastAsia="宋体" w:cs="宋体"/>
                <w:color w:val="auto"/>
                <w:sz w:val="21"/>
                <w:szCs w:val="21"/>
                <w:highlight w:val="none"/>
              </w:rPr>
            </w:pPr>
          </w:p>
        </w:tc>
        <w:tc>
          <w:tcPr>
            <w:tcW w:w="1159" w:type="pct"/>
            <w:vAlign w:val="center"/>
          </w:tcPr>
          <w:p w14:paraId="4E7FED0B">
            <w:pPr>
              <w:pStyle w:val="52"/>
              <w:jc w:val="center"/>
              <w:rPr>
                <w:rFonts w:hint="eastAsia" w:ascii="宋体" w:hAnsi="宋体" w:eastAsia="宋体" w:cs="宋体"/>
                <w:color w:val="auto"/>
                <w:sz w:val="21"/>
                <w:szCs w:val="21"/>
                <w:highlight w:val="none"/>
              </w:rPr>
            </w:pPr>
          </w:p>
        </w:tc>
        <w:tc>
          <w:tcPr>
            <w:tcW w:w="1031" w:type="pct"/>
            <w:vAlign w:val="center"/>
          </w:tcPr>
          <w:p w14:paraId="07398BD3">
            <w:pPr>
              <w:pStyle w:val="52"/>
              <w:jc w:val="center"/>
              <w:rPr>
                <w:rFonts w:hint="eastAsia" w:ascii="宋体" w:hAnsi="宋体" w:eastAsia="宋体" w:cs="宋体"/>
                <w:color w:val="auto"/>
                <w:sz w:val="21"/>
                <w:szCs w:val="21"/>
                <w:highlight w:val="none"/>
              </w:rPr>
            </w:pPr>
          </w:p>
        </w:tc>
        <w:tc>
          <w:tcPr>
            <w:tcW w:w="1265" w:type="pct"/>
            <w:vAlign w:val="center"/>
          </w:tcPr>
          <w:p w14:paraId="085E5102">
            <w:pPr>
              <w:pStyle w:val="52"/>
              <w:jc w:val="center"/>
              <w:rPr>
                <w:rFonts w:hint="eastAsia" w:ascii="宋体" w:hAnsi="宋体" w:eastAsia="宋体" w:cs="宋体"/>
                <w:color w:val="auto"/>
                <w:sz w:val="21"/>
                <w:szCs w:val="21"/>
                <w:highlight w:val="none"/>
              </w:rPr>
            </w:pPr>
          </w:p>
        </w:tc>
        <w:tc>
          <w:tcPr>
            <w:tcW w:w="1135" w:type="pct"/>
            <w:vAlign w:val="center"/>
          </w:tcPr>
          <w:p w14:paraId="74B87043">
            <w:pPr>
              <w:pStyle w:val="52"/>
              <w:jc w:val="center"/>
              <w:rPr>
                <w:rFonts w:hint="eastAsia" w:ascii="宋体" w:hAnsi="宋体" w:eastAsia="宋体" w:cs="宋体"/>
                <w:color w:val="auto"/>
                <w:sz w:val="21"/>
                <w:szCs w:val="21"/>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52"/>
              <w:jc w:val="center"/>
              <w:rPr>
                <w:rFonts w:hint="eastAsia" w:ascii="宋体" w:hAnsi="宋体" w:eastAsia="宋体" w:cs="宋体"/>
                <w:color w:val="auto"/>
                <w:sz w:val="21"/>
                <w:szCs w:val="21"/>
                <w:highlight w:val="none"/>
              </w:rPr>
            </w:pPr>
          </w:p>
        </w:tc>
        <w:tc>
          <w:tcPr>
            <w:tcW w:w="1159" w:type="pct"/>
            <w:vAlign w:val="center"/>
          </w:tcPr>
          <w:p w14:paraId="1F11A7BE">
            <w:pPr>
              <w:pStyle w:val="52"/>
              <w:jc w:val="center"/>
              <w:rPr>
                <w:rFonts w:hint="eastAsia" w:ascii="宋体" w:hAnsi="宋体" w:eastAsia="宋体" w:cs="宋体"/>
                <w:color w:val="auto"/>
                <w:sz w:val="21"/>
                <w:szCs w:val="21"/>
                <w:highlight w:val="none"/>
              </w:rPr>
            </w:pPr>
          </w:p>
        </w:tc>
        <w:tc>
          <w:tcPr>
            <w:tcW w:w="1031" w:type="pct"/>
            <w:vAlign w:val="center"/>
          </w:tcPr>
          <w:p w14:paraId="09342B6E">
            <w:pPr>
              <w:pStyle w:val="52"/>
              <w:jc w:val="center"/>
              <w:rPr>
                <w:rFonts w:hint="eastAsia" w:ascii="宋体" w:hAnsi="宋体" w:eastAsia="宋体" w:cs="宋体"/>
                <w:color w:val="auto"/>
                <w:sz w:val="21"/>
                <w:szCs w:val="21"/>
                <w:highlight w:val="none"/>
              </w:rPr>
            </w:pPr>
          </w:p>
        </w:tc>
        <w:tc>
          <w:tcPr>
            <w:tcW w:w="1265" w:type="pct"/>
            <w:vAlign w:val="center"/>
          </w:tcPr>
          <w:p w14:paraId="6742B646">
            <w:pPr>
              <w:pStyle w:val="52"/>
              <w:jc w:val="center"/>
              <w:rPr>
                <w:rFonts w:hint="eastAsia" w:ascii="宋体" w:hAnsi="宋体" w:eastAsia="宋体" w:cs="宋体"/>
                <w:color w:val="auto"/>
                <w:sz w:val="21"/>
                <w:szCs w:val="21"/>
                <w:highlight w:val="none"/>
              </w:rPr>
            </w:pPr>
          </w:p>
        </w:tc>
        <w:tc>
          <w:tcPr>
            <w:tcW w:w="1135" w:type="pct"/>
            <w:vAlign w:val="center"/>
          </w:tcPr>
          <w:p w14:paraId="4C72FCC2">
            <w:pPr>
              <w:pStyle w:val="52"/>
              <w:jc w:val="center"/>
              <w:rPr>
                <w:rFonts w:hint="eastAsia" w:ascii="宋体" w:hAnsi="宋体" w:eastAsia="宋体" w:cs="宋体"/>
                <w:color w:val="auto"/>
                <w:sz w:val="21"/>
                <w:szCs w:val="21"/>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7D0AF02A">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6EC8C4F3">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9EB3DF9">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1BF96619">
            <w:pPr>
              <w:pStyle w:val="52"/>
              <w:jc w:val="center"/>
              <w:rPr>
                <w:rFonts w:hint="eastAsia" w:ascii="宋体" w:hAnsi="宋体" w:eastAsia="宋体" w:cs="宋体"/>
                <w:color w:val="auto"/>
                <w:sz w:val="21"/>
                <w:szCs w:val="21"/>
                <w:highlight w:val="none"/>
              </w:rPr>
            </w:pPr>
          </w:p>
        </w:tc>
      </w:tr>
    </w:tbl>
    <w:p w14:paraId="7A96DC4C">
      <w:pPr>
        <w:ind w:firstLine="420" w:firstLineChars="200"/>
        <w:rPr>
          <w:rFonts w:hint="eastAsia" w:ascii="宋体" w:hAnsi="宋体" w:eastAsia="宋体" w:cs="宋体"/>
          <w:color w:val="auto"/>
          <w:sz w:val="21"/>
          <w:szCs w:val="21"/>
          <w:highlight w:val="none"/>
        </w:rPr>
      </w:pPr>
    </w:p>
    <w:p w14:paraId="2B5EBAC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说明：投标人应按照招标文件“第三章 采购需求”</w:t>
      </w:r>
      <w:r>
        <w:rPr>
          <w:rFonts w:hint="eastAsia" w:ascii="宋体" w:hAnsi="宋体" w:eastAsia="宋体" w:cs="宋体"/>
          <w:color w:val="auto"/>
          <w:sz w:val="21"/>
          <w:szCs w:val="21"/>
          <w:highlight w:val="none"/>
          <w:lang w:val="en-US" w:eastAsia="zh-CN"/>
        </w:rPr>
        <w:t>中的技术要求</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“响应/正偏离/负偏离”应据实填写“响应”、“正偏离”或“负偏离”</w:t>
      </w:r>
      <w:r>
        <w:rPr>
          <w:rFonts w:hint="eastAsia" w:ascii="宋体" w:hAnsi="宋体" w:eastAsia="宋体" w:cs="宋体"/>
          <w:color w:val="auto"/>
          <w:sz w:val="21"/>
          <w:szCs w:val="21"/>
          <w:highlight w:val="none"/>
        </w:rPr>
        <w:t>。</w:t>
      </w:r>
    </w:p>
    <w:p w14:paraId="12AEBD40">
      <w:pPr>
        <w:ind w:firstLine="480" w:firstLineChars="200"/>
        <w:rPr>
          <w:rFonts w:hint="eastAsia" w:ascii="宋体" w:hAnsi="宋体" w:eastAsia="宋体" w:cs="宋体"/>
          <w:color w:val="auto"/>
          <w:szCs w:val="24"/>
          <w:highlight w:val="none"/>
        </w:rPr>
      </w:pPr>
    </w:p>
    <w:p w14:paraId="53059121">
      <w:pPr>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zCs w:val="24"/>
          <w:highlight w:val="none"/>
        </w:rPr>
        <w:t>：</w:t>
      </w:r>
    </w:p>
    <w:p w14:paraId="27EF6D84">
      <w:pPr>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14:paraId="3689B270">
      <w:pPr>
        <w:ind w:firstLine="420"/>
        <w:rPr>
          <w:rFonts w:hint="eastAsia" w:ascii="宋体" w:hAnsi="宋体" w:eastAsia="宋体" w:cs="宋体"/>
          <w:color w:val="auto"/>
          <w:szCs w:val="24"/>
          <w:highlight w:val="none"/>
        </w:rPr>
      </w:pPr>
    </w:p>
    <w:p w14:paraId="05FE41C4">
      <w:pPr>
        <w:ind w:firstLine="420"/>
        <w:rPr>
          <w:rFonts w:hint="eastAsia" w:ascii="宋体" w:hAnsi="宋体" w:eastAsia="宋体" w:cs="宋体"/>
          <w:color w:val="auto"/>
          <w:szCs w:val="24"/>
          <w:highlight w:val="none"/>
        </w:rPr>
      </w:pPr>
    </w:p>
    <w:p w14:paraId="5228E054">
      <w:pPr>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备注：投标人在本表中须标注产品实际参数数值，照搬照抄采购文件参数、不注明实际数值者视为未响应。</w:t>
      </w:r>
    </w:p>
    <w:p w14:paraId="5E3B4625">
      <w:pPr>
        <w:ind w:firstLine="420"/>
        <w:rPr>
          <w:rFonts w:hint="eastAsia" w:ascii="宋体" w:hAnsi="宋体" w:eastAsia="宋体" w:cs="宋体"/>
          <w:color w:val="auto"/>
          <w:sz w:val="21"/>
          <w:szCs w:val="21"/>
          <w:highlight w:val="none"/>
          <w:lang w:val="en-US" w:eastAsia="zh-CN"/>
        </w:rPr>
      </w:pPr>
    </w:p>
    <w:p w14:paraId="49372E23">
      <w:pPr>
        <w:ind w:firstLine="420"/>
        <w:rPr>
          <w:rFonts w:hint="eastAsia" w:ascii="宋体" w:hAnsi="宋体" w:eastAsia="宋体" w:cs="宋体"/>
          <w:color w:val="auto"/>
          <w:sz w:val="21"/>
          <w:szCs w:val="21"/>
          <w:highlight w:val="none"/>
          <w:lang w:val="en-US" w:eastAsia="zh-CN"/>
        </w:rPr>
      </w:pPr>
    </w:p>
    <w:p w14:paraId="06C98EB9">
      <w:pPr>
        <w:pStyle w:val="3"/>
        <w:bidi w:val="0"/>
        <w:jc w:val="center"/>
        <w:rPr>
          <w:rFonts w:hint="eastAsia" w:ascii="宋体" w:hAnsi="宋体" w:eastAsia="宋体" w:cs="宋体"/>
          <w:highlight w:val="none"/>
          <w:lang w:val="en-US" w:eastAsia="zh-CN"/>
        </w:rPr>
      </w:pPr>
      <w:bookmarkStart w:id="753" w:name="_Toc24520"/>
      <w:bookmarkStart w:id="754" w:name="_Toc15970"/>
      <w:r>
        <w:rPr>
          <w:rFonts w:hint="eastAsia" w:ascii="宋体" w:hAnsi="宋体" w:eastAsia="宋体" w:cs="宋体"/>
          <w:highlight w:val="none"/>
          <w:lang w:val="en-US" w:eastAsia="zh-CN"/>
        </w:rPr>
        <w:t>十、技术方案</w:t>
      </w:r>
      <w:bookmarkEnd w:id="753"/>
      <w:bookmarkEnd w:id="754"/>
    </w:p>
    <w:p w14:paraId="3878D3F5">
      <w:pPr>
        <w:pStyle w:val="40"/>
        <w:rPr>
          <w:rFonts w:hint="eastAsia" w:ascii="宋体" w:hAnsi="宋体" w:eastAsia="宋体" w:cs="宋体"/>
          <w:color w:val="auto"/>
          <w:highlight w:val="none"/>
        </w:rPr>
      </w:pPr>
      <w:r>
        <w:rPr>
          <w:rFonts w:hint="eastAsia" w:ascii="宋体" w:hAnsi="宋体" w:eastAsia="宋体" w:cs="宋体"/>
          <w:color w:val="auto"/>
          <w:highlight w:val="none"/>
        </w:rPr>
        <w:t>投标人应按照招标文件的要求，提供详细的</w:t>
      </w:r>
      <w:r>
        <w:rPr>
          <w:rFonts w:hint="eastAsia" w:ascii="宋体" w:hAnsi="宋体" w:eastAsia="宋体" w:cs="宋体"/>
          <w:color w:val="auto"/>
          <w:highlight w:val="none"/>
          <w:lang w:val="en-US" w:eastAsia="zh-CN"/>
        </w:rPr>
        <w:t>供货及相关</w:t>
      </w:r>
      <w:r>
        <w:rPr>
          <w:rFonts w:hint="eastAsia" w:ascii="宋体" w:hAnsi="宋体" w:eastAsia="宋体" w:cs="宋体"/>
          <w:color w:val="auto"/>
          <w:highlight w:val="none"/>
        </w:rPr>
        <w:t>服务方案，包括文字描述或图表显示。格式自拟。</w:t>
      </w:r>
    </w:p>
    <w:p w14:paraId="7EE77353">
      <w:pPr>
        <w:pStyle w:val="4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AD86D6F">
      <w:pPr>
        <w:ind w:firstLine="420"/>
        <w:rPr>
          <w:rFonts w:hint="eastAsia" w:ascii="宋体" w:hAnsi="宋体" w:eastAsia="宋体" w:cs="宋体"/>
          <w:color w:val="auto"/>
          <w:sz w:val="21"/>
          <w:szCs w:val="21"/>
          <w:highlight w:val="none"/>
          <w:lang w:val="en-US" w:eastAsia="zh-CN"/>
        </w:rPr>
      </w:pPr>
    </w:p>
    <w:p w14:paraId="68D392B1">
      <w:pPr>
        <w:pStyle w:val="3"/>
        <w:bidi w:val="0"/>
        <w:jc w:val="center"/>
        <w:rPr>
          <w:rFonts w:hint="eastAsia" w:ascii="宋体" w:hAnsi="宋体" w:eastAsia="宋体" w:cs="宋体"/>
          <w:highlight w:val="none"/>
          <w:lang w:val="en-US" w:eastAsia="zh-CN"/>
        </w:rPr>
      </w:pPr>
      <w:bookmarkStart w:id="755" w:name="_Toc19835"/>
      <w:bookmarkStart w:id="756" w:name="_Toc396"/>
      <w:r>
        <w:rPr>
          <w:rFonts w:hint="eastAsia" w:ascii="宋体" w:hAnsi="宋体" w:eastAsia="宋体" w:cs="宋体"/>
          <w:highlight w:val="none"/>
          <w:lang w:val="en-US" w:eastAsia="zh-CN"/>
        </w:rPr>
        <w:t>十一、其他文件</w:t>
      </w:r>
      <w:bookmarkEnd w:id="755"/>
      <w:bookmarkEnd w:id="756"/>
    </w:p>
    <w:p w14:paraId="6EF40482">
      <w:pPr>
        <w:pStyle w:val="40"/>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招标文件要求提供的其它商务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技术资料和证明材料；</w:t>
      </w:r>
    </w:p>
    <w:p w14:paraId="1AB0431C">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1.1供应商信息采集表</w:t>
      </w:r>
    </w:p>
    <w:tbl>
      <w:tblPr>
        <w:tblStyle w:val="33"/>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321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508E63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525F160D">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6288AB90">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0694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5BC16E3C">
            <w:pPr>
              <w:pStyle w:val="40"/>
              <w:rPr>
                <w:rFonts w:hint="eastAsia" w:ascii="宋体" w:hAnsi="宋体" w:eastAsia="宋体" w:cs="宋体"/>
                <w:color w:val="auto"/>
                <w:sz w:val="24"/>
                <w:szCs w:val="24"/>
                <w:highlight w:val="none"/>
                <w:vertAlign w:val="baseline"/>
                <w:lang w:val="en-US" w:eastAsia="zh-CN"/>
              </w:rPr>
            </w:pPr>
          </w:p>
        </w:tc>
        <w:tc>
          <w:tcPr>
            <w:tcW w:w="2841" w:type="dxa"/>
          </w:tcPr>
          <w:p w14:paraId="471F983C">
            <w:pPr>
              <w:pStyle w:val="40"/>
              <w:rPr>
                <w:rFonts w:hint="eastAsia" w:ascii="宋体" w:hAnsi="宋体" w:eastAsia="宋体" w:cs="宋体"/>
                <w:color w:val="auto"/>
                <w:sz w:val="24"/>
                <w:szCs w:val="24"/>
                <w:highlight w:val="none"/>
                <w:vertAlign w:val="baseline"/>
                <w:lang w:val="en-US" w:eastAsia="zh-CN"/>
              </w:rPr>
            </w:pPr>
          </w:p>
        </w:tc>
        <w:tc>
          <w:tcPr>
            <w:tcW w:w="2743" w:type="dxa"/>
          </w:tcPr>
          <w:p w14:paraId="59E9D0CB">
            <w:pPr>
              <w:pStyle w:val="40"/>
              <w:rPr>
                <w:rFonts w:hint="eastAsia" w:ascii="宋体" w:hAnsi="宋体" w:eastAsia="宋体" w:cs="宋体"/>
                <w:color w:val="auto"/>
                <w:sz w:val="24"/>
                <w:szCs w:val="24"/>
                <w:highlight w:val="none"/>
                <w:vertAlign w:val="baseline"/>
                <w:lang w:val="en-US" w:eastAsia="zh-CN"/>
              </w:rPr>
            </w:pPr>
          </w:p>
        </w:tc>
      </w:tr>
      <w:tr w14:paraId="6D8F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BE5BC20">
            <w:pPr>
              <w:pStyle w:val="40"/>
              <w:rPr>
                <w:rFonts w:hint="eastAsia" w:ascii="宋体" w:hAnsi="宋体" w:eastAsia="宋体" w:cs="宋体"/>
                <w:color w:val="auto"/>
                <w:sz w:val="24"/>
                <w:szCs w:val="24"/>
                <w:highlight w:val="none"/>
                <w:vertAlign w:val="baseline"/>
                <w:lang w:val="en-US" w:eastAsia="zh-CN"/>
              </w:rPr>
            </w:pPr>
          </w:p>
        </w:tc>
        <w:tc>
          <w:tcPr>
            <w:tcW w:w="2841" w:type="dxa"/>
          </w:tcPr>
          <w:p w14:paraId="65335BA2">
            <w:pPr>
              <w:pStyle w:val="40"/>
              <w:rPr>
                <w:rFonts w:hint="eastAsia" w:ascii="宋体" w:hAnsi="宋体" w:eastAsia="宋体" w:cs="宋体"/>
                <w:color w:val="auto"/>
                <w:sz w:val="24"/>
                <w:szCs w:val="24"/>
                <w:highlight w:val="none"/>
                <w:vertAlign w:val="baseline"/>
                <w:lang w:val="en-US" w:eastAsia="zh-CN"/>
              </w:rPr>
            </w:pPr>
          </w:p>
        </w:tc>
        <w:tc>
          <w:tcPr>
            <w:tcW w:w="2743" w:type="dxa"/>
          </w:tcPr>
          <w:p w14:paraId="331FBFA7">
            <w:pPr>
              <w:pStyle w:val="40"/>
              <w:rPr>
                <w:rFonts w:hint="eastAsia" w:ascii="宋体" w:hAnsi="宋体" w:eastAsia="宋体" w:cs="宋体"/>
                <w:color w:val="auto"/>
                <w:sz w:val="24"/>
                <w:szCs w:val="24"/>
                <w:highlight w:val="none"/>
                <w:vertAlign w:val="baseline"/>
                <w:lang w:val="en-US" w:eastAsia="zh-CN"/>
              </w:rPr>
            </w:pPr>
          </w:p>
        </w:tc>
      </w:tr>
      <w:tr w14:paraId="1A91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99AB141">
            <w:pPr>
              <w:pStyle w:val="40"/>
              <w:rPr>
                <w:rFonts w:hint="eastAsia" w:ascii="宋体" w:hAnsi="宋体" w:eastAsia="宋体" w:cs="宋体"/>
                <w:color w:val="auto"/>
                <w:sz w:val="24"/>
                <w:szCs w:val="24"/>
                <w:highlight w:val="none"/>
                <w:vertAlign w:val="baseline"/>
                <w:lang w:val="en-US" w:eastAsia="zh-CN"/>
              </w:rPr>
            </w:pPr>
          </w:p>
        </w:tc>
        <w:tc>
          <w:tcPr>
            <w:tcW w:w="2841" w:type="dxa"/>
          </w:tcPr>
          <w:p w14:paraId="00E4C5E8">
            <w:pPr>
              <w:pStyle w:val="40"/>
              <w:rPr>
                <w:rFonts w:hint="eastAsia" w:ascii="宋体" w:hAnsi="宋体" w:eastAsia="宋体" w:cs="宋体"/>
                <w:color w:val="auto"/>
                <w:sz w:val="24"/>
                <w:szCs w:val="24"/>
                <w:highlight w:val="none"/>
                <w:vertAlign w:val="baseline"/>
                <w:lang w:val="en-US" w:eastAsia="zh-CN"/>
              </w:rPr>
            </w:pPr>
          </w:p>
        </w:tc>
        <w:tc>
          <w:tcPr>
            <w:tcW w:w="2743" w:type="dxa"/>
          </w:tcPr>
          <w:p w14:paraId="42125693">
            <w:pPr>
              <w:pStyle w:val="40"/>
              <w:rPr>
                <w:rFonts w:hint="eastAsia" w:ascii="宋体" w:hAnsi="宋体" w:eastAsia="宋体" w:cs="宋体"/>
                <w:color w:val="auto"/>
                <w:sz w:val="24"/>
                <w:szCs w:val="24"/>
                <w:highlight w:val="none"/>
                <w:vertAlign w:val="baseline"/>
                <w:lang w:val="en-US" w:eastAsia="zh-CN"/>
              </w:rPr>
            </w:pPr>
          </w:p>
        </w:tc>
      </w:tr>
      <w:tr w14:paraId="24B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995954E">
            <w:pPr>
              <w:pStyle w:val="40"/>
              <w:rPr>
                <w:rFonts w:hint="eastAsia" w:ascii="宋体" w:hAnsi="宋体" w:eastAsia="宋体" w:cs="宋体"/>
                <w:color w:val="auto"/>
                <w:sz w:val="24"/>
                <w:szCs w:val="24"/>
                <w:highlight w:val="none"/>
                <w:vertAlign w:val="baseline"/>
                <w:lang w:val="en-US" w:eastAsia="zh-CN"/>
              </w:rPr>
            </w:pPr>
          </w:p>
        </w:tc>
        <w:tc>
          <w:tcPr>
            <w:tcW w:w="2841" w:type="dxa"/>
          </w:tcPr>
          <w:p w14:paraId="75889361">
            <w:pPr>
              <w:pStyle w:val="40"/>
              <w:rPr>
                <w:rFonts w:hint="eastAsia" w:ascii="宋体" w:hAnsi="宋体" w:eastAsia="宋体" w:cs="宋体"/>
                <w:color w:val="auto"/>
                <w:sz w:val="24"/>
                <w:szCs w:val="24"/>
                <w:highlight w:val="none"/>
                <w:vertAlign w:val="baseline"/>
                <w:lang w:val="en-US" w:eastAsia="zh-CN"/>
              </w:rPr>
            </w:pPr>
          </w:p>
        </w:tc>
        <w:tc>
          <w:tcPr>
            <w:tcW w:w="2743" w:type="dxa"/>
          </w:tcPr>
          <w:p w14:paraId="760C7D5C">
            <w:pPr>
              <w:pStyle w:val="40"/>
              <w:rPr>
                <w:rFonts w:hint="eastAsia" w:ascii="宋体" w:hAnsi="宋体" w:eastAsia="宋体" w:cs="宋体"/>
                <w:color w:val="auto"/>
                <w:sz w:val="24"/>
                <w:szCs w:val="24"/>
                <w:highlight w:val="none"/>
                <w:vertAlign w:val="baseline"/>
                <w:lang w:val="en-US" w:eastAsia="zh-CN"/>
              </w:rPr>
            </w:pPr>
          </w:p>
        </w:tc>
      </w:tr>
    </w:tbl>
    <w:p w14:paraId="799D117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2.“供应商实际控制人性别”按供应商实际控制人性别划分请填写“男”或“女”，指拥有供应商 51%以上绝对所有权的性；绝对所有权拥有者可以是一个人，也可以是多人合计计算。</w:t>
      </w:r>
    </w:p>
    <w:p w14:paraId="6C85D95C">
      <w:pPr>
        <w:pStyle w:val="40"/>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3.“外商投资类型”请填写“外商单独投资”、“外商部分投资”或“内资”。</w:t>
      </w:r>
    </w:p>
    <w:p w14:paraId="74B37C36">
      <w:pPr>
        <w:pStyle w:val="40"/>
        <w:rPr>
          <w:rFonts w:hint="eastAsia" w:ascii="宋体" w:hAnsi="宋体" w:eastAsia="宋体" w:cs="宋体"/>
          <w:color w:val="auto"/>
          <w:sz w:val="28"/>
          <w:szCs w:val="28"/>
          <w:highlight w:val="none"/>
          <w:lang w:val="en-US" w:eastAsia="zh-CN"/>
        </w:rPr>
      </w:pPr>
    </w:p>
    <w:p w14:paraId="3F26FF37">
      <w:pPr>
        <w:pStyle w:val="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1.2其它商务、技术资料和证明材料</w:t>
      </w:r>
    </w:p>
    <w:p w14:paraId="110B54DA">
      <w:pPr>
        <w:pStyle w:val="40"/>
        <w:ind w:left="0" w:leftChars="0" w:firstLine="0" w:firstLineChars="0"/>
        <w:rPr>
          <w:rFonts w:hint="eastAsia" w:ascii="宋体" w:hAnsi="宋体" w:eastAsia="宋体" w:cs="宋体"/>
          <w:b/>
          <w:bCs/>
          <w:color w:val="auto"/>
          <w:sz w:val="24"/>
          <w:szCs w:val="24"/>
          <w:highlight w:val="none"/>
          <w:lang w:eastAsia="zh-CN"/>
        </w:rPr>
      </w:pPr>
    </w:p>
    <w:p w14:paraId="7DF13FE9">
      <w:pPr>
        <w:pStyle w:val="40"/>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投标人认为需要提供的其它商务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技术资料和说明。</w:t>
      </w:r>
    </w:p>
    <w:p w14:paraId="65F798E4">
      <w:pPr>
        <w:pStyle w:val="40"/>
        <w:rPr>
          <w:rFonts w:hint="eastAsia" w:ascii="宋体" w:hAnsi="宋体" w:eastAsia="宋体" w:cs="宋体"/>
          <w:color w:val="auto"/>
          <w:highlight w:val="none"/>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5237">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804"/>
                          </w:sdtPr>
                          <w:sdtContent>
                            <w:p w14:paraId="43E63C1D">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4804"/>
                    </w:sdtPr>
                    <w:sdtContent>
                      <w:p w14:paraId="43E63C1D">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1087FA9B">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1087FA9B">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v:textbox>
            </v:shape>
          </w:pict>
        </mc:Fallback>
      </mc:AlternateContent>
    </w:r>
  </w:p>
  <w:p w14:paraId="4005E617">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3"/>
    </w:pP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1">
    <w:nsid w:val="24E409BB"/>
    <w:multiLevelType w:val="multilevel"/>
    <w:tmpl w:val="24E409BB"/>
    <w:lvl w:ilvl="0" w:tentative="0">
      <w:start w:val="1"/>
      <w:numFmt w:val="decimal"/>
      <w:pStyle w:val="8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47B6378"/>
    <w:multiLevelType w:val="multilevel"/>
    <w:tmpl w:val="447B6378"/>
    <w:lvl w:ilvl="0" w:tentative="0">
      <w:start w:val="1"/>
      <w:numFmt w:val="decimal"/>
      <w:pStyle w:val="4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0EAD"/>
    <w:rsid w:val="00156600"/>
    <w:rsid w:val="00160E9C"/>
    <w:rsid w:val="00172190"/>
    <w:rsid w:val="00173480"/>
    <w:rsid w:val="00181988"/>
    <w:rsid w:val="00182557"/>
    <w:rsid w:val="0018304A"/>
    <w:rsid w:val="001904E9"/>
    <w:rsid w:val="001A77DE"/>
    <w:rsid w:val="001B36EC"/>
    <w:rsid w:val="001D7B23"/>
    <w:rsid w:val="001E2F56"/>
    <w:rsid w:val="00204A2D"/>
    <w:rsid w:val="002062E6"/>
    <w:rsid w:val="00207131"/>
    <w:rsid w:val="0022214D"/>
    <w:rsid w:val="00223585"/>
    <w:rsid w:val="002257E4"/>
    <w:rsid w:val="002317DB"/>
    <w:rsid w:val="00232245"/>
    <w:rsid w:val="0023265E"/>
    <w:rsid w:val="00235B5A"/>
    <w:rsid w:val="00251060"/>
    <w:rsid w:val="002514A3"/>
    <w:rsid w:val="00256B32"/>
    <w:rsid w:val="00256D01"/>
    <w:rsid w:val="002706F2"/>
    <w:rsid w:val="00271135"/>
    <w:rsid w:val="00285E30"/>
    <w:rsid w:val="00292BAB"/>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283"/>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0750"/>
    <w:rsid w:val="00923C36"/>
    <w:rsid w:val="00924B8E"/>
    <w:rsid w:val="00930024"/>
    <w:rsid w:val="009344DE"/>
    <w:rsid w:val="009357E5"/>
    <w:rsid w:val="00936087"/>
    <w:rsid w:val="00945D17"/>
    <w:rsid w:val="00951FEE"/>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295D"/>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A0745"/>
    <w:rsid w:val="00EC7C64"/>
    <w:rsid w:val="00ED00D6"/>
    <w:rsid w:val="00EE26DC"/>
    <w:rsid w:val="00EE3FF1"/>
    <w:rsid w:val="00EE5816"/>
    <w:rsid w:val="00F03292"/>
    <w:rsid w:val="00F0565C"/>
    <w:rsid w:val="00F121AE"/>
    <w:rsid w:val="00F15852"/>
    <w:rsid w:val="00F23F4B"/>
    <w:rsid w:val="00F462F0"/>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03AC5"/>
    <w:rsid w:val="013E61E2"/>
    <w:rsid w:val="014F4893"/>
    <w:rsid w:val="01554610"/>
    <w:rsid w:val="01781929"/>
    <w:rsid w:val="017C564F"/>
    <w:rsid w:val="01877B89"/>
    <w:rsid w:val="019E3125"/>
    <w:rsid w:val="01BA39DE"/>
    <w:rsid w:val="01CA216C"/>
    <w:rsid w:val="01D0068D"/>
    <w:rsid w:val="01D775B9"/>
    <w:rsid w:val="01DD3C4D"/>
    <w:rsid w:val="02026E30"/>
    <w:rsid w:val="02132174"/>
    <w:rsid w:val="02186A33"/>
    <w:rsid w:val="022278B2"/>
    <w:rsid w:val="023130F5"/>
    <w:rsid w:val="024737BC"/>
    <w:rsid w:val="024C2B81"/>
    <w:rsid w:val="026D3223"/>
    <w:rsid w:val="028604AE"/>
    <w:rsid w:val="028B75EF"/>
    <w:rsid w:val="028D5673"/>
    <w:rsid w:val="02922C89"/>
    <w:rsid w:val="029D33DC"/>
    <w:rsid w:val="02AD3196"/>
    <w:rsid w:val="02C44E0D"/>
    <w:rsid w:val="02C9326F"/>
    <w:rsid w:val="02DA63DE"/>
    <w:rsid w:val="02DF39F5"/>
    <w:rsid w:val="02EF5EA2"/>
    <w:rsid w:val="03200295"/>
    <w:rsid w:val="0361440A"/>
    <w:rsid w:val="036D7252"/>
    <w:rsid w:val="03747EC0"/>
    <w:rsid w:val="03922815"/>
    <w:rsid w:val="03990047"/>
    <w:rsid w:val="039A531A"/>
    <w:rsid w:val="03AF1619"/>
    <w:rsid w:val="03B7227C"/>
    <w:rsid w:val="03C07382"/>
    <w:rsid w:val="03C350C4"/>
    <w:rsid w:val="03E07A24"/>
    <w:rsid w:val="03E2554B"/>
    <w:rsid w:val="03E30F7F"/>
    <w:rsid w:val="03EA08A3"/>
    <w:rsid w:val="03F62DA4"/>
    <w:rsid w:val="04001E75"/>
    <w:rsid w:val="040E4592"/>
    <w:rsid w:val="04293179"/>
    <w:rsid w:val="043833BC"/>
    <w:rsid w:val="04446205"/>
    <w:rsid w:val="04506958"/>
    <w:rsid w:val="045126D0"/>
    <w:rsid w:val="045D72C7"/>
    <w:rsid w:val="045F303F"/>
    <w:rsid w:val="04820ADC"/>
    <w:rsid w:val="04893C18"/>
    <w:rsid w:val="04951C17"/>
    <w:rsid w:val="049F343C"/>
    <w:rsid w:val="04B14F1D"/>
    <w:rsid w:val="04F01EE9"/>
    <w:rsid w:val="04F574FF"/>
    <w:rsid w:val="05025778"/>
    <w:rsid w:val="052D3BBA"/>
    <w:rsid w:val="052E656D"/>
    <w:rsid w:val="053A4F12"/>
    <w:rsid w:val="053F247C"/>
    <w:rsid w:val="05595CE0"/>
    <w:rsid w:val="057C377D"/>
    <w:rsid w:val="057E74F5"/>
    <w:rsid w:val="05810D93"/>
    <w:rsid w:val="05812B41"/>
    <w:rsid w:val="05B362B9"/>
    <w:rsid w:val="05C2565F"/>
    <w:rsid w:val="05C72C4A"/>
    <w:rsid w:val="05CB2336"/>
    <w:rsid w:val="05D15877"/>
    <w:rsid w:val="05D215EF"/>
    <w:rsid w:val="05D2339D"/>
    <w:rsid w:val="05D37841"/>
    <w:rsid w:val="05E530D0"/>
    <w:rsid w:val="05EA4B8A"/>
    <w:rsid w:val="05FD48BE"/>
    <w:rsid w:val="06231E4A"/>
    <w:rsid w:val="06253E14"/>
    <w:rsid w:val="0633208D"/>
    <w:rsid w:val="063A16EC"/>
    <w:rsid w:val="063B53E6"/>
    <w:rsid w:val="065B7836"/>
    <w:rsid w:val="06856661"/>
    <w:rsid w:val="069114AA"/>
    <w:rsid w:val="0698763E"/>
    <w:rsid w:val="06A66D03"/>
    <w:rsid w:val="06AE7966"/>
    <w:rsid w:val="06AF6DD1"/>
    <w:rsid w:val="06B07B82"/>
    <w:rsid w:val="06B64A6C"/>
    <w:rsid w:val="06DD649D"/>
    <w:rsid w:val="06E8731C"/>
    <w:rsid w:val="06F04422"/>
    <w:rsid w:val="07047ECE"/>
    <w:rsid w:val="071C5217"/>
    <w:rsid w:val="071D4AEC"/>
    <w:rsid w:val="07210A39"/>
    <w:rsid w:val="072242D3"/>
    <w:rsid w:val="072440CC"/>
    <w:rsid w:val="0737795B"/>
    <w:rsid w:val="073F4A62"/>
    <w:rsid w:val="07442078"/>
    <w:rsid w:val="07585B24"/>
    <w:rsid w:val="078A2181"/>
    <w:rsid w:val="07941252"/>
    <w:rsid w:val="07B54D24"/>
    <w:rsid w:val="07EA70C4"/>
    <w:rsid w:val="081E0B1B"/>
    <w:rsid w:val="08534C69"/>
    <w:rsid w:val="085D7896"/>
    <w:rsid w:val="08687FE8"/>
    <w:rsid w:val="08935065"/>
    <w:rsid w:val="08997D8A"/>
    <w:rsid w:val="089A2898"/>
    <w:rsid w:val="08AD2074"/>
    <w:rsid w:val="08D306C7"/>
    <w:rsid w:val="08D538D0"/>
    <w:rsid w:val="08D77648"/>
    <w:rsid w:val="08E04023"/>
    <w:rsid w:val="08F2265D"/>
    <w:rsid w:val="09077801"/>
    <w:rsid w:val="091C32AD"/>
    <w:rsid w:val="09212671"/>
    <w:rsid w:val="0926010A"/>
    <w:rsid w:val="093D1475"/>
    <w:rsid w:val="093F343F"/>
    <w:rsid w:val="09412D13"/>
    <w:rsid w:val="095B3C9B"/>
    <w:rsid w:val="095E1B17"/>
    <w:rsid w:val="09664528"/>
    <w:rsid w:val="09704318"/>
    <w:rsid w:val="09AC1C5B"/>
    <w:rsid w:val="09B039F5"/>
    <w:rsid w:val="09BD105E"/>
    <w:rsid w:val="09CE174C"/>
    <w:rsid w:val="09EA6F07"/>
    <w:rsid w:val="09EB2C7F"/>
    <w:rsid w:val="09FE29B2"/>
    <w:rsid w:val="0A140428"/>
    <w:rsid w:val="0A1C108A"/>
    <w:rsid w:val="0A2148F3"/>
    <w:rsid w:val="0A2C5771"/>
    <w:rsid w:val="0A391C3C"/>
    <w:rsid w:val="0A3D172D"/>
    <w:rsid w:val="0A3E680D"/>
    <w:rsid w:val="0A6749FB"/>
    <w:rsid w:val="0A740EC6"/>
    <w:rsid w:val="0A7964DD"/>
    <w:rsid w:val="0A825391"/>
    <w:rsid w:val="0A9D29C6"/>
    <w:rsid w:val="0A9F4195"/>
    <w:rsid w:val="0AAB338B"/>
    <w:rsid w:val="0AD6392F"/>
    <w:rsid w:val="0AD83203"/>
    <w:rsid w:val="0AEF054D"/>
    <w:rsid w:val="0AF049F1"/>
    <w:rsid w:val="0B05734A"/>
    <w:rsid w:val="0B08583F"/>
    <w:rsid w:val="0B095AB3"/>
    <w:rsid w:val="0B0E131B"/>
    <w:rsid w:val="0B115FB9"/>
    <w:rsid w:val="0B1A381C"/>
    <w:rsid w:val="0B265A74"/>
    <w:rsid w:val="0B352404"/>
    <w:rsid w:val="0B376893"/>
    <w:rsid w:val="0B381EF4"/>
    <w:rsid w:val="0B386398"/>
    <w:rsid w:val="0B3A0D5F"/>
    <w:rsid w:val="0B3A3EBE"/>
    <w:rsid w:val="0B460AB5"/>
    <w:rsid w:val="0B536D2E"/>
    <w:rsid w:val="0B5C2086"/>
    <w:rsid w:val="0B674587"/>
    <w:rsid w:val="0B6A776A"/>
    <w:rsid w:val="0B6E5916"/>
    <w:rsid w:val="0BB24C22"/>
    <w:rsid w:val="0BD87233"/>
    <w:rsid w:val="0BF0642E"/>
    <w:rsid w:val="0BF202F5"/>
    <w:rsid w:val="0BFE313E"/>
    <w:rsid w:val="0C02649C"/>
    <w:rsid w:val="0C0B25B3"/>
    <w:rsid w:val="0C104C1F"/>
    <w:rsid w:val="0C1E6205"/>
    <w:rsid w:val="0C28640C"/>
    <w:rsid w:val="0C297278"/>
    <w:rsid w:val="0C3C5A14"/>
    <w:rsid w:val="0C5A4DAC"/>
    <w:rsid w:val="0C5E47B4"/>
    <w:rsid w:val="0C8A677F"/>
    <w:rsid w:val="0CC04897"/>
    <w:rsid w:val="0CD12600"/>
    <w:rsid w:val="0CD520F0"/>
    <w:rsid w:val="0CD67C16"/>
    <w:rsid w:val="0CD81BE1"/>
    <w:rsid w:val="0CFB142B"/>
    <w:rsid w:val="0D0C53E6"/>
    <w:rsid w:val="0D2210AE"/>
    <w:rsid w:val="0D466B4A"/>
    <w:rsid w:val="0D611BD6"/>
    <w:rsid w:val="0D865A79"/>
    <w:rsid w:val="0D95205B"/>
    <w:rsid w:val="0D957AD2"/>
    <w:rsid w:val="0D9D0734"/>
    <w:rsid w:val="0DA90E87"/>
    <w:rsid w:val="0DB74AC1"/>
    <w:rsid w:val="0DEF71E2"/>
    <w:rsid w:val="0E0D58BA"/>
    <w:rsid w:val="0E0F1632"/>
    <w:rsid w:val="0E19425F"/>
    <w:rsid w:val="0E237412"/>
    <w:rsid w:val="0E2449B2"/>
    <w:rsid w:val="0E342E47"/>
    <w:rsid w:val="0E460DCC"/>
    <w:rsid w:val="0E50599A"/>
    <w:rsid w:val="0E653000"/>
    <w:rsid w:val="0E6D45AA"/>
    <w:rsid w:val="0E72396F"/>
    <w:rsid w:val="0E796AAB"/>
    <w:rsid w:val="0E7B2A67"/>
    <w:rsid w:val="0E7C0027"/>
    <w:rsid w:val="0E7E0566"/>
    <w:rsid w:val="0E7F6315"/>
    <w:rsid w:val="0E8D07A9"/>
    <w:rsid w:val="0EB36461"/>
    <w:rsid w:val="0EB45D35"/>
    <w:rsid w:val="0EBD75FE"/>
    <w:rsid w:val="0ECA5559"/>
    <w:rsid w:val="0ED87C76"/>
    <w:rsid w:val="0EF600FC"/>
    <w:rsid w:val="0F1B5913"/>
    <w:rsid w:val="0F4C0664"/>
    <w:rsid w:val="0F5337A0"/>
    <w:rsid w:val="0F711E78"/>
    <w:rsid w:val="0F917E25"/>
    <w:rsid w:val="0F96368D"/>
    <w:rsid w:val="0F9D4A1B"/>
    <w:rsid w:val="0FA062BA"/>
    <w:rsid w:val="0FA638D0"/>
    <w:rsid w:val="0FB35FED"/>
    <w:rsid w:val="0FD33C3D"/>
    <w:rsid w:val="0FE8213B"/>
    <w:rsid w:val="0FF52AA9"/>
    <w:rsid w:val="0FF860F6"/>
    <w:rsid w:val="0FF94348"/>
    <w:rsid w:val="0FFF1232"/>
    <w:rsid w:val="10047D52"/>
    <w:rsid w:val="10086339"/>
    <w:rsid w:val="10150A56"/>
    <w:rsid w:val="10240C99"/>
    <w:rsid w:val="102723E9"/>
    <w:rsid w:val="102B566C"/>
    <w:rsid w:val="104841C5"/>
    <w:rsid w:val="107439CE"/>
    <w:rsid w:val="10861954"/>
    <w:rsid w:val="1090632E"/>
    <w:rsid w:val="10A92DD3"/>
    <w:rsid w:val="10BD54A5"/>
    <w:rsid w:val="10C55FD8"/>
    <w:rsid w:val="10F845FF"/>
    <w:rsid w:val="1103023A"/>
    <w:rsid w:val="11036B00"/>
    <w:rsid w:val="11082369"/>
    <w:rsid w:val="11357D2A"/>
    <w:rsid w:val="113849FC"/>
    <w:rsid w:val="113A4C18"/>
    <w:rsid w:val="11421E5E"/>
    <w:rsid w:val="11422FE1"/>
    <w:rsid w:val="116E48C1"/>
    <w:rsid w:val="11845E93"/>
    <w:rsid w:val="11867E5D"/>
    <w:rsid w:val="11877731"/>
    <w:rsid w:val="11967974"/>
    <w:rsid w:val="11A2456B"/>
    <w:rsid w:val="11AE5258"/>
    <w:rsid w:val="11DF30C9"/>
    <w:rsid w:val="11FA6155"/>
    <w:rsid w:val="12130FC5"/>
    <w:rsid w:val="121C60CC"/>
    <w:rsid w:val="1222745A"/>
    <w:rsid w:val="12371157"/>
    <w:rsid w:val="127001C5"/>
    <w:rsid w:val="127759F8"/>
    <w:rsid w:val="127A0C92"/>
    <w:rsid w:val="127F48AC"/>
    <w:rsid w:val="128819B3"/>
    <w:rsid w:val="128F2D41"/>
    <w:rsid w:val="12942106"/>
    <w:rsid w:val="129E4D32"/>
    <w:rsid w:val="12A548F1"/>
    <w:rsid w:val="12B91B6C"/>
    <w:rsid w:val="12BA7692"/>
    <w:rsid w:val="12EF558E"/>
    <w:rsid w:val="12F9640D"/>
    <w:rsid w:val="13021765"/>
    <w:rsid w:val="13037AFF"/>
    <w:rsid w:val="132A4818"/>
    <w:rsid w:val="13456351"/>
    <w:rsid w:val="134C0C32"/>
    <w:rsid w:val="13541895"/>
    <w:rsid w:val="135D4BEE"/>
    <w:rsid w:val="137B79E1"/>
    <w:rsid w:val="13833F28"/>
    <w:rsid w:val="13E7095B"/>
    <w:rsid w:val="13E83E5F"/>
    <w:rsid w:val="14065285"/>
    <w:rsid w:val="144731A8"/>
    <w:rsid w:val="14717C9A"/>
    <w:rsid w:val="147F2942"/>
    <w:rsid w:val="14991C55"/>
    <w:rsid w:val="14AF7789"/>
    <w:rsid w:val="14D50D33"/>
    <w:rsid w:val="14DA401C"/>
    <w:rsid w:val="14EA0703"/>
    <w:rsid w:val="14EF1875"/>
    <w:rsid w:val="151E65FF"/>
    <w:rsid w:val="1537321C"/>
    <w:rsid w:val="154020D1"/>
    <w:rsid w:val="157B7F4A"/>
    <w:rsid w:val="1585042C"/>
    <w:rsid w:val="15A840F3"/>
    <w:rsid w:val="15AE1730"/>
    <w:rsid w:val="15B11221"/>
    <w:rsid w:val="15D00C80"/>
    <w:rsid w:val="15E37F2A"/>
    <w:rsid w:val="15FB249C"/>
    <w:rsid w:val="15FF3D3A"/>
    <w:rsid w:val="16383AE2"/>
    <w:rsid w:val="16565924"/>
    <w:rsid w:val="16571DC8"/>
    <w:rsid w:val="16646293"/>
    <w:rsid w:val="16685D83"/>
    <w:rsid w:val="167C182F"/>
    <w:rsid w:val="167C538B"/>
    <w:rsid w:val="167D1103"/>
    <w:rsid w:val="167D2FDD"/>
    <w:rsid w:val="16AE5760"/>
    <w:rsid w:val="16AE750E"/>
    <w:rsid w:val="16AF2A39"/>
    <w:rsid w:val="16B40FC8"/>
    <w:rsid w:val="16BC1C2B"/>
    <w:rsid w:val="16BD0A63"/>
    <w:rsid w:val="16C46D32"/>
    <w:rsid w:val="16E3540A"/>
    <w:rsid w:val="16E442B3"/>
    <w:rsid w:val="17003D4F"/>
    <w:rsid w:val="1711641B"/>
    <w:rsid w:val="1719707D"/>
    <w:rsid w:val="17215F32"/>
    <w:rsid w:val="172872C1"/>
    <w:rsid w:val="17457E73"/>
    <w:rsid w:val="174F6F43"/>
    <w:rsid w:val="175814CF"/>
    <w:rsid w:val="176821F4"/>
    <w:rsid w:val="177E1C86"/>
    <w:rsid w:val="17944956"/>
    <w:rsid w:val="179B7A92"/>
    <w:rsid w:val="17AD77C6"/>
    <w:rsid w:val="17B62B1E"/>
    <w:rsid w:val="17CB7119"/>
    <w:rsid w:val="17DB67AF"/>
    <w:rsid w:val="18041ADC"/>
    <w:rsid w:val="18495740"/>
    <w:rsid w:val="185A794E"/>
    <w:rsid w:val="18891474"/>
    <w:rsid w:val="188E6B63"/>
    <w:rsid w:val="188F0B1E"/>
    <w:rsid w:val="18C272A1"/>
    <w:rsid w:val="18D314AE"/>
    <w:rsid w:val="18DA283C"/>
    <w:rsid w:val="18F90F15"/>
    <w:rsid w:val="192D6E10"/>
    <w:rsid w:val="19373862"/>
    <w:rsid w:val="193D1CBA"/>
    <w:rsid w:val="19520625"/>
    <w:rsid w:val="19526877"/>
    <w:rsid w:val="19856C4C"/>
    <w:rsid w:val="199665EC"/>
    <w:rsid w:val="19CC03D7"/>
    <w:rsid w:val="19D2300F"/>
    <w:rsid w:val="19EC5173"/>
    <w:rsid w:val="19F872A0"/>
    <w:rsid w:val="1A352420"/>
    <w:rsid w:val="1A377809"/>
    <w:rsid w:val="1A452ACF"/>
    <w:rsid w:val="1A512FD2"/>
    <w:rsid w:val="1A5D54D3"/>
    <w:rsid w:val="1ADA2FC8"/>
    <w:rsid w:val="1AE259D8"/>
    <w:rsid w:val="1AE35507"/>
    <w:rsid w:val="1AEB2ADF"/>
    <w:rsid w:val="1AF04599"/>
    <w:rsid w:val="1AFC1190"/>
    <w:rsid w:val="1B2129A5"/>
    <w:rsid w:val="1B3B1964"/>
    <w:rsid w:val="1B3E3557"/>
    <w:rsid w:val="1B5E7755"/>
    <w:rsid w:val="1B636B19"/>
    <w:rsid w:val="1B6805D3"/>
    <w:rsid w:val="1B7E1468"/>
    <w:rsid w:val="1B825739"/>
    <w:rsid w:val="1B83540D"/>
    <w:rsid w:val="1BA62EAA"/>
    <w:rsid w:val="1BC17CE4"/>
    <w:rsid w:val="1BCC0B62"/>
    <w:rsid w:val="1BDD4B1E"/>
    <w:rsid w:val="1BE35EAC"/>
    <w:rsid w:val="1BE718C7"/>
    <w:rsid w:val="1BF43C15"/>
    <w:rsid w:val="1C146065"/>
    <w:rsid w:val="1C1B73F4"/>
    <w:rsid w:val="1C2F10F1"/>
    <w:rsid w:val="1C3B1844"/>
    <w:rsid w:val="1C406E5A"/>
    <w:rsid w:val="1C495921"/>
    <w:rsid w:val="1C744D56"/>
    <w:rsid w:val="1C7A6810"/>
    <w:rsid w:val="1C7B7E93"/>
    <w:rsid w:val="1C7D1E5D"/>
    <w:rsid w:val="1C8036FB"/>
    <w:rsid w:val="1C9C6787"/>
    <w:rsid w:val="1CD770EC"/>
    <w:rsid w:val="1CE43C8A"/>
    <w:rsid w:val="1D102FD1"/>
    <w:rsid w:val="1D183933"/>
    <w:rsid w:val="1D210A3A"/>
    <w:rsid w:val="1D3764AF"/>
    <w:rsid w:val="1D4F5570"/>
    <w:rsid w:val="1D5E1C8E"/>
    <w:rsid w:val="1D61177E"/>
    <w:rsid w:val="1D7E7C3A"/>
    <w:rsid w:val="1D8D4321"/>
    <w:rsid w:val="1D9C27B6"/>
    <w:rsid w:val="1DA35CDF"/>
    <w:rsid w:val="1DAA4ED3"/>
    <w:rsid w:val="1DC615E1"/>
    <w:rsid w:val="1DC835AB"/>
    <w:rsid w:val="1DFD14A7"/>
    <w:rsid w:val="1E037E3E"/>
    <w:rsid w:val="1E2F7187"/>
    <w:rsid w:val="1E340C41"/>
    <w:rsid w:val="1E401394"/>
    <w:rsid w:val="1E403BB4"/>
    <w:rsid w:val="1E435EE1"/>
    <w:rsid w:val="1E4A2212"/>
    <w:rsid w:val="1E6908EA"/>
    <w:rsid w:val="1E766B63"/>
    <w:rsid w:val="1E8A6AB3"/>
    <w:rsid w:val="1E9B2A6E"/>
    <w:rsid w:val="1EAF02C7"/>
    <w:rsid w:val="1EBA1146"/>
    <w:rsid w:val="1EC73863"/>
    <w:rsid w:val="1ED46823"/>
    <w:rsid w:val="1EDB24C3"/>
    <w:rsid w:val="1EDF295B"/>
    <w:rsid w:val="1F046865"/>
    <w:rsid w:val="1F1D16D5"/>
    <w:rsid w:val="1F204D21"/>
    <w:rsid w:val="1F2760B0"/>
    <w:rsid w:val="1F460C2C"/>
    <w:rsid w:val="1F525822"/>
    <w:rsid w:val="1F58270D"/>
    <w:rsid w:val="1F5F1CED"/>
    <w:rsid w:val="1F707A57"/>
    <w:rsid w:val="1F7237CF"/>
    <w:rsid w:val="1F770DE5"/>
    <w:rsid w:val="1F833C2E"/>
    <w:rsid w:val="1F890B18"/>
    <w:rsid w:val="1F8D0609"/>
    <w:rsid w:val="1FB82BC8"/>
    <w:rsid w:val="1FCA53B9"/>
    <w:rsid w:val="1FD47FE6"/>
    <w:rsid w:val="1FE31481"/>
    <w:rsid w:val="1FF16DE9"/>
    <w:rsid w:val="1FF468DA"/>
    <w:rsid w:val="200F54C2"/>
    <w:rsid w:val="201B5C14"/>
    <w:rsid w:val="20254CE5"/>
    <w:rsid w:val="2039253E"/>
    <w:rsid w:val="204A02A8"/>
    <w:rsid w:val="2059498F"/>
    <w:rsid w:val="20690166"/>
    <w:rsid w:val="20803CC9"/>
    <w:rsid w:val="209239FD"/>
    <w:rsid w:val="20CC482F"/>
    <w:rsid w:val="20E97AC1"/>
    <w:rsid w:val="20EA2A65"/>
    <w:rsid w:val="20EF2BFD"/>
    <w:rsid w:val="210112AE"/>
    <w:rsid w:val="21354AB4"/>
    <w:rsid w:val="214E2A84"/>
    <w:rsid w:val="21556257"/>
    <w:rsid w:val="215F4227"/>
    <w:rsid w:val="217F6677"/>
    <w:rsid w:val="21817CF9"/>
    <w:rsid w:val="21884BA0"/>
    <w:rsid w:val="219519F6"/>
    <w:rsid w:val="2197576F"/>
    <w:rsid w:val="219B1B95"/>
    <w:rsid w:val="21BA145D"/>
    <w:rsid w:val="21BF6A73"/>
    <w:rsid w:val="21C30312"/>
    <w:rsid w:val="21DE15EF"/>
    <w:rsid w:val="21ED1832"/>
    <w:rsid w:val="21F26E49"/>
    <w:rsid w:val="21F7445F"/>
    <w:rsid w:val="220151E4"/>
    <w:rsid w:val="22032E04"/>
    <w:rsid w:val="2217240B"/>
    <w:rsid w:val="22196184"/>
    <w:rsid w:val="222039B6"/>
    <w:rsid w:val="222B5EB7"/>
    <w:rsid w:val="2237485C"/>
    <w:rsid w:val="223E3E3C"/>
    <w:rsid w:val="227635D6"/>
    <w:rsid w:val="22794E74"/>
    <w:rsid w:val="228D26CE"/>
    <w:rsid w:val="229457E5"/>
    <w:rsid w:val="22BB723B"/>
    <w:rsid w:val="22C87E24"/>
    <w:rsid w:val="22C95DFC"/>
    <w:rsid w:val="22EC5F17"/>
    <w:rsid w:val="22EE06E2"/>
    <w:rsid w:val="22F015DA"/>
    <w:rsid w:val="22F8223D"/>
    <w:rsid w:val="22F84FC6"/>
    <w:rsid w:val="22FD3CF7"/>
    <w:rsid w:val="230230BC"/>
    <w:rsid w:val="23243032"/>
    <w:rsid w:val="235A0EEE"/>
    <w:rsid w:val="235C6C70"/>
    <w:rsid w:val="23614286"/>
    <w:rsid w:val="23712585"/>
    <w:rsid w:val="23C93BD9"/>
    <w:rsid w:val="242B03F0"/>
    <w:rsid w:val="243472A5"/>
    <w:rsid w:val="2440076D"/>
    <w:rsid w:val="249E6E14"/>
    <w:rsid w:val="24A563F4"/>
    <w:rsid w:val="24B228BF"/>
    <w:rsid w:val="24D171E9"/>
    <w:rsid w:val="24EF141E"/>
    <w:rsid w:val="25034EC9"/>
    <w:rsid w:val="250C0222"/>
    <w:rsid w:val="25461985"/>
    <w:rsid w:val="25586D6C"/>
    <w:rsid w:val="256516E0"/>
    <w:rsid w:val="256B319A"/>
    <w:rsid w:val="25781413"/>
    <w:rsid w:val="257858B7"/>
    <w:rsid w:val="258B383C"/>
    <w:rsid w:val="259455FA"/>
    <w:rsid w:val="259F4BF2"/>
    <w:rsid w:val="25A246E2"/>
    <w:rsid w:val="25AD5EB4"/>
    <w:rsid w:val="25B662E5"/>
    <w:rsid w:val="25BF5294"/>
    <w:rsid w:val="25C2759F"/>
    <w:rsid w:val="25C63DCF"/>
    <w:rsid w:val="25C74149"/>
    <w:rsid w:val="25DE267C"/>
    <w:rsid w:val="25E46AA9"/>
    <w:rsid w:val="25E66CC5"/>
    <w:rsid w:val="25FA62CC"/>
    <w:rsid w:val="26143832"/>
    <w:rsid w:val="26207C3D"/>
    <w:rsid w:val="262275D1"/>
    <w:rsid w:val="26325A66"/>
    <w:rsid w:val="263712CE"/>
    <w:rsid w:val="26456C5F"/>
    <w:rsid w:val="264D6D44"/>
    <w:rsid w:val="26635DE5"/>
    <w:rsid w:val="26977FBF"/>
    <w:rsid w:val="26AF355A"/>
    <w:rsid w:val="26B50445"/>
    <w:rsid w:val="26B54405"/>
    <w:rsid w:val="26B835BD"/>
    <w:rsid w:val="26BC17D3"/>
    <w:rsid w:val="26DC11F6"/>
    <w:rsid w:val="26EC191F"/>
    <w:rsid w:val="26F251F5"/>
    <w:rsid w:val="270C62B7"/>
    <w:rsid w:val="27473793"/>
    <w:rsid w:val="27677991"/>
    <w:rsid w:val="27802801"/>
    <w:rsid w:val="278A123C"/>
    <w:rsid w:val="27963D10"/>
    <w:rsid w:val="279F537D"/>
    <w:rsid w:val="27DF5779"/>
    <w:rsid w:val="280451E0"/>
    <w:rsid w:val="280E7BD2"/>
    <w:rsid w:val="28177609"/>
    <w:rsid w:val="28186EDD"/>
    <w:rsid w:val="281C077C"/>
    <w:rsid w:val="28247630"/>
    <w:rsid w:val="282615FA"/>
    <w:rsid w:val="282910EA"/>
    <w:rsid w:val="28396E4B"/>
    <w:rsid w:val="283E4B96"/>
    <w:rsid w:val="28414686"/>
    <w:rsid w:val="28447CD2"/>
    <w:rsid w:val="284B2E0F"/>
    <w:rsid w:val="284D6B87"/>
    <w:rsid w:val="28550131"/>
    <w:rsid w:val="28642123"/>
    <w:rsid w:val="28757E8C"/>
    <w:rsid w:val="287E4F92"/>
    <w:rsid w:val="28B07116"/>
    <w:rsid w:val="28B9421C"/>
    <w:rsid w:val="28CB21A2"/>
    <w:rsid w:val="28CC2935"/>
    <w:rsid w:val="28E62B38"/>
    <w:rsid w:val="28E868B0"/>
    <w:rsid w:val="28F25980"/>
    <w:rsid w:val="28F96D0F"/>
    <w:rsid w:val="290673F2"/>
    <w:rsid w:val="290B7A2E"/>
    <w:rsid w:val="2944442E"/>
    <w:rsid w:val="29493E9D"/>
    <w:rsid w:val="29606D8E"/>
    <w:rsid w:val="2964062C"/>
    <w:rsid w:val="29787C34"/>
    <w:rsid w:val="298131E9"/>
    <w:rsid w:val="298760C9"/>
    <w:rsid w:val="29927747"/>
    <w:rsid w:val="29AE7AF9"/>
    <w:rsid w:val="29C54E43"/>
    <w:rsid w:val="29C9048F"/>
    <w:rsid w:val="29CB06AB"/>
    <w:rsid w:val="29FA689B"/>
    <w:rsid w:val="2A007C29"/>
    <w:rsid w:val="2A0108B7"/>
    <w:rsid w:val="2A04596B"/>
    <w:rsid w:val="2A133E00"/>
    <w:rsid w:val="2A1536D4"/>
    <w:rsid w:val="2A1A0CEB"/>
    <w:rsid w:val="2A202079"/>
    <w:rsid w:val="2A2E4796"/>
    <w:rsid w:val="2A500BB0"/>
    <w:rsid w:val="2A506E02"/>
    <w:rsid w:val="2A5C57A7"/>
    <w:rsid w:val="2A6B3832"/>
    <w:rsid w:val="2A88659C"/>
    <w:rsid w:val="2A906CB5"/>
    <w:rsid w:val="2A954815"/>
    <w:rsid w:val="2ABE1FBE"/>
    <w:rsid w:val="2AD0584D"/>
    <w:rsid w:val="2AEE4B12"/>
    <w:rsid w:val="2AFE685E"/>
    <w:rsid w:val="2B057BED"/>
    <w:rsid w:val="2B060A50"/>
    <w:rsid w:val="2B0A5203"/>
    <w:rsid w:val="2B116592"/>
    <w:rsid w:val="2B193698"/>
    <w:rsid w:val="2B1C4F36"/>
    <w:rsid w:val="2B2160A9"/>
    <w:rsid w:val="2B400C25"/>
    <w:rsid w:val="2B4714A0"/>
    <w:rsid w:val="2B471FB3"/>
    <w:rsid w:val="2B606BD1"/>
    <w:rsid w:val="2B612949"/>
    <w:rsid w:val="2B6C5576"/>
    <w:rsid w:val="2B717030"/>
    <w:rsid w:val="2B74267D"/>
    <w:rsid w:val="2B762899"/>
    <w:rsid w:val="2B7663F5"/>
    <w:rsid w:val="2B7E52A9"/>
    <w:rsid w:val="2BA50A88"/>
    <w:rsid w:val="2BAA2542"/>
    <w:rsid w:val="2BB60EE7"/>
    <w:rsid w:val="2BCA4992"/>
    <w:rsid w:val="2BE035C8"/>
    <w:rsid w:val="2BF24188"/>
    <w:rsid w:val="2BF65788"/>
    <w:rsid w:val="2BFD08C4"/>
    <w:rsid w:val="2C235EB7"/>
    <w:rsid w:val="2C2B5431"/>
    <w:rsid w:val="2C610E53"/>
    <w:rsid w:val="2C6646BB"/>
    <w:rsid w:val="2C9C1E8B"/>
    <w:rsid w:val="2C9F3729"/>
    <w:rsid w:val="2CAF267A"/>
    <w:rsid w:val="2CBE197F"/>
    <w:rsid w:val="2CCB6C14"/>
    <w:rsid w:val="2CE51A84"/>
    <w:rsid w:val="2CE90E48"/>
    <w:rsid w:val="2CED0939"/>
    <w:rsid w:val="2CF27CFD"/>
    <w:rsid w:val="2CF577ED"/>
    <w:rsid w:val="2CFA3055"/>
    <w:rsid w:val="2D012636"/>
    <w:rsid w:val="2D016C6B"/>
    <w:rsid w:val="2D0D2D89"/>
    <w:rsid w:val="2D2B1461"/>
    <w:rsid w:val="2D2D1B91"/>
    <w:rsid w:val="2D5B7F98"/>
    <w:rsid w:val="2D6A6CF3"/>
    <w:rsid w:val="2D8D7A26"/>
    <w:rsid w:val="2DB9081B"/>
    <w:rsid w:val="2DCE2518"/>
    <w:rsid w:val="2DD218DC"/>
    <w:rsid w:val="2DDB69E3"/>
    <w:rsid w:val="2DE735DA"/>
    <w:rsid w:val="2DEF7457"/>
    <w:rsid w:val="2E093AD9"/>
    <w:rsid w:val="2E0A0E72"/>
    <w:rsid w:val="2E426A62"/>
    <w:rsid w:val="2E6B420B"/>
    <w:rsid w:val="2E6C48D9"/>
    <w:rsid w:val="2E7035CF"/>
    <w:rsid w:val="2E7D3F3E"/>
    <w:rsid w:val="2E864BA1"/>
    <w:rsid w:val="2E8F4F19"/>
    <w:rsid w:val="2EA63495"/>
    <w:rsid w:val="2EB57234"/>
    <w:rsid w:val="2EC8340B"/>
    <w:rsid w:val="2ED303B5"/>
    <w:rsid w:val="2EF35FAE"/>
    <w:rsid w:val="2EF91817"/>
    <w:rsid w:val="2EFA6A37"/>
    <w:rsid w:val="2F167CA6"/>
    <w:rsid w:val="2F25260C"/>
    <w:rsid w:val="2F452CAE"/>
    <w:rsid w:val="2F4A3E20"/>
    <w:rsid w:val="2F5D70AC"/>
    <w:rsid w:val="2F8A246F"/>
    <w:rsid w:val="2F8B61E7"/>
    <w:rsid w:val="2F904855"/>
    <w:rsid w:val="2FA33530"/>
    <w:rsid w:val="2FA36C75"/>
    <w:rsid w:val="2FB83480"/>
    <w:rsid w:val="2FBE036A"/>
    <w:rsid w:val="2FFA41B9"/>
    <w:rsid w:val="301D6DE7"/>
    <w:rsid w:val="302428C3"/>
    <w:rsid w:val="30297EDA"/>
    <w:rsid w:val="303074BA"/>
    <w:rsid w:val="30601421"/>
    <w:rsid w:val="306929CC"/>
    <w:rsid w:val="30696528"/>
    <w:rsid w:val="306B405E"/>
    <w:rsid w:val="30832D34"/>
    <w:rsid w:val="308C4B30"/>
    <w:rsid w:val="309612E7"/>
    <w:rsid w:val="30B86FAD"/>
    <w:rsid w:val="30C714A1"/>
    <w:rsid w:val="30D53BBD"/>
    <w:rsid w:val="30EB33E1"/>
    <w:rsid w:val="30F5600E"/>
    <w:rsid w:val="30FC114A"/>
    <w:rsid w:val="31012C04"/>
    <w:rsid w:val="310E0E7D"/>
    <w:rsid w:val="31104BF6"/>
    <w:rsid w:val="311F22A4"/>
    <w:rsid w:val="314A68DF"/>
    <w:rsid w:val="317A6D88"/>
    <w:rsid w:val="317F1D7B"/>
    <w:rsid w:val="319E66A5"/>
    <w:rsid w:val="31A737AC"/>
    <w:rsid w:val="31A87524"/>
    <w:rsid w:val="31B00187"/>
    <w:rsid w:val="31D200FD"/>
    <w:rsid w:val="31DB3455"/>
    <w:rsid w:val="31DE4CF4"/>
    <w:rsid w:val="31E56082"/>
    <w:rsid w:val="31E64732"/>
    <w:rsid w:val="31F84559"/>
    <w:rsid w:val="3207249C"/>
    <w:rsid w:val="320F4D4B"/>
    <w:rsid w:val="32140715"/>
    <w:rsid w:val="3236068C"/>
    <w:rsid w:val="324059AE"/>
    <w:rsid w:val="326351F9"/>
    <w:rsid w:val="32766A06"/>
    <w:rsid w:val="327D078A"/>
    <w:rsid w:val="32933D30"/>
    <w:rsid w:val="32A7158A"/>
    <w:rsid w:val="32B31CDC"/>
    <w:rsid w:val="32C75788"/>
    <w:rsid w:val="32E165BD"/>
    <w:rsid w:val="32FA3DAF"/>
    <w:rsid w:val="330469DC"/>
    <w:rsid w:val="33244988"/>
    <w:rsid w:val="33274478"/>
    <w:rsid w:val="332B3F69"/>
    <w:rsid w:val="334A3443"/>
    <w:rsid w:val="334F40FB"/>
    <w:rsid w:val="33641229"/>
    <w:rsid w:val="338673F1"/>
    <w:rsid w:val="339D48A3"/>
    <w:rsid w:val="33AC3A1C"/>
    <w:rsid w:val="33C74846"/>
    <w:rsid w:val="33CF6FEA"/>
    <w:rsid w:val="33F64577"/>
    <w:rsid w:val="34056568"/>
    <w:rsid w:val="343E7CCC"/>
    <w:rsid w:val="34525525"/>
    <w:rsid w:val="346040E6"/>
    <w:rsid w:val="34A0589E"/>
    <w:rsid w:val="34A67F96"/>
    <w:rsid w:val="34A9783B"/>
    <w:rsid w:val="34B0508B"/>
    <w:rsid w:val="34CE1050"/>
    <w:rsid w:val="34DF440A"/>
    <w:rsid w:val="350A581B"/>
    <w:rsid w:val="352E7D40"/>
    <w:rsid w:val="35426A60"/>
    <w:rsid w:val="35586B6B"/>
    <w:rsid w:val="355E7319"/>
    <w:rsid w:val="35690D78"/>
    <w:rsid w:val="358D36CE"/>
    <w:rsid w:val="3598340C"/>
    <w:rsid w:val="35CE6E2D"/>
    <w:rsid w:val="35DB7EC8"/>
    <w:rsid w:val="35EE2046"/>
    <w:rsid w:val="35F41640"/>
    <w:rsid w:val="361A6E50"/>
    <w:rsid w:val="362A0508"/>
    <w:rsid w:val="363967AA"/>
    <w:rsid w:val="36415851"/>
    <w:rsid w:val="36460158"/>
    <w:rsid w:val="36603F29"/>
    <w:rsid w:val="36745C27"/>
    <w:rsid w:val="36851BE2"/>
    <w:rsid w:val="368A0116"/>
    <w:rsid w:val="369116D0"/>
    <w:rsid w:val="36941E25"/>
    <w:rsid w:val="36965B9D"/>
    <w:rsid w:val="369F7E9A"/>
    <w:rsid w:val="36A4650C"/>
    <w:rsid w:val="36CC15BF"/>
    <w:rsid w:val="36EF34FF"/>
    <w:rsid w:val="370C4F32"/>
    <w:rsid w:val="370E607B"/>
    <w:rsid w:val="372907BF"/>
    <w:rsid w:val="37294C63"/>
    <w:rsid w:val="37353608"/>
    <w:rsid w:val="374D6BA3"/>
    <w:rsid w:val="37500442"/>
    <w:rsid w:val="375A6BCB"/>
    <w:rsid w:val="377A726D"/>
    <w:rsid w:val="377E4FAF"/>
    <w:rsid w:val="37971BCD"/>
    <w:rsid w:val="37A75B88"/>
    <w:rsid w:val="37BA3B0D"/>
    <w:rsid w:val="37D921E5"/>
    <w:rsid w:val="37F51788"/>
    <w:rsid w:val="37F92887"/>
    <w:rsid w:val="37FC2378"/>
    <w:rsid w:val="380C2A2C"/>
    <w:rsid w:val="384B3FA8"/>
    <w:rsid w:val="3854528C"/>
    <w:rsid w:val="38547ABE"/>
    <w:rsid w:val="38565141"/>
    <w:rsid w:val="38B41380"/>
    <w:rsid w:val="38B95B73"/>
    <w:rsid w:val="38C22C79"/>
    <w:rsid w:val="38C77A8E"/>
    <w:rsid w:val="38CF183A"/>
    <w:rsid w:val="38DF66DE"/>
    <w:rsid w:val="38E30E42"/>
    <w:rsid w:val="38E57239"/>
    <w:rsid w:val="38EF5A38"/>
    <w:rsid w:val="38F31085"/>
    <w:rsid w:val="39036257"/>
    <w:rsid w:val="390F1199"/>
    <w:rsid w:val="39367F12"/>
    <w:rsid w:val="393D0552"/>
    <w:rsid w:val="394538AA"/>
    <w:rsid w:val="394D5E49"/>
    <w:rsid w:val="39553AED"/>
    <w:rsid w:val="398F2E12"/>
    <w:rsid w:val="399531A9"/>
    <w:rsid w:val="39993E51"/>
    <w:rsid w:val="39A10631"/>
    <w:rsid w:val="39AD02F7"/>
    <w:rsid w:val="39B5458C"/>
    <w:rsid w:val="39B60304"/>
    <w:rsid w:val="39DA2245"/>
    <w:rsid w:val="39DA3FF3"/>
    <w:rsid w:val="39DF3CFF"/>
    <w:rsid w:val="39E81075"/>
    <w:rsid w:val="39EB5714"/>
    <w:rsid w:val="39F71049"/>
    <w:rsid w:val="39F96B6F"/>
    <w:rsid w:val="3A013C75"/>
    <w:rsid w:val="3A0472C2"/>
    <w:rsid w:val="3A073743"/>
    <w:rsid w:val="3A12378C"/>
    <w:rsid w:val="3A2B6F44"/>
    <w:rsid w:val="3A361B71"/>
    <w:rsid w:val="3A456E52"/>
    <w:rsid w:val="3A5A5133"/>
    <w:rsid w:val="3A631110"/>
    <w:rsid w:val="3A830B2E"/>
    <w:rsid w:val="3ABA2F86"/>
    <w:rsid w:val="3AC70A1B"/>
    <w:rsid w:val="3AEA64B7"/>
    <w:rsid w:val="3AF92B9E"/>
    <w:rsid w:val="3AFA0DF0"/>
    <w:rsid w:val="3B097226"/>
    <w:rsid w:val="3B111C96"/>
    <w:rsid w:val="3B194FEF"/>
    <w:rsid w:val="3B236ECD"/>
    <w:rsid w:val="3B497682"/>
    <w:rsid w:val="3B5F6EA5"/>
    <w:rsid w:val="3B6E70E8"/>
    <w:rsid w:val="3B765F9D"/>
    <w:rsid w:val="3B7F30A4"/>
    <w:rsid w:val="3B8561E0"/>
    <w:rsid w:val="3B8B1A48"/>
    <w:rsid w:val="3BB07701"/>
    <w:rsid w:val="3BB2349B"/>
    <w:rsid w:val="3BB54D17"/>
    <w:rsid w:val="3BBF7944"/>
    <w:rsid w:val="3BC82C9D"/>
    <w:rsid w:val="3BC9431F"/>
    <w:rsid w:val="3BE92C13"/>
    <w:rsid w:val="3C0D4B53"/>
    <w:rsid w:val="3C0E2679"/>
    <w:rsid w:val="3C2105FF"/>
    <w:rsid w:val="3C2D2B00"/>
    <w:rsid w:val="3C372D23"/>
    <w:rsid w:val="3C447E49"/>
    <w:rsid w:val="3C494757"/>
    <w:rsid w:val="3C4B11D8"/>
    <w:rsid w:val="3C4B380F"/>
    <w:rsid w:val="3C4F6F1A"/>
    <w:rsid w:val="3C720E5A"/>
    <w:rsid w:val="3CA408E8"/>
    <w:rsid w:val="3CA52FDE"/>
    <w:rsid w:val="3CC14C1F"/>
    <w:rsid w:val="3CD0758C"/>
    <w:rsid w:val="3CE358B4"/>
    <w:rsid w:val="3CE55188"/>
    <w:rsid w:val="3CF56BC9"/>
    <w:rsid w:val="3D0A4BEF"/>
    <w:rsid w:val="3D0E2E48"/>
    <w:rsid w:val="3D1D0DC6"/>
    <w:rsid w:val="3D1F37E4"/>
    <w:rsid w:val="3D211F38"/>
    <w:rsid w:val="3D235CB1"/>
    <w:rsid w:val="3D346110"/>
    <w:rsid w:val="3D37175C"/>
    <w:rsid w:val="3D4F2F4A"/>
    <w:rsid w:val="3D762284"/>
    <w:rsid w:val="3D826E7B"/>
    <w:rsid w:val="3D864BBD"/>
    <w:rsid w:val="3DDB0CD9"/>
    <w:rsid w:val="3DDD67A7"/>
    <w:rsid w:val="3DE23DBE"/>
    <w:rsid w:val="3DE90CA8"/>
    <w:rsid w:val="3E157CEF"/>
    <w:rsid w:val="3E667746"/>
    <w:rsid w:val="3E815385"/>
    <w:rsid w:val="3E885B96"/>
    <w:rsid w:val="3E952BDE"/>
    <w:rsid w:val="3EB43064"/>
    <w:rsid w:val="3EB92D70"/>
    <w:rsid w:val="3EBC22FE"/>
    <w:rsid w:val="3ECD4126"/>
    <w:rsid w:val="3EF1250A"/>
    <w:rsid w:val="3EF773F5"/>
    <w:rsid w:val="3F163D1F"/>
    <w:rsid w:val="3F450160"/>
    <w:rsid w:val="3F473ED8"/>
    <w:rsid w:val="3F4C14EF"/>
    <w:rsid w:val="3F4D019D"/>
    <w:rsid w:val="3F5860E5"/>
    <w:rsid w:val="3F591E5E"/>
    <w:rsid w:val="3F760C61"/>
    <w:rsid w:val="3F8213B4"/>
    <w:rsid w:val="3F827606"/>
    <w:rsid w:val="3F870779"/>
    <w:rsid w:val="3F890995"/>
    <w:rsid w:val="3F8A2017"/>
    <w:rsid w:val="3F917849"/>
    <w:rsid w:val="3F9B0612"/>
    <w:rsid w:val="3F9D1D4A"/>
    <w:rsid w:val="3FA241A2"/>
    <w:rsid w:val="3FAA4467"/>
    <w:rsid w:val="3FAC01DF"/>
    <w:rsid w:val="3FD85478"/>
    <w:rsid w:val="3FE536F1"/>
    <w:rsid w:val="3FE77469"/>
    <w:rsid w:val="40215D3E"/>
    <w:rsid w:val="403A57EB"/>
    <w:rsid w:val="404843AC"/>
    <w:rsid w:val="404B3E9C"/>
    <w:rsid w:val="4061546E"/>
    <w:rsid w:val="40664832"/>
    <w:rsid w:val="4079067E"/>
    <w:rsid w:val="4093139F"/>
    <w:rsid w:val="409343AF"/>
    <w:rsid w:val="409E3FCC"/>
    <w:rsid w:val="40D75730"/>
    <w:rsid w:val="40E63BC5"/>
    <w:rsid w:val="40EB4D37"/>
    <w:rsid w:val="40EC14AB"/>
    <w:rsid w:val="40FA4F7A"/>
    <w:rsid w:val="410D2F00"/>
    <w:rsid w:val="410D73A4"/>
    <w:rsid w:val="413C37E5"/>
    <w:rsid w:val="415648A7"/>
    <w:rsid w:val="415A71E1"/>
    <w:rsid w:val="41630D72"/>
    <w:rsid w:val="418807D8"/>
    <w:rsid w:val="419B675D"/>
    <w:rsid w:val="41AA69A0"/>
    <w:rsid w:val="41B15F81"/>
    <w:rsid w:val="41C31810"/>
    <w:rsid w:val="41C55588"/>
    <w:rsid w:val="41E225DE"/>
    <w:rsid w:val="41F8595E"/>
    <w:rsid w:val="42100EF9"/>
    <w:rsid w:val="4214206C"/>
    <w:rsid w:val="42454372"/>
    <w:rsid w:val="426179A2"/>
    <w:rsid w:val="427174BE"/>
    <w:rsid w:val="42786A9F"/>
    <w:rsid w:val="428B67D2"/>
    <w:rsid w:val="428E0070"/>
    <w:rsid w:val="4294310E"/>
    <w:rsid w:val="42943344"/>
    <w:rsid w:val="42975177"/>
    <w:rsid w:val="429A07C3"/>
    <w:rsid w:val="42C615B8"/>
    <w:rsid w:val="42D77C69"/>
    <w:rsid w:val="42DC0DDB"/>
    <w:rsid w:val="42DE0FF8"/>
    <w:rsid w:val="42E56A55"/>
    <w:rsid w:val="42FC322C"/>
    <w:rsid w:val="43193DDE"/>
    <w:rsid w:val="43372938"/>
    <w:rsid w:val="43484F88"/>
    <w:rsid w:val="434A1275"/>
    <w:rsid w:val="435C1F1C"/>
    <w:rsid w:val="4387343D"/>
    <w:rsid w:val="43972F54"/>
    <w:rsid w:val="439E42E3"/>
    <w:rsid w:val="43A124B3"/>
    <w:rsid w:val="43B65AD0"/>
    <w:rsid w:val="43BB4E95"/>
    <w:rsid w:val="43C55D14"/>
    <w:rsid w:val="43D85A47"/>
    <w:rsid w:val="43E837B0"/>
    <w:rsid w:val="43E97C54"/>
    <w:rsid w:val="43F11473"/>
    <w:rsid w:val="43F839F3"/>
    <w:rsid w:val="44022AC4"/>
    <w:rsid w:val="44024872"/>
    <w:rsid w:val="44044A8E"/>
    <w:rsid w:val="44184095"/>
    <w:rsid w:val="44236B1E"/>
    <w:rsid w:val="444158E6"/>
    <w:rsid w:val="44564BBE"/>
    <w:rsid w:val="44641089"/>
    <w:rsid w:val="446948F1"/>
    <w:rsid w:val="446F3961"/>
    <w:rsid w:val="44B95F17"/>
    <w:rsid w:val="44C11AA6"/>
    <w:rsid w:val="44C75831"/>
    <w:rsid w:val="44CD7477"/>
    <w:rsid w:val="44D04970"/>
    <w:rsid w:val="44D426B2"/>
    <w:rsid w:val="44DF4BB3"/>
    <w:rsid w:val="44E346A3"/>
    <w:rsid w:val="44F3240C"/>
    <w:rsid w:val="450048CC"/>
    <w:rsid w:val="451A208F"/>
    <w:rsid w:val="452457E1"/>
    <w:rsid w:val="45350C77"/>
    <w:rsid w:val="453A628D"/>
    <w:rsid w:val="45415D40"/>
    <w:rsid w:val="45435142"/>
    <w:rsid w:val="45451DF1"/>
    <w:rsid w:val="454A4722"/>
    <w:rsid w:val="454B2248"/>
    <w:rsid w:val="45513D03"/>
    <w:rsid w:val="4554734F"/>
    <w:rsid w:val="45570447"/>
    <w:rsid w:val="45723C79"/>
    <w:rsid w:val="45B46417"/>
    <w:rsid w:val="45B86522"/>
    <w:rsid w:val="45DB537A"/>
    <w:rsid w:val="45DE4E6B"/>
    <w:rsid w:val="45F43872"/>
    <w:rsid w:val="46113492"/>
    <w:rsid w:val="461B3AA5"/>
    <w:rsid w:val="462C5BD6"/>
    <w:rsid w:val="462E5DF2"/>
    <w:rsid w:val="464C0026"/>
    <w:rsid w:val="46655038"/>
    <w:rsid w:val="466C06C8"/>
    <w:rsid w:val="46843C64"/>
    <w:rsid w:val="46850285"/>
    <w:rsid w:val="46955E71"/>
    <w:rsid w:val="469A59E7"/>
    <w:rsid w:val="469F45FA"/>
    <w:rsid w:val="46A240EA"/>
    <w:rsid w:val="46A460B4"/>
    <w:rsid w:val="46AF05B5"/>
    <w:rsid w:val="46C94CDE"/>
    <w:rsid w:val="46D30747"/>
    <w:rsid w:val="46E14C12"/>
    <w:rsid w:val="4706474A"/>
    <w:rsid w:val="470703F1"/>
    <w:rsid w:val="470D3C59"/>
    <w:rsid w:val="471B28B4"/>
    <w:rsid w:val="473B0E1B"/>
    <w:rsid w:val="473F27FF"/>
    <w:rsid w:val="476017C6"/>
    <w:rsid w:val="47745A86"/>
    <w:rsid w:val="47811F51"/>
    <w:rsid w:val="47841A42"/>
    <w:rsid w:val="47863A0C"/>
    <w:rsid w:val="478E2D76"/>
    <w:rsid w:val="47916CB1"/>
    <w:rsid w:val="47A65E5C"/>
    <w:rsid w:val="47CA1B4A"/>
    <w:rsid w:val="47E67FE2"/>
    <w:rsid w:val="47F0014A"/>
    <w:rsid w:val="47F60B91"/>
    <w:rsid w:val="481903DC"/>
    <w:rsid w:val="486F26F2"/>
    <w:rsid w:val="48740AF8"/>
    <w:rsid w:val="487B247F"/>
    <w:rsid w:val="488E0DCA"/>
    <w:rsid w:val="48934632"/>
    <w:rsid w:val="48B56357"/>
    <w:rsid w:val="48B955C2"/>
    <w:rsid w:val="48B9571B"/>
    <w:rsid w:val="48BA396D"/>
    <w:rsid w:val="48BB76E5"/>
    <w:rsid w:val="48C657AA"/>
    <w:rsid w:val="48F30C2D"/>
    <w:rsid w:val="490177EE"/>
    <w:rsid w:val="490D6193"/>
    <w:rsid w:val="491F7C74"/>
    <w:rsid w:val="492B090F"/>
    <w:rsid w:val="492D6240"/>
    <w:rsid w:val="49382AE4"/>
    <w:rsid w:val="49417BEA"/>
    <w:rsid w:val="494852C1"/>
    <w:rsid w:val="494E0559"/>
    <w:rsid w:val="4968786D"/>
    <w:rsid w:val="496A7A12"/>
    <w:rsid w:val="496F0BFB"/>
    <w:rsid w:val="49843F7B"/>
    <w:rsid w:val="498E0956"/>
    <w:rsid w:val="49911DC2"/>
    <w:rsid w:val="499659CF"/>
    <w:rsid w:val="499A718B"/>
    <w:rsid w:val="49B52386"/>
    <w:rsid w:val="49C202E7"/>
    <w:rsid w:val="49EC3FFA"/>
    <w:rsid w:val="49F72751"/>
    <w:rsid w:val="4A1E3C56"/>
    <w:rsid w:val="4A1E617D"/>
    <w:rsid w:val="4A2D016F"/>
    <w:rsid w:val="4A421E6C"/>
    <w:rsid w:val="4A704B0B"/>
    <w:rsid w:val="4A730023"/>
    <w:rsid w:val="4A744C91"/>
    <w:rsid w:val="4A876DA6"/>
    <w:rsid w:val="4A8833F8"/>
    <w:rsid w:val="4A8A619F"/>
    <w:rsid w:val="4AA2290B"/>
    <w:rsid w:val="4AC05487"/>
    <w:rsid w:val="4AD46AF0"/>
    <w:rsid w:val="4ADF61DE"/>
    <w:rsid w:val="4ADF76BB"/>
    <w:rsid w:val="4B0071C8"/>
    <w:rsid w:val="4B125FF6"/>
    <w:rsid w:val="4B1B110F"/>
    <w:rsid w:val="4B3F45FD"/>
    <w:rsid w:val="4B4614E8"/>
    <w:rsid w:val="4B6C4CC7"/>
    <w:rsid w:val="4B7D0C82"/>
    <w:rsid w:val="4B8244EA"/>
    <w:rsid w:val="4B8B339F"/>
    <w:rsid w:val="4B92472D"/>
    <w:rsid w:val="4BA17066"/>
    <w:rsid w:val="4BDA7172"/>
    <w:rsid w:val="4C0575F5"/>
    <w:rsid w:val="4C2B503E"/>
    <w:rsid w:val="4C312198"/>
    <w:rsid w:val="4C3253A4"/>
    <w:rsid w:val="4C3677AE"/>
    <w:rsid w:val="4C40062D"/>
    <w:rsid w:val="4C481290"/>
    <w:rsid w:val="4C651E42"/>
    <w:rsid w:val="4C735D9E"/>
    <w:rsid w:val="4C787DC7"/>
    <w:rsid w:val="4C8229F4"/>
    <w:rsid w:val="4C8C3872"/>
    <w:rsid w:val="4C987D10"/>
    <w:rsid w:val="4CA94424"/>
    <w:rsid w:val="4CAA3CF8"/>
    <w:rsid w:val="4CD62D3F"/>
    <w:rsid w:val="4CE0771A"/>
    <w:rsid w:val="4D331F40"/>
    <w:rsid w:val="4D3B0DF4"/>
    <w:rsid w:val="4D534390"/>
    <w:rsid w:val="4D64659D"/>
    <w:rsid w:val="4D7F6F33"/>
    <w:rsid w:val="4D9549A9"/>
    <w:rsid w:val="4D9D16E6"/>
    <w:rsid w:val="4DA76875"/>
    <w:rsid w:val="4DB017E2"/>
    <w:rsid w:val="4DB82445"/>
    <w:rsid w:val="4DC25072"/>
    <w:rsid w:val="4DC96400"/>
    <w:rsid w:val="4DD76D6F"/>
    <w:rsid w:val="4DDC4D2C"/>
    <w:rsid w:val="4DEB281B"/>
    <w:rsid w:val="4E0D453F"/>
    <w:rsid w:val="4E10402F"/>
    <w:rsid w:val="4E121B55"/>
    <w:rsid w:val="4E1E176D"/>
    <w:rsid w:val="4E2B2C17"/>
    <w:rsid w:val="4E2D698F"/>
    <w:rsid w:val="4E505C68"/>
    <w:rsid w:val="4E573A0C"/>
    <w:rsid w:val="4E5C1022"/>
    <w:rsid w:val="4E613302"/>
    <w:rsid w:val="4E760336"/>
    <w:rsid w:val="4EAC01FC"/>
    <w:rsid w:val="4EB250E6"/>
    <w:rsid w:val="4EB33338"/>
    <w:rsid w:val="4EB946C7"/>
    <w:rsid w:val="4EBE1CDD"/>
    <w:rsid w:val="4EC05A55"/>
    <w:rsid w:val="4ECA0682"/>
    <w:rsid w:val="4ECD0674"/>
    <w:rsid w:val="4ED60DD5"/>
    <w:rsid w:val="4EE74D90"/>
    <w:rsid w:val="4EEF633A"/>
    <w:rsid w:val="4F134939"/>
    <w:rsid w:val="4F1D6A04"/>
    <w:rsid w:val="4F2935FA"/>
    <w:rsid w:val="4F2A7373"/>
    <w:rsid w:val="4F437111"/>
    <w:rsid w:val="4F495A4B"/>
    <w:rsid w:val="4F587A3C"/>
    <w:rsid w:val="4F7A3E56"/>
    <w:rsid w:val="4F8C3B89"/>
    <w:rsid w:val="4F9547EC"/>
    <w:rsid w:val="4FCC21D8"/>
    <w:rsid w:val="4FE6773D"/>
    <w:rsid w:val="4FEB6B02"/>
    <w:rsid w:val="4FEE65F2"/>
    <w:rsid w:val="4FF27E90"/>
    <w:rsid w:val="50106568"/>
    <w:rsid w:val="501222E0"/>
    <w:rsid w:val="501F0559"/>
    <w:rsid w:val="5023629C"/>
    <w:rsid w:val="503A5393"/>
    <w:rsid w:val="5043249A"/>
    <w:rsid w:val="504D50C7"/>
    <w:rsid w:val="505521CD"/>
    <w:rsid w:val="5060304C"/>
    <w:rsid w:val="506A211C"/>
    <w:rsid w:val="507C3BFE"/>
    <w:rsid w:val="50827466"/>
    <w:rsid w:val="50AC49D2"/>
    <w:rsid w:val="50CC248F"/>
    <w:rsid w:val="50D21A70"/>
    <w:rsid w:val="50D457E8"/>
    <w:rsid w:val="50F6750C"/>
    <w:rsid w:val="50FB4B23"/>
    <w:rsid w:val="51160A34"/>
    <w:rsid w:val="51163F32"/>
    <w:rsid w:val="51183927"/>
    <w:rsid w:val="51226553"/>
    <w:rsid w:val="51453FF0"/>
    <w:rsid w:val="516C77CE"/>
    <w:rsid w:val="5170282E"/>
    <w:rsid w:val="519A433C"/>
    <w:rsid w:val="519B0C10"/>
    <w:rsid w:val="51AE366B"/>
    <w:rsid w:val="51D71830"/>
    <w:rsid w:val="51DF0427"/>
    <w:rsid w:val="51E23F34"/>
    <w:rsid w:val="51F83758"/>
    <w:rsid w:val="520B3E30"/>
    <w:rsid w:val="520E5B76"/>
    <w:rsid w:val="5246001F"/>
    <w:rsid w:val="528C10A0"/>
    <w:rsid w:val="52972F71"/>
    <w:rsid w:val="52B0193D"/>
    <w:rsid w:val="52BC29D7"/>
    <w:rsid w:val="52C8312A"/>
    <w:rsid w:val="52DD4E28"/>
    <w:rsid w:val="52FB52AE"/>
    <w:rsid w:val="52FB705C"/>
    <w:rsid w:val="52FC4B82"/>
    <w:rsid w:val="532E2213"/>
    <w:rsid w:val="533026AA"/>
    <w:rsid w:val="533E2F7F"/>
    <w:rsid w:val="534D3630"/>
    <w:rsid w:val="535C60FE"/>
    <w:rsid w:val="53807561"/>
    <w:rsid w:val="538708F0"/>
    <w:rsid w:val="538E7D0E"/>
    <w:rsid w:val="53A56FC8"/>
    <w:rsid w:val="53B4545D"/>
    <w:rsid w:val="53B8319F"/>
    <w:rsid w:val="53C03E02"/>
    <w:rsid w:val="53DF24DA"/>
    <w:rsid w:val="53F65A75"/>
    <w:rsid w:val="53FB308C"/>
    <w:rsid w:val="5402441A"/>
    <w:rsid w:val="542F214A"/>
    <w:rsid w:val="54302D35"/>
    <w:rsid w:val="54316AAD"/>
    <w:rsid w:val="543A3BB4"/>
    <w:rsid w:val="54640C31"/>
    <w:rsid w:val="547F3CBD"/>
    <w:rsid w:val="54994D7E"/>
    <w:rsid w:val="549E786E"/>
    <w:rsid w:val="54AB6860"/>
    <w:rsid w:val="54BB2F47"/>
    <w:rsid w:val="54BE216E"/>
    <w:rsid w:val="54BF40B9"/>
    <w:rsid w:val="54D15BFA"/>
    <w:rsid w:val="550F3292"/>
    <w:rsid w:val="5512615B"/>
    <w:rsid w:val="551B6940"/>
    <w:rsid w:val="552A3C28"/>
    <w:rsid w:val="55563AD1"/>
    <w:rsid w:val="555F460E"/>
    <w:rsid w:val="556B5B8F"/>
    <w:rsid w:val="558722C8"/>
    <w:rsid w:val="558F536E"/>
    <w:rsid w:val="55C027DF"/>
    <w:rsid w:val="55C2628A"/>
    <w:rsid w:val="55CE2806"/>
    <w:rsid w:val="55D50038"/>
    <w:rsid w:val="55D63DB0"/>
    <w:rsid w:val="55DB3175"/>
    <w:rsid w:val="55E55DA1"/>
    <w:rsid w:val="55EE4C56"/>
    <w:rsid w:val="55F61D5C"/>
    <w:rsid w:val="56222B52"/>
    <w:rsid w:val="562A1B91"/>
    <w:rsid w:val="562B5B9A"/>
    <w:rsid w:val="56331D5B"/>
    <w:rsid w:val="56356D29"/>
    <w:rsid w:val="5637484F"/>
    <w:rsid w:val="5640122A"/>
    <w:rsid w:val="56570A4D"/>
    <w:rsid w:val="5661367A"/>
    <w:rsid w:val="56902358"/>
    <w:rsid w:val="56AB7BA5"/>
    <w:rsid w:val="56AF3861"/>
    <w:rsid w:val="56B85264"/>
    <w:rsid w:val="56C46C9A"/>
    <w:rsid w:val="56CA56C3"/>
    <w:rsid w:val="56CF0F2B"/>
    <w:rsid w:val="56DC53F6"/>
    <w:rsid w:val="56F40992"/>
    <w:rsid w:val="5714693E"/>
    <w:rsid w:val="575C2093"/>
    <w:rsid w:val="57664784"/>
    <w:rsid w:val="5781726E"/>
    <w:rsid w:val="578D049F"/>
    <w:rsid w:val="57BE4AFC"/>
    <w:rsid w:val="57C06AC6"/>
    <w:rsid w:val="57CE11E3"/>
    <w:rsid w:val="57CF2865"/>
    <w:rsid w:val="57E07028"/>
    <w:rsid w:val="57EC78BB"/>
    <w:rsid w:val="57F549C2"/>
    <w:rsid w:val="58010F61"/>
    <w:rsid w:val="58033583"/>
    <w:rsid w:val="581A7F84"/>
    <w:rsid w:val="58403763"/>
    <w:rsid w:val="58434227"/>
    <w:rsid w:val="584C2108"/>
    <w:rsid w:val="58550FBC"/>
    <w:rsid w:val="585D2567"/>
    <w:rsid w:val="586C6306"/>
    <w:rsid w:val="58737694"/>
    <w:rsid w:val="587F072F"/>
    <w:rsid w:val="58BA1767"/>
    <w:rsid w:val="58DC49CD"/>
    <w:rsid w:val="591A469F"/>
    <w:rsid w:val="59215342"/>
    <w:rsid w:val="59264A99"/>
    <w:rsid w:val="592941F7"/>
    <w:rsid w:val="592A3C50"/>
    <w:rsid w:val="593B46DD"/>
    <w:rsid w:val="594026BD"/>
    <w:rsid w:val="594159E5"/>
    <w:rsid w:val="59460076"/>
    <w:rsid w:val="595042A3"/>
    <w:rsid w:val="59515D8A"/>
    <w:rsid w:val="595C637A"/>
    <w:rsid w:val="5960477C"/>
    <w:rsid w:val="596B66F6"/>
    <w:rsid w:val="596D2336"/>
    <w:rsid w:val="596F6178"/>
    <w:rsid w:val="59A5674B"/>
    <w:rsid w:val="59BD150F"/>
    <w:rsid w:val="59C53F20"/>
    <w:rsid w:val="59ED3476"/>
    <w:rsid w:val="5A151F73"/>
    <w:rsid w:val="5A492DA3"/>
    <w:rsid w:val="5A53777D"/>
    <w:rsid w:val="5A582FE6"/>
    <w:rsid w:val="5A601E9A"/>
    <w:rsid w:val="5AA77AC9"/>
    <w:rsid w:val="5AA91A93"/>
    <w:rsid w:val="5ABD109B"/>
    <w:rsid w:val="5ABE4B07"/>
    <w:rsid w:val="5AC266B1"/>
    <w:rsid w:val="5AE44879"/>
    <w:rsid w:val="5AFA409D"/>
    <w:rsid w:val="5AFA5E4B"/>
    <w:rsid w:val="5B1769FD"/>
    <w:rsid w:val="5B2D6220"/>
    <w:rsid w:val="5B321A89"/>
    <w:rsid w:val="5B386973"/>
    <w:rsid w:val="5B4A6DD2"/>
    <w:rsid w:val="5B4E6197"/>
    <w:rsid w:val="5B657EA9"/>
    <w:rsid w:val="5B751975"/>
    <w:rsid w:val="5B8147BE"/>
    <w:rsid w:val="5B920779"/>
    <w:rsid w:val="5BA555B3"/>
    <w:rsid w:val="5BB47AC3"/>
    <w:rsid w:val="5BB74B2C"/>
    <w:rsid w:val="5BD41E6E"/>
    <w:rsid w:val="5BEA2363"/>
    <w:rsid w:val="5BEA5EBF"/>
    <w:rsid w:val="5BEF1728"/>
    <w:rsid w:val="5BF64864"/>
    <w:rsid w:val="5BFD3E45"/>
    <w:rsid w:val="5C2869E8"/>
    <w:rsid w:val="5C2C64D8"/>
    <w:rsid w:val="5C381321"/>
    <w:rsid w:val="5C3A6E47"/>
    <w:rsid w:val="5C3B1922"/>
    <w:rsid w:val="5C4F5402"/>
    <w:rsid w:val="5C5069F0"/>
    <w:rsid w:val="5C537F09"/>
    <w:rsid w:val="5C5477DD"/>
    <w:rsid w:val="5C5E2B95"/>
    <w:rsid w:val="5C7A1E91"/>
    <w:rsid w:val="5C8C6F77"/>
    <w:rsid w:val="5CA40764"/>
    <w:rsid w:val="5CAB5170"/>
    <w:rsid w:val="5CBD5382"/>
    <w:rsid w:val="5CCA5724"/>
    <w:rsid w:val="5CE62B2B"/>
    <w:rsid w:val="5CE70651"/>
    <w:rsid w:val="5CEE5E83"/>
    <w:rsid w:val="5D290C69"/>
    <w:rsid w:val="5D292A17"/>
    <w:rsid w:val="5D6972B8"/>
    <w:rsid w:val="5D706822"/>
    <w:rsid w:val="5D7F6ADB"/>
    <w:rsid w:val="5DAD53F7"/>
    <w:rsid w:val="5DB42C29"/>
    <w:rsid w:val="5DB669A1"/>
    <w:rsid w:val="5DBD1FCA"/>
    <w:rsid w:val="5DC0337C"/>
    <w:rsid w:val="5E084D23"/>
    <w:rsid w:val="5E092890"/>
    <w:rsid w:val="5E192A8C"/>
    <w:rsid w:val="5E1C432A"/>
    <w:rsid w:val="5E257683"/>
    <w:rsid w:val="5E282CCF"/>
    <w:rsid w:val="5E3A2E3F"/>
    <w:rsid w:val="5E510478"/>
    <w:rsid w:val="5E524438"/>
    <w:rsid w:val="5E714676"/>
    <w:rsid w:val="5E8425FB"/>
    <w:rsid w:val="5E8C6F99"/>
    <w:rsid w:val="5EAA0273"/>
    <w:rsid w:val="5ECF75EF"/>
    <w:rsid w:val="5ED54C05"/>
    <w:rsid w:val="5EF2352E"/>
    <w:rsid w:val="5EF57055"/>
    <w:rsid w:val="5EF763C6"/>
    <w:rsid w:val="5EFD0600"/>
    <w:rsid w:val="5F08322C"/>
    <w:rsid w:val="5F4E6765"/>
    <w:rsid w:val="5F5D7160"/>
    <w:rsid w:val="5F714A4F"/>
    <w:rsid w:val="5F7408C2"/>
    <w:rsid w:val="5F887EC9"/>
    <w:rsid w:val="5F893C41"/>
    <w:rsid w:val="5F8B79B9"/>
    <w:rsid w:val="5F97010C"/>
    <w:rsid w:val="5FB23198"/>
    <w:rsid w:val="5FB46F10"/>
    <w:rsid w:val="5FB90FB7"/>
    <w:rsid w:val="5FC30058"/>
    <w:rsid w:val="5FF27A39"/>
    <w:rsid w:val="5FFB0081"/>
    <w:rsid w:val="5FFE1F39"/>
    <w:rsid w:val="60060FEE"/>
    <w:rsid w:val="600A2554"/>
    <w:rsid w:val="60462E90"/>
    <w:rsid w:val="60571E01"/>
    <w:rsid w:val="606F72DB"/>
    <w:rsid w:val="60786190"/>
    <w:rsid w:val="608368E3"/>
    <w:rsid w:val="60A07495"/>
    <w:rsid w:val="60A30D33"/>
    <w:rsid w:val="60A96349"/>
    <w:rsid w:val="60AE00AB"/>
    <w:rsid w:val="60B31391"/>
    <w:rsid w:val="60C2740B"/>
    <w:rsid w:val="60C82547"/>
    <w:rsid w:val="612945BF"/>
    <w:rsid w:val="61530A39"/>
    <w:rsid w:val="6183303E"/>
    <w:rsid w:val="61923281"/>
    <w:rsid w:val="619F1863"/>
    <w:rsid w:val="61AC3CD1"/>
    <w:rsid w:val="61CB22EF"/>
    <w:rsid w:val="61DF3FED"/>
    <w:rsid w:val="61FE695C"/>
    <w:rsid w:val="621912AD"/>
    <w:rsid w:val="62326812"/>
    <w:rsid w:val="62571DD5"/>
    <w:rsid w:val="625B7377"/>
    <w:rsid w:val="6278019C"/>
    <w:rsid w:val="628C1A7E"/>
    <w:rsid w:val="629B7F14"/>
    <w:rsid w:val="62A96AD4"/>
    <w:rsid w:val="62AE40EB"/>
    <w:rsid w:val="62B2525D"/>
    <w:rsid w:val="62C0797A"/>
    <w:rsid w:val="62E95123"/>
    <w:rsid w:val="62FB09B2"/>
    <w:rsid w:val="62FE04A2"/>
    <w:rsid w:val="63001694"/>
    <w:rsid w:val="63185A08"/>
    <w:rsid w:val="631D29EB"/>
    <w:rsid w:val="633C6169"/>
    <w:rsid w:val="637A3FCD"/>
    <w:rsid w:val="63822EAD"/>
    <w:rsid w:val="638C7755"/>
    <w:rsid w:val="639B1A12"/>
    <w:rsid w:val="63B70D7D"/>
    <w:rsid w:val="63BC45E5"/>
    <w:rsid w:val="63D23E09"/>
    <w:rsid w:val="63EA73A4"/>
    <w:rsid w:val="63F773CC"/>
    <w:rsid w:val="64055F8C"/>
    <w:rsid w:val="642939D4"/>
    <w:rsid w:val="64300F47"/>
    <w:rsid w:val="64483336"/>
    <w:rsid w:val="644F0FB6"/>
    <w:rsid w:val="646C600B"/>
    <w:rsid w:val="646F3406"/>
    <w:rsid w:val="64942E6C"/>
    <w:rsid w:val="64AE53F9"/>
    <w:rsid w:val="64D63485"/>
    <w:rsid w:val="64E35BA2"/>
    <w:rsid w:val="64EC2CA8"/>
    <w:rsid w:val="65085608"/>
    <w:rsid w:val="65091AAC"/>
    <w:rsid w:val="650F7082"/>
    <w:rsid w:val="65110961"/>
    <w:rsid w:val="6518767F"/>
    <w:rsid w:val="65362175"/>
    <w:rsid w:val="65385EEE"/>
    <w:rsid w:val="656767D3"/>
    <w:rsid w:val="65712B94"/>
    <w:rsid w:val="657A02B4"/>
    <w:rsid w:val="65801643"/>
    <w:rsid w:val="65956E9C"/>
    <w:rsid w:val="659858FD"/>
    <w:rsid w:val="6598698C"/>
    <w:rsid w:val="65A13CC9"/>
    <w:rsid w:val="65AA25C1"/>
    <w:rsid w:val="65E120E1"/>
    <w:rsid w:val="65F91B21"/>
    <w:rsid w:val="660364FC"/>
    <w:rsid w:val="660D737A"/>
    <w:rsid w:val="661E2CB4"/>
    <w:rsid w:val="661E3335"/>
    <w:rsid w:val="662621EA"/>
    <w:rsid w:val="662C6800"/>
    <w:rsid w:val="6632293D"/>
    <w:rsid w:val="664E603D"/>
    <w:rsid w:val="666F1DE3"/>
    <w:rsid w:val="667B2536"/>
    <w:rsid w:val="667D1E28"/>
    <w:rsid w:val="66A870A3"/>
    <w:rsid w:val="66AD46B9"/>
    <w:rsid w:val="66B141AA"/>
    <w:rsid w:val="66CD4D5B"/>
    <w:rsid w:val="66DD6797"/>
    <w:rsid w:val="66ED4AB6"/>
    <w:rsid w:val="66F66060"/>
    <w:rsid w:val="66F67E0E"/>
    <w:rsid w:val="670818F0"/>
    <w:rsid w:val="671D183F"/>
    <w:rsid w:val="67293782"/>
    <w:rsid w:val="675114E9"/>
    <w:rsid w:val="675863D3"/>
    <w:rsid w:val="6759039D"/>
    <w:rsid w:val="679703E1"/>
    <w:rsid w:val="67984F00"/>
    <w:rsid w:val="67A965FC"/>
    <w:rsid w:val="68336E40"/>
    <w:rsid w:val="683926A8"/>
    <w:rsid w:val="68537CAF"/>
    <w:rsid w:val="685F3791"/>
    <w:rsid w:val="68725BBA"/>
    <w:rsid w:val="68776D2D"/>
    <w:rsid w:val="687A4A6F"/>
    <w:rsid w:val="68B079A5"/>
    <w:rsid w:val="68BB30BE"/>
    <w:rsid w:val="68D45F2D"/>
    <w:rsid w:val="68DF62EE"/>
    <w:rsid w:val="68EA5751"/>
    <w:rsid w:val="68F570FB"/>
    <w:rsid w:val="69456E2B"/>
    <w:rsid w:val="69531548"/>
    <w:rsid w:val="696F3EA8"/>
    <w:rsid w:val="69731BEA"/>
    <w:rsid w:val="69790883"/>
    <w:rsid w:val="697A2F79"/>
    <w:rsid w:val="698C6808"/>
    <w:rsid w:val="69A47FF6"/>
    <w:rsid w:val="6A102F95"/>
    <w:rsid w:val="6A242EE4"/>
    <w:rsid w:val="6A2922A9"/>
    <w:rsid w:val="6A4415E9"/>
    <w:rsid w:val="6A5D1F52"/>
    <w:rsid w:val="6A7C062B"/>
    <w:rsid w:val="6A8D0A8A"/>
    <w:rsid w:val="6A9736B6"/>
    <w:rsid w:val="6AAB0F10"/>
    <w:rsid w:val="6ACC55B0"/>
    <w:rsid w:val="6ACD70D8"/>
    <w:rsid w:val="6AE12B83"/>
    <w:rsid w:val="6AEA7C8A"/>
    <w:rsid w:val="6AF12F2B"/>
    <w:rsid w:val="6B054AC4"/>
    <w:rsid w:val="6B1E7934"/>
    <w:rsid w:val="6B225676"/>
    <w:rsid w:val="6B422808"/>
    <w:rsid w:val="6B476E8A"/>
    <w:rsid w:val="6B4B5217"/>
    <w:rsid w:val="6B680BAF"/>
    <w:rsid w:val="6B6F1F3D"/>
    <w:rsid w:val="6B8A1717"/>
    <w:rsid w:val="6B8C6F93"/>
    <w:rsid w:val="6B99345E"/>
    <w:rsid w:val="6BAD273F"/>
    <w:rsid w:val="6BBB1626"/>
    <w:rsid w:val="6BC56001"/>
    <w:rsid w:val="6BCA186A"/>
    <w:rsid w:val="6BCC7390"/>
    <w:rsid w:val="6BCE3108"/>
    <w:rsid w:val="6BD36970"/>
    <w:rsid w:val="6BD526E8"/>
    <w:rsid w:val="6C17069E"/>
    <w:rsid w:val="6C2225DD"/>
    <w:rsid w:val="6C301153"/>
    <w:rsid w:val="6C6B0957"/>
    <w:rsid w:val="6C832144"/>
    <w:rsid w:val="6C845EBC"/>
    <w:rsid w:val="6C89702F"/>
    <w:rsid w:val="6C9D0D2C"/>
    <w:rsid w:val="6CC265FC"/>
    <w:rsid w:val="6CD504C6"/>
    <w:rsid w:val="6CD52274"/>
    <w:rsid w:val="6CF92406"/>
    <w:rsid w:val="6CFC3CA5"/>
    <w:rsid w:val="6CFC5A53"/>
    <w:rsid w:val="6CFE5C6F"/>
    <w:rsid w:val="6D050DAB"/>
    <w:rsid w:val="6D0D5117"/>
    <w:rsid w:val="6D147240"/>
    <w:rsid w:val="6D196605"/>
    <w:rsid w:val="6D21370B"/>
    <w:rsid w:val="6D3B18E0"/>
    <w:rsid w:val="6D57537F"/>
    <w:rsid w:val="6D5B6C1D"/>
    <w:rsid w:val="6D6D4BA2"/>
    <w:rsid w:val="6D77332B"/>
    <w:rsid w:val="6D8B5ABC"/>
    <w:rsid w:val="6D940381"/>
    <w:rsid w:val="6D9C3AFC"/>
    <w:rsid w:val="6DAC1227"/>
    <w:rsid w:val="6DBB76BC"/>
    <w:rsid w:val="6DD15131"/>
    <w:rsid w:val="6DD469CF"/>
    <w:rsid w:val="6DF66946"/>
    <w:rsid w:val="6E14209A"/>
    <w:rsid w:val="6E22773B"/>
    <w:rsid w:val="6E443B55"/>
    <w:rsid w:val="6E4E6782"/>
    <w:rsid w:val="6E5B2C4D"/>
    <w:rsid w:val="6E6164B5"/>
    <w:rsid w:val="6E9F4B86"/>
    <w:rsid w:val="6EA168B2"/>
    <w:rsid w:val="6EB02F99"/>
    <w:rsid w:val="6EB72460"/>
    <w:rsid w:val="6EB74327"/>
    <w:rsid w:val="6EB8556A"/>
    <w:rsid w:val="6EBC36EB"/>
    <w:rsid w:val="6EEE586F"/>
    <w:rsid w:val="6EF72976"/>
    <w:rsid w:val="6F064E06"/>
    <w:rsid w:val="6F094457"/>
    <w:rsid w:val="6F176B74"/>
    <w:rsid w:val="6F35349E"/>
    <w:rsid w:val="6F360C58"/>
    <w:rsid w:val="6F370FC4"/>
    <w:rsid w:val="6F614293"/>
    <w:rsid w:val="6F636421"/>
    <w:rsid w:val="6F6B5112"/>
    <w:rsid w:val="6F6E6EC3"/>
    <w:rsid w:val="6F7264A0"/>
    <w:rsid w:val="6F765F90"/>
    <w:rsid w:val="6F9401C4"/>
    <w:rsid w:val="6FB915A7"/>
    <w:rsid w:val="6FC14D32"/>
    <w:rsid w:val="6FCD1928"/>
    <w:rsid w:val="6FD902CD"/>
    <w:rsid w:val="6FDD39BA"/>
    <w:rsid w:val="6FDE58E3"/>
    <w:rsid w:val="6FE61F3E"/>
    <w:rsid w:val="70161521"/>
    <w:rsid w:val="701914D7"/>
    <w:rsid w:val="701C6FC8"/>
    <w:rsid w:val="702F613F"/>
    <w:rsid w:val="703244E4"/>
    <w:rsid w:val="705636CC"/>
    <w:rsid w:val="70720586"/>
    <w:rsid w:val="70875F7B"/>
    <w:rsid w:val="70897150"/>
    <w:rsid w:val="71656047"/>
    <w:rsid w:val="718F158B"/>
    <w:rsid w:val="71A242CB"/>
    <w:rsid w:val="71C8684B"/>
    <w:rsid w:val="71CF732E"/>
    <w:rsid w:val="71DC40A5"/>
    <w:rsid w:val="71DD22F7"/>
    <w:rsid w:val="71E116BB"/>
    <w:rsid w:val="71F4319C"/>
    <w:rsid w:val="71FC75D1"/>
    <w:rsid w:val="71FE04BF"/>
    <w:rsid w:val="720D49AF"/>
    <w:rsid w:val="720F7FD6"/>
    <w:rsid w:val="72121874"/>
    <w:rsid w:val="72181F15"/>
    <w:rsid w:val="722021E3"/>
    <w:rsid w:val="7229553C"/>
    <w:rsid w:val="72323CC5"/>
    <w:rsid w:val="726F7FB0"/>
    <w:rsid w:val="72A46970"/>
    <w:rsid w:val="72AD3E9C"/>
    <w:rsid w:val="72B50B7E"/>
    <w:rsid w:val="72BB0EC2"/>
    <w:rsid w:val="72C62D8B"/>
    <w:rsid w:val="72EE22E1"/>
    <w:rsid w:val="72FD2525"/>
    <w:rsid w:val="732D2E0A"/>
    <w:rsid w:val="732E0930"/>
    <w:rsid w:val="73335F46"/>
    <w:rsid w:val="73373C88"/>
    <w:rsid w:val="735C7C30"/>
    <w:rsid w:val="73661E78"/>
    <w:rsid w:val="73697BBA"/>
    <w:rsid w:val="73775E2C"/>
    <w:rsid w:val="73A155A6"/>
    <w:rsid w:val="73A86934"/>
    <w:rsid w:val="73B250BD"/>
    <w:rsid w:val="73B40E35"/>
    <w:rsid w:val="73B61051"/>
    <w:rsid w:val="73B70925"/>
    <w:rsid w:val="73BB6668"/>
    <w:rsid w:val="73C365CB"/>
    <w:rsid w:val="73D414D7"/>
    <w:rsid w:val="73EA4857"/>
    <w:rsid w:val="73F6144E"/>
    <w:rsid w:val="742023C5"/>
    <w:rsid w:val="743D52CE"/>
    <w:rsid w:val="7443670B"/>
    <w:rsid w:val="74534AF2"/>
    <w:rsid w:val="745B7503"/>
    <w:rsid w:val="748D1686"/>
    <w:rsid w:val="74933140"/>
    <w:rsid w:val="74AE3AD6"/>
    <w:rsid w:val="74B80A8E"/>
    <w:rsid w:val="751122B7"/>
    <w:rsid w:val="75157FF9"/>
    <w:rsid w:val="751759A6"/>
    <w:rsid w:val="75387844"/>
    <w:rsid w:val="75431C52"/>
    <w:rsid w:val="75644ADD"/>
    <w:rsid w:val="75674604"/>
    <w:rsid w:val="756920F3"/>
    <w:rsid w:val="756B5E6B"/>
    <w:rsid w:val="756C4E37"/>
    <w:rsid w:val="756D0E75"/>
    <w:rsid w:val="75755831"/>
    <w:rsid w:val="75866801"/>
    <w:rsid w:val="758807CB"/>
    <w:rsid w:val="75937E8D"/>
    <w:rsid w:val="75D51537"/>
    <w:rsid w:val="75DF5F11"/>
    <w:rsid w:val="75E35A02"/>
    <w:rsid w:val="75E654F2"/>
    <w:rsid w:val="762027B2"/>
    <w:rsid w:val="762108D3"/>
    <w:rsid w:val="76312C11"/>
    <w:rsid w:val="763224E5"/>
    <w:rsid w:val="76361FD5"/>
    <w:rsid w:val="764364A0"/>
    <w:rsid w:val="76505878"/>
    <w:rsid w:val="765406AD"/>
    <w:rsid w:val="76790114"/>
    <w:rsid w:val="76794AF8"/>
    <w:rsid w:val="76850C08"/>
    <w:rsid w:val="76BB24DB"/>
    <w:rsid w:val="76C84BF7"/>
    <w:rsid w:val="76D67314"/>
    <w:rsid w:val="76DF266D"/>
    <w:rsid w:val="770B3462"/>
    <w:rsid w:val="7711659E"/>
    <w:rsid w:val="771B11CB"/>
    <w:rsid w:val="7722255A"/>
    <w:rsid w:val="77274014"/>
    <w:rsid w:val="772E2227"/>
    <w:rsid w:val="77302EC9"/>
    <w:rsid w:val="7731279D"/>
    <w:rsid w:val="77533CC6"/>
    <w:rsid w:val="775748F9"/>
    <w:rsid w:val="775D4510"/>
    <w:rsid w:val="7760252B"/>
    <w:rsid w:val="776058DA"/>
    <w:rsid w:val="77626DFA"/>
    <w:rsid w:val="777032C5"/>
    <w:rsid w:val="777803CC"/>
    <w:rsid w:val="777D1E86"/>
    <w:rsid w:val="77905715"/>
    <w:rsid w:val="779276DF"/>
    <w:rsid w:val="77F40160"/>
    <w:rsid w:val="781D568D"/>
    <w:rsid w:val="78342545"/>
    <w:rsid w:val="78362F6D"/>
    <w:rsid w:val="78412EB3"/>
    <w:rsid w:val="78627545"/>
    <w:rsid w:val="78632E2A"/>
    <w:rsid w:val="78654665"/>
    <w:rsid w:val="78654DF4"/>
    <w:rsid w:val="787B0173"/>
    <w:rsid w:val="789C661D"/>
    <w:rsid w:val="78E0447A"/>
    <w:rsid w:val="78EF46BD"/>
    <w:rsid w:val="78F63C9E"/>
    <w:rsid w:val="790740FD"/>
    <w:rsid w:val="791660EE"/>
    <w:rsid w:val="791D122B"/>
    <w:rsid w:val="791F31F5"/>
    <w:rsid w:val="793F5645"/>
    <w:rsid w:val="794E7636"/>
    <w:rsid w:val="797F1EE5"/>
    <w:rsid w:val="79892D64"/>
    <w:rsid w:val="798B2638"/>
    <w:rsid w:val="798E037A"/>
    <w:rsid w:val="79960FDD"/>
    <w:rsid w:val="79997202"/>
    <w:rsid w:val="799E680F"/>
    <w:rsid w:val="79B0209F"/>
    <w:rsid w:val="79C45B4A"/>
    <w:rsid w:val="7A1B3962"/>
    <w:rsid w:val="7A2111EE"/>
    <w:rsid w:val="7A2A00A3"/>
    <w:rsid w:val="7A2F56B9"/>
    <w:rsid w:val="7A623463"/>
    <w:rsid w:val="7A6D48C0"/>
    <w:rsid w:val="7A6D7F90"/>
    <w:rsid w:val="7A765096"/>
    <w:rsid w:val="7A861051"/>
    <w:rsid w:val="7A974046"/>
    <w:rsid w:val="7A9A4854"/>
    <w:rsid w:val="7AB931D5"/>
    <w:rsid w:val="7ABA14EE"/>
    <w:rsid w:val="7AC53928"/>
    <w:rsid w:val="7AC878BC"/>
    <w:rsid w:val="7ACA7190"/>
    <w:rsid w:val="7B007056"/>
    <w:rsid w:val="7B02692A"/>
    <w:rsid w:val="7B0F72C3"/>
    <w:rsid w:val="7B114DBF"/>
    <w:rsid w:val="7B2368A0"/>
    <w:rsid w:val="7B5B428C"/>
    <w:rsid w:val="7B887EC5"/>
    <w:rsid w:val="7B914152"/>
    <w:rsid w:val="7BB17EFC"/>
    <w:rsid w:val="7BB5399C"/>
    <w:rsid w:val="7BC60184"/>
    <w:rsid w:val="7BD5403F"/>
    <w:rsid w:val="7BDD2EF3"/>
    <w:rsid w:val="7BE73A8B"/>
    <w:rsid w:val="7BF471EA"/>
    <w:rsid w:val="7C011556"/>
    <w:rsid w:val="7C18217D"/>
    <w:rsid w:val="7C346F6A"/>
    <w:rsid w:val="7C3C40BE"/>
    <w:rsid w:val="7C4C3220"/>
    <w:rsid w:val="7C4F37CE"/>
    <w:rsid w:val="7C507B69"/>
    <w:rsid w:val="7C596A1E"/>
    <w:rsid w:val="7C5E2286"/>
    <w:rsid w:val="7C701FB9"/>
    <w:rsid w:val="7C817D22"/>
    <w:rsid w:val="7C857813"/>
    <w:rsid w:val="7C99506C"/>
    <w:rsid w:val="7CD24A22"/>
    <w:rsid w:val="7CEA1D6C"/>
    <w:rsid w:val="7CF61768"/>
    <w:rsid w:val="7D0C7F34"/>
    <w:rsid w:val="7D0E5A5A"/>
    <w:rsid w:val="7D2C5EE0"/>
    <w:rsid w:val="7D360B0D"/>
    <w:rsid w:val="7D406A1E"/>
    <w:rsid w:val="7D5A0C9F"/>
    <w:rsid w:val="7D637428"/>
    <w:rsid w:val="7D6F2271"/>
    <w:rsid w:val="7D741635"/>
    <w:rsid w:val="7D823D52"/>
    <w:rsid w:val="7D851A94"/>
    <w:rsid w:val="7D965A4F"/>
    <w:rsid w:val="7DA95783"/>
    <w:rsid w:val="7DB3326F"/>
    <w:rsid w:val="7DCB56F9"/>
    <w:rsid w:val="7DEB5722"/>
    <w:rsid w:val="7DF34C50"/>
    <w:rsid w:val="7E0D00F2"/>
    <w:rsid w:val="7E1846B6"/>
    <w:rsid w:val="7E1A21DD"/>
    <w:rsid w:val="7E3037AE"/>
    <w:rsid w:val="7E3A287F"/>
    <w:rsid w:val="7E486D4A"/>
    <w:rsid w:val="7E5F22E5"/>
    <w:rsid w:val="7E6B4A0B"/>
    <w:rsid w:val="7E714CEC"/>
    <w:rsid w:val="7E786F03"/>
    <w:rsid w:val="7E7C7B82"/>
    <w:rsid w:val="7E8B4E88"/>
    <w:rsid w:val="7E960CC1"/>
    <w:rsid w:val="7EA36676"/>
    <w:rsid w:val="7EB702F4"/>
    <w:rsid w:val="7ECD724F"/>
    <w:rsid w:val="7ED405DD"/>
    <w:rsid w:val="7ED625A7"/>
    <w:rsid w:val="7EED715E"/>
    <w:rsid w:val="7EFD7F37"/>
    <w:rsid w:val="7F0A2251"/>
    <w:rsid w:val="7F0D3AEF"/>
    <w:rsid w:val="7F17671C"/>
    <w:rsid w:val="7F2271E4"/>
    <w:rsid w:val="7F2D7CEE"/>
    <w:rsid w:val="7F313C82"/>
    <w:rsid w:val="7F4A61E1"/>
    <w:rsid w:val="7F544D8E"/>
    <w:rsid w:val="7F596D35"/>
    <w:rsid w:val="7F5C68C8"/>
    <w:rsid w:val="7F645E05"/>
    <w:rsid w:val="7F743B6E"/>
    <w:rsid w:val="7F8C710A"/>
    <w:rsid w:val="7F967F89"/>
    <w:rsid w:val="7F9935D5"/>
    <w:rsid w:val="7FA51F7A"/>
    <w:rsid w:val="7FB328E9"/>
    <w:rsid w:val="7FC468A4"/>
    <w:rsid w:val="7FD30895"/>
    <w:rsid w:val="7FDD1714"/>
    <w:rsid w:val="7FDD5BB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83"/>
    <w:autoRedefine/>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8"/>
    <w:autoRedefine/>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49"/>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7">
    <w:name w:val="List Number 2"/>
    <w:basedOn w:val="1"/>
    <w:autoRedefine/>
    <w:semiHidden/>
    <w:unhideWhenUsed/>
    <w:qFormat/>
    <w:uiPriority w:val="99"/>
    <w:pPr>
      <w:numPr>
        <w:ilvl w:val="0"/>
        <w:numId w:val="1"/>
      </w:numPr>
    </w:pPr>
  </w:style>
  <w:style w:type="paragraph" w:styleId="8">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9">
    <w:name w:val="toc 7"/>
    <w:basedOn w:val="1"/>
    <w:next w:val="1"/>
    <w:autoRedefine/>
    <w:unhideWhenUsed/>
    <w:qFormat/>
    <w:uiPriority w:val="39"/>
    <w:pPr>
      <w:ind w:left="1440"/>
    </w:pPr>
    <w:rPr>
      <w:rFonts w:asciiTheme="minorHAnsi" w:eastAsiaTheme="minorHAnsi"/>
      <w:sz w:val="18"/>
      <w:szCs w:val="18"/>
    </w:rPr>
  </w:style>
  <w:style w:type="paragraph" w:styleId="10">
    <w:name w:val="Normal Indent"/>
    <w:basedOn w:val="1"/>
    <w:autoRedefine/>
    <w:unhideWhenUsed/>
    <w:qFormat/>
    <w:uiPriority w:val="0"/>
    <w:pPr>
      <w:ind w:firstLine="420" w:firstLineChars="200"/>
    </w:pPr>
    <w:rPr>
      <w:rFonts w:ascii="Calibri" w:hAnsi="Calibri"/>
      <w:szCs w:val="22"/>
    </w:rPr>
  </w:style>
  <w:style w:type="paragraph" w:styleId="11">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toa heading"/>
    <w:basedOn w:val="13"/>
    <w:next w:val="13"/>
    <w:qFormat/>
    <w:uiPriority w:val="0"/>
    <w:pPr>
      <w:spacing w:before="120"/>
    </w:pPr>
    <w:rPr>
      <w:rFonts w:ascii="Cambria" w:hAnsi="Cambria"/>
      <w:sz w:val="24"/>
    </w:rPr>
  </w:style>
  <w:style w:type="paragraph" w:customStyle="1" w:styleId="1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styleId="14">
    <w:name w:val="annotation text"/>
    <w:basedOn w:val="1"/>
    <w:link w:val="46"/>
    <w:autoRedefine/>
    <w:qFormat/>
    <w:uiPriority w:val="0"/>
    <w:pPr>
      <w:spacing w:line="240" w:lineRule="auto"/>
    </w:pPr>
    <w:rPr>
      <w:rFonts w:eastAsiaTheme="minorEastAsia"/>
      <w:sz w:val="21"/>
      <w:szCs w:val="24"/>
    </w:rPr>
  </w:style>
  <w:style w:type="paragraph" w:styleId="15">
    <w:name w:val="Body Text"/>
    <w:basedOn w:val="1"/>
    <w:next w:val="1"/>
    <w:link w:val="50"/>
    <w:autoRedefine/>
    <w:qFormat/>
    <w:uiPriority w:val="99"/>
    <w:pPr>
      <w:spacing w:after="120" w:line="240" w:lineRule="auto"/>
      <w:jc w:val="both"/>
    </w:pPr>
    <w:rPr>
      <w:rFonts w:eastAsiaTheme="minorEastAsia"/>
      <w:sz w:val="21"/>
      <w:szCs w:val="24"/>
    </w:rPr>
  </w:style>
  <w:style w:type="paragraph" w:styleId="16">
    <w:name w:val="Body Text Indent"/>
    <w:basedOn w:val="1"/>
    <w:next w:val="1"/>
    <w:autoRedefine/>
    <w:unhideWhenUsed/>
    <w:qFormat/>
    <w:uiPriority w:val="0"/>
    <w:pPr>
      <w:ind w:firstLine="630"/>
    </w:pPr>
    <w:rPr>
      <w:rFonts w:eastAsia="仿宋_GB2312"/>
      <w:kern w:val="0"/>
      <w:sz w:val="32"/>
      <w:szCs w:val="20"/>
    </w:rPr>
  </w:style>
  <w:style w:type="paragraph" w:styleId="17">
    <w:name w:val="toc 5"/>
    <w:basedOn w:val="1"/>
    <w:next w:val="1"/>
    <w:autoRedefine/>
    <w:unhideWhenUsed/>
    <w:qFormat/>
    <w:uiPriority w:val="39"/>
    <w:pPr>
      <w:ind w:left="960"/>
    </w:pPr>
    <w:rPr>
      <w:rFonts w:asciiTheme="minorHAnsi" w:eastAsiaTheme="minorHAnsi"/>
      <w:sz w:val="18"/>
      <w:szCs w:val="18"/>
    </w:rPr>
  </w:style>
  <w:style w:type="paragraph" w:styleId="18">
    <w:name w:val="toc 3"/>
    <w:basedOn w:val="1"/>
    <w:next w:val="1"/>
    <w:autoRedefine/>
    <w:unhideWhenUsed/>
    <w:qFormat/>
    <w:uiPriority w:val="39"/>
    <w:pPr>
      <w:ind w:left="480"/>
    </w:pPr>
    <w:rPr>
      <w:rFonts w:asciiTheme="minorHAnsi" w:eastAsiaTheme="minorHAnsi"/>
      <w:i/>
      <w:iCs/>
      <w:sz w:val="20"/>
      <w:szCs w:val="20"/>
    </w:rPr>
  </w:style>
  <w:style w:type="paragraph" w:styleId="19">
    <w:name w:val="Plain Text"/>
    <w:basedOn w:val="1"/>
    <w:autoRedefine/>
    <w:unhideWhenUsed/>
    <w:qFormat/>
    <w:uiPriority w:val="0"/>
    <w:rPr>
      <w:rFonts w:ascii="宋体" w:hAnsi="Courier New"/>
      <w:kern w:val="0"/>
      <w:sz w:val="20"/>
      <w:szCs w:val="20"/>
    </w:rPr>
  </w:style>
  <w:style w:type="paragraph" w:styleId="20">
    <w:name w:val="toc 8"/>
    <w:basedOn w:val="1"/>
    <w:next w:val="1"/>
    <w:autoRedefine/>
    <w:unhideWhenUsed/>
    <w:qFormat/>
    <w:uiPriority w:val="39"/>
    <w:pPr>
      <w:ind w:left="1680"/>
    </w:pPr>
    <w:rPr>
      <w:rFonts w:asciiTheme="minorHAnsi" w:eastAsiaTheme="minorHAnsi"/>
      <w:sz w:val="18"/>
      <w:szCs w:val="18"/>
    </w:rPr>
  </w:style>
  <w:style w:type="paragraph" w:styleId="21">
    <w:name w:val="Body Text Indent 2"/>
    <w:basedOn w:val="1"/>
    <w:qFormat/>
    <w:uiPriority w:val="99"/>
    <w:pPr>
      <w:ind w:firstLine="480"/>
    </w:pPr>
    <w:rPr>
      <w:kern w:val="0"/>
    </w:rPr>
  </w:style>
  <w:style w:type="paragraph" w:styleId="22">
    <w:name w:val="footer"/>
    <w:basedOn w:val="1"/>
    <w:link w:val="44"/>
    <w:autoRedefine/>
    <w:unhideWhenUsed/>
    <w:qFormat/>
    <w:uiPriority w:val="99"/>
    <w:pPr>
      <w:tabs>
        <w:tab w:val="center" w:pos="4153"/>
        <w:tab w:val="right" w:pos="8306"/>
      </w:tabs>
      <w:snapToGrid w:val="0"/>
      <w:spacing w:line="240" w:lineRule="auto"/>
    </w:pPr>
    <w:rPr>
      <w:sz w:val="18"/>
      <w:szCs w:val="18"/>
    </w:rPr>
  </w:style>
  <w:style w:type="paragraph" w:styleId="23">
    <w:name w:val="header"/>
    <w:basedOn w:val="1"/>
    <w:link w:val="4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5">
    <w:name w:val="toc 4"/>
    <w:basedOn w:val="1"/>
    <w:next w:val="1"/>
    <w:autoRedefine/>
    <w:unhideWhenUsed/>
    <w:qFormat/>
    <w:uiPriority w:val="39"/>
    <w:pPr>
      <w:ind w:left="720"/>
    </w:pPr>
    <w:rPr>
      <w:rFonts w:asciiTheme="minorHAnsi" w:eastAsiaTheme="minorHAnsi"/>
      <w:sz w:val="18"/>
      <w:szCs w:val="18"/>
    </w:rPr>
  </w:style>
  <w:style w:type="paragraph" w:styleId="26">
    <w:name w:val="footnote text"/>
    <w:basedOn w:val="1"/>
    <w:qFormat/>
    <w:uiPriority w:val="0"/>
    <w:pPr>
      <w:widowControl/>
      <w:jc w:val="left"/>
    </w:pPr>
    <w:rPr>
      <w:kern w:val="0"/>
      <w:sz w:val="20"/>
      <w:szCs w:val="20"/>
      <w:lang w:val="de-DE"/>
    </w:rPr>
  </w:style>
  <w:style w:type="paragraph" w:styleId="27">
    <w:name w:val="toc 6"/>
    <w:basedOn w:val="1"/>
    <w:next w:val="1"/>
    <w:autoRedefine/>
    <w:unhideWhenUsed/>
    <w:qFormat/>
    <w:uiPriority w:val="39"/>
    <w:pPr>
      <w:ind w:left="1200"/>
    </w:pPr>
    <w:rPr>
      <w:rFonts w:asciiTheme="minorHAnsi" w:eastAsiaTheme="minorHAnsi"/>
      <w:sz w:val="18"/>
      <w:szCs w:val="18"/>
    </w:rPr>
  </w:style>
  <w:style w:type="paragraph" w:styleId="28">
    <w:name w:val="toc 2"/>
    <w:basedOn w:val="1"/>
    <w:next w:val="1"/>
    <w:autoRedefine/>
    <w:unhideWhenUsed/>
    <w:qFormat/>
    <w:uiPriority w:val="39"/>
    <w:pPr>
      <w:ind w:left="240"/>
    </w:pPr>
    <w:rPr>
      <w:rFonts w:asciiTheme="minorHAnsi" w:eastAsiaTheme="minorHAnsi"/>
      <w:smallCaps/>
      <w:sz w:val="20"/>
      <w:szCs w:val="20"/>
    </w:rPr>
  </w:style>
  <w:style w:type="paragraph" w:styleId="29">
    <w:name w:val="toc 9"/>
    <w:basedOn w:val="1"/>
    <w:next w:val="1"/>
    <w:autoRedefine/>
    <w:unhideWhenUsed/>
    <w:qFormat/>
    <w:uiPriority w:val="39"/>
    <w:pPr>
      <w:ind w:left="1920"/>
    </w:pPr>
    <w:rPr>
      <w:rFonts w:asciiTheme="minorHAnsi" w:eastAsiaTheme="minorHAnsi"/>
      <w:sz w:val="18"/>
      <w:szCs w:val="18"/>
    </w:rPr>
  </w:style>
  <w:style w:type="paragraph" w:styleId="30">
    <w:name w:val="annotation subject"/>
    <w:basedOn w:val="14"/>
    <w:next w:val="14"/>
    <w:link w:val="54"/>
    <w:autoRedefine/>
    <w:semiHidden/>
    <w:unhideWhenUsed/>
    <w:qFormat/>
    <w:uiPriority w:val="99"/>
    <w:pPr>
      <w:spacing w:line="360" w:lineRule="auto"/>
    </w:pPr>
    <w:rPr>
      <w:rFonts w:eastAsia="宋体"/>
      <w:b/>
      <w:bCs/>
      <w:sz w:val="24"/>
      <w:szCs w:val="22"/>
    </w:rPr>
  </w:style>
  <w:style w:type="paragraph" w:styleId="31">
    <w:name w:val="Body Text First Indent 2"/>
    <w:basedOn w:val="16"/>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bCs/>
    </w:rPr>
  </w:style>
  <w:style w:type="character" w:styleId="36">
    <w:name w:val="Hyperlink"/>
    <w:basedOn w:val="34"/>
    <w:autoRedefine/>
    <w:unhideWhenUsed/>
    <w:qFormat/>
    <w:uiPriority w:val="99"/>
    <w:rPr>
      <w:color w:val="0563C1" w:themeColor="hyperlink"/>
      <w:u w:val="single"/>
      <w14:textFill>
        <w14:solidFill>
          <w14:schemeClr w14:val="hlink"/>
        </w14:solidFill>
      </w14:textFill>
    </w:rPr>
  </w:style>
  <w:style w:type="character" w:styleId="37">
    <w:name w:val="annotation reference"/>
    <w:basedOn w:val="34"/>
    <w:autoRedefine/>
    <w:qFormat/>
    <w:uiPriority w:val="0"/>
    <w:rPr>
      <w:sz w:val="21"/>
      <w:szCs w:val="21"/>
    </w:rPr>
  </w:style>
  <w:style w:type="paragraph" w:customStyle="1" w:styleId="38">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3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0">
    <w:name w:val="正文缩进2"/>
    <w:basedOn w:val="1"/>
    <w:autoRedefine/>
    <w:qFormat/>
    <w:uiPriority w:val="0"/>
    <w:pPr>
      <w:wordWrap w:val="0"/>
      <w:ind w:firstLine="480"/>
    </w:pPr>
    <w:rPr>
      <w:iCs/>
      <w:shd w:val="clear" w:color="auto" w:fill="FFFFFF" w:themeFill="background1"/>
      <w:lang w:val="zh-CN"/>
    </w:rPr>
  </w:style>
  <w:style w:type="character" w:customStyle="1" w:styleId="41">
    <w:name w:val="标题 1 字符"/>
    <w:basedOn w:val="34"/>
    <w:link w:val="2"/>
    <w:autoRedefine/>
    <w:qFormat/>
    <w:uiPriority w:val="9"/>
    <w:rPr>
      <w:rFonts w:eastAsia="黑体"/>
      <w:b/>
      <w:bCs/>
      <w:kern w:val="44"/>
      <w:sz w:val="44"/>
      <w:szCs w:val="44"/>
    </w:rPr>
  </w:style>
  <w:style w:type="paragraph" w:styleId="42">
    <w:name w:val="List Paragraph"/>
    <w:basedOn w:val="1"/>
    <w:autoRedefine/>
    <w:qFormat/>
    <w:uiPriority w:val="34"/>
    <w:pPr>
      <w:numPr>
        <w:ilvl w:val="0"/>
        <w:numId w:val="2"/>
      </w:numPr>
    </w:pPr>
  </w:style>
  <w:style w:type="character" w:customStyle="1" w:styleId="43">
    <w:name w:val="页眉 字符"/>
    <w:basedOn w:val="34"/>
    <w:link w:val="23"/>
    <w:autoRedefine/>
    <w:qFormat/>
    <w:uiPriority w:val="99"/>
    <w:rPr>
      <w:rFonts w:eastAsia="宋体"/>
      <w:sz w:val="18"/>
      <w:szCs w:val="18"/>
    </w:rPr>
  </w:style>
  <w:style w:type="character" w:customStyle="1" w:styleId="44">
    <w:name w:val="页脚 字符"/>
    <w:basedOn w:val="34"/>
    <w:link w:val="22"/>
    <w:autoRedefine/>
    <w:qFormat/>
    <w:uiPriority w:val="99"/>
    <w:rPr>
      <w:rFonts w:eastAsia="宋体"/>
      <w:sz w:val="18"/>
      <w:szCs w:val="18"/>
    </w:rPr>
  </w:style>
  <w:style w:type="character" w:customStyle="1" w:styleId="45">
    <w:name w:val="标题 2 字符"/>
    <w:basedOn w:val="34"/>
    <w:link w:val="3"/>
    <w:autoRedefine/>
    <w:qFormat/>
    <w:uiPriority w:val="0"/>
    <w:rPr>
      <w:rFonts w:eastAsia="宋体" w:asciiTheme="majorHAnsi" w:hAnsiTheme="majorHAnsi" w:cstheme="majorBidi"/>
      <w:b/>
      <w:bCs/>
      <w:sz w:val="32"/>
      <w:szCs w:val="32"/>
    </w:rPr>
  </w:style>
  <w:style w:type="character" w:customStyle="1" w:styleId="46">
    <w:name w:val="批注文字 字符"/>
    <w:basedOn w:val="34"/>
    <w:link w:val="14"/>
    <w:autoRedefine/>
    <w:qFormat/>
    <w:uiPriority w:val="0"/>
    <w:rPr>
      <w:szCs w:val="24"/>
    </w:rPr>
  </w:style>
  <w:style w:type="paragraph" w:customStyle="1" w:styleId="47">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8">
    <w:name w:val="标题 3 字符"/>
    <w:basedOn w:val="34"/>
    <w:link w:val="4"/>
    <w:autoRedefine/>
    <w:qFormat/>
    <w:uiPriority w:val="9"/>
    <w:rPr>
      <w:rFonts w:eastAsia="宋体"/>
      <w:b/>
      <w:bCs/>
      <w:sz w:val="30"/>
      <w:szCs w:val="32"/>
    </w:rPr>
  </w:style>
  <w:style w:type="character" w:customStyle="1" w:styleId="49">
    <w:name w:val="标题 4 字符"/>
    <w:basedOn w:val="34"/>
    <w:link w:val="5"/>
    <w:autoRedefine/>
    <w:qFormat/>
    <w:uiPriority w:val="9"/>
    <w:rPr>
      <w:rFonts w:eastAsia="宋体" w:asciiTheme="majorHAnsi" w:hAnsiTheme="majorHAnsi" w:cstheme="majorBidi"/>
      <w:b/>
      <w:bCs/>
      <w:sz w:val="28"/>
      <w:szCs w:val="28"/>
    </w:rPr>
  </w:style>
  <w:style w:type="character" w:customStyle="1" w:styleId="50">
    <w:name w:val="正文文本 字符"/>
    <w:basedOn w:val="34"/>
    <w:link w:val="15"/>
    <w:autoRedefine/>
    <w:qFormat/>
    <w:uiPriority w:val="99"/>
    <w:rPr>
      <w:szCs w:val="24"/>
    </w:rPr>
  </w:style>
  <w:style w:type="paragraph" w:customStyle="1" w:styleId="51">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52">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53">
    <w:name w:val="未处理的提及1"/>
    <w:basedOn w:val="34"/>
    <w:autoRedefine/>
    <w:semiHidden/>
    <w:unhideWhenUsed/>
    <w:qFormat/>
    <w:uiPriority w:val="99"/>
    <w:rPr>
      <w:color w:val="605E5C"/>
      <w:shd w:val="clear" w:color="auto" w:fill="E1DFDD"/>
    </w:rPr>
  </w:style>
  <w:style w:type="character" w:customStyle="1" w:styleId="54">
    <w:name w:val="批注主题 字符"/>
    <w:basedOn w:val="46"/>
    <w:link w:val="30"/>
    <w:autoRedefine/>
    <w:semiHidden/>
    <w:qFormat/>
    <w:uiPriority w:val="99"/>
    <w:rPr>
      <w:rFonts w:ascii="宋体" w:hAnsi="宋体" w:cstheme="minorBidi"/>
      <w:b/>
      <w:bCs/>
      <w:kern w:val="2"/>
      <w:sz w:val="24"/>
      <w:szCs w:val="22"/>
    </w:rPr>
  </w:style>
  <w:style w:type="character" w:customStyle="1" w:styleId="55">
    <w:name w:val="未处理的提及2"/>
    <w:basedOn w:val="34"/>
    <w:autoRedefine/>
    <w:semiHidden/>
    <w:unhideWhenUsed/>
    <w:qFormat/>
    <w:uiPriority w:val="99"/>
    <w:rPr>
      <w:color w:val="605E5C"/>
      <w:shd w:val="clear" w:color="auto" w:fill="E1DFDD"/>
    </w:rPr>
  </w:style>
  <w:style w:type="paragraph" w:customStyle="1" w:styleId="56">
    <w:name w:val="正文_2"/>
    <w:autoRedefine/>
    <w:qFormat/>
    <w:uiPriority w:val="0"/>
    <w:pPr>
      <w:widowControl w:val="0"/>
      <w:jc w:val="both"/>
    </w:pPr>
    <w:rPr>
      <w:rFonts w:ascii="Calibri" w:hAnsi="Calibri" w:eastAsia="宋体" w:cs="Times New Roman"/>
      <w:lang w:val="en-US" w:eastAsia="zh-CN" w:bidi="ar-SA"/>
    </w:rPr>
  </w:style>
  <w:style w:type="paragraph" w:customStyle="1" w:styleId="57">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
    <w:basedOn w:val="58"/>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60">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61">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2">
    <w:name w:val="Normal Indent1"/>
    <w:basedOn w:val="1"/>
    <w:autoRedefine/>
    <w:qFormat/>
    <w:uiPriority w:val="0"/>
    <w:pPr>
      <w:ind w:firstLine="420" w:firstLineChars="200"/>
    </w:pPr>
  </w:style>
  <w:style w:type="paragraph" w:customStyle="1" w:styleId="63">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4">
    <w:name w:val="Normal_22"/>
    <w:autoRedefine/>
    <w:qFormat/>
    <w:uiPriority w:val="0"/>
    <w:rPr>
      <w:rFonts w:ascii="Times New Roman" w:hAnsi="Times New Roman" w:eastAsia="Times New Roman" w:cs="Times New Roman"/>
      <w:sz w:val="24"/>
      <w:szCs w:val="24"/>
      <w:lang w:bidi="ar-SA"/>
    </w:rPr>
  </w:style>
  <w:style w:type="paragraph" w:customStyle="1" w:styleId="6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正文_0_0_0 Char"/>
    <w:link w:val="67"/>
    <w:autoRedefine/>
    <w:qFormat/>
    <w:locked/>
    <w:uiPriority w:val="0"/>
    <w:rPr>
      <w:rFonts w:ascii="Calibri" w:hAnsi="Calibri" w:cs="Calibri"/>
      <w:kern w:val="2"/>
      <w:sz w:val="28"/>
      <w:szCs w:val="22"/>
      <w:lang w:val="en-US" w:eastAsia="zh-CN" w:bidi="ar-SA"/>
    </w:rPr>
  </w:style>
  <w:style w:type="paragraph" w:customStyle="1" w:styleId="67">
    <w:name w:val="正文_0_0_0_0_0"/>
    <w:link w:val="66"/>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8">
    <w:name w:val="正文文本_0_1"/>
    <w:basedOn w:val="69"/>
    <w:autoRedefine/>
    <w:qFormat/>
    <w:uiPriority w:val="99"/>
    <w:pPr>
      <w:spacing w:after="120"/>
    </w:pPr>
    <w:rPr>
      <w:rFonts w:ascii="Calibri" w:hAnsi="Calibri" w:eastAsia="宋体"/>
      <w:kern w:val="0"/>
      <w:sz w:val="24"/>
      <w:szCs w:val="20"/>
    </w:rPr>
  </w:style>
  <w:style w:type="paragraph" w:customStyle="1" w:styleId="69">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Table Paragraph_1"/>
    <w:basedOn w:val="69"/>
    <w:autoRedefine/>
    <w:qFormat/>
    <w:uiPriority w:val="0"/>
    <w:pPr>
      <w:jc w:val="left"/>
    </w:pPr>
    <w:rPr>
      <w:rFonts w:ascii="Calibri" w:hAnsi="Calibri" w:eastAsia="宋体"/>
      <w:kern w:val="0"/>
      <w:sz w:val="22"/>
      <w:lang w:eastAsia="en-US"/>
    </w:rPr>
  </w:style>
  <w:style w:type="paragraph" w:customStyle="1" w:styleId="71">
    <w:name w:val="正文1"/>
    <w:autoRedefine/>
    <w:qFormat/>
    <w:uiPriority w:val="0"/>
    <w:pPr>
      <w:widowControl w:val="0"/>
      <w:jc w:val="both"/>
    </w:pPr>
    <w:rPr>
      <w:rFonts w:ascii="Calibri" w:hAnsi="Calibri" w:eastAsia="宋体" w:cs="Times New Roman"/>
      <w:lang w:val="en-US" w:eastAsia="zh-CN" w:bidi="ar-SA"/>
    </w:rPr>
  </w:style>
  <w:style w:type="paragraph" w:customStyle="1" w:styleId="72">
    <w:name w:val="列出段落1"/>
    <w:basedOn w:val="1"/>
    <w:autoRedefine/>
    <w:qFormat/>
    <w:uiPriority w:val="0"/>
    <w:pPr>
      <w:ind w:firstLine="420" w:firstLineChars="200"/>
    </w:pPr>
    <w:rPr>
      <w:szCs w:val="21"/>
    </w:rPr>
  </w:style>
  <w:style w:type="paragraph" w:customStyle="1" w:styleId="7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4">
    <w:name w:val="正文2"/>
    <w:basedOn w:val="1"/>
    <w:qFormat/>
    <w:uiPriority w:val="0"/>
    <w:pPr>
      <w:spacing w:before="156" w:line="360" w:lineRule="auto"/>
      <w:ind w:firstLine="510" w:firstLineChars="200"/>
    </w:pPr>
    <w:rPr>
      <w:sz w:val="24"/>
      <w:szCs w:val="20"/>
    </w:rPr>
  </w:style>
  <w:style w:type="paragraph" w:customStyle="1" w:styleId="75">
    <w:name w:val="Char Char Char Char Char Char Char1 Char"/>
    <w:basedOn w:val="1"/>
    <w:autoRedefine/>
    <w:qFormat/>
    <w:uiPriority w:val="0"/>
    <w:rPr>
      <w:rFonts w:ascii="Arial" w:hAnsi="Arial" w:eastAsia="宋体" w:cs="Arial"/>
      <w:sz w:val="24"/>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77">
    <w:name w:val="Table Text"/>
    <w:basedOn w:val="1"/>
    <w:autoRedefine/>
    <w:semiHidden/>
    <w:qFormat/>
    <w:uiPriority w:val="0"/>
    <w:rPr>
      <w:rFonts w:ascii="宋体" w:hAnsi="宋体" w:eastAsia="宋体" w:cs="宋体"/>
      <w:sz w:val="24"/>
      <w:szCs w:val="24"/>
      <w:lang w:val="en-US" w:eastAsia="en-US" w:bidi="ar-SA"/>
    </w:rPr>
  </w:style>
  <w:style w:type="table" w:customStyle="1" w:styleId="78">
    <w:name w:val="Table Normal"/>
    <w:semiHidden/>
    <w:unhideWhenUsed/>
    <w:qFormat/>
    <w:uiPriority w:val="0"/>
    <w:tblPr>
      <w:tblCellMar>
        <w:top w:w="0" w:type="dxa"/>
        <w:left w:w="0" w:type="dxa"/>
        <w:bottom w:w="0" w:type="dxa"/>
        <w:right w:w="0" w:type="dxa"/>
      </w:tblCellMar>
    </w:tblPr>
  </w:style>
  <w:style w:type="paragraph" w:customStyle="1" w:styleId="7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8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1">
    <w:name w:val="NormalIndent"/>
    <w:basedOn w:val="1"/>
    <w:qFormat/>
    <w:uiPriority w:val="0"/>
    <w:pPr>
      <w:ind w:firstLine="420"/>
      <w:jc w:val="left"/>
    </w:pPr>
    <w:rPr>
      <w:rFonts w:ascii="宋体" w:hAnsi="Calibri"/>
      <w:kern w:val="0"/>
      <w:sz w:val="24"/>
      <w:szCs w:val="20"/>
    </w:rPr>
  </w:style>
  <w:style w:type="paragraph" w:customStyle="1" w:styleId="82">
    <w:name w:val="表名称"/>
    <w:basedOn w:val="10"/>
    <w:qFormat/>
    <w:uiPriority w:val="0"/>
    <w:pPr>
      <w:numPr>
        <w:ilvl w:val="0"/>
        <w:numId w:val="3"/>
      </w:numPr>
      <w:ind w:firstLine="0" w:firstLineChars="0"/>
      <w:jc w:val="center"/>
    </w:pPr>
  </w:style>
  <w:style w:type="character" w:customStyle="1" w:styleId="83">
    <w:name w:val="标题 1 Char"/>
    <w:link w:val="2"/>
    <w:qFormat/>
    <w:uiPriority w:val="0"/>
    <w:rPr>
      <w:b/>
    </w:rPr>
  </w:style>
  <w:style w:type="paragraph" w:customStyle="1" w:styleId="84">
    <w:name w:val="_Style 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25333</Words>
  <Characters>27038</Characters>
  <Lines>328</Lines>
  <Paragraphs>92</Paragraphs>
  <TotalTime>24</TotalTime>
  <ScaleCrop>false</ScaleCrop>
  <LinksUpToDate>false</LinksUpToDate>
  <CharactersWithSpaces>27715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NTKO</cp:lastModifiedBy>
  <cp:lastPrinted>2024-12-30T05:43:00Z</cp:lastPrinted>
  <dcterms:modified xsi:type="dcterms:W3CDTF">2025-07-17T09:32:54Z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9A0B2F475B61424CA17BF9551DC95E75_13</vt:lpwstr>
  </property>
  <property fmtid="{D5CDD505-2E9C-101B-9397-08002B2CF9AE}" pid="4" name="KSOTemplateDocerSaveRecord">
    <vt:lpwstr>eyJoZGlkIjoiYWM2ZjE4NmJhZWZjNWFhMGJkZTE1NTI5N2Q4NTE0YTgiLCJ1c2VySWQiOiIyNTg3Mzg1NDMifQ==</vt:lpwstr>
  </property>
</Properties>
</file>