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E50E8">
      <w:pPr>
        <w:rPr>
          <w:rFonts w:hint="eastAsia" w:ascii="黑体" w:hAnsi="黑体" w:eastAsia="黑体"/>
          <w:color w:val="auto"/>
          <w:sz w:val="32"/>
          <w:szCs w:val="32"/>
          <w:highlight w:val="none"/>
          <w:lang w:eastAsia="zh-CN"/>
        </w:rPr>
      </w:pPr>
    </w:p>
    <w:p w14:paraId="7E039B8B">
      <w:pPr>
        <w:jc w:val="center"/>
        <w:rPr>
          <w:rFonts w:hint="eastAsia" w:ascii="黑体" w:hAnsi="黑体" w:eastAsia="黑体"/>
          <w:color w:val="auto"/>
          <w:spacing w:val="5760"/>
          <w:w w:val="100"/>
          <w:kern w:val="0"/>
          <w:sz w:val="36"/>
          <w:szCs w:val="36"/>
          <w:highlight w:val="none"/>
          <w:fitText w:val="6120" w:id="-1002138880"/>
          <w:lang w:val="en-US" w:eastAsia="zh-CN"/>
        </w:rPr>
      </w:pPr>
    </w:p>
    <w:p w14:paraId="5DC44D9A">
      <w:pPr>
        <w:jc w:val="center"/>
        <w:rPr>
          <w:rFonts w:hint="eastAsia" w:ascii="宋体" w:hAnsi="宋体" w:eastAsia="宋体" w:cs="宋体"/>
          <w:b/>
          <w:bCs/>
          <w:color w:val="auto"/>
          <w:sz w:val="60"/>
          <w:szCs w:val="60"/>
          <w:highlight w:val="none"/>
          <w:lang w:eastAsia="zh-CN"/>
        </w:rPr>
      </w:pPr>
      <w:bookmarkStart w:id="0" w:name="_Hlk164181180"/>
      <w:r>
        <w:rPr>
          <w:rFonts w:hint="eastAsia" w:cs="宋体"/>
          <w:b/>
          <w:bCs/>
          <w:color w:val="auto"/>
          <w:sz w:val="60"/>
          <w:szCs w:val="60"/>
          <w:highlight w:val="none"/>
          <w:lang w:eastAsia="zh-CN"/>
        </w:rPr>
        <w:t>乌鲁木齐市米东区中医医院采购家具家电项目</w:t>
      </w:r>
    </w:p>
    <w:bookmarkEnd w:id="0"/>
    <w:p w14:paraId="7757DFAA">
      <w:pPr>
        <w:spacing w:line="240" w:lineRule="auto"/>
        <w:jc w:val="center"/>
        <w:rPr>
          <w:rFonts w:ascii="黑体" w:hAnsi="黑体" w:eastAsia="黑体"/>
          <w:color w:val="auto"/>
          <w:sz w:val="52"/>
          <w:szCs w:val="52"/>
          <w:highlight w:val="none"/>
        </w:rPr>
      </w:pPr>
    </w:p>
    <w:p w14:paraId="67E856E7">
      <w:pPr>
        <w:spacing w:line="240" w:lineRule="auto"/>
        <w:jc w:val="center"/>
        <w:rPr>
          <w:rFonts w:ascii="黑体" w:hAnsi="黑体" w:eastAsia="黑体"/>
          <w:color w:val="auto"/>
          <w:sz w:val="52"/>
          <w:szCs w:val="52"/>
          <w:highlight w:val="none"/>
        </w:rPr>
      </w:pPr>
    </w:p>
    <w:p w14:paraId="6E97F6A4">
      <w:pPr>
        <w:spacing w:line="240" w:lineRule="auto"/>
        <w:jc w:val="center"/>
        <w:rPr>
          <w:rFonts w:ascii="黑体" w:hAnsi="黑体" w:eastAsia="黑体"/>
          <w:color w:val="auto"/>
          <w:sz w:val="52"/>
          <w:szCs w:val="52"/>
          <w:highlight w:val="none"/>
        </w:rPr>
      </w:pPr>
    </w:p>
    <w:p w14:paraId="0F88ECF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：WTHH-ZB2025132</w:t>
      </w:r>
    </w:p>
    <w:p w14:paraId="0F84FA94">
      <w:pPr>
        <w:ind w:left="420" w:leftChars="175"/>
        <w:rPr>
          <w:rFonts w:hint="eastAsia" w:ascii="宋体" w:hAnsi="宋体" w:eastAsia="宋体" w:cs="宋体"/>
          <w:color w:val="auto"/>
          <w:sz w:val="36"/>
          <w:szCs w:val="36"/>
          <w:highlight w:val="none"/>
          <w:u w:val="none"/>
        </w:rPr>
      </w:pPr>
      <w:r>
        <w:rPr>
          <w:rFonts w:hint="eastAsia" w:ascii="宋体" w:hAnsi="宋体" w:eastAsia="宋体" w:cs="宋体"/>
          <w:color w:val="auto"/>
          <w:sz w:val="36"/>
          <w:szCs w:val="36"/>
          <w:highlight w:val="none"/>
        </w:rPr>
        <w:t>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购</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none"/>
        </w:rPr>
        <w:t xml:space="preserve">乌鲁木齐市米东区中医医院  </w:t>
      </w:r>
    </w:p>
    <w:p w14:paraId="4B180FDF">
      <w:pPr>
        <w:ind w:left="420" w:leftChars="175"/>
        <w:rPr>
          <w:rFonts w:hint="eastAsia" w:ascii="宋体" w:hAnsi="宋体" w:eastAsia="宋体" w:cs="宋体"/>
          <w:color w:val="auto"/>
          <w:sz w:val="36"/>
          <w:szCs w:val="36"/>
          <w:highlight w:val="none"/>
          <w:u w:val="none"/>
        </w:rPr>
      </w:pPr>
      <w:r>
        <w:rPr>
          <w:rFonts w:hint="eastAsia" w:ascii="宋体" w:hAnsi="宋体" w:eastAsia="宋体" w:cs="宋体"/>
          <w:color w:val="auto"/>
          <w:sz w:val="36"/>
          <w:szCs w:val="36"/>
          <w:highlight w:val="none"/>
        </w:rPr>
        <w:t>采购代理机构：</w:t>
      </w:r>
      <w:r>
        <w:rPr>
          <w:rFonts w:hint="eastAsia" w:ascii="宋体" w:hAnsi="宋体" w:eastAsia="宋体" w:cs="宋体"/>
          <w:color w:val="auto"/>
          <w:sz w:val="36"/>
          <w:szCs w:val="36"/>
          <w:highlight w:val="none"/>
          <w:u w:val="none"/>
        </w:rPr>
        <w:t xml:space="preserve">新疆沃图恒辉建设工程项目管理有限公司 </w:t>
      </w:r>
    </w:p>
    <w:p w14:paraId="2C93F193">
      <w:pPr>
        <w:rPr>
          <w:rFonts w:ascii="黑体" w:hAnsi="黑体" w:eastAsia="黑体"/>
          <w:color w:val="auto"/>
          <w:highlight w:val="none"/>
        </w:rPr>
      </w:pPr>
    </w:p>
    <w:p w14:paraId="320C1BF6">
      <w:pPr>
        <w:ind w:left="420" w:leftChars="175" w:firstLine="640" w:firstLineChars="20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 xml:space="preserve"> </w:t>
      </w:r>
      <w:r>
        <w:rPr>
          <w:rFonts w:ascii="黑体" w:hAnsi="黑体" w:eastAsia="黑体"/>
          <w:color w:val="auto"/>
          <w:sz w:val="32"/>
          <w:szCs w:val="32"/>
          <w:highlight w:val="none"/>
        </w:rPr>
        <w:t xml:space="preserve">   </w:t>
      </w:r>
    </w:p>
    <w:p w14:paraId="3B2CDAF9">
      <w:pPr>
        <w:jc w:val="center"/>
        <w:rPr>
          <w:rFonts w:hint="eastAsia" w:ascii="黑体" w:hAnsi="黑体" w:eastAsia="黑体"/>
          <w:color w:val="auto"/>
          <w:sz w:val="48"/>
          <w:szCs w:val="48"/>
          <w:highlight w:val="none"/>
        </w:rPr>
      </w:pPr>
    </w:p>
    <w:p w14:paraId="309B13BD">
      <w:pPr>
        <w:jc w:val="center"/>
        <w:rPr>
          <w:rFonts w:hint="eastAsia" w:ascii="黑体" w:hAnsi="黑体" w:eastAsia="黑体"/>
          <w:color w:val="auto"/>
          <w:sz w:val="48"/>
          <w:szCs w:val="48"/>
          <w:highlight w:val="none"/>
        </w:rPr>
      </w:pPr>
    </w:p>
    <w:p w14:paraId="67540CEC">
      <w:pPr>
        <w:jc w:val="center"/>
        <w:rPr>
          <w:rFonts w:hint="eastAsia" w:ascii="黑体" w:hAnsi="黑体" w:eastAsia="黑体"/>
          <w:color w:val="auto"/>
          <w:sz w:val="48"/>
          <w:szCs w:val="48"/>
          <w:highlight w:val="none"/>
        </w:rPr>
      </w:pPr>
    </w:p>
    <w:p w14:paraId="0BD23774">
      <w:pPr>
        <w:jc w:val="center"/>
        <w:rPr>
          <w:rFonts w:hint="eastAsia" w:ascii="黑体" w:hAnsi="黑体" w:eastAsia="黑体"/>
          <w:color w:val="auto"/>
          <w:sz w:val="48"/>
          <w:szCs w:val="48"/>
          <w:highlight w:val="none"/>
        </w:rPr>
      </w:pPr>
    </w:p>
    <w:p w14:paraId="7756ACDC">
      <w:pPr>
        <w:pStyle w:val="35"/>
        <w:rPr>
          <w:rFonts w:hint="eastAsia" w:ascii="黑体" w:hAnsi="黑体" w:eastAsia="黑体"/>
          <w:color w:val="auto"/>
          <w:sz w:val="72"/>
          <w:szCs w:val="72"/>
          <w:highlight w:val="none"/>
        </w:rPr>
      </w:pPr>
    </w:p>
    <w:p w14:paraId="59D6EE7B">
      <w:pPr>
        <w:pStyle w:val="35"/>
        <w:rPr>
          <w:rFonts w:hint="eastAsia" w:ascii="黑体" w:hAnsi="黑体" w:eastAsia="黑体"/>
          <w:color w:val="auto"/>
          <w:sz w:val="72"/>
          <w:szCs w:val="72"/>
          <w:highlight w:val="none"/>
        </w:rPr>
        <w:sectPr>
          <w:pgSz w:w="11906" w:h="16838"/>
          <w:pgMar w:top="1440" w:right="1800" w:bottom="1440" w:left="1800" w:header="851" w:footer="879" w:gutter="0"/>
          <w:pgBorders>
            <w:top w:val="none" w:sz="0" w:space="0"/>
            <w:left w:val="none" w:sz="0" w:space="0"/>
            <w:bottom w:val="none" w:sz="0" w:space="0"/>
            <w:right w:val="none" w:sz="0" w:space="0"/>
          </w:pgBorders>
          <w:cols w:space="0" w:num="1"/>
          <w:rtlGutter w:val="0"/>
          <w:docGrid w:type="lines" w:linePitch="312" w:charSpace="0"/>
        </w:sectPr>
      </w:pPr>
    </w:p>
    <w:p w14:paraId="2E6E0FD2">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 xml:space="preserve">目 </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60DD7834">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"1-4" \h \z \u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_Toc16718 </w:instrText>
      </w:r>
      <w:r>
        <w:rPr>
          <w:rFonts w:hint="eastAsia" w:ascii="宋体" w:hAnsi="宋体" w:eastAsia="宋体" w:cs="宋体"/>
          <w:sz w:val="28"/>
          <w:szCs w:val="28"/>
          <w:highlight w:val="none"/>
        </w:rPr>
        <w:fldChar w:fldCharType="separate"/>
      </w:r>
      <w:r>
        <w:rPr>
          <w:rFonts w:hint="eastAsia" w:ascii="宋体" w:hAnsi="宋体" w:eastAsia="宋体" w:cs="宋体"/>
          <w:bCs/>
          <w:kern w:val="44"/>
          <w:sz w:val="28"/>
          <w:szCs w:val="28"/>
          <w:highlight w:val="none"/>
          <w:lang w:val="en-US" w:eastAsia="zh-CN" w:bidi="ar-SA"/>
        </w:rPr>
        <w:t xml:space="preserve">第一章 </w:t>
      </w:r>
      <w:r>
        <w:rPr>
          <w:rFonts w:hint="eastAsia" w:ascii="宋体" w:hAnsi="宋体" w:eastAsia="宋体" w:cs="宋体"/>
          <w:sz w:val="28"/>
          <w:szCs w:val="28"/>
          <w:highlight w:val="none"/>
          <w:lang w:val="en-US" w:eastAsia="zh-CN"/>
        </w:rPr>
        <w:t>招标公告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_Toc16718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- 1 -</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36E22E46">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_Toc6667 </w:instrText>
      </w:r>
      <w:r>
        <w:rPr>
          <w:rFonts w:hint="eastAsia" w:ascii="宋体" w:hAnsi="宋体" w:eastAsia="宋体" w:cs="宋体"/>
          <w:sz w:val="28"/>
          <w:szCs w:val="28"/>
          <w:highlight w:val="none"/>
        </w:rPr>
        <w:fldChar w:fldCharType="separate"/>
      </w:r>
      <w:r>
        <w:rPr>
          <w:rFonts w:hint="eastAsia" w:ascii="宋体" w:hAnsi="宋体" w:eastAsia="宋体" w:cs="宋体"/>
          <w:bCs/>
          <w:kern w:val="44"/>
          <w:sz w:val="28"/>
          <w:szCs w:val="28"/>
          <w:highlight w:val="none"/>
          <w:lang w:val="en-US" w:eastAsia="zh-CN" w:bidi="ar-SA"/>
        </w:rPr>
        <w:t>第二章 投标人须知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_Toc6667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- 4 -</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50A8272E">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_Toc18413 </w:instrText>
      </w:r>
      <w:r>
        <w:rPr>
          <w:rFonts w:hint="eastAsia" w:ascii="宋体" w:hAnsi="宋体" w:eastAsia="宋体" w:cs="宋体"/>
          <w:sz w:val="28"/>
          <w:szCs w:val="28"/>
          <w:highlight w:val="none"/>
        </w:rPr>
        <w:fldChar w:fldCharType="separate"/>
      </w:r>
      <w:r>
        <w:rPr>
          <w:rFonts w:hint="eastAsia" w:ascii="宋体" w:hAnsi="宋体" w:eastAsia="宋体" w:cs="宋体"/>
          <w:bCs/>
          <w:kern w:val="44"/>
          <w:sz w:val="28"/>
          <w:szCs w:val="28"/>
          <w:highlight w:val="none"/>
          <w:lang w:val="en-US" w:eastAsia="zh-CN" w:bidi="ar-SA"/>
        </w:rPr>
        <w:t>第三章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_Toc18413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- 37 -</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0D741226">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_Toc16160 </w:instrText>
      </w:r>
      <w:r>
        <w:rPr>
          <w:rFonts w:hint="eastAsia" w:ascii="宋体" w:hAnsi="宋体" w:eastAsia="宋体" w:cs="宋体"/>
          <w:sz w:val="28"/>
          <w:szCs w:val="28"/>
          <w:highlight w:val="none"/>
        </w:rPr>
        <w:fldChar w:fldCharType="separate"/>
      </w:r>
      <w:r>
        <w:rPr>
          <w:rFonts w:hint="eastAsia" w:ascii="宋体" w:hAnsi="宋体" w:eastAsia="宋体" w:cs="宋体"/>
          <w:bCs/>
          <w:kern w:val="44"/>
          <w:sz w:val="28"/>
          <w:szCs w:val="28"/>
          <w:highlight w:val="none"/>
          <w:lang w:val="en-US" w:eastAsia="zh-CN" w:bidi="ar-SA"/>
        </w:rPr>
        <w:t>第四章 资格审查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_Toc16160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- 38 -</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3AD93490">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_Toc22582 </w:instrText>
      </w:r>
      <w:r>
        <w:rPr>
          <w:rFonts w:hint="eastAsia" w:ascii="宋体" w:hAnsi="宋体" w:eastAsia="宋体" w:cs="宋体"/>
          <w:sz w:val="28"/>
          <w:szCs w:val="28"/>
          <w:highlight w:val="none"/>
        </w:rPr>
        <w:fldChar w:fldCharType="separate"/>
      </w:r>
      <w:r>
        <w:rPr>
          <w:rFonts w:hint="eastAsia" w:ascii="宋体" w:hAnsi="宋体" w:eastAsia="宋体" w:cs="宋体"/>
          <w:bCs/>
          <w:kern w:val="44"/>
          <w:sz w:val="28"/>
          <w:szCs w:val="28"/>
          <w:highlight w:val="none"/>
          <w:lang w:val="en-US" w:eastAsia="zh-CN" w:bidi="ar-SA"/>
        </w:rPr>
        <w:t>第五章 评标方法及标准</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_Toc22582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- 41 -</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0007F0BE">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_Toc24636 </w:instrText>
      </w:r>
      <w:r>
        <w:rPr>
          <w:rFonts w:hint="eastAsia" w:ascii="宋体" w:hAnsi="宋体" w:eastAsia="宋体" w:cs="宋体"/>
          <w:sz w:val="28"/>
          <w:szCs w:val="28"/>
          <w:highlight w:val="none"/>
        </w:rPr>
        <w:fldChar w:fldCharType="separate"/>
      </w:r>
      <w:r>
        <w:rPr>
          <w:rFonts w:hint="eastAsia" w:ascii="宋体" w:hAnsi="宋体" w:eastAsia="宋体" w:cs="宋体"/>
          <w:bCs/>
          <w:kern w:val="44"/>
          <w:sz w:val="28"/>
          <w:szCs w:val="28"/>
          <w:highlight w:val="none"/>
          <w:lang w:val="zh-CN" w:eastAsia="zh-CN" w:bidi="ar-SA"/>
        </w:rPr>
        <w:t>第六章 合同</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_Toc24636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51</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09259C59">
      <w:pPr>
        <w:pStyle w:val="21"/>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_Toc5888 </w:instrText>
      </w:r>
      <w:r>
        <w:rPr>
          <w:rFonts w:hint="eastAsia" w:ascii="宋体" w:hAnsi="宋体" w:eastAsia="宋体" w:cs="宋体"/>
          <w:sz w:val="28"/>
          <w:szCs w:val="28"/>
          <w:highlight w:val="none"/>
        </w:rPr>
        <w:fldChar w:fldCharType="separate"/>
      </w:r>
      <w:r>
        <w:rPr>
          <w:rFonts w:hint="eastAsia" w:ascii="宋体" w:hAnsi="宋体" w:eastAsia="宋体" w:cs="宋体"/>
          <w:bCs/>
          <w:kern w:val="44"/>
          <w:sz w:val="28"/>
          <w:szCs w:val="28"/>
          <w:highlight w:val="none"/>
          <w:lang w:val="en-US" w:eastAsia="zh-CN" w:bidi="ar-SA"/>
        </w:rPr>
        <w:t>第七章 投标文件格式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_Toc5888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- 64 -</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26945E2F">
      <w:pPr>
        <w:pStyle w:val="25"/>
        <w:keepNext w:val="0"/>
        <w:keepLines w:val="0"/>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none"/>
        </w:rPr>
      </w:pPr>
    </w:p>
    <w:p w14:paraId="0DD905CE">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end"/>
      </w:r>
    </w:p>
    <w:p w14:paraId="464AFCF2">
      <w:pPr>
        <w:spacing w:line="360" w:lineRule="auto"/>
        <w:jc w:val="center"/>
        <w:outlineLvl w:val="1"/>
        <w:rPr>
          <w:rFonts w:hint="eastAsia" w:ascii="宋体" w:hAnsi="宋体" w:eastAsia="宋体" w:cs="宋体"/>
          <w:b/>
          <w:bCs/>
          <w:color w:val="auto"/>
          <w:sz w:val="24"/>
          <w:szCs w:val="24"/>
          <w:highlight w:val="none"/>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9DD1FCB">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color w:val="auto"/>
          <w:sz w:val="36"/>
          <w:szCs w:val="36"/>
          <w:highlight w:val="none"/>
          <w:lang w:val="en-US" w:eastAsia="zh-CN"/>
        </w:rPr>
      </w:pPr>
      <w:bookmarkStart w:id="1" w:name="_Toc155185859"/>
      <w:bookmarkStart w:id="2" w:name="_Toc16718"/>
      <w:r>
        <w:rPr>
          <w:rFonts w:hint="eastAsia" w:ascii="宋体" w:hAnsi="宋体" w:eastAsia="宋体" w:cs="宋体"/>
          <w:b/>
          <w:bCs/>
          <w:color w:val="auto"/>
          <w:kern w:val="44"/>
          <w:sz w:val="36"/>
          <w:szCs w:val="36"/>
          <w:highlight w:val="none"/>
          <w:lang w:val="en-US" w:eastAsia="zh-CN" w:bidi="ar-SA"/>
        </w:rPr>
        <w:t xml:space="preserve">第一章 </w:t>
      </w:r>
      <w:bookmarkEnd w:id="1"/>
      <w:bookmarkStart w:id="3" w:name="_Hlk130458318"/>
      <w:r>
        <w:rPr>
          <w:rFonts w:hint="eastAsia" w:ascii="宋体" w:hAnsi="宋体" w:eastAsia="宋体" w:cs="宋体"/>
          <w:color w:val="auto"/>
          <w:sz w:val="36"/>
          <w:szCs w:val="36"/>
          <w:highlight w:val="none"/>
          <w:lang w:val="en-US" w:eastAsia="zh-CN"/>
        </w:rPr>
        <w:t>招标公告</w:t>
      </w:r>
      <w:bookmarkEnd w:id="2"/>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756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4682E00">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textAlignment w:val="auto"/>
              <w:rPr>
                <w:rFonts w:hint="eastAsia"/>
                <w:color w:val="auto"/>
                <w:sz w:val="24"/>
                <w:szCs w:val="24"/>
                <w:highlight w:val="none"/>
                <w:lang w:val="en-US" w:eastAsia="zh-CN"/>
              </w:rPr>
            </w:pPr>
            <w:bookmarkStart w:id="4" w:name="_Toc23233"/>
            <w:bookmarkStart w:id="5" w:name="_Toc8264"/>
            <w:bookmarkStart w:id="6" w:name="_Toc21773"/>
            <w:bookmarkStart w:id="7" w:name="_Toc35393629"/>
            <w:bookmarkStart w:id="8" w:name="_Toc140132745"/>
            <w:bookmarkStart w:id="9" w:name="_Toc28359012"/>
            <w:bookmarkStart w:id="10" w:name="_Toc155185860"/>
            <w:bookmarkStart w:id="11" w:name="_Toc109899829"/>
            <w:bookmarkStart w:id="12" w:name="_Toc109900248"/>
            <w:bookmarkStart w:id="13" w:name="_Toc28359089"/>
            <w:bookmarkStart w:id="14" w:name="_Toc109899410"/>
            <w:bookmarkStart w:id="15" w:name="_Toc44583628"/>
            <w:bookmarkStart w:id="16" w:name="_Toc35393798"/>
            <w:r>
              <w:rPr>
                <w:rFonts w:hint="eastAsia"/>
                <w:color w:val="auto"/>
                <w:sz w:val="24"/>
                <w:szCs w:val="24"/>
                <w:highlight w:val="none"/>
                <w:lang w:val="en-US" w:eastAsia="zh-CN"/>
              </w:rPr>
              <w:t>项目概况：</w:t>
            </w:r>
            <w:bookmarkEnd w:id="4"/>
            <w:bookmarkEnd w:id="5"/>
            <w:bookmarkEnd w:id="6"/>
          </w:p>
          <w:p w14:paraId="2852FE91">
            <w:pPr>
              <w:spacing w:line="360" w:lineRule="auto"/>
              <w:ind w:firstLine="480" w:firstLineChars="200"/>
              <w:rPr>
                <w:rFonts w:hint="default"/>
                <w:color w:val="auto"/>
                <w:highlight w:val="none"/>
                <w:lang w:val="en-US" w:eastAsia="zh-CN"/>
              </w:rPr>
            </w:pP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 xml:space="preserve"> </w:t>
            </w:r>
            <w:r>
              <w:rPr>
                <w:rFonts w:hint="eastAsia" w:cstheme="minorBidi"/>
                <w:iCs/>
                <w:color w:val="auto"/>
                <w:kern w:val="2"/>
                <w:sz w:val="24"/>
                <w:szCs w:val="24"/>
                <w:highlight w:val="none"/>
                <w:u w:val="single"/>
                <w:shd w:val="clear" w:color="auto" w:fill="FFFFFF" w:themeFill="background1"/>
                <w:lang w:val="hr-HR" w:eastAsia="zh-CN" w:bidi="ar-SA"/>
              </w:rPr>
              <w:t>乌鲁木齐市米东区中医医院采购家具家电项目</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 xml:space="preserve"> </w:t>
            </w:r>
            <w:r>
              <w:rPr>
                <w:rFonts w:hint="eastAsia" w:ascii="宋体" w:hAnsi="宋体" w:eastAsia="宋体" w:cstheme="minorBidi"/>
                <w:iCs/>
                <w:color w:val="auto"/>
                <w:kern w:val="2"/>
                <w:sz w:val="24"/>
                <w:szCs w:val="24"/>
                <w:highlight w:val="none"/>
                <w:shd w:val="clear" w:color="auto" w:fill="FFFFFF" w:themeFill="background1"/>
                <w:lang w:val="hr-HR" w:eastAsia="zh-CN" w:bidi="ar-SA"/>
              </w:rPr>
              <w:t>招标项目的潜在投标人应在</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政采云平台线上</w:t>
            </w:r>
            <w:r>
              <w:rPr>
                <w:rFonts w:hint="eastAsia" w:ascii="宋体" w:hAnsi="宋体" w:eastAsia="宋体" w:cstheme="minorBidi"/>
                <w:iCs/>
                <w:color w:val="auto"/>
                <w:kern w:val="2"/>
                <w:sz w:val="24"/>
                <w:szCs w:val="24"/>
                <w:highlight w:val="none"/>
                <w:shd w:val="clear" w:color="auto" w:fill="FFFFFF" w:themeFill="background1"/>
                <w:lang w:val="hr-HR" w:eastAsia="zh-CN" w:bidi="ar-SA"/>
              </w:rPr>
              <w:t>获取招标文件，并于</w:t>
            </w:r>
            <w:r>
              <w:rPr>
                <w:rFonts w:hint="eastAsia" w:cstheme="minorBidi"/>
                <w:iCs/>
                <w:color w:val="auto"/>
                <w:kern w:val="2"/>
                <w:sz w:val="24"/>
                <w:szCs w:val="24"/>
                <w:highlight w:val="none"/>
                <w:u w:val="single"/>
                <w:shd w:val="clear" w:color="auto" w:fill="FFFFFF" w:themeFill="background1"/>
                <w:lang w:val="en-US" w:eastAsia="zh-CN" w:bidi="ar-SA"/>
              </w:rPr>
              <w:t>2025</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年</w:t>
            </w:r>
            <w:r>
              <w:rPr>
                <w:rFonts w:hint="eastAsia" w:cstheme="minorBidi"/>
                <w:iCs/>
                <w:color w:val="auto"/>
                <w:kern w:val="2"/>
                <w:sz w:val="24"/>
                <w:szCs w:val="24"/>
                <w:highlight w:val="none"/>
                <w:u w:val="single"/>
                <w:shd w:val="clear" w:color="auto" w:fill="FFFFFF" w:themeFill="background1"/>
                <w:lang w:val="en-US" w:eastAsia="zh-CN" w:bidi="ar-SA"/>
              </w:rPr>
              <w:t>07</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月</w:t>
            </w:r>
            <w:r>
              <w:rPr>
                <w:rFonts w:hint="eastAsia" w:cstheme="minorBidi"/>
                <w:iCs/>
                <w:color w:val="auto"/>
                <w:kern w:val="2"/>
                <w:sz w:val="24"/>
                <w:szCs w:val="24"/>
                <w:highlight w:val="none"/>
                <w:u w:val="single"/>
                <w:shd w:val="clear" w:color="auto" w:fill="FFFFFF" w:themeFill="background1"/>
                <w:lang w:val="en-US" w:eastAsia="zh-CN" w:bidi="ar-SA"/>
              </w:rPr>
              <w:t>25</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日</w:t>
            </w:r>
            <w:r>
              <w:rPr>
                <w:rFonts w:hint="eastAsia" w:cstheme="minorBidi"/>
                <w:iCs/>
                <w:color w:val="auto"/>
                <w:kern w:val="2"/>
                <w:sz w:val="24"/>
                <w:szCs w:val="24"/>
                <w:highlight w:val="none"/>
                <w:u w:val="single"/>
                <w:shd w:val="clear" w:color="auto" w:fill="FFFFFF" w:themeFill="background1"/>
                <w:lang w:val="en-US" w:eastAsia="zh-CN" w:bidi="ar-SA"/>
              </w:rPr>
              <w:t>10时30</w:t>
            </w:r>
            <w:r>
              <w:rPr>
                <w:rFonts w:hint="eastAsia" w:ascii="宋体" w:hAnsi="宋体" w:eastAsia="宋体" w:cstheme="minorBidi"/>
                <w:iCs/>
                <w:color w:val="auto"/>
                <w:kern w:val="2"/>
                <w:sz w:val="24"/>
                <w:szCs w:val="24"/>
                <w:highlight w:val="none"/>
                <w:u w:val="single"/>
                <w:shd w:val="clear" w:color="auto" w:fill="FFFFFF" w:themeFill="background1"/>
                <w:lang w:val="hr-HR" w:eastAsia="zh-CN" w:bidi="ar-SA"/>
              </w:rPr>
              <w:t>分</w:t>
            </w:r>
            <w:r>
              <w:rPr>
                <w:rFonts w:hint="eastAsia" w:ascii="宋体" w:hAnsi="宋体" w:eastAsia="宋体" w:cstheme="minorBidi"/>
                <w:iCs/>
                <w:color w:val="auto"/>
                <w:kern w:val="2"/>
                <w:sz w:val="24"/>
                <w:szCs w:val="24"/>
                <w:highlight w:val="none"/>
                <w:shd w:val="clear" w:color="auto" w:fill="FFFFFF" w:themeFill="background1"/>
                <w:lang w:val="hr-HR" w:eastAsia="zh-CN" w:bidi="ar-SA"/>
              </w:rPr>
              <w:t>（北京时间）前递交投标文件。</w:t>
            </w:r>
          </w:p>
        </w:tc>
      </w:tr>
    </w:tbl>
    <w:p w14:paraId="4072DEF0">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color w:val="auto"/>
          <w:sz w:val="24"/>
          <w:szCs w:val="24"/>
          <w:highlight w:val="none"/>
          <w:lang w:val="hr-HR"/>
        </w:rPr>
      </w:pPr>
      <w:bookmarkStart w:id="17" w:name="_Toc23169"/>
      <w:r>
        <w:rPr>
          <w:rFonts w:hint="eastAsia" w:ascii="宋体" w:hAnsi="宋体" w:eastAsia="宋体" w:cs="宋体"/>
          <w:b/>
          <w:bCs/>
          <w:color w:val="auto"/>
          <w:kern w:val="2"/>
          <w:sz w:val="24"/>
          <w:szCs w:val="24"/>
          <w:highlight w:val="none"/>
          <w:lang w:val="hr-HR" w:eastAsia="zh-CN" w:bidi="ar-SA"/>
        </w:rPr>
        <w:t>一、</w:t>
      </w:r>
      <w:r>
        <w:rPr>
          <w:rFonts w:hint="eastAsia" w:ascii="宋体" w:hAnsi="宋体" w:eastAsia="宋体" w:cs="宋体"/>
          <w:color w:val="auto"/>
          <w:sz w:val="24"/>
          <w:szCs w:val="24"/>
          <w:highlight w:val="none"/>
          <w:lang w:val="hr-HR"/>
        </w:rPr>
        <w:t>项目基本情况</w:t>
      </w:r>
      <w:bookmarkEnd w:id="7"/>
      <w:bookmarkEnd w:id="8"/>
      <w:bookmarkEnd w:id="9"/>
      <w:bookmarkEnd w:id="10"/>
      <w:bookmarkEnd w:id="11"/>
      <w:bookmarkEnd w:id="12"/>
      <w:bookmarkEnd w:id="13"/>
      <w:bookmarkEnd w:id="14"/>
      <w:bookmarkEnd w:id="15"/>
      <w:bookmarkEnd w:id="16"/>
      <w:bookmarkEnd w:id="17"/>
    </w:p>
    <w:p w14:paraId="590E39A6">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hr-HR"/>
        </w:rPr>
        <w:t>1.项目编号</w:t>
      </w:r>
      <w:r>
        <w:rPr>
          <w:rFonts w:hint="eastAsia" w:ascii="宋体" w:hAnsi="宋体" w:eastAsia="宋体" w:cs="宋体"/>
          <w:color w:val="auto"/>
          <w:sz w:val="24"/>
          <w:highlight w:val="none"/>
          <w:lang w:val="en-US" w:eastAsia="zh-CN"/>
        </w:rPr>
        <w:t>/包号</w:t>
      </w:r>
      <w:r>
        <w:rPr>
          <w:rFonts w:hint="eastAsia" w:ascii="宋体" w:hAnsi="宋体" w:eastAsia="宋体" w:cs="宋体"/>
          <w:color w:val="auto"/>
          <w:sz w:val="24"/>
          <w:highlight w:val="none"/>
          <w:lang w:val="hr-HR"/>
        </w:rPr>
        <w:t>：WTHH-ZB2025132</w:t>
      </w:r>
    </w:p>
    <w:p w14:paraId="544AA4B7">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eastAsia="zh-CN"/>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lang w:val="hr-HR"/>
        </w:rPr>
        <w:t>.项目名称：</w:t>
      </w:r>
      <w:r>
        <w:rPr>
          <w:rFonts w:hint="eastAsia" w:cs="宋体"/>
          <w:color w:val="auto"/>
          <w:sz w:val="24"/>
          <w:highlight w:val="none"/>
          <w:lang w:val="hr-HR" w:eastAsia="zh-CN"/>
        </w:rPr>
        <w:t>乌鲁木齐市米东区中医医院采购家具家电项目</w:t>
      </w:r>
    </w:p>
    <w:p w14:paraId="3CE35A7E">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.采购方式：公开招标</w:t>
      </w:r>
    </w:p>
    <w:p w14:paraId="78A90596">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eastAsia="zh-CN"/>
        </w:rPr>
        <w:t>项目</w:t>
      </w:r>
      <w:r>
        <w:rPr>
          <w:rFonts w:hint="eastAsia" w:ascii="宋体" w:hAnsi="宋体" w:eastAsia="宋体" w:cs="宋体"/>
          <w:color w:val="auto"/>
          <w:sz w:val="24"/>
          <w:highlight w:val="none"/>
          <w:lang w:val="hr-HR"/>
        </w:rPr>
        <w:t>预算金额：</w:t>
      </w:r>
      <w:r>
        <w:rPr>
          <w:rFonts w:hint="eastAsia" w:cs="宋体"/>
          <w:color w:val="auto"/>
          <w:sz w:val="24"/>
          <w:highlight w:val="none"/>
          <w:u w:val="none"/>
          <w:lang w:val="en-US" w:eastAsia="zh-CN"/>
        </w:rPr>
        <w:t>20</w:t>
      </w:r>
      <w:r>
        <w:rPr>
          <w:rFonts w:hint="eastAsia" w:ascii="宋体" w:hAnsi="宋体" w:eastAsia="宋体" w:cs="宋体"/>
          <w:color w:val="auto"/>
          <w:sz w:val="24"/>
          <w:highlight w:val="none"/>
          <w:u w:val="none"/>
          <w:lang w:val="hr-HR"/>
        </w:rPr>
        <w:t>万</w:t>
      </w:r>
      <w:r>
        <w:rPr>
          <w:rFonts w:hint="eastAsia" w:ascii="宋体" w:hAnsi="宋体" w:eastAsia="宋体" w:cs="宋体"/>
          <w:color w:val="auto"/>
          <w:sz w:val="24"/>
          <w:highlight w:val="none"/>
          <w:lang w:val="hr-HR"/>
        </w:rPr>
        <w:t>元</w:t>
      </w:r>
    </w:p>
    <w:p w14:paraId="7851BE2C">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val="hr-HR"/>
        </w:rPr>
        <w:t>：</w:t>
      </w:r>
      <w:r>
        <w:rPr>
          <w:rFonts w:hint="eastAsia" w:cs="宋体"/>
          <w:color w:val="auto"/>
          <w:sz w:val="24"/>
          <w:highlight w:val="none"/>
          <w:u w:val="none"/>
          <w:lang w:val="en-US" w:eastAsia="zh-CN"/>
        </w:rPr>
        <w:t>20</w:t>
      </w:r>
      <w:r>
        <w:rPr>
          <w:rFonts w:hint="eastAsia" w:ascii="宋体" w:hAnsi="宋体" w:eastAsia="宋体" w:cs="宋体"/>
          <w:color w:val="auto"/>
          <w:sz w:val="24"/>
          <w:highlight w:val="none"/>
          <w:u w:val="none"/>
          <w:lang w:val="hr-HR"/>
        </w:rPr>
        <w:t>万</w:t>
      </w:r>
      <w:r>
        <w:rPr>
          <w:rFonts w:hint="eastAsia" w:ascii="宋体" w:hAnsi="宋体" w:eastAsia="宋体" w:cs="宋体"/>
          <w:color w:val="auto"/>
          <w:sz w:val="24"/>
          <w:highlight w:val="none"/>
          <w:lang w:val="hr-HR"/>
        </w:rPr>
        <w:t>元</w:t>
      </w:r>
    </w:p>
    <w:p w14:paraId="242750DC">
      <w:pPr>
        <w:pStyle w:val="36"/>
        <w:pageBreakBefore w:val="0"/>
        <w:widowControl w:val="0"/>
        <w:kinsoku/>
        <w:overflowPunct/>
        <w:topLinePunct w:val="0"/>
        <w:autoSpaceDE/>
        <w:autoSpaceDN/>
        <w:bidi w:val="0"/>
        <w:adjustRightInd/>
        <w:snapToGrid/>
        <w:spacing w:line="360" w:lineRule="auto"/>
        <w:textAlignment w:val="auto"/>
        <w:rPr>
          <w:rFonts w:hint="default" w:ascii="宋体" w:hAnsi="宋体" w:eastAsia="宋体" w:cs="宋体"/>
          <w:color w:val="auto"/>
          <w:sz w:val="24"/>
          <w:highlight w:val="none"/>
          <w:u w:val="single"/>
          <w:lang w:val="en-US"/>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hr-HR"/>
        </w:rPr>
        <w:t>.采购需求：采购</w:t>
      </w:r>
      <w:r>
        <w:rPr>
          <w:rFonts w:hint="eastAsia" w:ascii="宋体" w:hAnsi="宋体" w:eastAsia="宋体" w:cs="宋体"/>
          <w:color w:val="auto"/>
          <w:sz w:val="24"/>
          <w:highlight w:val="none"/>
          <w:lang w:val="hr-HR" w:eastAsia="zh-CN"/>
        </w:rPr>
        <w:t>家电家具</w:t>
      </w:r>
      <w:r>
        <w:rPr>
          <w:rFonts w:hint="eastAsia" w:cs="宋体"/>
          <w:color w:val="auto"/>
          <w:sz w:val="24"/>
          <w:highlight w:val="none"/>
          <w:lang w:val="hr-HR" w:eastAsia="zh-CN"/>
        </w:rPr>
        <w:t>，</w:t>
      </w:r>
      <w:r>
        <w:rPr>
          <w:rFonts w:hint="eastAsia" w:cs="宋体"/>
          <w:color w:val="auto"/>
          <w:sz w:val="24"/>
          <w:highlight w:val="none"/>
          <w:lang w:val="en-US" w:eastAsia="zh-CN"/>
        </w:rPr>
        <w:t>详见招标文件采购需求</w:t>
      </w:r>
    </w:p>
    <w:p w14:paraId="16D8E55F">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.合同履行期限：</w:t>
      </w:r>
      <w:bookmarkStart w:id="18" w:name="_Toc28359090"/>
      <w:bookmarkStart w:id="19" w:name="_Toc28359013"/>
      <w:bookmarkStart w:id="20" w:name="_Toc35393630"/>
      <w:bookmarkStart w:id="21" w:name="_Toc35393799"/>
      <w:bookmarkStart w:id="22" w:name="_Toc44583629"/>
      <w:r>
        <w:rPr>
          <w:rFonts w:hint="eastAsia" w:ascii="宋体" w:hAnsi="宋体" w:eastAsia="宋体" w:cs="宋体"/>
          <w:color w:val="auto"/>
          <w:sz w:val="24"/>
          <w:highlight w:val="none"/>
          <w:lang w:val="en-US" w:eastAsia="zh-CN"/>
        </w:rPr>
        <w:t>详见招标文件</w:t>
      </w:r>
    </w:p>
    <w:p w14:paraId="4B098642">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bookmarkStart w:id="23" w:name="_Hlk162011358"/>
      <w:r>
        <w:rPr>
          <w:rFonts w:hint="eastAsia" w:ascii="宋体" w:hAnsi="宋体" w:eastAsia="宋体" w:cs="宋体"/>
          <w:color w:val="auto"/>
          <w:sz w:val="24"/>
          <w:highlight w:val="none"/>
          <w:lang w:val="en-US" w:eastAsia="zh-CN"/>
        </w:rPr>
        <w:t>本项目是否接受联合体投标：□是</w:t>
      </w:r>
      <w:bookmarkEnd w:id="23"/>
      <w:r>
        <w:rPr>
          <w:rFonts w:hint="eastAsia" w:ascii="宋体" w:hAnsi="宋体" w:eastAsia="宋体" w:cs="宋体"/>
          <w:color w:val="auto"/>
          <w:sz w:val="24"/>
          <w:highlight w:val="none"/>
          <w:lang w:val="en-US" w:eastAsia="zh-CN"/>
        </w:rPr>
        <w:t xml:space="preserve">   </w:t>
      </w:r>
      <w:r>
        <w:rPr>
          <w:rFonts w:hint="eastAsia" w:cs="宋体"/>
          <w:color w:val="auto"/>
          <w:sz w:val="24"/>
          <w:highlight w:val="none"/>
          <w:lang w:val="en-US" w:eastAsia="zh-CN"/>
        </w:rPr>
        <w:t>☑</w:t>
      </w:r>
      <w:r>
        <w:rPr>
          <w:rFonts w:hint="eastAsia" w:ascii="宋体" w:hAnsi="宋体" w:eastAsia="宋体" w:cs="宋体"/>
          <w:color w:val="auto"/>
          <w:sz w:val="24"/>
          <w:highlight w:val="none"/>
          <w:lang w:val="en-US" w:eastAsia="zh-CN"/>
        </w:rPr>
        <w:t>否</w:t>
      </w:r>
    </w:p>
    <w:p w14:paraId="1EEB1622">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24" w:name="_Toc109900249"/>
      <w:bookmarkStart w:id="25" w:name="_Toc16935"/>
      <w:bookmarkStart w:id="26" w:name="_Toc109899830"/>
      <w:bookmarkStart w:id="27" w:name="_Toc140132746"/>
      <w:bookmarkStart w:id="28" w:name="_Toc155185861"/>
      <w:bookmarkStart w:id="29" w:name="_Toc109899411"/>
      <w:r>
        <w:rPr>
          <w:rFonts w:hint="eastAsia" w:ascii="宋体" w:hAnsi="宋体" w:eastAsia="宋体" w:cs="宋体"/>
          <w:b/>
          <w:bCs/>
          <w:color w:val="auto"/>
          <w:kern w:val="2"/>
          <w:sz w:val="24"/>
          <w:szCs w:val="24"/>
          <w:highlight w:val="none"/>
          <w:lang w:val="en-US" w:eastAsia="zh-CN" w:bidi="ar-SA"/>
        </w:rPr>
        <w:t>二、申请</w:t>
      </w:r>
      <w:r>
        <w:rPr>
          <w:rFonts w:hint="eastAsia" w:ascii="宋体" w:hAnsi="宋体" w:eastAsia="宋体" w:cs="宋体"/>
          <w:b/>
          <w:bCs/>
          <w:color w:val="auto"/>
          <w:kern w:val="2"/>
          <w:sz w:val="24"/>
          <w:szCs w:val="24"/>
          <w:highlight w:val="none"/>
          <w:lang w:val="hr-HR" w:eastAsia="zh-CN" w:bidi="ar-SA"/>
        </w:rPr>
        <w:t>人</w:t>
      </w:r>
      <w:r>
        <w:rPr>
          <w:rFonts w:hint="eastAsia" w:ascii="宋体" w:hAnsi="宋体" w:eastAsia="宋体" w:cs="宋体"/>
          <w:b/>
          <w:bCs/>
          <w:color w:val="auto"/>
          <w:kern w:val="2"/>
          <w:sz w:val="24"/>
          <w:szCs w:val="24"/>
          <w:highlight w:val="none"/>
          <w:lang w:val="en-US" w:eastAsia="zh-CN" w:bidi="ar-SA"/>
        </w:rPr>
        <w:t>的</w:t>
      </w:r>
      <w:r>
        <w:rPr>
          <w:rFonts w:hint="eastAsia" w:ascii="宋体" w:hAnsi="宋体" w:eastAsia="宋体" w:cs="宋体"/>
          <w:b/>
          <w:bCs/>
          <w:color w:val="auto"/>
          <w:kern w:val="2"/>
          <w:sz w:val="24"/>
          <w:szCs w:val="24"/>
          <w:highlight w:val="none"/>
          <w:lang w:val="hr-HR" w:eastAsia="zh-CN" w:bidi="ar-SA"/>
        </w:rPr>
        <w:t>资格要求</w:t>
      </w:r>
      <w:bookmarkEnd w:id="18"/>
      <w:bookmarkEnd w:id="19"/>
      <w:bookmarkEnd w:id="20"/>
      <w:bookmarkEnd w:id="21"/>
      <w:bookmarkEnd w:id="22"/>
      <w:bookmarkEnd w:id="24"/>
      <w:bookmarkEnd w:id="25"/>
      <w:bookmarkEnd w:id="26"/>
      <w:bookmarkEnd w:id="27"/>
      <w:bookmarkEnd w:id="28"/>
      <w:bookmarkEnd w:id="29"/>
    </w:p>
    <w:p w14:paraId="4033335F">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bookmarkStart w:id="30" w:name="_Toc28359091"/>
      <w:bookmarkStart w:id="31" w:name="_Toc35393800"/>
      <w:bookmarkStart w:id="32" w:name="_Toc35393631"/>
      <w:bookmarkStart w:id="33" w:name="_Toc44583630"/>
      <w:bookmarkStart w:id="34" w:name="_Toc28359014"/>
      <w:r>
        <w:rPr>
          <w:rFonts w:hint="eastAsia" w:ascii="宋体" w:hAnsi="宋体" w:eastAsia="宋体" w:cs="宋体"/>
          <w:color w:val="auto"/>
          <w:sz w:val="24"/>
          <w:highlight w:val="none"/>
          <w:lang w:val="en-US" w:eastAsia="zh-CN"/>
        </w:rPr>
        <w:t>1.满足《中华人民共和国政府采购法》第二十二条规定；</w:t>
      </w:r>
    </w:p>
    <w:p w14:paraId="1C35AF5F">
      <w:pPr>
        <w:pageBreakBefore w:val="0"/>
        <w:widowControl w:val="0"/>
        <w:kinsoku/>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2.落实政府采购政策需满足的资格要求：</w:t>
      </w:r>
      <w:r>
        <w:rPr>
          <w:rFonts w:hint="eastAsia" w:cs="宋体"/>
          <w:color w:val="auto"/>
          <w:sz w:val="24"/>
          <w:highlight w:val="none"/>
          <w:lang w:val="en-US" w:eastAsia="zh-CN"/>
        </w:rPr>
        <w:t>不专门面向中小企业</w:t>
      </w:r>
    </w:p>
    <w:p w14:paraId="55BA9FF5">
      <w:pPr>
        <w:pageBreakBefore w:val="0"/>
        <w:widowControl w:val="0"/>
        <w:kinsoku/>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3.本项目的特定资格要求：【</w:t>
      </w:r>
      <w:r>
        <w:rPr>
          <w:rFonts w:hint="eastAsia" w:cs="宋体"/>
          <w:color w:val="auto"/>
          <w:sz w:val="24"/>
          <w:highlight w:val="none"/>
          <w:lang w:val="en-US" w:eastAsia="zh-CN"/>
        </w:rPr>
        <w:t>无</w:t>
      </w:r>
      <w:r>
        <w:rPr>
          <w:rFonts w:hint="eastAsia" w:ascii="宋体" w:hAnsi="宋体" w:eastAsia="宋体" w:cs="宋体"/>
          <w:color w:val="auto"/>
          <w:sz w:val="24"/>
          <w:highlight w:val="none"/>
          <w:lang w:val="en-US" w:eastAsia="zh-CN"/>
        </w:rPr>
        <w:t>】</w:t>
      </w:r>
    </w:p>
    <w:p w14:paraId="17F1ED43">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35" w:name="_Toc140132747"/>
      <w:bookmarkStart w:id="36" w:name="_Toc109899412"/>
      <w:bookmarkStart w:id="37" w:name="_Toc109900250"/>
      <w:bookmarkStart w:id="38" w:name="_Toc155185862"/>
      <w:bookmarkStart w:id="39" w:name="_Toc13557"/>
      <w:bookmarkStart w:id="40" w:name="_Toc109899831"/>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hr-HR" w:eastAsia="zh-CN" w:bidi="ar-SA"/>
        </w:rPr>
        <w:t>获取招标文件</w:t>
      </w:r>
      <w:bookmarkEnd w:id="30"/>
      <w:bookmarkEnd w:id="31"/>
      <w:bookmarkEnd w:id="32"/>
      <w:bookmarkEnd w:id="33"/>
      <w:bookmarkEnd w:id="34"/>
      <w:bookmarkEnd w:id="35"/>
      <w:bookmarkEnd w:id="36"/>
      <w:bookmarkEnd w:id="37"/>
      <w:bookmarkEnd w:id="38"/>
      <w:bookmarkEnd w:id="39"/>
      <w:bookmarkEnd w:id="40"/>
      <w:r>
        <w:rPr>
          <w:rFonts w:hint="eastAsia" w:ascii="宋体" w:hAnsi="宋体" w:eastAsia="宋体" w:cs="宋体"/>
          <w:b/>
          <w:bCs/>
          <w:color w:val="auto"/>
          <w:kern w:val="2"/>
          <w:sz w:val="24"/>
          <w:szCs w:val="24"/>
          <w:highlight w:val="none"/>
          <w:lang w:val="hr-HR" w:eastAsia="zh-CN" w:bidi="ar-SA"/>
        </w:rPr>
        <w:t xml:space="preserve"> </w:t>
      </w:r>
    </w:p>
    <w:p w14:paraId="7F0135DE">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bookmarkStart w:id="41" w:name="_Hlk130457234"/>
      <w:bookmarkStart w:id="42" w:name="_Hlk130457327"/>
      <w:bookmarkStart w:id="43" w:name="_Toc35393632"/>
      <w:bookmarkStart w:id="44" w:name="_Toc28359092"/>
      <w:bookmarkStart w:id="45" w:name="_Hlk130457261"/>
      <w:bookmarkStart w:id="46" w:name="_Toc28359015"/>
      <w:bookmarkStart w:id="47" w:name="_Toc35393801"/>
      <w:r>
        <w:rPr>
          <w:rFonts w:hint="eastAsia" w:ascii="宋体" w:hAnsi="宋体" w:eastAsia="宋体" w:cs="宋体"/>
          <w:color w:val="auto"/>
          <w:sz w:val="24"/>
          <w:highlight w:val="none"/>
          <w:lang w:val="hr-HR"/>
        </w:rPr>
        <w:t>1.时间：</w:t>
      </w:r>
      <w:r>
        <w:rPr>
          <w:rFonts w:hint="eastAsia" w:cs="宋体"/>
          <w:color w:val="auto"/>
          <w:sz w:val="24"/>
          <w:highlight w:val="none"/>
          <w:u w:val="single"/>
          <w:lang w:val="en-US" w:eastAsia="zh-CN"/>
        </w:rPr>
        <w:t>2025</w:t>
      </w:r>
      <w:r>
        <w:rPr>
          <w:rFonts w:hint="eastAsia" w:ascii="宋体" w:hAnsi="宋体" w:eastAsia="宋体" w:cs="宋体"/>
          <w:color w:val="auto"/>
          <w:sz w:val="24"/>
          <w:highlight w:val="none"/>
          <w:u w:val="single"/>
        </w:rPr>
        <w:t>年</w:t>
      </w:r>
      <w:r>
        <w:rPr>
          <w:rFonts w:hint="eastAsia"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cs="宋体"/>
          <w:color w:val="auto"/>
          <w:sz w:val="24"/>
          <w:highlight w:val="none"/>
          <w:u w:val="single"/>
          <w:lang w:val="en-US" w:eastAsia="zh-CN"/>
        </w:rPr>
        <w:t>04</w:t>
      </w:r>
      <w:r>
        <w:rPr>
          <w:rFonts w:hint="eastAsia" w:ascii="宋体" w:hAnsi="宋体" w:eastAsia="宋体" w:cs="宋体"/>
          <w:color w:val="auto"/>
          <w:sz w:val="24"/>
          <w:highlight w:val="none"/>
          <w:u w:val="single"/>
        </w:rPr>
        <w:t>日</w:t>
      </w:r>
      <w:r>
        <w:rPr>
          <w:rFonts w:hint="eastAsia" w:cs="宋体"/>
          <w:color w:val="auto"/>
          <w:sz w:val="24"/>
          <w:highlight w:val="none"/>
          <w:u w:val="single"/>
          <w:lang w:val="en-US" w:eastAsia="zh-CN"/>
        </w:rPr>
        <w:t>00</w:t>
      </w:r>
      <w:r>
        <w:rPr>
          <w:rFonts w:hint="eastAsia" w:ascii="宋体" w:hAnsi="宋体" w:eastAsia="宋体" w:cs="宋体"/>
          <w:color w:val="auto"/>
          <w:sz w:val="24"/>
          <w:highlight w:val="none"/>
          <w:u w:val="single"/>
        </w:rPr>
        <w:t>时</w:t>
      </w:r>
      <w:r>
        <w:rPr>
          <w:rFonts w:hint="eastAsia" w:cs="宋体"/>
          <w:color w:val="auto"/>
          <w:sz w:val="24"/>
          <w:highlight w:val="none"/>
          <w:u w:val="single"/>
          <w:lang w:val="en-US" w:eastAsia="zh-CN"/>
        </w:rPr>
        <w:t>00</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lang w:val="hr-HR"/>
        </w:rPr>
        <w:t>至</w:t>
      </w:r>
      <w:r>
        <w:rPr>
          <w:rFonts w:hint="eastAsia" w:cs="宋体"/>
          <w:color w:val="auto"/>
          <w:sz w:val="24"/>
          <w:highlight w:val="none"/>
          <w:u w:val="single"/>
          <w:lang w:val="en-US" w:eastAsia="zh-CN"/>
        </w:rPr>
        <w:t>2025</w:t>
      </w:r>
      <w:r>
        <w:rPr>
          <w:rFonts w:hint="eastAsia" w:ascii="宋体" w:hAnsi="宋体" w:eastAsia="宋体" w:cs="宋体"/>
          <w:color w:val="auto"/>
          <w:sz w:val="24"/>
          <w:highlight w:val="none"/>
          <w:u w:val="single"/>
        </w:rPr>
        <w:t>年</w:t>
      </w:r>
      <w:r>
        <w:rPr>
          <w:rFonts w:hint="eastAsia"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cs="宋体"/>
          <w:color w:val="auto"/>
          <w:sz w:val="24"/>
          <w:highlight w:val="none"/>
          <w:u w:val="single"/>
          <w:lang w:val="en-US" w:eastAsia="zh-CN"/>
        </w:rPr>
        <w:t>11</w:t>
      </w:r>
      <w:r>
        <w:rPr>
          <w:rFonts w:hint="eastAsia" w:ascii="宋体" w:hAnsi="宋体" w:eastAsia="宋体" w:cs="宋体"/>
          <w:color w:val="auto"/>
          <w:sz w:val="24"/>
          <w:highlight w:val="none"/>
          <w:u w:val="single"/>
        </w:rPr>
        <w:t>日</w:t>
      </w:r>
      <w:r>
        <w:rPr>
          <w:rFonts w:hint="eastAsia" w:cs="宋体"/>
          <w:color w:val="auto"/>
          <w:sz w:val="24"/>
          <w:highlight w:val="none"/>
          <w:u w:val="single"/>
          <w:lang w:val="en-US" w:eastAsia="zh-CN"/>
        </w:rPr>
        <w:t>23</w:t>
      </w:r>
      <w:r>
        <w:rPr>
          <w:rFonts w:hint="eastAsia" w:ascii="宋体" w:hAnsi="宋体" w:eastAsia="宋体" w:cs="宋体"/>
          <w:color w:val="auto"/>
          <w:sz w:val="24"/>
          <w:highlight w:val="none"/>
          <w:u w:val="single"/>
        </w:rPr>
        <w:t>时</w:t>
      </w:r>
      <w:r>
        <w:rPr>
          <w:rFonts w:hint="eastAsia" w:cs="宋体"/>
          <w:color w:val="auto"/>
          <w:sz w:val="24"/>
          <w:highlight w:val="none"/>
          <w:u w:val="single"/>
          <w:lang w:val="en-US" w:eastAsia="zh-CN"/>
        </w:rPr>
        <w:t>59</w:t>
      </w:r>
      <w:r>
        <w:rPr>
          <w:rFonts w:hint="eastAsia" w:ascii="宋体" w:hAnsi="宋体" w:eastAsia="宋体" w:cs="宋体"/>
          <w:color w:val="auto"/>
          <w:sz w:val="24"/>
          <w:highlight w:val="none"/>
          <w:u w:val="single"/>
        </w:rPr>
        <w:t>分</w:t>
      </w:r>
      <w:r>
        <w:rPr>
          <w:rFonts w:hint="eastAsia" w:ascii="宋体" w:hAnsi="宋体" w:eastAsia="宋体" w:cs="宋体"/>
          <w:color w:val="auto"/>
          <w:sz w:val="24"/>
          <w:highlight w:val="none"/>
          <w:lang w:val="hr-HR"/>
        </w:rPr>
        <w:t>（北京时间）。</w:t>
      </w:r>
    </w:p>
    <w:bookmarkEnd w:id="41"/>
    <w:p w14:paraId="34FD69CE">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hr-HR"/>
        </w:rPr>
      </w:pPr>
      <w:r>
        <w:rPr>
          <w:rFonts w:hint="eastAsia" w:ascii="宋体" w:hAnsi="宋体" w:eastAsia="宋体" w:cs="宋体"/>
          <w:color w:val="auto"/>
          <w:sz w:val="24"/>
          <w:highlight w:val="none"/>
          <w:lang w:val="hr-HR"/>
        </w:rPr>
        <w:t>2.</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lang w:val="hr-HR"/>
        </w:rPr>
        <w:t>：</w:t>
      </w:r>
      <w:bookmarkStart w:id="48" w:name="_Hlk89807779"/>
      <w:r>
        <w:rPr>
          <w:rFonts w:hint="eastAsia" w:cs="宋体"/>
          <w:color w:val="auto"/>
          <w:sz w:val="24"/>
          <w:highlight w:val="none"/>
          <w:lang w:val="en-US" w:eastAsia="zh-CN"/>
        </w:rPr>
        <w:t>政采云平台线上</w:t>
      </w:r>
      <w:r>
        <w:rPr>
          <w:rFonts w:hint="eastAsia" w:ascii="宋体" w:hAnsi="宋体" w:eastAsia="宋体" w:cs="宋体"/>
          <w:color w:val="auto"/>
          <w:sz w:val="24"/>
          <w:highlight w:val="none"/>
        </w:rPr>
        <w:t>。</w:t>
      </w:r>
      <w:bookmarkEnd w:id="48"/>
    </w:p>
    <w:p w14:paraId="674E7A4D">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hr-HR"/>
        </w:rPr>
        <w:t>3.</w:t>
      </w: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投标供应商登录政采云平台</w:t>
      </w:r>
      <w:r>
        <w:rPr>
          <w:rFonts w:hint="eastAsia" w:ascii="宋体" w:hAnsi="宋体" w:eastAsia="宋体" w:cs="宋体"/>
          <w:color w:val="auto"/>
          <w:sz w:val="24"/>
          <w:highlight w:val="none"/>
          <w:lang w:val="hr-HR"/>
        </w:rPr>
        <w:t>https</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hr-HR"/>
        </w:rPr>
        <w:t>//www.zcygov.cn/</w:t>
      </w:r>
      <w:r>
        <w:rPr>
          <w:rFonts w:hint="eastAsia" w:ascii="宋体" w:hAnsi="宋体" w:eastAsia="宋体" w:cs="宋体"/>
          <w:color w:val="auto"/>
          <w:sz w:val="24"/>
          <w:highlight w:val="none"/>
          <w:lang w:val="en-US"/>
        </w:rPr>
        <w:t>在线申请</w:t>
      </w:r>
      <w:r>
        <w:rPr>
          <w:rFonts w:hint="eastAsia" w:ascii="宋体" w:hAnsi="宋体" w:eastAsia="宋体" w:cs="宋体"/>
          <w:color w:val="auto"/>
          <w:sz w:val="24"/>
          <w:highlight w:val="none"/>
          <w:lang w:val="en-US" w:eastAsia="zh-CN"/>
        </w:rPr>
        <w:t>，免费</w:t>
      </w:r>
      <w:r>
        <w:rPr>
          <w:rFonts w:hint="eastAsia" w:ascii="宋体" w:hAnsi="宋体" w:eastAsia="宋体" w:cs="宋体"/>
          <w:color w:val="auto"/>
          <w:sz w:val="24"/>
          <w:highlight w:val="none"/>
          <w:lang w:val="en-US"/>
        </w:rPr>
        <w:t>获取</w:t>
      </w:r>
      <w:r>
        <w:rPr>
          <w:rFonts w:hint="eastAsia" w:ascii="宋体" w:hAnsi="宋体" w:eastAsia="宋体" w:cs="宋体"/>
          <w:color w:val="auto"/>
          <w:sz w:val="24"/>
          <w:highlight w:val="none"/>
          <w:lang w:val="en-US" w:eastAsia="zh-CN"/>
        </w:rPr>
        <w:t>电子</w:t>
      </w:r>
      <w:r>
        <w:rPr>
          <w:rFonts w:hint="eastAsia" w:ascii="宋体" w:hAnsi="宋体" w:eastAsia="宋体" w:cs="宋体"/>
          <w:color w:val="auto"/>
          <w:sz w:val="24"/>
          <w:highlight w:val="none"/>
          <w:lang w:val="en-US"/>
        </w:rPr>
        <w:t>采购文件</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进入</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项目采购</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应用</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在获取采购文件菜单中选择项目</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申请获取采购文件</w:t>
      </w:r>
      <w:r>
        <w:rPr>
          <w:rFonts w:hint="eastAsia" w:ascii="宋体" w:hAnsi="宋体" w:eastAsia="宋体" w:cs="宋体"/>
          <w:color w:val="auto"/>
          <w:sz w:val="24"/>
          <w:highlight w:val="none"/>
          <w:lang w:val="hr-HR"/>
        </w:rPr>
        <w:t>）</w:t>
      </w:r>
      <w:r>
        <w:rPr>
          <w:rFonts w:hint="eastAsia" w:ascii="宋体" w:hAnsi="宋体" w:eastAsia="宋体" w:cs="宋体"/>
          <w:color w:val="auto"/>
          <w:sz w:val="24"/>
          <w:highlight w:val="none"/>
          <w:lang w:val="en-US"/>
        </w:rPr>
        <w:t>。</w:t>
      </w:r>
    </w:p>
    <w:p w14:paraId="21D74D7F">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4.售价：0元。</w:t>
      </w:r>
    </w:p>
    <w:bookmarkEnd w:id="42"/>
    <w:bookmarkEnd w:id="43"/>
    <w:bookmarkEnd w:id="44"/>
    <w:bookmarkEnd w:id="45"/>
    <w:bookmarkEnd w:id="46"/>
    <w:bookmarkEnd w:id="47"/>
    <w:p w14:paraId="6020FAF9">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49" w:name="_Toc109900251"/>
      <w:bookmarkStart w:id="50" w:name="_Toc109899413"/>
      <w:bookmarkStart w:id="51" w:name="_Toc155185863"/>
      <w:bookmarkStart w:id="52" w:name="_Toc140132748"/>
      <w:bookmarkStart w:id="53" w:name="_Toc109899832"/>
      <w:bookmarkStart w:id="54" w:name="_Toc1017"/>
      <w:r>
        <w:rPr>
          <w:rFonts w:hint="eastAsia" w:ascii="宋体" w:hAnsi="宋体" w:eastAsia="宋体" w:cs="宋体"/>
          <w:b/>
          <w:bCs/>
          <w:color w:val="auto"/>
          <w:kern w:val="2"/>
          <w:sz w:val="24"/>
          <w:szCs w:val="24"/>
          <w:highlight w:val="none"/>
          <w:lang w:val="en-US" w:eastAsia="zh-CN" w:bidi="ar-SA"/>
        </w:rPr>
        <w:t>四、</w:t>
      </w:r>
      <w:bookmarkEnd w:id="49"/>
      <w:bookmarkEnd w:id="50"/>
      <w:bookmarkEnd w:id="51"/>
      <w:bookmarkEnd w:id="52"/>
      <w:bookmarkEnd w:id="53"/>
      <w:r>
        <w:rPr>
          <w:rFonts w:hint="eastAsia" w:ascii="宋体" w:hAnsi="宋体" w:eastAsia="宋体" w:cs="宋体"/>
          <w:b/>
          <w:bCs/>
          <w:color w:val="auto"/>
          <w:kern w:val="2"/>
          <w:sz w:val="24"/>
          <w:szCs w:val="24"/>
          <w:highlight w:val="none"/>
          <w:lang w:val="hr-HR" w:eastAsia="zh-CN" w:bidi="ar-SA"/>
        </w:rPr>
        <w:t>提交投标文件截止时间</w:t>
      </w:r>
      <w:r>
        <w:rPr>
          <w:rFonts w:hint="eastAsia" w:ascii="宋体" w:hAnsi="宋体" w:eastAsia="宋体" w:cs="宋体"/>
          <w:b/>
          <w:bCs/>
          <w:color w:val="auto"/>
          <w:kern w:val="2"/>
          <w:sz w:val="24"/>
          <w:szCs w:val="24"/>
          <w:highlight w:val="none"/>
          <w:lang w:val="en-US" w:eastAsia="zh-CN" w:bidi="ar-SA"/>
        </w:rPr>
        <w:t>/</w:t>
      </w:r>
      <w:r>
        <w:rPr>
          <w:rFonts w:hint="eastAsia" w:ascii="宋体" w:hAnsi="宋体" w:eastAsia="宋体" w:cs="宋体"/>
          <w:b/>
          <w:bCs/>
          <w:color w:val="auto"/>
          <w:kern w:val="2"/>
          <w:sz w:val="24"/>
          <w:szCs w:val="24"/>
          <w:highlight w:val="none"/>
          <w:lang w:val="hr-HR" w:eastAsia="zh-CN" w:bidi="ar-SA"/>
        </w:rPr>
        <w:t>开标时间、递交方式和</w:t>
      </w:r>
      <w:r>
        <w:rPr>
          <w:rFonts w:hint="eastAsia" w:ascii="宋体" w:hAnsi="宋体" w:eastAsia="宋体" w:cs="宋体"/>
          <w:b/>
          <w:bCs/>
          <w:color w:val="auto"/>
          <w:kern w:val="2"/>
          <w:sz w:val="24"/>
          <w:szCs w:val="24"/>
          <w:highlight w:val="none"/>
          <w:lang w:val="en-US" w:eastAsia="zh-CN" w:bidi="ar-SA"/>
        </w:rPr>
        <w:t>开标</w:t>
      </w:r>
      <w:r>
        <w:rPr>
          <w:rFonts w:hint="eastAsia" w:ascii="宋体" w:hAnsi="宋体" w:eastAsia="宋体" w:cs="宋体"/>
          <w:b/>
          <w:bCs/>
          <w:color w:val="auto"/>
          <w:kern w:val="2"/>
          <w:sz w:val="24"/>
          <w:szCs w:val="24"/>
          <w:highlight w:val="none"/>
          <w:lang w:val="hr-HR" w:eastAsia="zh-CN" w:bidi="ar-SA"/>
        </w:rPr>
        <w:t>地点</w:t>
      </w:r>
      <w:bookmarkEnd w:id="54"/>
      <w:bookmarkStart w:id="55" w:name="_Hlk130457395"/>
      <w:bookmarkStart w:id="56" w:name="_Toc35393634"/>
      <w:bookmarkStart w:id="57" w:name="_Toc35393803"/>
      <w:bookmarkStart w:id="58" w:name="_Toc28359094"/>
      <w:bookmarkStart w:id="59" w:name="_Toc28359017"/>
      <w:bookmarkStart w:id="60" w:name="_Toc44583633"/>
    </w:p>
    <w:p w14:paraId="2D110B47">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480" w:firstLineChars="200"/>
        <w:textAlignment w:val="auto"/>
        <w:rPr>
          <w:rFonts w:hint="eastAsia" w:ascii="宋体" w:hAnsi="宋体" w:eastAsia="宋体" w:cs="宋体"/>
          <w:b w:val="0"/>
          <w:bCs w:val="0"/>
          <w:color w:val="auto"/>
          <w:sz w:val="24"/>
          <w:highlight w:val="none"/>
        </w:rPr>
      </w:pPr>
      <w:bookmarkStart w:id="61" w:name="_Toc27649"/>
      <w:bookmarkStart w:id="62" w:name="_Toc3967"/>
      <w:bookmarkStart w:id="63" w:name="_Toc29336"/>
      <w:bookmarkStart w:id="64" w:name="_Toc20025"/>
      <w:r>
        <w:rPr>
          <w:rFonts w:hint="eastAsia" w:ascii="宋体" w:hAnsi="宋体" w:eastAsia="宋体" w:cs="宋体"/>
          <w:b w:val="0"/>
          <w:bCs w:val="0"/>
          <w:color w:val="auto"/>
          <w:sz w:val="24"/>
          <w:highlight w:val="none"/>
        </w:rPr>
        <w:t>1.截止时间</w:t>
      </w:r>
      <w:r>
        <w:rPr>
          <w:rFonts w:hint="eastAsia" w:ascii="宋体" w:hAnsi="宋体" w:eastAsia="宋体" w:cs="宋体"/>
          <w:b w:val="0"/>
          <w:bCs w:val="0"/>
          <w:color w:val="auto"/>
          <w:sz w:val="24"/>
          <w:highlight w:val="none"/>
          <w:lang w:val="en-US"/>
        </w:rPr>
        <w:t>/</w:t>
      </w:r>
      <w:r>
        <w:rPr>
          <w:rFonts w:hint="eastAsia" w:ascii="宋体" w:hAnsi="宋体" w:eastAsia="宋体" w:cs="宋体"/>
          <w:b w:val="0"/>
          <w:bCs w:val="0"/>
          <w:color w:val="auto"/>
          <w:sz w:val="24"/>
          <w:highlight w:val="none"/>
        </w:rPr>
        <w:t>开标时间：</w:t>
      </w:r>
      <w:r>
        <w:rPr>
          <w:rFonts w:hint="eastAsia" w:ascii="宋体" w:hAnsi="宋体" w:cs="宋体"/>
          <w:b w:val="0"/>
          <w:bCs w:val="0"/>
          <w:color w:val="auto"/>
          <w:sz w:val="24"/>
          <w:highlight w:val="none"/>
          <w:u w:val="single"/>
          <w:lang w:eastAsia="zh-CN"/>
        </w:rPr>
        <w:t>2025年07月25日10时30分</w:t>
      </w:r>
      <w:r>
        <w:rPr>
          <w:rFonts w:hint="eastAsia" w:ascii="宋体" w:hAnsi="宋体" w:eastAsia="宋体" w:cs="宋体"/>
          <w:b w:val="0"/>
          <w:bCs w:val="0"/>
          <w:color w:val="auto"/>
          <w:sz w:val="24"/>
          <w:highlight w:val="none"/>
        </w:rPr>
        <w:t>（北京时间）。</w:t>
      </w:r>
      <w:bookmarkEnd w:id="61"/>
      <w:bookmarkEnd w:id="62"/>
      <w:bookmarkEnd w:id="63"/>
      <w:bookmarkEnd w:id="64"/>
    </w:p>
    <w:p w14:paraId="51B173F3">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2.递交方式：</w:t>
      </w:r>
      <w:bookmarkStart w:id="65" w:name="_Hlk89807823"/>
      <w:r>
        <w:rPr>
          <w:rFonts w:hint="eastAsia" w:ascii="宋体" w:hAnsi="宋体" w:eastAsia="宋体" w:cs="宋体"/>
          <w:color w:val="auto"/>
          <w:sz w:val="24"/>
          <w:highlight w:val="none"/>
        </w:rPr>
        <w:t>在</w:t>
      </w:r>
      <w:r>
        <w:rPr>
          <w:rFonts w:hint="eastAsia" w:cs="宋体"/>
          <w:color w:val="auto"/>
          <w:sz w:val="24"/>
          <w:highlight w:val="none"/>
          <w:lang w:eastAsia="zh-CN"/>
        </w:rPr>
        <w:t>政采云平台线上</w:t>
      </w:r>
      <w:r>
        <w:rPr>
          <w:rFonts w:hint="eastAsia" w:ascii="宋体" w:hAnsi="宋体" w:eastAsia="宋体" w:cs="宋体"/>
          <w:color w:val="auto"/>
          <w:sz w:val="24"/>
          <w:highlight w:val="none"/>
        </w:rPr>
        <w:t>进入“项目采购”应用，在投标文件上传菜单中选择项目进行上传。</w:t>
      </w:r>
      <w:bookmarkEnd w:id="65"/>
    </w:p>
    <w:p w14:paraId="276D3E17">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3.开标</w:t>
      </w:r>
      <w:r>
        <w:rPr>
          <w:rFonts w:hint="eastAsia" w:ascii="宋体" w:hAnsi="宋体" w:eastAsia="宋体" w:cs="宋体"/>
          <w:color w:val="auto"/>
          <w:sz w:val="24"/>
          <w:highlight w:val="none"/>
          <w:lang w:val="en-US"/>
        </w:rPr>
        <w:t>地点</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投标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lang w:val="en-US"/>
        </w:rPr>
        <w:t>登录政采云平台https</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rPr>
        <w:t>//www.zcygov.cn/，进入项目采购-开</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lang w:val="en-US"/>
        </w:rPr>
        <w:t>评标-右边选择对应项目点击“进入项目”进入开标大厅</w:t>
      </w:r>
      <w:r>
        <w:rPr>
          <w:rFonts w:hint="eastAsia" w:ascii="宋体" w:hAnsi="宋体" w:eastAsia="宋体" w:cs="宋体"/>
          <w:color w:val="auto"/>
          <w:sz w:val="24"/>
          <w:highlight w:val="none"/>
        </w:rPr>
        <w:t>。</w:t>
      </w:r>
    </w:p>
    <w:bookmarkEnd w:id="55"/>
    <w:p w14:paraId="679A69E0">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66" w:name="_Toc109899833"/>
      <w:bookmarkStart w:id="67" w:name="_Toc24036"/>
      <w:bookmarkStart w:id="68" w:name="_Toc109899414"/>
      <w:bookmarkStart w:id="69" w:name="_Toc140132749"/>
      <w:bookmarkStart w:id="70" w:name="_Toc155185864"/>
      <w:bookmarkStart w:id="71" w:name="_Toc109900252"/>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hr-HR" w:eastAsia="zh-CN" w:bidi="ar-SA"/>
        </w:rPr>
        <w:t>公告期限</w:t>
      </w:r>
      <w:bookmarkEnd w:id="56"/>
      <w:bookmarkEnd w:id="57"/>
      <w:bookmarkEnd w:id="58"/>
      <w:bookmarkEnd w:id="59"/>
      <w:bookmarkEnd w:id="60"/>
      <w:bookmarkEnd w:id="66"/>
      <w:bookmarkEnd w:id="67"/>
      <w:bookmarkEnd w:id="68"/>
      <w:bookmarkEnd w:id="69"/>
      <w:bookmarkEnd w:id="70"/>
      <w:bookmarkEnd w:id="71"/>
    </w:p>
    <w:p w14:paraId="32028F42">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自招标公告发布之日起5个工作日。</w:t>
      </w:r>
    </w:p>
    <w:p w14:paraId="20DD1AA0">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72" w:name="_Toc109899415"/>
      <w:bookmarkStart w:id="73" w:name="_Toc35393635"/>
      <w:bookmarkStart w:id="74" w:name="_Toc35393804"/>
      <w:bookmarkStart w:id="75" w:name="_Toc140132750"/>
      <w:bookmarkStart w:id="76" w:name="_Toc109900253"/>
      <w:bookmarkStart w:id="77" w:name="_Toc44583634"/>
      <w:bookmarkStart w:id="78" w:name="_Toc155185865"/>
      <w:bookmarkStart w:id="79" w:name="_Toc109899834"/>
      <w:bookmarkStart w:id="80" w:name="_Toc22515"/>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hr-HR" w:eastAsia="zh-CN" w:bidi="ar-SA"/>
        </w:rPr>
        <w:t>其他补充事宜</w:t>
      </w:r>
      <w:bookmarkEnd w:id="72"/>
      <w:bookmarkEnd w:id="73"/>
      <w:bookmarkEnd w:id="74"/>
      <w:bookmarkEnd w:id="75"/>
      <w:bookmarkEnd w:id="76"/>
      <w:bookmarkEnd w:id="77"/>
      <w:bookmarkEnd w:id="78"/>
      <w:bookmarkEnd w:id="79"/>
      <w:bookmarkEnd w:id="80"/>
    </w:p>
    <w:p w14:paraId="39792BD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1、本次采购采用电子交易方式，电子交易平台为“小额招采专区平台（https://xezc.zcygov.cn/）”。投标人参与本项目电子交易活动前，应注册成为政府采购云平台投标人。编制电子投标文件前还需申领CA证书并绑定帐号。投标人应充分考虑完成平台注册、申领CA证书等所需的时间。因未注册入库、未办理CA数字证书等原因造成无法投标或投标失败等后果由投标人自行承担。</w:t>
      </w:r>
    </w:p>
    <w:p w14:paraId="64FD1C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人将政采云电子交易客户端下载、安装完成后，可通过账号密码或CA登录客户端进行投标文件制作。在使用政采云投标客户端时，建议使用WIN7及以上操作系统。客户端请至小额招采专区平台（https://xezc.zcygov.cn/）操作指南查看，如有问题可拨打政采云客户服务热线95763进行咨询。</w:t>
      </w:r>
    </w:p>
    <w:p w14:paraId="3929D8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3、加密的电子投标文件（.jmbs格式）应在投标文件递交截止时间前通过政采云平台上传完成。</w:t>
      </w:r>
    </w:p>
    <w:p w14:paraId="518A592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投标文件开启当日，投标人无需到达开标现场，仅需通过政采云平台“不见面”开标大厅完成远程解密、开标唱标、询标澄清、结果公布等交互环节。投标人必须使用能正确解密投标文件的“CA锁”在规定的时间内完成远程解密，因投标人原因未能解密、解密失败或解密超时，视为投标人撤销其投标文件。</w:t>
      </w:r>
    </w:p>
    <w:p w14:paraId="1D542355">
      <w:pPr>
        <w:pStyle w:val="36"/>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sz w:val="24"/>
          <w:szCs w:val="24"/>
          <w:highlight w:val="none"/>
        </w:rPr>
        <w:t>5、逾期上传或者未上传指定地点的投标文件，采购人不予受理。</w:t>
      </w:r>
    </w:p>
    <w:p w14:paraId="723251BD">
      <w:pPr>
        <w:pStyle w:val="4"/>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line="360" w:lineRule="auto"/>
        <w:ind w:left="420" w:leftChars="0" w:hanging="420" w:firstLineChars="0"/>
        <w:textAlignment w:val="auto"/>
        <w:rPr>
          <w:rFonts w:hint="eastAsia" w:ascii="宋体" w:hAnsi="宋体" w:eastAsia="宋体" w:cs="宋体"/>
          <w:b/>
          <w:bCs/>
          <w:color w:val="auto"/>
          <w:kern w:val="2"/>
          <w:sz w:val="24"/>
          <w:szCs w:val="24"/>
          <w:highlight w:val="none"/>
          <w:lang w:val="hr-HR" w:eastAsia="zh-CN" w:bidi="ar-SA"/>
        </w:rPr>
      </w:pPr>
      <w:bookmarkStart w:id="81" w:name="_Toc155185866"/>
      <w:bookmarkStart w:id="82" w:name="_Toc109899835"/>
      <w:bookmarkStart w:id="83" w:name="_Toc35393636"/>
      <w:bookmarkStart w:id="84" w:name="_Toc28359018"/>
      <w:bookmarkStart w:id="85" w:name="_Toc109899416"/>
      <w:bookmarkStart w:id="86" w:name="_Toc109900254"/>
      <w:bookmarkStart w:id="87" w:name="_Toc140132751"/>
      <w:bookmarkStart w:id="88" w:name="_Toc44583635"/>
      <w:bookmarkStart w:id="89" w:name="_Toc35393805"/>
      <w:bookmarkStart w:id="90" w:name="_Toc28359095"/>
      <w:bookmarkStart w:id="91" w:name="_Toc20894"/>
      <w:r>
        <w:rPr>
          <w:rFonts w:hint="eastAsia" w:ascii="宋体" w:hAnsi="宋体" w:eastAsia="宋体" w:cs="宋体"/>
          <w:b/>
          <w:bCs/>
          <w:color w:val="auto"/>
          <w:kern w:val="2"/>
          <w:sz w:val="24"/>
          <w:szCs w:val="24"/>
          <w:highlight w:val="none"/>
          <w:lang w:val="en-US" w:eastAsia="zh-CN" w:bidi="ar-SA"/>
        </w:rPr>
        <w:t>七、</w:t>
      </w:r>
      <w:bookmarkEnd w:id="81"/>
      <w:bookmarkEnd w:id="82"/>
      <w:bookmarkEnd w:id="83"/>
      <w:bookmarkEnd w:id="84"/>
      <w:bookmarkEnd w:id="85"/>
      <w:bookmarkEnd w:id="86"/>
      <w:bookmarkEnd w:id="87"/>
      <w:bookmarkEnd w:id="88"/>
      <w:bookmarkEnd w:id="89"/>
      <w:bookmarkEnd w:id="90"/>
      <w:r>
        <w:rPr>
          <w:rFonts w:hint="eastAsia" w:ascii="宋体" w:hAnsi="宋体" w:eastAsia="宋体" w:cs="宋体"/>
          <w:b/>
          <w:bCs/>
          <w:color w:val="auto"/>
          <w:kern w:val="2"/>
          <w:sz w:val="24"/>
          <w:szCs w:val="24"/>
          <w:highlight w:val="none"/>
          <w:lang w:val="hr-HR" w:eastAsia="zh-CN" w:bidi="ar-SA"/>
        </w:rPr>
        <w:t>对本次</w:t>
      </w:r>
      <w:r>
        <w:rPr>
          <w:rFonts w:hint="eastAsia" w:ascii="宋体" w:hAnsi="宋体" w:eastAsia="宋体" w:cs="宋体"/>
          <w:b/>
          <w:bCs/>
          <w:color w:val="auto"/>
          <w:kern w:val="2"/>
          <w:sz w:val="24"/>
          <w:szCs w:val="24"/>
          <w:highlight w:val="none"/>
          <w:lang w:val="en-US" w:eastAsia="zh-CN" w:bidi="ar-SA"/>
        </w:rPr>
        <w:t>招标</w:t>
      </w:r>
      <w:r>
        <w:rPr>
          <w:rFonts w:hint="eastAsia" w:ascii="宋体" w:hAnsi="宋体" w:eastAsia="宋体" w:cs="宋体"/>
          <w:b/>
          <w:bCs/>
          <w:color w:val="auto"/>
          <w:kern w:val="2"/>
          <w:sz w:val="24"/>
          <w:szCs w:val="24"/>
          <w:highlight w:val="none"/>
          <w:lang w:val="hr-HR" w:eastAsia="zh-CN" w:bidi="ar-SA"/>
        </w:rPr>
        <w:t>提出询问，请按以下方式联系</w:t>
      </w:r>
      <w:bookmarkEnd w:id="91"/>
    </w:p>
    <w:p w14:paraId="6975648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1.采购人信息</w:t>
      </w:r>
    </w:p>
    <w:p w14:paraId="768B8BA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名称：乌鲁木齐市米东区中医医院</w:t>
      </w:r>
    </w:p>
    <w:p w14:paraId="0E3289D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地址：乌鲁木齐市米东区府前中路1055号</w:t>
      </w:r>
    </w:p>
    <w:p w14:paraId="53C9483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联系方式：孙继刚</w:t>
      </w:r>
      <w:r>
        <w:rPr>
          <w:rFonts w:hint="eastAsia" w:ascii="宋体" w:hAnsi="宋体" w:eastAsia="宋体" w:cs="宋体"/>
          <w:sz w:val="24"/>
          <w:szCs w:val="24"/>
          <w:highlight w:val="none"/>
          <w:lang w:eastAsia="zh-CN"/>
        </w:rPr>
        <w:t>0991-7892187</w:t>
      </w:r>
    </w:p>
    <w:p w14:paraId="4919E5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2.采购代理机构信息</w:t>
      </w:r>
    </w:p>
    <w:p w14:paraId="7420B54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名 称：新疆沃图恒辉建设工程项目管理有限公司</w:t>
      </w:r>
    </w:p>
    <w:p w14:paraId="4896B7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地 址：</w:t>
      </w:r>
      <w:r>
        <w:rPr>
          <w:rFonts w:hint="eastAsia" w:cs="宋体"/>
          <w:sz w:val="24"/>
          <w:szCs w:val="24"/>
          <w:highlight w:val="none"/>
          <w:lang w:eastAsia="zh-CN"/>
        </w:rPr>
        <w:t>乌鲁木齐市水磨沟区红光山路2588号绿地中心领海大厦1905A室</w:t>
      </w:r>
    </w:p>
    <w:p w14:paraId="718BC8E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联系方式：</w:t>
      </w:r>
      <w:r>
        <w:rPr>
          <w:rFonts w:hint="eastAsia" w:ascii="宋体" w:hAnsi="宋体" w:eastAsia="宋体" w:cs="宋体"/>
          <w:sz w:val="24"/>
          <w:szCs w:val="24"/>
          <w:highlight w:val="none"/>
        </w:rPr>
        <w:t>霍靖萱</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 xml:space="preserve">15509945897  </w:t>
      </w:r>
    </w:p>
    <w:p w14:paraId="557E33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3.项目联系方式</w:t>
      </w:r>
    </w:p>
    <w:p w14:paraId="09D59D18">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项目联系人：霍靖萱</w:t>
      </w:r>
      <w:r>
        <w:rPr>
          <w:rFonts w:hint="eastAsia" w:ascii="宋体" w:hAnsi="宋体" w:eastAsia="宋体" w:cs="宋体"/>
          <w:sz w:val="24"/>
          <w:szCs w:val="24"/>
          <w:highlight w:val="none"/>
          <w:lang w:eastAsia="zh-CN"/>
        </w:rPr>
        <w:t xml:space="preserve">  </w:t>
      </w:r>
    </w:p>
    <w:p w14:paraId="0E1E5C0E">
      <w:pPr>
        <w:pStyle w:val="36"/>
        <w:keepNext w:val="0"/>
        <w:keepLines w:val="0"/>
        <w:pageBreakBefore w:val="0"/>
        <w:widowControl w:val="0"/>
        <w:kinsoku/>
        <w:wordWrap w:val="0"/>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sz w:val="24"/>
          <w:szCs w:val="24"/>
          <w:highlight w:val="none"/>
        </w:rPr>
        <w:t>电话：</w:t>
      </w:r>
      <w:r>
        <w:rPr>
          <w:rFonts w:hint="eastAsia" w:ascii="宋体" w:hAnsi="宋体" w:eastAsia="宋体" w:cs="宋体"/>
          <w:sz w:val="24"/>
          <w:szCs w:val="24"/>
          <w:highlight w:val="none"/>
          <w:lang w:eastAsia="zh-CN"/>
        </w:rPr>
        <w:t>15509945897</w:t>
      </w:r>
    </w:p>
    <w:p w14:paraId="3EF17BC4">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ADF3AE0">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B793992">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34A5BC61">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pPr>
    </w:p>
    <w:p w14:paraId="7A53C82D">
      <w:pPr>
        <w:pageBreakBefore w:val="0"/>
        <w:widowControl w:val="0"/>
        <w:kinsoku/>
        <w:overflowPunct/>
        <w:topLinePunct w:val="0"/>
        <w:autoSpaceDE/>
        <w:autoSpaceDN/>
        <w:bidi w:val="0"/>
        <w:adjustRightInd/>
        <w:snapToGrid/>
        <w:spacing w:line="360" w:lineRule="auto"/>
        <w:textAlignment w:val="auto"/>
        <w:rPr>
          <w:rFonts w:hint="eastAsia" w:ascii="宋体" w:hAnsi="宋体" w:eastAsia="宋体" w:cs="宋体"/>
          <w:color w:val="auto"/>
          <w:sz w:val="24"/>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4D23FB4C">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92" w:name="_Toc6667"/>
      <w:bookmarkStart w:id="93" w:name="_Toc155185867"/>
      <w:r>
        <w:rPr>
          <w:rFonts w:hint="eastAsia" w:ascii="宋体" w:hAnsi="宋体" w:eastAsia="宋体" w:cs="宋体"/>
          <w:b/>
          <w:bCs/>
          <w:color w:val="auto"/>
          <w:kern w:val="44"/>
          <w:sz w:val="36"/>
          <w:szCs w:val="36"/>
          <w:highlight w:val="none"/>
          <w:lang w:val="en-US" w:eastAsia="zh-CN" w:bidi="ar-SA"/>
        </w:rPr>
        <w:t>第二章 投标人须知</w:t>
      </w:r>
      <w:bookmarkEnd w:id="92"/>
      <w:bookmarkEnd w:id="93"/>
    </w:p>
    <w:bookmarkEnd w:id="3"/>
    <w:p w14:paraId="5A1F6903">
      <w:pPr>
        <w:pStyle w:val="4"/>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94" w:name="_Toc155185868"/>
      <w:bookmarkStart w:id="95" w:name="_Toc6574"/>
      <w:r>
        <w:rPr>
          <w:rFonts w:hint="eastAsia" w:eastAsia="宋体" w:asciiTheme="majorHAnsi" w:hAnsiTheme="majorHAnsi" w:cstheme="majorBidi"/>
          <w:b/>
          <w:bCs/>
          <w:color w:val="auto"/>
          <w:kern w:val="2"/>
          <w:sz w:val="28"/>
          <w:szCs w:val="28"/>
          <w:highlight w:val="none"/>
          <w:lang w:val="en-US" w:eastAsia="zh-CN" w:bidi="ar-SA"/>
        </w:rPr>
        <w:t>一、投标人须知前附表</w:t>
      </w:r>
      <w:bookmarkEnd w:id="94"/>
      <w:bookmarkEnd w:id="95"/>
    </w:p>
    <w:tbl>
      <w:tblPr>
        <w:tblStyle w:val="29"/>
        <w:tblW w:w="9391" w:type="dxa"/>
        <w:tblInd w:w="-45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965"/>
        <w:gridCol w:w="6"/>
        <w:gridCol w:w="6444"/>
        <w:gridCol w:w="6"/>
      </w:tblGrid>
      <w:tr w14:paraId="5EEA9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5EA5529">
            <w:pPr>
              <w:pStyle w:val="48"/>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条款号</w:t>
            </w:r>
          </w:p>
        </w:tc>
        <w:tc>
          <w:tcPr>
            <w:tcW w:w="1971"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60503F1">
            <w:pPr>
              <w:pStyle w:val="48"/>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条款名称</w:t>
            </w:r>
          </w:p>
        </w:tc>
        <w:tc>
          <w:tcPr>
            <w:tcW w:w="6450" w:type="dxa"/>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777820C">
            <w:pPr>
              <w:pStyle w:val="48"/>
              <w:jc w:val="center"/>
              <w:rPr>
                <w:rFonts w:hint="eastAsia" w:ascii="宋体" w:hAnsi="宋体" w:eastAsia="宋体" w:cs="宋体"/>
                <w:b/>
                <w:bCs/>
                <w:i w:val="0"/>
                <w:iCs w:val="0"/>
                <w:color w:val="auto"/>
                <w:sz w:val="24"/>
                <w:szCs w:val="24"/>
                <w:highlight w:val="none"/>
              </w:rPr>
            </w:pPr>
            <w:r>
              <w:rPr>
                <w:rFonts w:hint="eastAsia" w:ascii="宋体" w:hAnsi="宋体" w:eastAsia="宋体" w:cs="宋体"/>
                <w:b/>
                <w:bCs/>
                <w:i w:val="0"/>
                <w:iCs w:val="0"/>
                <w:color w:val="auto"/>
                <w:sz w:val="24"/>
                <w:szCs w:val="24"/>
                <w:highlight w:val="none"/>
              </w:rPr>
              <w:t>内  容</w:t>
            </w:r>
          </w:p>
        </w:tc>
      </w:tr>
      <w:tr w14:paraId="00CDAA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vAlign w:val="center"/>
          </w:tcPr>
          <w:p w14:paraId="66D2FF53">
            <w:pPr>
              <w:pStyle w:val="48"/>
              <w:jc w:val="center"/>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1.1</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7ACDA765">
            <w:pPr>
              <w:pStyle w:val="74"/>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项目名称</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090866C0">
            <w:pPr>
              <w:pStyle w:val="48"/>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乌鲁木齐市米东区中医医院采购家具家电项目</w:t>
            </w:r>
          </w:p>
        </w:tc>
      </w:tr>
      <w:tr w14:paraId="1A2C34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vAlign w:val="center"/>
          </w:tcPr>
          <w:p w14:paraId="51B4D3BA">
            <w:pPr>
              <w:pStyle w:val="48"/>
              <w:jc w:val="center"/>
              <w:rPr>
                <w:rFonts w:hint="eastAsia"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1.2</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3752C0DF">
            <w:pPr>
              <w:pStyle w:val="74"/>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采购人</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25E18BF9">
            <w:pPr>
              <w:pStyle w:val="48"/>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乌鲁木齐市米东区中医医院</w:t>
            </w:r>
          </w:p>
        </w:tc>
      </w:tr>
      <w:tr w14:paraId="4245B5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2812D225">
            <w:pPr>
              <w:pStyle w:val="48"/>
              <w:jc w:val="center"/>
              <w:rPr>
                <w:rFonts w:hint="eastAsia" w:ascii="宋体" w:hAnsi="宋体" w:eastAsia="宋体" w:cs="宋体"/>
                <w:i w:val="0"/>
                <w:iCs w:val="0"/>
                <w:color w:val="auto"/>
                <w:kern w:val="2"/>
                <w:sz w:val="24"/>
                <w:szCs w:val="24"/>
                <w:highlight w:val="none"/>
                <w:lang w:val="en-US" w:eastAsia="zh-CN" w:bidi="ar-SA"/>
              </w:rPr>
            </w:pPr>
            <w:r>
              <w:rPr>
                <w:rFonts w:hint="eastAsia" w:cs="宋体"/>
                <w:i w:val="0"/>
                <w:iCs w:val="0"/>
                <w:color w:val="auto"/>
                <w:sz w:val="24"/>
                <w:szCs w:val="24"/>
                <w:highlight w:val="none"/>
                <w:lang w:val="en-US" w:eastAsia="zh-CN"/>
              </w:rPr>
              <w:t>1.3</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36AE1C4C">
            <w:pPr>
              <w:pStyle w:val="74"/>
              <w:spacing w:before="1" w:line="360" w:lineRule="auto"/>
              <w:ind w:left="120" w:leftChars="0"/>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采购代理人</w:t>
            </w:r>
          </w:p>
        </w:tc>
        <w:tc>
          <w:tcPr>
            <w:tcW w:w="6450"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684EB5A4">
            <w:pPr>
              <w:pStyle w:val="48"/>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新疆沃图恒辉建设工程项目管理有限公司</w:t>
            </w:r>
          </w:p>
        </w:tc>
      </w:tr>
      <w:tr w14:paraId="4EE80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44C28C40">
            <w:pPr>
              <w:pStyle w:val="48"/>
              <w:jc w:val="center"/>
              <w:rPr>
                <w:rFonts w:hint="eastAsia" w:ascii="宋体" w:hAnsi="宋体" w:eastAsia="宋体" w:cs="宋体"/>
                <w:i w:val="0"/>
                <w:iCs w:val="0"/>
                <w:color w:val="auto"/>
                <w:kern w:val="2"/>
                <w:sz w:val="24"/>
                <w:szCs w:val="24"/>
                <w:highlight w:val="none"/>
                <w:lang w:val="en-US" w:eastAsia="zh-CN" w:bidi="ar-SA"/>
              </w:rPr>
            </w:pPr>
            <w:r>
              <w:rPr>
                <w:rFonts w:hint="eastAsia" w:cs="宋体"/>
                <w:i w:val="0"/>
                <w:iCs w:val="0"/>
                <w:color w:val="auto"/>
                <w:sz w:val="24"/>
                <w:szCs w:val="24"/>
                <w:highlight w:val="none"/>
                <w:lang w:val="en-US" w:eastAsia="zh-CN"/>
              </w:rPr>
              <w:t>1.4</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78FC9224">
            <w:pPr>
              <w:pStyle w:val="74"/>
              <w:spacing w:before="1" w:line="360" w:lineRule="auto"/>
              <w:ind w:left="120" w:leftChars="0"/>
              <w:rPr>
                <w:rFonts w:hint="eastAsia" w:ascii="宋体" w:hAnsi="宋体" w:eastAsia="宋体" w:cs="宋体"/>
                <w:snapToGrid w:val="0"/>
                <w:color w:val="auto"/>
                <w:kern w:val="0"/>
                <w:sz w:val="24"/>
                <w:szCs w:val="24"/>
                <w:highlight w:val="none"/>
                <w:u w:val="none"/>
                <w:lang w:val="en-US" w:eastAsia="zh-CN" w:bidi="ar-SA"/>
              </w:rPr>
            </w:pPr>
            <w:r>
              <w:rPr>
                <w:rFonts w:hint="eastAsia" w:ascii="宋体" w:hAnsi="宋体" w:eastAsia="宋体" w:cs="宋体"/>
                <w:snapToGrid w:val="0"/>
                <w:color w:val="auto"/>
                <w:kern w:val="0"/>
                <w:sz w:val="24"/>
                <w:szCs w:val="24"/>
                <w:highlight w:val="none"/>
                <w:u w:val="none"/>
                <w:lang w:val="en-US" w:eastAsia="zh-CN" w:bidi="ar-SA"/>
              </w:rPr>
              <w:t>招标范围</w:t>
            </w:r>
          </w:p>
        </w:tc>
        <w:tc>
          <w:tcPr>
            <w:tcW w:w="6450"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61E1529A">
            <w:pPr>
              <w:pStyle w:val="48"/>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采购家电家具，详见招标文件采购需求</w:t>
            </w:r>
          </w:p>
        </w:tc>
      </w:tr>
      <w:tr w14:paraId="5366B9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12D45AFC">
            <w:pPr>
              <w:jc w:val="center"/>
              <w:rPr>
                <w:rFonts w:hint="default" w:ascii="宋体" w:hAnsi="宋体" w:eastAsia="宋体" w:cs="宋体"/>
                <w:i w:val="0"/>
                <w:iCs w:val="0"/>
                <w:color w:val="auto"/>
                <w:kern w:val="2"/>
                <w:sz w:val="24"/>
                <w:szCs w:val="24"/>
                <w:highlight w:val="none"/>
                <w:lang w:val="en-US" w:eastAsia="zh-CN" w:bidi="ar-SA"/>
              </w:rPr>
            </w:pPr>
            <w:r>
              <w:rPr>
                <w:rFonts w:hint="eastAsia" w:cs="宋体"/>
                <w:i w:val="0"/>
                <w:iCs w:val="0"/>
                <w:color w:val="auto"/>
                <w:sz w:val="24"/>
                <w:szCs w:val="24"/>
                <w:highlight w:val="none"/>
                <w:lang w:val="en-US" w:eastAsia="zh-CN"/>
              </w:rPr>
              <w:t>1.5</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07DA6C56">
            <w:pPr>
              <w:pStyle w:val="74"/>
              <w:spacing w:before="1" w:line="360" w:lineRule="auto"/>
              <w:ind w:left="120" w:leftChars="0"/>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项目编号</w:t>
            </w:r>
          </w:p>
        </w:tc>
        <w:tc>
          <w:tcPr>
            <w:tcW w:w="6450"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23BC1A39">
            <w:pPr>
              <w:pStyle w:val="48"/>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kern w:val="2"/>
                <w:sz w:val="24"/>
                <w:szCs w:val="24"/>
                <w:highlight w:val="none"/>
                <w:u w:val="none"/>
                <w:lang w:val="en-US" w:eastAsia="zh-CN" w:bidi="ar-SA"/>
              </w:rPr>
            </w:pPr>
            <w:r>
              <w:rPr>
                <w:rFonts w:hint="eastAsia" w:ascii="宋体" w:hAnsi="宋体" w:eastAsia="宋体" w:cs="宋体"/>
                <w:i w:val="0"/>
                <w:iCs w:val="0"/>
                <w:color w:val="auto"/>
                <w:kern w:val="2"/>
                <w:sz w:val="24"/>
                <w:szCs w:val="24"/>
                <w:highlight w:val="none"/>
                <w:u w:val="none"/>
                <w:lang w:val="en-US" w:eastAsia="zh-CN" w:bidi="ar-SA"/>
              </w:rPr>
              <w:t>WTHH-ZB2025132</w:t>
            </w:r>
          </w:p>
        </w:tc>
      </w:tr>
      <w:tr w14:paraId="18D98E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shd w:val="clear" w:color="auto" w:fill="auto"/>
            <w:vAlign w:val="center"/>
          </w:tcPr>
          <w:p w14:paraId="39F725DA">
            <w:pPr>
              <w:jc w:val="center"/>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1.6</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439635DA">
            <w:pPr>
              <w:pStyle w:val="74"/>
              <w:spacing w:before="1" w:line="360" w:lineRule="auto"/>
              <w:ind w:left="120" w:leftChars="0"/>
              <w:rPr>
                <w:rFonts w:hint="default"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采购预算金额</w:t>
            </w:r>
          </w:p>
        </w:tc>
        <w:tc>
          <w:tcPr>
            <w:tcW w:w="6450"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67B4A3C1">
            <w:pPr>
              <w:pStyle w:val="48"/>
              <w:keepNext w:val="0"/>
              <w:keepLines w:val="0"/>
              <w:pageBreakBefore w:val="0"/>
              <w:widowControl w:val="0"/>
              <w:kinsoku/>
              <w:wordWrap/>
              <w:overflowPunct/>
              <w:topLinePunct w:val="0"/>
              <w:autoSpaceDE/>
              <w:autoSpaceDN/>
              <w:bidi w:val="0"/>
              <w:adjustRightInd/>
              <w:snapToGrid/>
              <w:jc w:val="both"/>
              <w:textAlignment w:val="auto"/>
              <w:rPr>
                <w:rFonts w:hint="default" w:ascii="宋体" w:hAnsi="宋体" w:eastAsia="宋体" w:cs="宋体"/>
                <w:i w:val="0"/>
                <w:iCs w:val="0"/>
                <w:color w:val="auto"/>
                <w:kern w:val="2"/>
                <w:sz w:val="24"/>
                <w:szCs w:val="24"/>
                <w:highlight w:val="none"/>
                <w:u w:val="none"/>
                <w:lang w:val="en-US" w:eastAsia="zh-CN" w:bidi="ar-SA"/>
              </w:rPr>
            </w:pPr>
            <w:r>
              <w:rPr>
                <w:rFonts w:hint="eastAsia" w:cs="宋体"/>
                <w:i w:val="0"/>
                <w:iCs w:val="0"/>
                <w:color w:val="auto"/>
                <w:kern w:val="2"/>
                <w:sz w:val="24"/>
                <w:szCs w:val="24"/>
                <w:highlight w:val="none"/>
                <w:u w:val="none"/>
                <w:lang w:val="en-US" w:eastAsia="zh-CN" w:bidi="ar-SA"/>
              </w:rPr>
              <w:t>20万元</w:t>
            </w:r>
          </w:p>
        </w:tc>
      </w:tr>
      <w:tr w14:paraId="4EDC9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vAlign w:val="center"/>
          </w:tcPr>
          <w:p w14:paraId="0F8A4ECF">
            <w:pPr>
              <w:jc w:val="center"/>
              <w:rPr>
                <w:rFonts w:hint="default" w:ascii="宋体" w:hAnsi="宋体" w:eastAsia="宋体"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1.7</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12C61B26">
            <w:pPr>
              <w:pStyle w:val="36"/>
              <w:keepNext w:val="0"/>
              <w:keepLines w:val="0"/>
              <w:pageBreakBefore w:val="0"/>
              <w:widowControl w:val="0"/>
              <w:kinsoku/>
              <w:wordWrap w:val="0"/>
              <w:overflowPunct/>
              <w:topLinePunct w:val="0"/>
              <w:autoSpaceDE/>
              <w:autoSpaceDN/>
              <w:bidi w:val="0"/>
              <w:adjustRightInd/>
              <w:snapToGrid/>
              <w:spacing w:before="1" w:line="360" w:lineRule="auto"/>
              <w:textAlignment w:val="auto"/>
              <w:rPr>
                <w:rFonts w:hint="default"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服务</w:t>
            </w:r>
            <w:r>
              <w:rPr>
                <w:rFonts w:hint="eastAsia" w:ascii="宋体" w:hAnsi="宋体" w:eastAsia="宋体" w:cs="宋体"/>
                <w:snapToGrid w:val="0"/>
                <w:color w:val="auto"/>
                <w:kern w:val="0"/>
                <w:sz w:val="24"/>
                <w:szCs w:val="24"/>
                <w:highlight w:val="none"/>
                <w:lang w:val="en-US" w:eastAsia="zh-CN" w:bidi="ar-SA"/>
              </w:rPr>
              <w:t>期</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73F677CC">
            <w:pPr>
              <w:pStyle w:val="36"/>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i w:val="0"/>
                <w:iCs w:val="0"/>
                <w:color w:val="auto"/>
                <w:sz w:val="24"/>
                <w:szCs w:val="24"/>
                <w:highlight w:val="none"/>
                <w:u w:val="none"/>
                <w:lang w:val="en-US" w:eastAsia="zh-CN"/>
              </w:rPr>
            </w:pPr>
            <w:r>
              <w:rPr>
                <w:rFonts w:hint="eastAsia" w:ascii="宋体" w:hAnsi="宋体" w:eastAsia="宋体" w:cs="宋体"/>
                <w:sz w:val="24"/>
                <w:highlight w:val="none"/>
                <w:u w:val="none"/>
                <w:lang w:val="en-US" w:eastAsia="zh-CN"/>
              </w:rPr>
              <w:t>签订合同后</w:t>
            </w:r>
            <w:r>
              <w:rPr>
                <w:rFonts w:hint="eastAsia" w:cs="宋体"/>
                <w:sz w:val="24"/>
                <w:highlight w:val="none"/>
                <w:u w:val="none"/>
                <w:lang w:val="en-US" w:eastAsia="zh-CN"/>
              </w:rPr>
              <w:t>1年内，按需供货</w:t>
            </w:r>
          </w:p>
        </w:tc>
      </w:tr>
      <w:tr w14:paraId="63F52E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vAlign w:val="center"/>
          </w:tcPr>
          <w:p w14:paraId="31D2F304">
            <w:pPr>
              <w:jc w:val="center"/>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1.8</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4AFD08A5">
            <w:pPr>
              <w:pStyle w:val="36"/>
              <w:keepNext w:val="0"/>
              <w:keepLines w:val="0"/>
              <w:pageBreakBefore w:val="0"/>
              <w:widowControl w:val="0"/>
              <w:kinsoku/>
              <w:wordWrap w:val="0"/>
              <w:overflowPunct/>
              <w:topLinePunct w:val="0"/>
              <w:autoSpaceDE/>
              <w:autoSpaceDN/>
              <w:bidi w:val="0"/>
              <w:adjustRightInd/>
              <w:snapToGrid/>
              <w:spacing w:before="1" w:line="360" w:lineRule="auto"/>
              <w:textAlignment w:val="auto"/>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质保期</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45B58F85">
            <w:pPr>
              <w:pStyle w:val="36"/>
              <w:keepNext w:val="0"/>
              <w:keepLines w:val="0"/>
              <w:pageBreakBefore w:val="0"/>
              <w:widowControl w:val="0"/>
              <w:kinsoku/>
              <w:wordWrap w:val="0"/>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1年</w:t>
            </w:r>
          </w:p>
        </w:tc>
      </w:tr>
      <w:tr w14:paraId="567D48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vAlign w:val="center"/>
          </w:tcPr>
          <w:p w14:paraId="037301A6">
            <w:pPr>
              <w:jc w:val="center"/>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1.9</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5A611DDE">
            <w:pPr>
              <w:pStyle w:val="74"/>
              <w:spacing w:before="1" w:line="360" w:lineRule="auto"/>
              <w:ind w:left="120" w:leftChars="0"/>
              <w:rPr>
                <w:rFonts w:hint="default" w:ascii="宋体" w:hAnsi="宋体" w:eastAsia="宋体" w:cs="宋体"/>
                <w:snapToGrid w:val="0"/>
                <w:color w:val="auto"/>
                <w:kern w:val="0"/>
                <w:sz w:val="24"/>
                <w:szCs w:val="24"/>
                <w:highlight w:val="none"/>
                <w:u w:val="none"/>
                <w:lang w:val="en-US" w:eastAsia="zh-CN" w:bidi="ar-SA"/>
              </w:rPr>
            </w:pPr>
            <w:r>
              <w:rPr>
                <w:rFonts w:hint="eastAsia" w:cs="宋体"/>
                <w:snapToGrid w:val="0"/>
                <w:color w:val="auto"/>
                <w:kern w:val="0"/>
                <w:sz w:val="24"/>
                <w:szCs w:val="24"/>
                <w:highlight w:val="none"/>
                <w:u w:val="none"/>
                <w:lang w:val="en-US" w:eastAsia="zh-CN" w:bidi="ar-SA"/>
              </w:rPr>
              <w:t>资格要求</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35F42B66">
            <w:pPr>
              <w:pStyle w:val="48"/>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1.满足《中华人民共和国政府采购法》第二十二条规定；</w:t>
            </w:r>
          </w:p>
          <w:p w14:paraId="30AF3B5B">
            <w:pPr>
              <w:pStyle w:val="48"/>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2.落实政府采购政策需满足的资格要求：不专门面向中小企业</w:t>
            </w:r>
          </w:p>
          <w:p w14:paraId="1BF2481D">
            <w:pPr>
              <w:pStyle w:val="48"/>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3.本项目的特定资格要求：【无】</w:t>
            </w:r>
          </w:p>
        </w:tc>
      </w:tr>
      <w:tr w14:paraId="16074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vAlign w:val="center"/>
          </w:tcPr>
          <w:p w14:paraId="6F292A20">
            <w:pPr>
              <w:jc w:val="center"/>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1.10</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490854B8">
            <w:pPr>
              <w:pStyle w:val="74"/>
              <w:spacing w:before="1" w:line="360" w:lineRule="auto"/>
              <w:ind w:left="120" w:leftChars="0"/>
              <w:rPr>
                <w:rFonts w:hint="default"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响应文件递交</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7F677693">
            <w:pPr>
              <w:pStyle w:val="8"/>
              <w:spacing w:before="75" w:beforeAutospacing="0" w:after="75" w:afterAutospacing="0"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投标截止时间（开标时间）：</w:t>
            </w:r>
            <w:r>
              <w:rPr>
                <w:rFonts w:hint="eastAsia" w:cs="宋体"/>
                <w:color w:val="auto"/>
                <w:sz w:val="24"/>
                <w:szCs w:val="24"/>
                <w:highlight w:val="none"/>
                <w:lang w:val="en-US" w:eastAsia="zh-CN"/>
              </w:rPr>
              <w:t>2025年07月25日10时30分</w:t>
            </w:r>
            <w:r>
              <w:rPr>
                <w:rFonts w:hint="eastAsia" w:ascii="宋体" w:hAnsi="宋体" w:eastAsia="宋体" w:cs="宋体"/>
                <w:color w:val="auto"/>
                <w:sz w:val="24"/>
                <w:szCs w:val="24"/>
                <w:highlight w:val="none"/>
                <w:lang w:val="en-US" w:eastAsia="zh-CN"/>
              </w:rPr>
              <w:t>（北京时间）。</w:t>
            </w:r>
          </w:p>
          <w:p w14:paraId="5D3488DF">
            <w:pPr>
              <w:pStyle w:val="8"/>
              <w:spacing w:before="75" w:beforeAutospacing="0" w:after="75" w:afterAutospacing="0" w:line="360" w:lineRule="auto"/>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响应文件递交地址：政采云平台http://www.zcygov.cn政采云网上不见面开标系统</w:t>
            </w:r>
          </w:p>
        </w:tc>
      </w:tr>
      <w:tr w14:paraId="0FBCE2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0" w:hRule="atLeast"/>
        </w:trPr>
        <w:tc>
          <w:tcPr>
            <w:tcW w:w="970" w:type="dxa"/>
            <w:tcBorders>
              <w:top w:val="single" w:color="auto" w:sz="2" w:space="0"/>
              <w:left w:val="single" w:color="auto" w:sz="2" w:space="0"/>
              <w:bottom w:val="single" w:color="auto" w:sz="2" w:space="0"/>
              <w:right w:val="single" w:color="auto" w:sz="2" w:space="0"/>
            </w:tcBorders>
            <w:vAlign w:val="center"/>
          </w:tcPr>
          <w:p w14:paraId="6E0A18D3">
            <w:pPr>
              <w:jc w:val="center"/>
              <w:rPr>
                <w:rFonts w:hint="default" w:cs="宋体"/>
                <w:i w:val="0"/>
                <w:iCs w:val="0"/>
                <w:color w:val="auto"/>
                <w:sz w:val="24"/>
                <w:szCs w:val="24"/>
                <w:highlight w:val="none"/>
                <w:lang w:val="en-US" w:eastAsia="zh-CN"/>
              </w:rPr>
            </w:pPr>
            <w:r>
              <w:rPr>
                <w:rFonts w:hint="eastAsia" w:cs="宋体"/>
                <w:i w:val="0"/>
                <w:iCs w:val="0"/>
                <w:color w:val="auto"/>
                <w:sz w:val="24"/>
                <w:szCs w:val="24"/>
                <w:highlight w:val="none"/>
                <w:lang w:val="en-US" w:eastAsia="zh-CN"/>
              </w:rPr>
              <w:t>1.11</w:t>
            </w:r>
          </w:p>
        </w:tc>
        <w:tc>
          <w:tcPr>
            <w:tcW w:w="1971" w:type="dxa"/>
            <w:gridSpan w:val="2"/>
            <w:tcBorders>
              <w:top w:val="single" w:color="auto" w:sz="2" w:space="0"/>
              <w:left w:val="single" w:color="auto" w:sz="2" w:space="0"/>
              <w:bottom w:val="single" w:color="auto" w:sz="2" w:space="0"/>
              <w:right w:val="single" w:color="auto" w:sz="2" w:space="0"/>
            </w:tcBorders>
            <w:shd w:val="clear" w:color="auto" w:fill="auto"/>
            <w:vAlign w:val="center"/>
          </w:tcPr>
          <w:p w14:paraId="74A77AC5">
            <w:pPr>
              <w:pStyle w:val="74"/>
              <w:spacing w:before="1" w:line="360" w:lineRule="auto"/>
              <w:ind w:left="120" w:leftChars="0"/>
              <w:rPr>
                <w:rFonts w:hint="default" w:ascii="宋体" w:hAnsi="宋体" w:eastAsia="宋体" w:cs="宋体"/>
                <w:snapToGrid w:val="0"/>
                <w:color w:val="auto"/>
                <w:kern w:val="0"/>
                <w:sz w:val="24"/>
                <w:szCs w:val="24"/>
                <w:highlight w:val="none"/>
                <w:lang w:val="en-US" w:eastAsia="zh-CN" w:bidi="ar-SA"/>
              </w:rPr>
            </w:pPr>
            <w:r>
              <w:rPr>
                <w:rFonts w:hint="eastAsia" w:cs="宋体"/>
                <w:snapToGrid w:val="0"/>
                <w:color w:val="auto"/>
                <w:kern w:val="0"/>
                <w:sz w:val="24"/>
                <w:szCs w:val="24"/>
                <w:highlight w:val="none"/>
                <w:lang w:val="en-US" w:eastAsia="zh-CN" w:bidi="ar-SA"/>
              </w:rPr>
              <w:t>投标有效期</w:t>
            </w:r>
          </w:p>
        </w:tc>
        <w:tc>
          <w:tcPr>
            <w:tcW w:w="6450" w:type="dxa"/>
            <w:gridSpan w:val="2"/>
            <w:tcBorders>
              <w:top w:val="single" w:color="auto" w:sz="2" w:space="0"/>
              <w:left w:val="single" w:color="auto" w:sz="2" w:space="0"/>
              <w:bottom w:val="single" w:color="auto" w:sz="2" w:space="0"/>
              <w:right w:val="single" w:color="auto" w:sz="2" w:space="0"/>
            </w:tcBorders>
            <w:vAlign w:val="center"/>
          </w:tcPr>
          <w:p w14:paraId="00E3FC87">
            <w:pPr>
              <w:pStyle w:val="8"/>
              <w:spacing w:before="75" w:beforeAutospacing="0" w:after="75" w:afterAutospacing="0" w:line="360" w:lineRule="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90日历日</w:t>
            </w:r>
          </w:p>
        </w:tc>
      </w:tr>
      <w:tr w14:paraId="25C468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3A136892">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p>
        </w:tc>
        <w:tc>
          <w:tcPr>
            <w:tcW w:w="1965" w:type="dxa"/>
            <w:vAlign w:val="center"/>
          </w:tcPr>
          <w:p w14:paraId="117C18AE">
            <w:pPr>
              <w:pStyle w:val="48"/>
              <w:rPr>
                <w:rFonts w:hint="eastAsia" w:ascii="宋体" w:hAnsi="宋体" w:eastAsia="宋体" w:cs="宋体"/>
                <w:color w:val="auto"/>
                <w:sz w:val="24"/>
                <w:szCs w:val="24"/>
                <w:highlight w:val="none"/>
              </w:rPr>
            </w:pPr>
            <w:bookmarkStart w:id="96" w:name="_Hlk143529175"/>
            <w:r>
              <w:rPr>
                <w:rFonts w:hint="eastAsia" w:ascii="宋体" w:hAnsi="宋体" w:eastAsia="宋体" w:cs="宋体"/>
                <w:color w:val="auto"/>
                <w:sz w:val="24"/>
                <w:szCs w:val="24"/>
                <w:highlight w:val="none"/>
              </w:rPr>
              <w:t>现场考察</w:t>
            </w:r>
            <w:bookmarkEnd w:id="96"/>
          </w:p>
        </w:tc>
        <w:tc>
          <w:tcPr>
            <w:tcW w:w="6450" w:type="dxa"/>
            <w:gridSpan w:val="2"/>
            <w:vAlign w:val="center"/>
          </w:tcPr>
          <w:p w14:paraId="36549596">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不组织，投标人自行前往</w:t>
            </w:r>
            <w:r>
              <w:rPr>
                <w:rFonts w:hint="eastAsia" w:ascii="宋体" w:hAnsi="宋体" w:eastAsia="宋体" w:cs="宋体"/>
                <w:color w:val="auto"/>
                <w:sz w:val="24"/>
                <w:szCs w:val="24"/>
                <w:highlight w:val="none"/>
                <w:lang w:eastAsia="zh-CN"/>
              </w:rPr>
              <w:t>。</w:t>
            </w:r>
          </w:p>
          <w:p w14:paraId="70F71951">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0A578DA1">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FE8AF39">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31CF27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0D95D099">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9.5</w:t>
            </w:r>
          </w:p>
        </w:tc>
        <w:tc>
          <w:tcPr>
            <w:tcW w:w="1965" w:type="dxa"/>
            <w:vAlign w:val="center"/>
          </w:tcPr>
          <w:p w14:paraId="4A5FE036">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w:t>
            </w:r>
          </w:p>
        </w:tc>
        <w:tc>
          <w:tcPr>
            <w:tcW w:w="6450" w:type="dxa"/>
            <w:gridSpan w:val="2"/>
            <w:vAlign w:val="center"/>
          </w:tcPr>
          <w:p w14:paraId="6B78B750">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不组织</w:t>
            </w:r>
          </w:p>
          <w:p w14:paraId="3C61F0CD">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组织</w:t>
            </w:r>
          </w:p>
          <w:p w14:paraId="1279EA7E">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368AD2C">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67C3B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1A104107">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p>
        </w:tc>
        <w:tc>
          <w:tcPr>
            <w:tcW w:w="1965" w:type="dxa"/>
            <w:vAlign w:val="center"/>
          </w:tcPr>
          <w:p w14:paraId="79A1D807">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450" w:type="dxa"/>
            <w:gridSpan w:val="2"/>
            <w:vAlign w:val="center"/>
          </w:tcPr>
          <w:p w14:paraId="41DD7733">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投标截止</w:t>
            </w:r>
            <w:r>
              <w:rPr>
                <w:rFonts w:hint="eastAsia" w:ascii="宋体" w:hAnsi="宋体" w:eastAsia="宋体" w:cs="宋体"/>
                <w:color w:val="auto"/>
                <w:sz w:val="24"/>
                <w:szCs w:val="24"/>
                <w:highlight w:val="none"/>
                <w:lang w:val="en-US" w:eastAsia="zh-CN"/>
              </w:rPr>
              <w:t>时间</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u w:val="single"/>
              </w:rPr>
              <w:t>90</w:t>
            </w:r>
            <w:r>
              <w:rPr>
                <w:rFonts w:hint="eastAsia" w:ascii="宋体" w:hAnsi="宋体" w:eastAsia="宋体" w:cs="宋体"/>
                <w:color w:val="auto"/>
                <w:sz w:val="24"/>
                <w:szCs w:val="24"/>
                <w:highlight w:val="none"/>
              </w:rPr>
              <w:t>日历日。</w:t>
            </w:r>
          </w:p>
        </w:tc>
      </w:tr>
      <w:tr w14:paraId="05426B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3DB59B05">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17.1</w:t>
            </w:r>
          </w:p>
        </w:tc>
        <w:tc>
          <w:tcPr>
            <w:tcW w:w="1965" w:type="dxa"/>
            <w:vAlign w:val="center"/>
          </w:tcPr>
          <w:p w14:paraId="02D54664">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w:t>
            </w:r>
          </w:p>
        </w:tc>
        <w:tc>
          <w:tcPr>
            <w:tcW w:w="6450" w:type="dxa"/>
            <w:gridSpan w:val="2"/>
            <w:vAlign w:val="center"/>
          </w:tcPr>
          <w:p w14:paraId="713A171A">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408CDEE0">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定额收取：人民币</w:t>
            </w:r>
            <w:r>
              <w:rPr>
                <w:rFonts w:hint="eastAsia" w:ascii="宋体" w:hAnsi="宋体" w:cs="宋体"/>
                <w:color w:val="auto"/>
                <w:sz w:val="24"/>
                <w:szCs w:val="24"/>
                <w:highlight w:val="none"/>
                <w:lang w:val="en-US" w:eastAsia="zh-CN"/>
              </w:rPr>
              <w:t>2000</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lang w:eastAsia="zh-CN"/>
              </w:rPr>
              <w:t>。</w:t>
            </w:r>
          </w:p>
          <w:p w14:paraId="471258F6">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05FFA194">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供应商可自主选择以支票、汇票、本票、电汇、转账、网银、保函等非现金形式缴纳或提交保证金。</w:t>
            </w:r>
          </w:p>
          <w:p w14:paraId="0DDE2CDE">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开户单位名称：新疆沃图恒辉建设工程项目管理有限公司</w:t>
            </w:r>
          </w:p>
          <w:p w14:paraId="27BBBD9E">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开户银行：中国工商银行股份有限公司乌鲁木齐水磨沟区支行</w:t>
            </w:r>
          </w:p>
          <w:p w14:paraId="47DEC8B6">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账户账号：3002016309200163095</w:t>
            </w:r>
          </w:p>
          <w:p w14:paraId="1F174ACF">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开户行行号：102881001634              </w:t>
            </w:r>
          </w:p>
          <w:p w14:paraId="0C79EF6C">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注意事项：</w:t>
            </w:r>
          </w:p>
          <w:p w14:paraId="6693645A">
            <w:pPr>
              <w:pStyle w:val="52"/>
              <w:numPr>
                <w:ilvl w:val="0"/>
                <w:numId w:val="0"/>
              </w:numPr>
              <w:spacing w:line="34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1.</w:t>
            </w:r>
            <w:r>
              <w:rPr>
                <w:rFonts w:hint="eastAsia" w:ascii="宋体" w:hAnsi="宋体" w:eastAsia="宋体" w:cs="宋体"/>
                <w:i w:val="0"/>
                <w:iCs w:val="0"/>
                <w:color w:val="auto"/>
                <w:sz w:val="24"/>
                <w:szCs w:val="24"/>
                <w:highlight w:val="none"/>
              </w:rPr>
              <w:t>以上各类机构出具的以担保函、保证保险承担责任的方式均须满足无条件见索即付条件。</w:t>
            </w:r>
          </w:p>
          <w:p w14:paraId="513BD134">
            <w:pPr>
              <w:pStyle w:val="52"/>
              <w:numPr>
                <w:ilvl w:val="0"/>
                <w:numId w:val="0"/>
              </w:numPr>
              <w:spacing w:line="340" w:lineRule="exact"/>
              <w:ind w:firstLine="480" w:firstLineChars="2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使用银行保函的，必须从供应商基本账户开具，若是第三方代开的保函，开具保函时给第三方公司缴纳的保费必须从其基本账户支付，否则视为未从基本户转出投标保证金。出据企业注册地之外保函的，供应商还必须提供给第三方公司缴纳保费的资金往来业务银行流水单并加盖银行行名条章。投标保证金须在</w:t>
            </w:r>
            <w:r>
              <w:rPr>
                <w:rFonts w:hint="eastAsia" w:ascii="宋体" w:hAnsi="宋体" w:cs="宋体"/>
                <w:i w:val="0"/>
                <w:iCs w:val="0"/>
                <w:color w:val="auto"/>
                <w:sz w:val="24"/>
                <w:szCs w:val="24"/>
                <w:highlight w:val="none"/>
                <w:lang w:val="en-US" w:eastAsia="zh-CN"/>
              </w:rPr>
              <w:t>投标截止时间</w:t>
            </w:r>
            <w:r>
              <w:rPr>
                <w:rFonts w:hint="eastAsia" w:ascii="宋体" w:hAnsi="宋体" w:eastAsia="宋体" w:cs="宋体"/>
                <w:i w:val="0"/>
                <w:iCs w:val="0"/>
                <w:color w:val="auto"/>
                <w:sz w:val="24"/>
                <w:szCs w:val="24"/>
                <w:highlight w:val="none"/>
              </w:rPr>
              <w:t>前到账</w:t>
            </w:r>
            <w:r>
              <w:rPr>
                <w:rFonts w:hint="eastAsia" w:ascii="宋体" w:hAnsi="宋体" w:cs="宋体"/>
                <w:i w:val="0"/>
                <w:iCs w:val="0"/>
                <w:color w:val="auto"/>
                <w:sz w:val="24"/>
                <w:szCs w:val="24"/>
                <w:highlight w:val="none"/>
                <w:lang w:eastAsia="zh-CN"/>
              </w:rPr>
              <w:t>。</w:t>
            </w:r>
          </w:p>
          <w:p w14:paraId="479408EB">
            <w:pPr>
              <w:pStyle w:val="52"/>
              <w:spacing w:line="34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rPr>
              <w:t>2.以担保函、保证保险形式缴纳</w:t>
            </w:r>
            <w:r>
              <w:rPr>
                <w:rFonts w:hint="eastAsia" w:ascii="宋体" w:hAnsi="宋体" w:eastAsia="宋体" w:cs="宋体"/>
                <w:i w:val="0"/>
                <w:iCs w:val="0"/>
                <w:color w:val="auto"/>
                <w:sz w:val="24"/>
                <w:szCs w:val="24"/>
                <w:highlight w:val="none"/>
                <w:lang w:val="en-US" w:eastAsia="zh-CN"/>
              </w:rPr>
              <w:t>投标</w:t>
            </w:r>
            <w:r>
              <w:rPr>
                <w:rFonts w:hint="eastAsia" w:ascii="宋体" w:hAnsi="宋体" w:eastAsia="宋体" w:cs="宋体"/>
                <w:i w:val="0"/>
                <w:iCs w:val="0"/>
                <w:color w:val="auto"/>
                <w:sz w:val="24"/>
                <w:szCs w:val="24"/>
                <w:highlight w:val="none"/>
              </w:rPr>
              <w:t>保证金的，受益人和收取单位须为采购人。</w:t>
            </w:r>
          </w:p>
          <w:p w14:paraId="68CDB1C9">
            <w:pPr>
              <w:pStyle w:val="52"/>
              <w:spacing w:line="340" w:lineRule="exact"/>
              <w:ind w:firstLine="240" w:firstLineChars="100"/>
              <w:rPr>
                <w:rFonts w:hint="eastAsia" w:ascii="宋体" w:hAnsi="宋体" w:eastAsia="宋体" w:cs="宋体"/>
                <w:i w:val="0"/>
                <w:iCs w:val="0"/>
                <w:color w:val="auto"/>
                <w:sz w:val="24"/>
                <w:szCs w:val="24"/>
                <w:highlight w:val="none"/>
              </w:rPr>
            </w:pPr>
            <w:r>
              <w:rPr>
                <w:rFonts w:hint="eastAsia" w:ascii="宋体" w:hAnsi="宋体" w:cs="宋体"/>
                <w:i w:val="0"/>
                <w:iCs w:val="0"/>
                <w:color w:val="auto"/>
                <w:sz w:val="24"/>
                <w:szCs w:val="24"/>
                <w:highlight w:val="none"/>
                <w:lang w:val="en-US" w:eastAsia="zh-CN"/>
              </w:rPr>
              <w:t>3.</w:t>
            </w:r>
            <w:r>
              <w:rPr>
                <w:rFonts w:hint="eastAsia" w:ascii="宋体" w:hAnsi="宋体" w:eastAsia="宋体" w:cs="宋体"/>
                <w:i w:val="0"/>
                <w:iCs w:val="0"/>
                <w:color w:val="auto"/>
                <w:sz w:val="24"/>
                <w:szCs w:val="24"/>
                <w:highlight w:val="none"/>
              </w:rPr>
              <w:t>投标保证金有效期：自投标截止之日起90天。</w:t>
            </w:r>
          </w:p>
          <w:p w14:paraId="2CC548F2">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241" w:firstLineChars="100"/>
              <w:textAlignment w:val="auto"/>
              <w:rPr>
                <w:rFonts w:hint="eastAsia" w:ascii="宋体" w:hAnsi="宋体" w:eastAsia="宋体" w:cs="宋体"/>
                <w:color w:val="auto"/>
                <w:sz w:val="24"/>
                <w:szCs w:val="24"/>
                <w:highlight w:val="none"/>
              </w:rPr>
            </w:pPr>
            <w:r>
              <w:rPr>
                <w:rFonts w:hint="eastAsia" w:ascii="宋体" w:hAnsi="宋体" w:cs="宋体"/>
                <w:b/>
                <w:bCs/>
                <w:i w:val="0"/>
                <w:iCs w:val="0"/>
                <w:color w:val="FF0000"/>
                <w:sz w:val="24"/>
                <w:szCs w:val="24"/>
                <w:highlight w:val="none"/>
                <w:lang w:val="en-US" w:eastAsia="zh-CN"/>
              </w:rPr>
              <w:t>4.</w:t>
            </w:r>
            <w:r>
              <w:rPr>
                <w:rFonts w:hint="eastAsia" w:ascii="宋体" w:hAnsi="宋体" w:eastAsia="宋体" w:cs="宋体"/>
                <w:b/>
                <w:bCs/>
                <w:i w:val="0"/>
                <w:iCs w:val="0"/>
                <w:color w:val="FF0000"/>
                <w:sz w:val="24"/>
                <w:szCs w:val="24"/>
                <w:highlight w:val="none"/>
              </w:rPr>
              <w:t>投标保证金须在电汇凭据附言栏中写明采购编号或采购项目简称及用途(投标保证金)。其复印件放在投标文件中其复印件放在投标文件中。</w:t>
            </w:r>
          </w:p>
        </w:tc>
      </w:tr>
      <w:tr w14:paraId="4501E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0FAEE6C9">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2</w:t>
            </w:r>
          </w:p>
        </w:tc>
        <w:tc>
          <w:tcPr>
            <w:tcW w:w="1965" w:type="dxa"/>
            <w:vAlign w:val="center"/>
          </w:tcPr>
          <w:p w14:paraId="1A5D11C5">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实物样品</w:t>
            </w:r>
          </w:p>
        </w:tc>
        <w:tc>
          <w:tcPr>
            <w:tcW w:w="6450" w:type="dxa"/>
            <w:gridSpan w:val="2"/>
            <w:vAlign w:val="center"/>
          </w:tcPr>
          <w:p w14:paraId="29F70D2B">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投标样品递交： </w:t>
            </w:r>
          </w:p>
          <w:p w14:paraId="08448385">
            <w:pPr>
              <w:pStyle w:val="48"/>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不需要 </w:t>
            </w:r>
          </w:p>
          <w:p w14:paraId="75ABDCC9">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□需要，具体要求如下： </w:t>
            </w:r>
          </w:p>
          <w:p w14:paraId="45E00831">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1.样品制作的标准和要求：_________； </w:t>
            </w:r>
          </w:p>
          <w:p w14:paraId="636410A9">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2.是否需要随样品提交相关检测报告： </w:t>
            </w:r>
          </w:p>
          <w:p w14:paraId="4042F79A">
            <w:pPr>
              <w:pStyle w:val="4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□不需要 </w:t>
            </w:r>
          </w:p>
          <w:p w14:paraId="69ACDCB3">
            <w:pPr>
              <w:pStyle w:val="4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□需要 </w:t>
            </w:r>
          </w:p>
          <w:p w14:paraId="2365C0AF">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3.样品递交要求：递交时间：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w:t>
            </w:r>
          </w:p>
          <w:p w14:paraId="0C201764">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，逾期提供的样品将不予接受。</w:t>
            </w:r>
            <w:r>
              <w:rPr>
                <w:rFonts w:hint="eastAsia" w:ascii="宋体" w:hAnsi="宋体" w:eastAsia="宋体" w:cs="宋体"/>
                <w:color w:val="auto"/>
                <w:sz w:val="24"/>
                <w:szCs w:val="24"/>
                <w:highlight w:val="none"/>
                <w:lang w:val="en-US" w:eastAsia="zh-CN"/>
              </w:rPr>
              <w:t xml:space="preserve"> </w:t>
            </w:r>
          </w:p>
          <w:p w14:paraId="20C6A605">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4.未中标人样品退还：</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FA55552">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5.中标人样品保管、封存及退还：_________； </w:t>
            </w:r>
          </w:p>
          <w:p w14:paraId="5F60BBB0">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6.其他要求（如有）：_________。 </w:t>
            </w:r>
          </w:p>
        </w:tc>
      </w:tr>
      <w:tr w14:paraId="1C643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03DA43E2">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965" w:type="dxa"/>
            <w:vAlign w:val="center"/>
          </w:tcPr>
          <w:p w14:paraId="22504622">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演示</w:t>
            </w:r>
          </w:p>
        </w:tc>
        <w:tc>
          <w:tcPr>
            <w:tcW w:w="6450" w:type="dxa"/>
            <w:gridSpan w:val="2"/>
            <w:vAlign w:val="center"/>
          </w:tcPr>
          <w:p w14:paraId="7B2FDAC1">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sym w:font="Wingdings" w:char="00FE"/>
            </w:r>
            <w:r>
              <w:rPr>
                <w:rFonts w:hint="eastAsia" w:ascii="宋体" w:hAnsi="宋体" w:eastAsia="宋体" w:cs="宋体"/>
                <w:color w:val="auto"/>
                <w:sz w:val="24"/>
                <w:szCs w:val="24"/>
                <w:highlight w:val="none"/>
              </w:rPr>
              <w:t>不进行</w:t>
            </w:r>
          </w:p>
          <w:p w14:paraId="7B0141AF">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进行，远程线上演示/现场演示</w:t>
            </w:r>
          </w:p>
          <w:p w14:paraId="29D1FB67">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1.演示时间不得超过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分钟；</w:t>
            </w:r>
          </w:p>
          <w:p w14:paraId="0D5B188D">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2.进行远程线上演示的，投标人应提前自行准备好演示的软硬配置环境和网络环境，做好演示的各项准备工作。因投标人自身原因无法演示或者演示效果不理想的，导致的后果由投标人自行承担；</w:t>
            </w:r>
          </w:p>
          <w:p w14:paraId="34ED7966">
            <w:pPr>
              <w:pStyle w:val="48"/>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3.进行现场演示的，演示人员不得超过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人，演示现场提供</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09764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4CE72DC4">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w:t>
            </w:r>
          </w:p>
        </w:tc>
        <w:tc>
          <w:tcPr>
            <w:tcW w:w="1965" w:type="dxa"/>
            <w:vAlign w:val="center"/>
          </w:tcPr>
          <w:p w14:paraId="35FB661A">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解密投标文件的时限</w:t>
            </w:r>
          </w:p>
        </w:tc>
        <w:tc>
          <w:tcPr>
            <w:tcW w:w="6450" w:type="dxa"/>
            <w:gridSpan w:val="2"/>
            <w:vAlign w:val="center"/>
          </w:tcPr>
          <w:p w14:paraId="44601FEC">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不见面开标默认解密时长：</w:t>
            </w:r>
            <w:r>
              <w:rPr>
                <w:rFonts w:hint="eastAsia" w:ascii="宋体" w:hAnsi="宋体" w:eastAsia="宋体" w:cs="宋体"/>
                <w:color w:val="auto"/>
                <w:sz w:val="24"/>
                <w:szCs w:val="24"/>
                <w:highlight w:val="none"/>
                <w:u w:val="single"/>
                <w:lang w:val="en-US" w:eastAsia="zh-CN"/>
              </w:rPr>
              <w:t xml:space="preserve"> </w:t>
            </w:r>
            <w:r>
              <w:rPr>
                <w:rFonts w:hint="eastAsia" w:cs="宋体"/>
                <w:color w:val="auto"/>
                <w:sz w:val="24"/>
                <w:szCs w:val="24"/>
                <w:highlight w:val="none"/>
                <w:u w:val="single"/>
                <w:lang w:val="en-US" w:eastAsia="zh-CN"/>
              </w:rPr>
              <w:t>30</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分钟。</w:t>
            </w:r>
            <w:r>
              <w:rPr>
                <w:rFonts w:hint="eastAsia" w:ascii="宋体" w:hAnsi="宋体" w:eastAsia="宋体" w:cs="宋体"/>
                <w:color w:val="auto"/>
                <w:sz w:val="24"/>
                <w:szCs w:val="24"/>
                <w:highlight w:val="none"/>
              </w:rPr>
              <w:t xml:space="preserve"> </w:t>
            </w:r>
          </w:p>
          <w:p w14:paraId="01B25268">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除因交易平台发生故障导致投标文件无法按时解密外，投标文件未按时解密的，视为未按规定提交投标文件。</w:t>
            </w:r>
          </w:p>
        </w:tc>
      </w:tr>
      <w:tr w14:paraId="79EC8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23FC94CD">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29.1</w:t>
            </w:r>
          </w:p>
        </w:tc>
        <w:tc>
          <w:tcPr>
            <w:tcW w:w="1965" w:type="dxa"/>
            <w:vAlign w:val="center"/>
          </w:tcPr>
          <w:p w14:paraId="5A1E858C">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评标方法</w:t>
            </w:r>
          </w:p>
        </w:tc>
        <w:tc>
          <w:tcPr>
            <w:tcW w:w="6450" w:type="dxa"/>
            <w:gridSpan w:val="2"/>
            <w:vAlign w:val="center"/>
          </w:tcPr>
          <w:p w14:paraId="49F2488F">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lang w:val="en-US" w:eastAsia="zh-CN"/>
              </w:rPr>
              <w:t>综合评分法</w:t>
            </w:r>
          </w:p>
          <w:p w14:paraId="63A64BEE">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en-US" w:eastAsia="zh-CN"/>
              </w:rPr>
              <w:t>最低评标价法</w:t>
            </w:r>
          </w:p>
        </w:tc>
      </w:tr>
      <w:tr w14:paraId="5A087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42D57B39">
            <w:pPr>
              <w:pStyle w:val="4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p>
        </w:tc>
        <w:tc>
          <w:tcPr>
            <w:tcW w:w="1965" w:type="dxa"/>
            <w:vAlign w:val="center"/>
          </w:tcPr>
          <w:p w14:paraId="109515DE">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推荐中标候选人</w:t>
            </w:r>
          </w:p>
        </w:tc>
        <w:tc>
          <w:tcPr>
            <w:tcW w:w="6450" w:type="dxa"/>
            <w:gridSpan w:val="2"/>
            <w:vAlign w:val="center"/>
          </w:tcPr>
          <w:p w14:paraId="0DB0E73E">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中标候选人数量</w:t>
            </w:r>
            <w:r>
              <w:rPr>
                <w:rFonts w:hint="eastAsia" w:ascii="宋体" w:hAnsi="宋体" w:eastAsia="宋体" w:cs="宋体"/>
                <w:color w:val="auto"/>
                <w:sz w:val="24"/>
                <w:szCs w:val="24"/>
                <w:highlight w:val="none"/>
                <w:u w:val="single"/>
              </w:rPr>
              <w:t xml:space="preserve"> </w:t>
            </w:r>
            <w:r>
              <w:rPr>
                <w:rFonts w:hint="eastAsia"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家</w:t>
            </w:r>
          </w:p>
        </w:tc>
      </w:tr>
      <w:tr w14:paraId="176C1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4EEEE9B4">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.1</w:t>
            </w:r>
          </w:p>
        </w:tc>
        <w:tc>
          <w:tcPr>
            <w:tcW w:w="1965" w:type="dxa"/>
            <w:vAlign w:val="center"/>
          </w:tcPr>
          <w:p w14:paraId="266C355B">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确定中标人</w:t>
            </w:r>
          </w:p>
        </w:tc>
        <w:tc>
          <w:tcPr>
            <w:tcW w:w="6450" w:type="dxa"/>
            <w:gridSpan w:val="2"/>
            <w:vAlign w:val="center"/>
          </w:tcPr>
          <w:p w14:paraId="3AF868A2">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采购人按评审报告中推荐的中标候选人排序确定中标人。</w:t>
            </w:r>
          </w:p>
          <w:p w14:paraId="0911185A">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采购人委托评标委员会直接确定中标人。</w:t>
            </w:r>
          </w:p>
        </w:tc>
      </w:tr>
      <w:tr w14:paraId="6F937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7325020F">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30.2</w:t>
            </w:r>
          </w:p>
          <w:p w14:paraId="55F094A5">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30.3</w:t>
            </w:r>
          </w:p>
        </w:tc>
        <w:tc>
          <w:tcPr>
            <w:tcW w:w="1965" w:type="dxa"/>
            <w:vAlign w:val="center"/>
          </w:tcPr>
          <w:p w14:paraId="1B13E6FA">
            <w:pPr>
              <w:pStyle w:val="48"/>
              <w:rPr>
                <w:rFonts w:hint="eastAsia" w:ascii="宋体" w:hAnsi="宋体" w:eastAsia="宋体" w:cs="宋体"/>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提供相同品牌产品的不同投标人确定中标候选人的规定</w:t>
            </w:r>
          </w:p>
        </w:tc>
        <w:tc>
          <w:tcPr>
            <w:tcW w:w="6450" w:type="dxa"/>
            <w:gridSpan w:val="2"/>
            <w:vAlign w:val="center"/>
          </w:tcPr>
          <w:p w14:paraId="1B566793">
            <w:pPr>
              <w:pStyle w:val="48"/>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kern w:val="0"/>
                <w:sz w:val="24"/>
                <w:szCs w:val="24"/>
                <w:highlight w:val="none"/>
                <w:lang w:val="en-US" w:eastAsia="zh-CN" w:bidi="ar"/>
              </w:rPr>
              <w:t>综合评分法的采购项目，提供相同品牌产品且通过资格审查、符合性审查的不同投标人参加同一合同项下投标的，按一家投标人计算，评审后得分相同的，按照</w:t>
            </w:r>
            <w:r>
              <w:rPr>
                <w:rFonts w:hint="eastAsia" w:ascii="宋体" w:hAnsi="宋体" w:eastAsia="宋体" w:cs="宋体"/>
                <w:color w:val="auto"/>
                <w:kern w:val="0"/>
                <w:sz w:val="24"/>
                <w:szCs w:val="24"/>
                <w:highlight w:val="none"/>
                <w:u w:val="single"/>
                <w:lang w:val="en-US" w:eastAsia="zh-CN" w:bidi="ar"/>
              </w:rPr>
              <w:t xml:space="preserve"> 通过资格审查、符合性审查且报价最低的参加评标；报价相同的，由采购人或者采购人委托评标委员会按照招标文件规定的方式确定一个参加评标的投标人，招标文件未规定的采取随机抽取方式确定，其他投标无效。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w:t>
            </w:r>
            <w:r>
              <w:rPr>
                <w:rFonts w:hint="eastAsia" w:ascii="宋体" w:hAnsi="宋体" w:eastAsia="宋体" w:cs="宋体"/>
                <w:color w:val="auto"/>
                <w:kern w:val="0"/>
                <w:sz w:val="24"/>
                <w:szCs w:val="24"/>
                <w:highlight w:val="none"/>
                <w:lang w:val="en-US" w:eastAsia="zh-CN" w:bidi="ar"/>
              </w:rPr>
              <w:t>确定一个投标人获得中标人推荐资格，其他同品牌投标人不作为中标候选人。</w:t>
            </w:r>
          </w:p>
          <w:p w14:paraId="0F6B6850">
            <w:pPr>
              <w:pStyle w:val="48"/>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kern w:val="0"/>
                <w:sz w:val="24"/>
                <w:szCs w:val="24"/>
                <w:highlight w:val="none"/>
                <w:lang w:val="en-US" w:eastAsia="zh-CN" w:bidi="ar"/>
              </w:rPr>
              <w:t>最低评标价法的采购项目，提供相同品牌产品的不同投标人参加同一合同项下投标的，以其中通过资格审查、符合性审查且报价最低的参加评标；报价相同的，按照</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方式确定一个参加评标的投标人，其他投标无效。</w:t>
            </w:r>
          </w:p>
        </w:tc>
      </w:tr>
      <w:tr w14:paraId="35A01A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1D722A96">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p>
        </w:tc>
        <w:tc>
          <w:tcPr>
            <w:tcW w:w="1965" w:type="dxa"/>
            <w:vAlign w:val="center"/>
          </w:tcPr>
          <w:p w14:paraId="0A6B190B">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6450" w:type="dxa"/>
            <w:gridSpan w:val="2"/>
            <w:vAlign w:val="center"/>
          </w:tcPr>
          <w:p w14:paraId="52B73BFF">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金额：</w:t>
            </w:r>
          </w:p>
          <w:p w14:paraId="2D4AA05F">
            <w:pPr>
              <w:pStyle w:val="48"/>
              <w:ind w:firstLine="480" w:firstLineChars="200"/>
              <w:rPr>
                <w:rFonts w:hint="eastAsia" w:ascii="宋体" w:hAnsi="宋体" w:eastAsia="宋体" w:cs="宋体"/>
                <w:color w:val="auto"/>
                <w:sz w:val="24"/>
                <w:szCs w:val="24"/>
                <w:highlight w:val="none"/>
              </w:rPr>
            </w:pP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免收</w:t>
            </w:r>
          </w:p>
          <w:p w14:paraId="185FFD88">
            <w:pPr>
              <w:pStyle w:val="4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□合同价的   %</w:t>
            </w:r>
          </w:p>
          <w:p w14:paraId="7DCA35D2">
            <w:pPr>
              <w:pStyle w:val="48"/>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□定额收取：人民币              元</w:t>
            </w:r>
          </w:p>
          <w:p w14:paraId="78911AAD">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支付方式：</w:t>
            </w:r>
          </w:p>
          <w:p w14:paraId="12B7F8B1">
            <w:pPr>
              <w:pStyle w:val="52"/>
              <w:keepNext w:val="0"/>
              <w:keepLines w:val="0"/>
              <w:pageBreakBefore w:val="0"/>
              <w:widowControl w:val="0"/>
              <w:shd w:val="clear" w:color="auto" w:fill="auto"/>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投标人可自主选择以支票、汇票、本票、电汇、转账、网银、保函等非现金形式缴纳或提交保证金。</w:t>
            </w:r>
          </w:p>
          <w:p w14:paraId="20AB6ECE">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3.</w:t>
            </w:r>
            <w:r>
              <w:rPr>
                <w:rFonts w:hint="eastAsia" w:ascii="宋体" w:hAnsi="宋体" w:eastAsia="宋体" w:cs="宋体"/>
                <w:color w:val="auto"/>
                <w:sz w:val="24"/>
                <w:szCs w:val="24"/>
                <w:highlight w:val="none"/>
              </w:rPr>
              <w:t xml:space="preserve">收取单位：                            </w:t>
            </w:r>
          </w:p>
          <w:p w14:paraId="4D83FA75">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4.收取账号：</w:t>
            </w:r>
            <w:r>
              <w:rPr>
                <w:rFonts w:hint="eastAsia" w:ascii="宋体" w:hAnsi="宋体" w:eastAsia="宋体" w:cs="宋体"/>
                <w:color w:val="auto"/>
                <w:sz w:val="24"/>
                <w:szCs w:val="24"/>
                <w:highlight w:val="none"/>
              </w:rPr>
              <w:t xml:space="preserve">              </w:t>
            </w:r>
          </w:p>
          <w:p w14:paraId="2CF8CC08">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5.</w:t>
            </w:r>
            <w:r>
              <w:rPr>
                <w:rFonts w:hint="eastAsia" w:ascii="宋体" w:hAnsi="宋体" w:eastAsia="宋体" w:cs="宋体"/>
                <w:color w:val="auto"/>
                <w:sz w:val="24"/>
                <w:szCs w:val="24"/>
                <w:highlight w:val="none"/>
              </w:rPr>
              <w:t xml:space="preserve">退还时间：              </w:t>
            </w:r>
          </w:p>
          <w:p w14:paraId="5BA146AB">
            <w:pPr>
              <w:pStyle w:val="48"/>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43FE4EC8">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以上各类机构出具的以担保函、保证保险承担责任的方式均须满足无条件见索即付条件。</w:t>
            </w:r>
          </w:p>
          <w:p w14:paraId="191E3959">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以担保函、保证保险形式缴纳履约保证金的，受益人和收取单位须为采购人。</w:t>
            </w:r>
          </w:p>
        </w:tc>
      </w:tr>
      <w:tr w14:paraId="6B1F0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600814BC">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34.5</w:t>
            </w:r>
          </w:p>
        </w:tc>
        <w:tc>
          <w:tcPr>
            <w:tcW w:w="1965" w:type="dxa"/>
            <w:vAlign w:val="center"/>
          </w:tcPr>
          <w:p w14:paraId="74D19386">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中标后分包</w:t>
            </w:r>
          </w:p>
        </w:tc>
        <w:tc>
          <w:tcPr>
            <w:tcW w:w="6450" w:type="dxa"/>
            <w:gridSpan w:val="2"/>
            <w:vAlign w:val="center"/>
          </w:tcPr>
          <w:p w14:paraId="4344EC45">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本项目的非主体、非关键性工作是否允许分包： </w:t>
            </w:r>
          </w:p>
          <w:p w14:paraId="3D901FC0">
            <w:pPr>
              <w:pStyle w:val="48"/>
              <w:ind w:firstLine="480" w:firstLineChars="200"/>
              <w:rPr>
                <w:rFonts w:hint="eastAsia" w:ascii="宋体" w:hAnsi="宋体" w:eastAsia="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 xml:space="preserve">不允许 </w:t>
            </w:r>
          </w:p>
          <w:p w14:paraId="56DFA0F7">
            <w:pPr>
              <w:pStyle w:val="48"/>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□允许，具体要求： </w:t>
            </w:r>
          </w:p>
          <w:p w14:paraId="6C445FF2">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1.可以分包履行的具体内容：_____； </w:t>
            </w:r>
          </w:p>
          <w:p w14:paraId="71BE067E">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2.允许分包的金额或者比例：_____； </w:t>
            </w:r>
          </w:p>
          <w:p w14:paraId="2F04DF99">
            <w:pPr>
              <w:pStyle w:val="4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     3.其他要求：_____。 </w:t>
            </w:r>
          </w:p>
        </w:tc>
      </w:tr>
      <w:tr w14:paraId="19B12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5BFFADC2">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35.1</w:t>
            </w:r>
          </w:p>
        </w:tc>
        <w:tc>
          <w:tcPr>
            <w:tcW w:w="1965" w:type="dxa"/>
            <w:vAlign w:val="center"/>
          </w:tcPr>
          <w:p w14:paraId="6B25F509">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质疑</w:t>
            </w:r>
          </w:p>
        </w:tc>
        <w:tc>
          <w:tcPr>
            <w:tcW w:w="6450" w:type="dxa"/>
            <w:gridSpan w:val="2"/>
            <w:vAlign w:val="center"/>
          </w:tcPr>
          <w:p w14:paraId="16FDE3E5">
            <w:pPr>
              <w:pStyle w:val="57"/>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i w:val="0"/>
                <w:iCs w:val="0"/>
                <w:color w:val="auto"/>
                <w:kern w:val="2"/>
                <w:sz w:val="24"/>
                <w:szCs w:val="24"/>
                <w:highlight w:val="none"/>
                <w:u w:val="none"/>
                <w:lang w:val="zh-CN" w:eastAsia="zh-CN" w:bidi="ar-SA"/>
              </w:rPr>
            </w:pPr>
            <w:r>
              <w:rPr>
                <w:rFonts w:hint="eastAsia" w:ascii="宋体" w:hAnsi="宋体" w:eastAsia="宋体" w:cs="宋体"/>
                <w:i w:val="0"/>
                <w:iCs w:val="0"/>
                <w:color w:val="auto"/>
                <w:kern w:val="2"/>
                <w:sz w:val="24"/>
                <w:szCs w:val="24"/>
                <w:highlight w:val="none"/>
                <w:lang w:val="zh-CN" w:eastAsia="zh-CN" w:bidi="ar-SA"/>
              </w:rPr>
              <w:t>递交方式：</w:t>
            </w:r>
            <w:r>
              <w:rPr>
                <w:rFonts w:hint="eastAsia" w:ascii="宋体" w:hAnsi="宋体" w:eastAsia="宋体" w:cs="宋体"/>
                <w:b w:val="0"/>
                <w:bCs w:val="0"/>
                <w:i w:val="0"/>
                <w:iCs w:val="0"/>
                <w:color w:val="auto"/>
                <w:sz w:val="24"/>
                <w:szCs w:val="24"/>
                <w:highlight w:val="none"/>
                <w:u w:val="none"/>
                <w:lang w:val="en-US" w:eastAsia="zh-CN"/>
              </w:rPr>
              <w:t>书面形式</w:t>
            </w:r>
            <w:r>
              <w:rPr>
                <w:rFonts w:hint="eastAsia" w:ascii="宋体" w:hAnsi="宋体" w:eastAsia="宋体" w:cs="宋体"/>
                <w:b w:val="0"/>
                <w:bCs w:val="0"/>
                <w:i w:val="0"/>
                <w:iCs w:val="0"/>
                <w:color w:val="auto"/>
                <w:sz w:val="24"/>
                <w:szCs w:val="24"/>
                <w:highlight w:val="none"/>
                <w:u w:val="none"/>
              </w:rPr>
              <w:t xml:space="preserve"> </w:t>
            </w:r>
            <w:r>
              <w:rPr>
                <w:rFonts w:hint="eastAsia" w:ascii="宋体" w:hAnsi="宋体" w:eastAsia="宋体" w:cs="宋体"/>
                <w:b w:val="0"/>
                <w:bCs w:val="0"/>
                <w:i w:val="0"/>
                <w:iCs w:val="0"/>
                <w:color w:val="auto"/>
                <w:kern w:val="2"/>
                <w:sz w:val="24"/>
                <w:szCs w:val="24"/>
                <w:highlight w:val="none"/>
                <w:u w:val="none"/>
                <w:lang w:val="zh-CN" w:eastAsia="zh-CN" w:bidi="ar-SA"/>
              </w:rPr>
              <w:t xml:space="preserve">              </w:t>
            </w:r>
          </w:p>
          <w:p w14:paraId="28135767">
            <w:pPr>
              <w:pStyle w:val="57"/>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i w:val="0"/>
                <w:iCs w:val="0"/>
                <w:color w:val="auto"/>
                <w:kern w:val="2"/>
                <w:sz w:val="24"/>
                <w:szCs w:val="24"/>
                <w:highlight w:val="none"/>
                <w:u w:val="none"/>
                <w:lang w:val="zh-CN" w:eastAsia="zh-CN" w:bidi="ar-SA"/>
              </w:rPr>
            </w:pPr>
            <w:r>
              <w:rPr>
                <w:rFonts w:hint="eastAsia" w:ascii="宋体" w:hAnsi="宋体" w:eastAsia="宋体" w:cs="宋体"/>
                <w:b w:val="0"/>
                <w:bCs w:val="0"/>
                <w:i w:val="0"/>
                <w:iCs w:val="0"/>
                <w:color w:val="auto"/>
                <w:kern w:val="2"/>
                <w:sz w:val="24"/>
                <w:szCs w:val="24"/>
                <w:highlight w:val="none"/>
                <w:u w:val="none"/>
                <w:lang w:val="zh-CN" w:eastAsia="zh-CN" w:bidi="ar-SA"/>
              </w:rPr>
              <w:t xml:space="preserve">接收部门：新疆沃图恒辉建设工程项目管理有限公司              </w:t>
            </w:r>
          </w:p>
          <w:p w14:paraId="661D8A6C">
            <w:pPr>
              <w:pStyle w:val="57"/>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b w:val="0"/>
                <w:bCs w:val="0"/>
                <w:i w:val="0"/>
                <w:iCs w:val="0"/>
                <w:color w:val="auto"/>
                <w:kern w:val="2"/>
                <w:sz w:val="24"/>
                <w:szCs w:val="24"/>
                <w:highlight w:val="none"/>
                <w:u w:val="none"/>
                <w:lang w:val="zh-CN" w:eastAsia="zh-CN" w:bidi="ar-SA"/>
              </w:rPr>
            </w:pPr>
            <w:r>
              <w:rPr>
                <w:rFonts w:hint="eastAsia" w:ascii="宋体" w:hAnsi="宋体" w:eastAsia="宋体" w:cs="宋体"/>
                <w:b w:val="0"/>
                <w:bCs w:val="0"/>
                <w:i w:val="0"/>
                <w:iCs w:val="0"/>
                <w:color w:val="auto"/>
                <w:kern w:val="2"/>
                <w:sz w:val="24"/>
                <w:szCs w:val="24"/>
                <w:highlight w:val="none"/>
                <w:u w:val="none"/>
                <w:lang w:val="zh-CN" w:eastAsia="zh-CN" w:bidi="ar-SA"/>
              </w:rPr>
              <w:t>联系电话：</w:t>
            </w:r>
            <w:r>
              <w:rPr>
                <w:rFonts w:hint="eastAsia" w:ascii="宋体" w:hAnsi="宋体" w:cs="宋体"/>
                <w:b w:val="0"/>
                <w:bCs w:val="0"/>
                <w:i w:val="0"/>
                <w:iCs w:val="0"/>
                <w:color w:val="auto"/>
                <w:kern w:val="2"/>
                <w:sz w:val="24"/>
                <w:szCs w:val="24"/>
                <w:highlight w:val="none"/>
                <w:u w:val="none"/>
                <w:lang w:val="en-US" w:eastAsia="zh-CN" w:bidi="ar-SA"/>
              </w:rPr>
              <w:t>15509945897</w:t>
            </w:r>
            <w:r>
              <w:rPr>
                <w:rFonts w:hint="eastAsia" w:ascii="宋体" w:hAnsi="宋体" w:eastAsia="宋体" w:cs="宋体"/>
                <w:b w:val="0"/>
                <w:bCs w:val="0"/>
                <w:i w:val="0"/>
                <w:iCs w:val="0"/>
                <w:color w:val="auto"/>
                <w:sz w:val="24"/>
                <w:szCs w:val="24"/>
                <w:highlight w:val="none"/>
                <w:u w:val="none"/>
              </w:rPr>
              <w:t xml:space="preserve">             </w:t>
            </w:r>
            <w:r>
              <w:rPr>
                <w:rFonts w:hint="eastAsia" w:ascii="宋体" w:hAnsi="宋体" w:eastAsia="宋体" w:cs="宋体"/>
                <w:b w:val="0"/>
                <w:bCs w:val="0"/>
                <w:i w:val="0"/>
                <w:iCs w:val="0"/>
                <w:color w:val="auto"/>
                <w:kern w:val="2"/>
                <w:sz w:val="24"/>
                <w:szCs w:val="24"/>
                <w:highlight w:val="none"/>
                <w:u w:val="none"/>
                <w:lang w:val="zh-CN" w:eastAsia="zh-CN" w:bidi="ar-SA"/>
              </w:rPr>
              <w:t xml:space="preserve">              </w:t>
            </w:r>
          </w:p>
          <w:p w14:paraId="30211831">
            <w:pPr>
              <w:pStyle w:val="57"/>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b w:val="0"/>
                <w:bCs w:val="0"/>
                <w:i w:val="0"/>
                <w:iCs w:val="0"/>
                <w:color w:val="auto"/>
                <w:kern w:val="2"/>
                <w:sz w:val="24"/>
                <w:szCs w:val="24"/>
                <w:highlight w:val="none"/>
                <w:u w:val="none"/>
                <w:lang w:val="zh-CN" w:eastAsia="zh-CN" w:bidi="ar-SA"/>
              </w:rPr>
              <w:t>通讯地址：新疆乌鲁木齐市水磨沟区红光山路2588号绿地中心领海101楼1</w:t>
            </w:r>
            <w:r>
              <w:rPr>
                <w:rFonts w:hint="eastAsia" w:ascii="宋体" w:hAnsi="宋体" w:eastAsia="宋体" w:cs="宋体"/>
                <w:b w:val="0"/>
                <w:bCs w:val="0"/>
                <w:i w:val="0"/>
                <w:iCs w:val="0"/>
                <w:color w:val="auto"/>
                <w:kern w:val="2"/>
                <w:sz w:val="24"/>
                <w:szCs w:val="24"/>
                <w:highlight w:val="none"/>
                <w:u w:val="none"/>
                <w:lang w:val="en-US" w:eastAsia="zh-CN" w:bidi="ar-SA"/>
              </w:rPr>
              <w:t>9</w:t>
            </w:r>
            <w:r>
              <w:rPr>
                <w:rFonts w:hint="eastAsia" w:ascii="宋体" w:hAnsi="宋体" w:eastAsia="宋体" w:cs="宋体"/>
                <w:b w:val="0"/>
                <w:bCs w:val="0"/>
                <w:i w:val="0"/>
                <w:iCs w:val="0"/>
                <w:color w:val="auto"/>
                <w:kern w:val="2"/>
                <w:sz w:val="24"/>
                <w:szCs w:val="24"/>
                <w:highlight w:val="none"/>
                <w:u w:val="none"/>
                <w:lang w:val="zh-CN" w:eastAsia="zh-CN" w:bidi="ar-SA"/>
              </w:rPr>
              <w:t>05A室</w:t>
            </w:r>
            <w:r>
              <w:rPr>
                <w:rFonts w:hint="eastAsia" w:ascii="宋体" w:hAnsi="宋体" w:eastAsia="宋体" w:cs="宋体"/>
                <w:b w:val="0"/>
                <w:bCs w:val="0"/>
                <w:i w:val="0"/>
                <w:iCs w:val="0"/>
                <w:color w:val="auto"/>
                <w:sz w:val="24"/>
                <w:szCs w:val="24"/>
                <w:highlight w:val="none"/>
                <w:u w:val="none"/>
              </w:rPr>
              <w:t xml:space="preserve"> </w:t>
            </w:r>
            <w:r>
              <w:rPr>
                <w:rFonts w:hint="eastAsia" w:ascii="宋体" w:hAnsi="宋体" w:eastAsia="宋体" w:cs="宋体"/>
                <w:color w:val="auto"/>
                <w:kern w:val="2"/>
                <w:sz w:val="24"/>
                <w:szCs w:val="24"/>
                <w:highlight w:val="none"/>
                <w:lang w:val="zh-CN" w:eastAsia="zh-CN" w:bidi="ar-SA"/>
              </w:rPr>
              <w:t xml:space="preserve">             </w:t>
            </w:r>
          </w:p>
        </w:tc>
      </w:tr>
      <w:tr w14:paraId="3C8ED1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422A3CDD">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965" w:type="dxa"/>
            <w:vAlign w:val="center"/>
          </w:tcPr>
          <w:p w14:paraId="1782DE51">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采购代理服务费</w:t>
            </w:r>
          </w:p>
        </w:tc>
        <w:tc>
          <w:tcPr>
            <w:tcW w:w="6450" w:type="dxa"/>
            <w:gridSpan w:val="2"/>
            <w:vAlign w:val="center"/>
          </w:tcPr>
          <w:p w14:paraId="572A09AD">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收</w:t>
            </w:r>
            <w:r>
              <w:rPr>
                <w:rFonts w:hint="eastAsia" w:ascii="宋体" w:hAnsi="宋体" w:eastAsia="宋体" w:cs="宋体"/>
                <w:color w:val="auto"/>
                <w:sz w:val="24"/>
                <w:szCs w:val="24"/>
                <w:highlight w:val="none"/>
              </w:rPr>
              <w:t>费</w:t>
            </w:r>
            <w:r>
              <w:rPr>
                <w:rFonts w:hint="eastAsia" w:ascii="宋体" w:hAnsi="宋体" w:eastAsia="宋体" w:cs="宋体"/>
                <w:color w:val="auto"/>
                <w:sz w:val="24"/>
                <w:szCs w:val="24"/>
                <w:highlight w:val="none"/>
                <w:lang w:val="en-US" w:eastAsia="zh-CN"/>
              </w:rPr>
              <w:t>对象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 xml:space="preserve">采购人支付 </w:t>
            </w: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 xml:space="preserve">中标人支付 </w:t>
            </w:r>
          </w:p>
          <w:p w14:paraId="4694409F">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收费</w:t>
            </w:r>
            <w:r>
              <w:rPr>
                <w:rFonts w:hint="eastAsia" w:ascii="宋体" w:hAnsi="宋体" w:eastAsia="宋体" w:cs="宋体"/>
                <w:color w:val="auto"/>
                <w:sz w:val="24"/>
                <w:szCs w:val="24"/>
                <w:highlight w:val="none"/>
              </w:rPr>
              <w:t>标准：</w:t>
            </w:r>
            <w:r>
              <w:rPr>
                <w:rFonts w:hint="eastAsia" w:ascii="宋体" w:hAnsi="宋体" w:eastAsia="宋体" w:cs="宋体"/>
                <w:i w:val="0"/>
                <w:iCs w:val="0"/>
                <w:color w:val="auto"/>
                <w:sz w:val="24"/>
                <w:szCs w:val="24"/>
                <w:highlight w:val="none"/>
                <w:lang w:eastAsia="zh-CN"/>
              </w:rPr>
              <w:t>按国家计费标准文件《招标代理服务收费管理暂行办法》（计价格【2002】1980号）文件</w:t>
            </w:r>
          </w:p>
          <w:p w14:paraId="1368AF2C">
            <w:pPr>
              <w:pStyle w:val="48"/>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时间：</w:t>
            </w:r>
            <w:r>
              <w:rPr>
                <w:rFonts w:hint="eastAsia" w:cs="宋体"/>
                <w:i w:val="0"/>
                <w:iCs w:val="0"/>
                <w:color w:val="auto"/>
                <w:sz w:val="24"/>
                <w:szCs w:val="24"/>
                <w:highlight w:val="none"/>
                <w:lang w:val="en-US" w:eastAsia="zh-CN"/>
              </w:rPr>
              <w:t>领取中标通知书之前</w:t>
            </w:r>
          </w:p>
          <w:p w14:paraId="76384588">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收取</w:t>
            </w:r>
            <w:r>
              <w:rPr>
                <w:rFonts w:hint="eastAsia" w:ascii="宋体" w:hAnsi="宋体" w:eastAsia="宋体" w:cs="宋体"/>
                <w:color w:val="auto"/>
                <w:sz w:val="24"/>
                <w:szCs w:val="24"/>
                <w:highlight w:val="none"/>
              </w:rPr>
              <w:t>方式：</w:t>
            </w:r>
            <w:r>
              <w:rPr>
                <w:rFonts w:hint="eastAsia" w:cs="宋体"/>
                <w:i w:val="0"/>
                <w:iCs w:val="0"/>
                <w:color w:val="auto"/>
                <w:sz w:val="24"/>
                <w:szCs w:val="24"/>
                <w:highlight w:val="none"/>
                <w:lang w:val="en-US" w:eastAsia="zh-CN"/>
              </w:rPr>
              <w:t>现金或转账</w:t>
            </w:r>
          </w:p>
        </w:tc>
      </w:tr>
      <w:tr w14:paraId="30DE5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6F1BF374">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w:t>
            </w:r>
          </w:p>
        </w:tc>
        <w:tc>
          <w:tcPr>
            <w:tcW w:w="1965" w:type="dxa"/>
            <w:vAlign w:val="center"/>
          </w:tcPr>
          <w:p w14:paraId="5D860FC6">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是否接受进口产品</w:t>
            </w:r>
          </w:p>
        </w:tc>
        <w:tc>
          <w:tcPr>
            <w:tcW w:w="6450" w:type="dxa"/>
            <w:gridSpan w:val="2"/>
            <w:vAlign w:val="center"/>
          </w:tcPr>
          <w:p w14:paraId="438B47DA">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不接受</w:t>
            </w:r>
          </w:p>
          <w:p w14:paraId="1481386A">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lang w:val="zh-CN"/>
              </w:rPr>
              <w:t>接受</w:t>
            </w:r>
          </w:p>
        </w:tc>
      </w:tr>
      <w:tr w14:paraId="2539F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06648806">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2</w:t>
            </w:r>
          </w:p>
        </w:tc>
        <w:tc>
          <w:tcPr>
            <w:tcW w:w="1965" w:type="dxa"/>
            <w:vAlign w:val="center"/>
          </w:tcPr>
          <w:p w14:paraId="34AA4482">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支持中小企业政策</w:t>
            </w:r>
            <w:r>
              <w:rPr>
                <w:rStyle w:val="32"/>
                <w:rFonts w:hint="eastAsia" w:ascii="宋体" w:hAnsi="宋体" w:eastAsia="宋体" w:cs="宋体"/>
                <w:b w:val="0"/>
                <w:color w:val="auto"/>
                <w:sz w:val="24"/>
                <w:szCs w:val="24"/>
                <w:highlight w:val="none"/>
                <w:lang w:val="en-US" w:eastAsia="zh-CN"/>
              </w:rPr>
              <w:t>（非专门面向中小企业采购项目适用）</w:t>
            </w:r>
          </w:p>
        </w:tc>
        <w:tc>
          <w:tcPr>
            <w:tcW w:w="6450" w:type="dxa"/>
            <w:gridSpan w:val="2"/>
            <w:vAlign w:val="center"/>
          </w:tcPr>
          <w:p w14:paraId="736B9D94">
            <w:pPr>
              <w:pStyle w:val="70"/>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小型和微型企业价格扣除：</w:t>
            </w:r>
            <w:r>
              <w:rPr>
                <w:rFonts w:hint="eastAsia" w:ascii="宋体" w:hAnsi="宋体" w:eastAsia="宋体" w:cs="宋体"/>
                <w:b w:val="0"/>
                <w:color w:val="auto"/>
                <w:sz w:val="24"/>
                <w:szCs w:val="24"/>
                <w:highlight w:val="none"/>
                <w:u w:val="single"/>
                <w:lang w:val="en-US" w:eastAsia="zh-CN"/>
              </w:rPr>
              <w:t xml:space="preserve">  </w:t>
            </w:r>
            <w:r>
              <w:rPr>
                <w:rFonts w:hint="eastAsia" w:cs="宋体"/>
                <w:b w:val="0"/>
                <w:color w:val="auto"/>
                <w:sz w:val="24"/>
                <w:szCs w:val="24"/>
                <w:highlight w:val="none"/>
                <w:u w:val="single"/>
                <w:lang w:val="en-US" w:eastAsia="zh-CN"/>
              </w:rPr>
              <w:t>10%</w:t>
            </w: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rPr>
              <w:t>。</w:t>
            </w:r>
          </w:p>
          <w:p w14:paraId="3A14D5AD">
            <w:pPr>
              <w:pStyle w:val="70"/>
              <w:widowControl w:val="0"/>
              <w:spacing w:before="0" w:beforeAutospacing="0" w:after="0" w:afterAutospacing="0" w:line="24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监狱企业价格扣除：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p w14:paraId="1B996B16">
            <w:pPr>
              <w:pStyle w:val="70"/>
              <w:widowControl w:val="0"/>
              <w:spacing w:before="0" w:beforeAutospacing="0" w:after="0" w:afterAutospacing="0" w:line="240" w:lineRule="auto"/>
              <w:jc w:val="both"/>
              <w:rPr>
                <w:rFonts w:hint="eastAsia" w:ascii="宋体" w:hAnsi="宋体" w:eastAsia="宋体" w:cs="宋体"/>
                <w:b w:val="0"/>
                <w:bCs/>
                <w:color w:val="auto"/>
                <w:kern w:val="0"/>
                <w:sz w:val="24"/>
                <w:szCs w:val="24"/>
                <w:highlight w:val="none"/>
                <w:lang w:val="en-US" w:eastAsia="zh-CN" w:bidi="ar-SA"/>
              </w:rPr>
            </w:pPr>
            <w:r>
              <w:rPr>
                <w:rFonts w:hint="eastAsia" w:ascii="宋体" w:hAnsi="宋体" w:eastAsia="宋体" w:cs="宋体"/>
                <w:b w:val="0"/>
                <w:color w:val="auto"/>
                <w:sz w:val="24"/>
                <w:szCs w:val="24"/>
                <w:highlight w:val="none"/>
                <w:lang w:val="en-US" w:eastAsia="zh-CN"/>
              </w:rPr>
              <w:t xml:space="preserve"> </w:t>
            </w:r>
            <w:r>
              <w:rPr>
                <w:rFonts w:hint="eastAsia" w:ascii="宋体" w:hAnsi="宋体" w:eastAsia="宋体" w:cs="宋体"/>
                <w:b w:val="0"/>
                <w:color w:val="auto"/>
                <w:sz w:val="24"/>
                <w:szCs w:val="24"/>
                <w:highlight w:val="none"/>
              </w:rPr>
              <w:t>3</w:t>
            </w:r>
            <w:r>
              <w:rPr>
                <w:rFonts w:hint="eastAsia" w:ascii="宋体" w:hAnsi="宋体" w:eastAsia="宋体" w:cs="宋体"/>
                <w:b w:val="0"/>
                <w:color w:val="auto"/>
                <w:sz w:val="24"/>
                <w:szCs w:val="24"/>
                <w:highlight w:val="none"/>
                <w:lang w:val="en-US" w:eastAsia="zh-CN"/>
              </w:rPr>
              <w:t>.</w:t>
            </w:r>
            <w:r>
              <w:rPr>
                <w:rFonts w:hint="eastAsia" w:ascii="宋体" w:hAnsi="宋体" w:eastAsia="宋体" w:cs="宋体"/>
                <w:b w:val="0"/>
                <w:color w:val="auto"/>
                <w:sz w:val="24"/>
                <w:szCs w:val="24"/>
                <w:highlight w:val="none"/>
              </w:rPr>
              <w:t>残疾人福利性单位价格扣除：</w:t>
            </w:r>
            <w:r>
              <w:rPr>
                <w:rFonts w:hint="eastAsia" w:ascii="宋体" w:hAnsi="宋体" w:eastAsia="宋体" w:cs="宋体"/>
                <w:b w:val="0"/>
                <w:color w:val="auto"/>
                <w:sz w:val="24"/>
                <w:szCs w:val="24"/>
                <w:highlight w:val="none"/>
                <w:u w:val="none"/>
              </w:rPr>
              <w:t>同小型和微型企业</w:t>
            </w:r>
            <w:r>
              <w:rPr>
                <w:rFonts w:hint="eastAsia" w:ascii="宋体" w:hAnsi="宋体" w:eastAsia="宋体" w:cs="宋体"/>
                <w:b w:val="0"/>
                <w:color w:val="auto"/>
                <w:sz w:val="24"/>
                <w:szCs w:val="24"/>
                <w:highlight w:val="none"/>
              </w:rPr>
              <w:t>。</w:t>
            </w:r>
          </w:p>
        </w:tc>
      </w:tr>
      <w:tr w14:paraId="707AAB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vAlign w:val="center"/>
          </w:tcPr>
          <w:p w14:paraId="3AAFC5B3">
            <w:pPr>
              <w:pStyle w:val="48"/>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42.5</w:t>
            </w:r>
          </w:p>
        </w:tc>
        <w:tc>
          <w:tcPr>
            <w:tcW w:w="1965" w:type="dxa"/>
            <w:vAlign w:val="center"/>
          </w:tcPr>
          <w:p w14:paraId="59931474">
            <w:pPr>
              <w:pStyle w:val="4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标的所属行业</w:t>
            </w:r>
          </w:p>
          <w:p w14:paraId="27995733">
            <w:pPr>
              <w:pStyle w:val="48"/>
              <w:rPr>
                <w:rFonts w:hint="eastAsia" w:ascii="宋体" w:hAnsi="宋体" w:eastAsia="宋体" w:cs="宋体"/>
                <w:color w:val="auto"/>
                <w:sz w:val="24"/>
                <w:szCs w:val="24"/>
                <w:highlight w:val="none"/>
                <w:lang w:val="en-US" w:eastAsia="zh-CN"/>
              </w:rPr>
            </w:pPr>
            <w:r>
              <w:rPr>
                <w:rStyle w:val="32"/>
                <w:rFonts w:hint="eastAsia" w:ascii="宋体" w:hAnsi="宋体" w:eastAsia="宋体" w:cs="宋体"/>
                <w:b w:val="0"/>
                <w:color w:val="auto"/>
                <w:sz w:val="24"/>
                <w:szCs w:val="24"/>
                <w:highlight w:val="none"/>
                <w:lang w:val="en-US" w:eastAsia="zh-CN"/>
              </w:rPr>
              <w:t>参照后附</w:t>
            </w:r>
            <w:r>
              <w:rPr>
                <w:rStyle w:val="32"/>
                <w:rFonts w:hint="eastAsia" w:ascii="宋体" w:hAnsi="宋体" w:eastAsia="宋体" w:cs="宋体"/>
                <w:b w:val="0"/>
                <w:color w:val="auto"/>
                <w:sz w:val="24"/>
                <w:szCs w:val="24"/>
                <w:highlight w:val="none"/>
                <w:lang w:eastAsia="zh-CN"/>
              </w:rPr>
              <w:t>《</w:t>
            </w:r>
            <w:r>
              <w:rPr>
                <w:rStyle w:val="32"/>
                <w:rFonts w:hint="eastAsia" w:ascii="宋体" w:hAnsi="宋体" w:eastAsia="宋体" w:cs="宋体"/>
                <w:b w:val="0"/>
                <w:color w:val="auto"/>
                <w:sz w:val="24"/>
                <w:szCs w:val="24"/>
                <w:highlight w:val="none"/>
              </w:rPr>
              <w:t>工信部联企业〔2011〕300号</w:t>
            </w:r>
            <w:r>
              <w:rPr>
                <w:rStyle w:val="32"/>
                <w:rFonts w:hint="eastAsia" w:ascii="宋体" w:hAnsi="宋体" w:eastAsia="宋体" w:cs="宋体"/>
                <w:b w:val="0"/>
                <w:color w:val="auto"/>
                <w:sz w:val="24"/>
                <w:szCs w:val="24"/>
                <w:highlight w:val="none"/>
                <w:lang w:eastAsia="zh-CN"/>
              </w:rPr>
              <w:t>》</w:t>
            </w:r>
          </w:p>
        </w:tc>
        <w:tc>
          <w:tcPr>
            <w:tcW w:w="6450" w:type="dxa"/>
            <w:gridSpan w:val="2"/>
            <w:vAlign w:val="center"/>
          </w:tcPr>
          <w:p w14:paraId="56AC7DD6">
            <w:pPr>
              <w:keepNext w:val="0"/>
              <w:keepLines w:val="0"/>
              <w:widowControl/>
              <w:suppressLineNumbers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本项目采购标的对应的中小企业划分标准所属行业：</w:t>
            </w:r>
            <w:r>
              <w:rPr>
                <w:rFonts w:hint="eastAsia" w:cs="宋体"/>
                <w:color w:val="auto"/>
                <w:sz w:val="24"/>
                <w:szCs w:val="24"/>
                <w:highlight w:val="none"/>
                <w:lang w:val="en-US" w:eastAsia="zh-CN"/>
              </w:rPr>
              <w:t>工业</w:t>
            </w:r>
          </w:p>
        </w:tc>
      </w:tr>
      <w:tr w14:paraId="48C9F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gridAfter w:val="1"/>
          <w:wAfter w:w="6" w:type="dxa"/>
          <w:trHeight w:val="0" w:hRule="atLeast"/>
        </w:trPr>
        <w:tc>
          <w:tcPr>
            <w:tcW w:w="970" w:type="dxa"/>
            <w:tcBorders>
              <w:right w:val="single" w:color="auto" w:sz="4" w:space="0"/>
            </w:tcBorders>
            <w:vAlign w:val="center"/>
          </w:tcPr>
          <w:p w14:paraId="59449E7E">
            <w:pPr>
              <w:pStyle w:val="4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.1</w:t>
            </w:r>
          </w:p>
        </w:tc>
        <w:tc>
          <w:tcPr>
            <w:tcW w:w="1965" w:type="dxa"/>
            <w:tcBorders>
              <w:right w:val="single" w:color="auto" w:sz="4" w:space="0"/>
            </w:tcBorders>
            <w:vAlign w:val="center"/>
          </w:tcPr>
          <w:p w14:paraId="7068A1E1">
            <w:pPr>
              <w:pStyle w:val="4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需要补充的其他内容</w:t>
            </w:r>
          </w:p>
        </w:tc>
        <w:tc>
          <w:tcPr>
            <w:tcW w:w="6450" w:type="dxa"/>
            <w:gridSpan w:val="2"/>
            <w:tcBorders>
              <w:left w:val="single" w:color="auto" w:sz="4" w:space="0"/>
            </w:tcBorders>
            <w:vAlign w:val="center"/>
          </w:tcPr>
          <w:p w14:paraId="48509A24">
            <w:pPr>
              <w:pStyle w:val="4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本项目为不见面开标，开标当天不需要提供纸质版投标文件，开标结束后根据招标人或招标代理要求提供纸质版投标文件及电子投标文件。</w:t>
            </w:r>
          </w:p>
        </w:tc>
      </w:tr>
    </w:tbl>
    <w:p w14:paraId="452C548F">
      <w:pPr>
        <w:rPr>
          <w:color w:val="auto"/>
          <w:highlight w:val="none"/>
        </w:rPr>
      </w:pPr>
      <w:r>
        <w:rPr>
          <w:color w:val="auto"/>
          <w:highlight w:val="none"/>
        </w:rPr>
        <w:br w:type="page"/>
      </w:r>
    </w:p>
    <w:p w14:paraId="410914FC">
      <w:pPr>
        <w:pStyle w:val="4"/>
        <w:keepNext/>
        <w:keepLines/>
        <w:pageBreakBefore w:val="0"/>
        <w:widowControl w:val="0"/>
        <w:numPr>
          <w:ilvl w:val="0"/>
          <w:numId w:val="0"/>
        </w:numPr>
        <w:kinsoku/>
        <w:wordWrap/>
        <w:overflowPunct/>
        <w:topLinePunct w:val="0"/>
        <w:autoSpaceDE/>
        <w:autoSpaceDN/>
        <w:bidi w:val="0"/>
        <w:adjustRightInd/>
        <w:snapToGrid/>
        <w:spacing w:before="80" w:after="80" w:line="360" w:lineRule="auto"/>
        <w:ind w:left="420" w:leftChars="0" w:hanging="420" w:firstLineChars="0"/>
        <w:textAlignment w:val="auto"/>
        <w:rPr>
          <w:rFonts w:hint="eastAsia" w:eastAsia="宋体" w:asciiTheme="majorHAnsi" w:hAnsiTheme="majorHAnsi" w:cstheme="majorBidi"/>
          <w:b/>
          <w:bCs/>
          <w:color w:val="auto"/>
          <w:kern w:val="2"/>
          <w:sz w:val="28"/>
          <w:szCs w:val="28"/>
          <w:highlight w:val="none"/>
          <w:lang w:val="en-US" w:eastAsia="zh-CN" w:bidi="ar-SA"/>
        </w:rPr>
      </w:pPr>
      <w:bookmarkStart w:id="97" w:name="_Toc25718"/>
      <w:bookmarkStart w:id="98" w:name="_Toc155185869"/>
      <w:r>
        <w:rPr>
          <w:rFonts w:hint="eastAsia" w:eastAsia="宋体" w:asciiTheme="majorHAnsi" w:hAnsiTheme="majorHAnsi" w:cstheme="majorBidi"/>
          <w:b/>
          <w:bCs/>
          <w:color w:val="auto"/>
          <w:kern w:val="2"/>
          <w:sz w:val="28"/>
          <w:szCs w:val="28"/>
          <w:highlight w:val="none"/>
          <w:lang w:val="en-US" w:eastAsia="zh-CN" w:bidi="ar-SA"/>
        </w:rPr>
        <w:t>二、投标人须知</w:t>
      </w:r>
      <w:bookmarkEnd w:id="97"/>
      <w:bookmarkEnd w:id="98"/>
    </w:p>
    <w:p w14:paraId="604D77A9">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宋体"/>
          <w:color w:val="auto"/>
          <w:sz w:val="24"/>
          <w:highlight w:val="none"/>
        </w:rPr>
      </w:pPr>
      <w:bookmarkStart w:id="99" w:name="_Toc163492822"/>
      <w:bookmarkStart w:id="100" w:name="_Toc27067"/>
      <w:bookmarkStart w:id="101" w:name="_Toc155185870"/>
      <w:bookmarkStart w:id="102" w:name="_Toc26511"/>
      <w:bookmarkStart w:id="103" w:name="_Toc23355"/>
      <w:bookmarkStart w:id="104" w:name="_Toc27686"/>
      <w:r>
        <w:rPr>
          <w:rFonts w:hint="eastAsia" w:ascii="宋体" w:hAnsi="宋体" w:eastAsia="宋体" w:cs="宋体"/>
          <w:b/>
          <w:bCs/>
          <w:color w:val="auto"/>
          <w:kern w:val="2"/>
          <w:sz w:val="24"/>
          <w:szCs w:val="32"/>
          <w:highlight w:val="none"/>
          <w:lang w:val="en-US" w:eastAsia="zh-CN" w:bidi="ar-SA"/>
        </w:rPr>
        <w:t>（一）</w:t>
      </w:r>
      <w:r>
        <w:rPr>
          <w:rFonts w:hint="eastAsia" w:ascii="宋体" w:hAnsi="宋体" w:eastAsia="宋体" w:cs="宋体"/>
          <w:color w:val="auto"/>
          <w:sz w:val="24"/>
          <w:highlight w:val="none"/>
        </w:rPr>
        <w:t>总则</w:t>
      </w:r>
      <w:bookmarkEnd w:id="99"/>
      <w:bookmarkEnd w:id="100"/>
      <w:bookmarkEnd w:id="101"/>
      <w:bookmarkEnd w:id="102"/>
      <w:bookmarkEnd w:id="103"/>
      <w:bookmarkEnd w:id="104"/>
    </w:p>
    <w:p w14:paraId="788765C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color w:val="auto"/>
          <w:sz w:val="24"/>
          <w:highlight w:val="none"/>
        </w:rPr>
      </w:pPr>
      <w:bookmarkStart w:id="105" w:name="_Toc163492823"/>
      <w:bookmarkStart w:id="106" w:name="_Toc29103"/>
      <w:bookmarkStart w:id="107" w:name="_Toc9584"/>
      <w:bookmarkStart w:id="108" w:name="_Toc31233"/>
      <w:bookmarkStart w:id="109" w:name="_Toc109897532"/>
      <w:bookmarkStart w:id="110" w:name="_Toc109900469"/>
      <w:bookmarkStart w:id="111" w:name="_Toc109899631"/>
      <w:bookmarkStart w:id="112" w:name="_Toc155095689"/>
      <w:bookmarkStart w:id="113" w:name="_Toc8451"/>
      <w:bookmarkStart w:id="114" w:name="_Toc26566"/>
      <w:bookmarkStart w:id="115" w:name="_Toc109900050"/>
      <w:r>
        <w:rPr>
          <w:rFonts w:hint="eastAsia" w:ascii="宋体" w:hAnsi="宋体" w:eastAsia="宋体" w:cs="宋体"/>
          <w:b/>
          <w:bCs/>
          <w:color w:val="auto"/>
          <w:kern w:val="2"/>
          <w:sz w:val="24"/>
          <w:szCs w:val="28"/>
          <w:highlight w:val="none"/>
          <w:lang w:val="en-US" w:eastAsia="zh-CN" w:bidi="ar-SA"/>
        </w:rPr>
        <w:t>1.</w:t>
      </w:r>
      <w:r>
        <w:rPr>
          <w:rFonts w:hint="eastAsia" w:ascii="宋体" w:hAnsi="宋体" w:eastAsia="宋体" w:cs="宋体"/>
          <w:color w:val="auto"/>
          <w:sz w:val="24"/>
          <w:highlight w:val="none"/>
        </w:rPr>
        <w:t>适用范围</w:t>
      </w:r>
      <w:bookmarkEnd w:id="105"/>
      <w:bookmarkEnd w:id="106"/>
      <w:bookmarkEnd w:id="107"/>
      <w:bookmarkEnd w:id="108"/>
      <w:bookmarkEnd w:id="109"/>
      <w:bookmarkEnd w:id="110"/>
      <w:bookmarkEnd w:id="111"/>
      <w:bookmarkEnd w:id="112"/>
      <w:bookmarkEnd w:id="113"/>
      <w:bookmarkEnd w:id="114"/>
      <w:bookmarkEnd w:id="115"/>
    </w:p>
    <w:p w14:paraId="3896363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1.1本招标文件仅适用于本项目的采购活动。</w:t>
      </w:r>
    </w:p>
    <w:p w14:paraId="34F0841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16" w:name="_Toc20400"/>
      <w:bookmarkStart w:id="117" w:name="_Toc26282"/>
      <w:bookmarkStart w:id="118" w:name="_Toc11923"/>
      <w:bookmarkStart w:id="119" w:name="_Toc32274"/>
      <w:bookmarkStart w:id="120" w:name="_Toc163492824"/>
      <w:r>
        <w:rPr>
          <w:rFonts w:hint="eastAsia" w:ascii="宋体" w:hAnsi="宋体" w:eastAsia="宋体" w:cs="宋体"/>
          <w:b/>
          <w:bCs/>
          <w:color w:val="auto"/>
          <w:kern w:val="2"/>
          <w:sz w:val="24"/>
          <w:szCs w:val="28"/>
          <w:highlight w:val="none"/>
          <w:lang w:val="en-US" w:eastAsia="zh-CN" w:bidi="ar-SA"/>
        </w:rPr>
        <w:t>2.基本定义</w:t>
      </w:r>
      <w:bookmarkEnd w:id="116"/>
      <w:bookmarkEnd w:id="117"/>
      <w:bookmarkEnd w:id="118"/>
      <w:bookmarkEnd w:id="119"/>
      <w:bookmarkEnd w:id="120"/>
    </w:p>
    <w:p w14:paraId="768D70C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2.1根据《中华人民共和国政府采购法》及其实施条例等有关法律、法规和规章的规定，制定本招标文件。</w:t>
      </w:r>
    </w:p>
    <w:p w14:paraId="342EC44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eastAsia="宋体"/>
          <w:color w:val="auto"/>
          <w:sz w:val="24"/>
          <w:highlight w:val="none"/>
        </w:rPr>
      </w:pPr>
      <w:r>
        <w:rPr>
          <w:rFonts w:hint="eastAsia" w:eastAsia="宋体"/>
          <w:color w:val="auto"/>
          <w:sz w:val="24"/>
          <w:highlight w:val="none"/>
        </w:rPr>
        <w:t>2.2采购人：</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eastAsia="宋体"/>
          <w:color w:val="auto"/>
          <w:sz w:val="24"/>
          <w:highlight w:val="none"/>
        </w:rPr>
        <w:t>。</w:t>
      </w:r>
    </w:p>
    <w:p w14:paraId="429A3EF6">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eastAsia="宋体"/>
          <w:color w:val="auto"/>
          <w:sz w:val="24"/>
          <w:highlight w:val="none"/>
        </w:rPr>
      </w:pPr>
      <w:r>
        <w:rPr>
          <w:rFonts w:hint="eastAsia" w:eastAsia="宋体"/>
          <w:color w:val="auto"/>
          <w:sz w:val="24"/>
          <w:highlight w:val="none"/>
        </w:rPr>
        <w:t>2.3采购代理机构：</w:t>
      </w:r>
      <w:r>
        <w:rPr>
          <w:rFonts w:hint="eastAsia" w:ascii="宋体" w:hAnsi="宋体" w:eastAsia="宋体" w:cs="宋体"/>
          <w:color w:val="auto"/>
          <w:kern w:val="0"/>
          <w:sz w:val="24"/>
          <w:szCs w:val="24"/>
          <w:highlight w:val="none"/>
          <w:lang w:val="en-US" w:eastAsia="zh-CN" w:bidi="ar"/>
        </w:rPr>
        <w:t>指依法进行政府采购的国家机关、事业单位、团体组织</w:t>
      </w:r>
      <w:r>
        <w:rPr>
          <w:rFonts w:hint="eastAsia" w:eastAsia="宋体"/>
          <w:color w:val="auto"/>
          <w:sz w:val="24"/>
          <w:highlight w:val="none"/>
          <w:lang w:val="en-US" w:eastAsia="zh-CN"/>
        </w:rPr>
        <w:t>委托的采购代理机构</w:t>
      </w:r>
      <w:r>
        <w:rPr>
          <w:rFonts w:hint="eastAsia" w:eastAsia="宋体"/>
          <w:color w:val="auto"/>
          <w:sz w:val="24"/>
          <w:highlight w:val="none"/>
        </w:rPr>
        <w:t>。</w:t>
      </w:r>
    </w:p>
    <w:p w14:paraId="26D50742">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2.4政府采购监督管理部门：各级人民政府财政部门是负责政府采购监督管理的部门，依法履行对政府采购活动的监督管理职责。各级人民政府其他有关部门依法履行与政府采购活动有关的监督管理职责。</w:t>
      </w:r>
    </w:p>
    <w:p w14:paraId="18E21DAA">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2.5 核心产品见</w:t>
      </w:r>
      <w:r>
        <w:rPr>
          <w:rFonts w:hint="eastAsia" w:eastAsia="宋体"/>
          <w:color w:val="auto"/>
          <w:sz w:val="24"/>
          <w:highlight w:val="none"/>
        </w:rPr>
        <w:t>“投标人须知前附表”</w:t>
      </w:r>
      <w:r>
        <w:rPr>
          <w:rFonts w:hint="eastAsia" w:eastAsia="宋体"/>
          <w:color w:val="auto"/>
          <w:sz w:val="24"/>
          <w:highlight w:val="none"/>
          <w:lang w:val="en-US" w:eastAsia="zh-CN"/>
        </w:rPr>
        <w:t>。</w:t>
      </w:r>
    </w:p>
    <w:p w14:paraId="6557BF30">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2.6是否属于</w:t>
      </w:r>
      <w:r>
        <w:rPr>
          <w:rFonts w:ascii="FZShuSong-Z01" w:hAnsi="FZShuSong-Z01" w:eastAsia="宋体" w:cs="FZShuSong-Z01"/>
          <w:color w:val="auto"/>
          <w:kern w:val="0"/>
          <w:sz w:val="24"/>
          <w:szCs w:val="24"/>
          <w:highlight w:val="none"/>
          <w:lang w:val="en-US" w:eastAsia="zh-CN" w:bidi="ar"/>
        </w:rPr>
        <w:t>科研仪器设备</w:t>
      </w:r>
      <w:r>
        <w:rPr>
          <w:rFonts w:hint="eastAsia" w:ascii="FZShuSong-Z01" w:hAnsi="FZShuSong-Z01" w:eastAsia="宋体" w:cs="FZShuSong-Z01"/>
          <w:color w:val="auto"/>
          <w:kern w:val="0"/>
          <w:sz w:val="24"/>
          <w:szCs w:val="24"/>
          <w:highlight w:val="none"/>
          <w:lang w:val="en-US" w:eastAsia="zh-CN" w:bidi="ar"/>
        </w:rPr>
        <w:t>采购</w:t>
      </w:r>
      <w:r>
        <w:rPr>
          <w:rFonts w:hint="eastAsia" w:eastAsia="宋体"/>
          <w:color w:val="auto"/>
          <w:sz w:val="24"/>
          <w:highlight w:val="none"/>
          <w:lang w:val="en-US" w:eastAsia="zh-CN"/>
        </w:rPr>
        <w:t>见</w:t>
      </w:r>
      <w:r>
        <w:rPr>
          <w:rFonts w:hint="eastAsia" w:eastAsia="宋体"/>
          <w:color w:val="auto"/>
          <w:sz w:val="24"/>
          <w:highlight w:val="none"/>
        </w:rPr>
        <w:t>“</w:t>
      </w:r>
      <w:r>
        <w:rPr>
          <w:rFonts w:hint="eastAsia" w:eastAsia="宋体"/>
          <w:color w:val="auto"/>
          <w:sz w:val="24"/>
          <w:highlight w:val="none"/>
          <w:lang w:val="en-US" w:eastAsia="zh-CN"/>
        </w:rPr>
        <w:t>投标人</w:t>
      </w:r>
      <w:r>
        <w:rPr>
          <w:rFonts w:hint="eastAsia" w:eastAsia="宋体"/>
          <w:color w:val="auto"/>
          <w:sz w:val="24"/>
          <w:highlight w:val="none"/>
        </w:rPr>
        <w:t>须知前附表”</w:t>
      </w:r>
      <w:r>
        <w:rPr>
          <w:rFonts w:hint="eastAsia" w:eastAsia="宋体"/>
          <w:color w:val="auto"/>
          <w:sz w:val="24"/>
          <w:highlight w:val="none"/>
          <w:lang w:val="en-US" w:eastAsia="zh-CN"/>
        </w:rPr>
        <w:t>。</w:t>
      </w:r>
    </w:p>
    <w:p w14:paraId="214DD75F">
      <w:pPr>
        <w:ind w:firstLine="480" w:firstLineChars="200"/>
        <w:rPr>
          <w:rFonts w:eastAsia="宋体"/>
          <w:color w:val="auto"/>
          <w:sz w:val="24"/>
          <w:highlight w:val="none"/>
        </w:rPr>
      </w:pPr>
      <w:r>
        <w:rPr>
          <w:rFonts w:hint="eastAsia" w:eastAsia="宋体"/>
          <w:iCs/>
          <w:color w:val="auto"/>
          <w:sz w:val="24"/>
          <w:highlight w:val="none"/>
          <w:shd w:val="clear" w:color="auto" w:fill="FFFFFF" w:themeFill="background1"/>
        </w:rPr>
        <w:t>2.</w:t>
      </w:r>
      <w:r>
        <w:rPr>
          <w:rFonts w:hint="eastAsia" w:eastAsia="宋体"/>
          <w:iCs/>
          <w:color w:val="auto"/>
          <w:sz w:val="24"/>
          <w:highlight w:val="none"/>
          <w:shd w:val="clear" w:color="auto" w:fill="FFFFFF" w:themeFill="background1"/>
          <w:lang w:val="en-US" w:eastAsia="zh-CN"/>
        </w:rPr>
        <w:t>7</w:t>
      </w:r>
      <w:r>
        <w:rPr>
          <w:rFonts w:hint="eastAsia" w:eastAsia="宋体"/>
          <w:iCs/>
          <w:color w:val="auto"/>
          <w:sz w:val="24"/>
          <w:highlight w:val="none"/>
          <w:shd w:val="clear" w:color="auto" w:fill="FFFFFF" w:themeFill="background1"/>
        </w:rPr>
        <w:t>投标人（也称“供应商”、“申请人”）：指向采购人提供货物、工程或者服务的法人、其他组织或者自然人。</w:t>
      </w:r>
      <w:r>
        <w:rPr>
          <w:rFonts w:hint="eastAsia" w:eastAsia="宋体"/>
          <w:color w:val="auto"/>
          <w:sz w:val="24"/>
          <w:highlight w:val="none"/>
        </w:rPr>
        <w:t>分支机构不得参加政府采购活动，但银行、保险、石油石化、电力、电信等</w:t>
      </w:r>
      <w:r>
        <w:rPr>
          <w:rFonts w:hint="eastAsia" w:eastAsia="宋体"/>
          <w:color w:val="auto"/>
          <w:sz w:val="24"/>
          <w:highlight w:val="none"/>
          <w:lang w:val="en-US" w:eastAsia="zh-CN"/>
        </w:rPr>
        <w:t>有</w:t>
      </w:r>
      <w:r>
        <w:rPr>
          <w:rFonts w:hint="eastAsia" w:eastAsia="宋体"/>
          <w:color w:val="auto"/>
          <w:sz w:val="24"/>
          <w:highlight w:val="none"/>
        </w:rPr>
        <w:t>行业特殊</w:t>
      </w:r>
      <w:r>
        <w:rPr>
          <w:rFonts w:hint="eastAsia" w:eastAsia="宋体"/>
          <w:color w:val="auto"/>
          <w:sz w:val="24"/>
          <w:highlight w:val="none"/>
          <w:lang w:val="en-US" w:eastAsia="zh-CN"/>
        </w:rPr>
        <w:t>情况的</w:t>
      </w:r>
      <w:r>
        <w:rPr>
          <w:rFonts w:hint="eastAsia" w:eastAsia="宋体"/>
          <w:color w:val="auto"/>
          <w:sz w:val="24"/>
          <w:highlight w:val="none"/>
        </w:rPr>
        <w:t>除外。</w:t>
      </w:r>
      <w:r>
        <w:rPr>
          <w:rFonts w:eastAsia="宋体"/>
          <w:color w:val="auto"/>
          <w:sz w:val="24"/>
          <w:highlight w:val="none"/>
        </w:rPr>
        <w:t>本项目的投标人须满足以下条件：</w:t>
      </w:r>
    </w:p>
    <w:p w14:paraId="2518C535">
      <w:pPr>
        <w:ind w:firstLine="480" w:firstLineChars="200"/>
        <w:rPr>
          <w:rFonts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7</w:t>
      </w:r>
      <w:r>
        <w:rPr>
          <w:rFonts w:eastAsia="宋体"/>
          <w:color w:val="auto"/>
          <w:sz w:val="24"/>
          <w:highlight w:val="none"/>
        </w:rPr>
        <w:t>.</w:t>
      </w:r>
      <w:r>
        <w:rPr>
          <w:rFonts w:hint="eastAsia" w:eastAsia="宋体"/>
          <w:color w:val="auto"/>
          <w:sz w:val="24"/>
          <w:highlight w:val="none"/>
        </w:rPr>
        <w:t>1</w:t>
      </w:r>
      <w:r>
        <w:rPr>
          <w:rFonts w:eastAsia="宋体"/>
          <w:color w:val="auto"/>
          <w:sz w:val="24"/>
          <w:highlight w:val="none"/>
        </w:rPr>
        <w:t>具备《中华人民共和国政府采购法》第二十二条规定的</w:t>
      </w:r>
      <w:r>
        <w:rPr>
          <w:rFonts w:hint="eastAsia" w:eastAsia="宋体"/>
          <w:color w:val="auto"/>
          <w:sz w:val="24"/>
          <w:highlight w:val="none"/>
        </w:rPr>
        <w:t>条件</w:t>
      </w:r>
      <w:r>
        <w:rPr>
          <w:rFonts w:eastAsia="宋体"/>
          <w:color w:val="auto"/>
          <w:sz w:val="24"/>
          <w:highlight w:val="none"/>
        </w:rPr>
        <w:t>，遵守本项目采购人本级和上级财政部门政府采购的有关规定。</w:t>
      </w:r>
    </w:p>
    <w:p w14:paraId="76745163">
      <w:pPr>
        <w:ind w:firstLine="480" w:firstLineChars="200"/>
        <w:rPr>
          <w:rFonts w:hint="eastAsia"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.2以招标公告中发布的方式依法获得了本项目的招标文件。</w:t>
      </w:r>
    </w:p>
    <w:p w14:paraId="0DE24F0D">
      <w:pPr>
        <w:ind w:firstLine="480" w:firstLineChars="200"/>
        <w:rPr>
          <w:rFonts w:hint="eastAsia" w:eastAsia="宋体"/>
          <w:color w:val="auto"/>
          <w:sz w:val="24"/>
          <w:highlight w:val="none"/>
          <w:lang w:val="en-US" w:eastAsia="zh-CN"/>
        </w:rPr>
      </w:pPr>
      <w:r>
        <w:rPr>
          <w:rFonts w:hint="eastAsia" w:eastAsia="宋体"/>
          <w:color w:val="auto"/>
          <w:sz w:val="24"/>
          <w:highlight w:val="none"/>
          <w:lang w:val="en-US" w:eastAsia="zh-CN"/>
        </w:rPr>
        <w:t>2.7.3符合本招标文件规定并参加投标的供应商。</w:t>
      </w:r>
    </w:p>
    <w:p w14:paraId="5FC27D1B">
      <w:pPr>
        <w:spacing w:line="360" w:lineRule="auto"/>
        <w:ind w:firstLine="480" w:firstLineChars="200"/>
        <w:rPr>
          <w:rFonts w:hint="default" w:eastAsia="宋体"/>
          <w:color w:val="auto"/>
          <w:sz w:val="24"/>
          <w:highlight w:val="none"/>
          <w:lang w:val="en-US" w:eastAsia="zh-CN"/>
        </w:rPr>
      </w:pPr>
      <w:r>
        <w:rPr>
          <w:rFonts w:hint="eastAsia" w:eastAsia="宋体"/>
          <w:color w:val="auto"/>
          <w:sz w:val="24"/>
          <w:highlight w:val="none"/>
          <w:lang w:val="en-US" w:eastAsia="zh-CN"/>
        </w:rPr>
        <w:t>2.8</w:t>
      </w:r>
      <w:r>
        <w:rPr>
          <w:rFonts w:hint="eastAsia" w:eastAsia="宋体"/>
          <w:iCs/>
          <w:color w:val="auto"/>
          <w:sz w:val="24"/>
          <w:highlight w:val="none"/>
          <w:shd w:val="clear" w:color="auto" w:fill="FFFFFF" w:themeFill="background1"/>
        </w:rPr>
        <w:t>潜在投标人、潜在供应商</w:t>
      </w:r>
      <w:r>
        <w:rPr>
          <w:rFonts w:hint="eastAsia" w:eastAsia="宋体"/>
          <w:iCs/>
          <w:color w:val="auto"/>
          <w:sz w:val="24"/>
          <w:highlight w:val="none"/>
          <w:shd w:val="clear" w:color="auto" w:fill="FFFFFF" w:themeFill="background1"/>
          <w:lang w:eastAsia="zh-CN"/>
        </w:rPr>
        <w:t>：</w:t>
      </w:r>
      <w:r>
        <w:rPr>
          <w:rFonts w:hint="eastAsia" w:eastAsia="宋体"/>
          <w:iCs/>
          <w:color w:val="auto"/>
          <w:sz w:val="24"/>
          <w:highlight w:val="none"/>
          <w:shd w:val="clear" w:color="auto" w:fill="FFFFFF" w:themeFill="background1"/>
          <w:lang w:val="en-US" w:eastAsia="zh-CN"/>
        </w:rPr>
        <w:t>指</w:t>
      </w:r>
      <w:r>
        <w:rPr>
          <w:rFonts w:hint="eastAsia" w:eastAsia="宋体"/>
          <w:color w:val="auto"/>
          <w:sz w:val="24"/>
          <w:highlight w:val="none"/>
          <w:lang w:val="en-US" w:eastAsia="zh-CN"/>
        </w:rPr>
        <w:t>符合本招标文件规定的供应商。</w:t>
      </w:r>
    </w:p>
    <w:p w14:paraId="7BECD89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21" w:name="_Toc9283"/>
      <w:bookmarkStart w:id="122" w:name="_Toc140132758"/>
      <w:bookmarkStart w:id="123" w:name="_Toc5535"/>
      <w:bookmarkStart w:id="124" w:name="_Toc163492825"/>
      <w:bookmarkStart w:id="125" w:name="_Toc16195"/>
      <w:bookmarkStart w:id="126" w:name="_Toc28067"/>
      <w:r>
        <w:rPr>
          <w:rFonts w:hint="eastAsia" w:ascii="宋体" w:hAnsi="宋体" w:eastAsia="宋体" w:cs="宋体"/>
          <w:b/>
          <w:bCs/>
          <w:color w:val="auto"/>
          <w:kern w:val="2"/>
          <w:sz w:val="24"/>
          <w:szCs w:val="28"/>
          <w:highlight w:val="none"/>
          <w:lang w:val="en-US" w:eastAsia="zh-CN" w:bidi="ar-SA"/>
        </w:rPr>
        <w:t>3.资金来源</w:t>
      </w:r>
      <w:bookmarkEnd w:id="121"/>
      <w:bookmarkEnd w:id="122"/>
      <w:bookmarkEnd w:id="123"/>
      <w:bookmarkEnd w:id="124"/>
      <w:bookmarkEnd w:id="125"/>
      <w:bookmarkEnd w:id="126"/>
    </w:p>
    <w:p w14:paraId="76E8C14F">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3.1资金来源：</w:t>
      </w:r>
      <w:r>
        <w:rPr>
          <w:rFonts w:hint="eastAsia" w:eastAsia="宋体"/>
          <w:color w:val="auto"/>
          <w:sz w:val="24"/>
          <w:highlight w:val="none"/>
          <w:lang w:val="en-US" w:eastAsia="zh-CN"/>
        </w:rPr>
        <w:t>为财政性资金即</w:t>
      </w:r>
      <w:r>
        <w:rPr>
          <w:rFonts w:hint="eastAsia" w:eastAsia="宋体"/>
          <w:color w:val="auto"/>
          <w:sz w:val="24"/>
          <w:highlight w:val="none"/>
        </w:rPr>
        <w:t>纳入预算管理的资金</w:t>
      </w:r>
      <w:r>
        <w:rPr>
          <w:rFonts w:hint="eastAsia" w:eastAsia="宋体"/>
          <w:color w:val="auto"/>
          <w:sz w:val="24"/>
          <w:highlight w:val="none"/>
          <w:lang w:eastAsia="zh-CN"/>
        </w:rPr>
        <w:t>。</w:t>
      </w:r>
      <w:r>
        <w:rPr>
          <w:rFonts w:hint="eastAsia" w:eastAsia="宋体"/>
          <w:color w:val="auto"/>
          <w:sz w:val="24"/>
          <w:highlight w:val="none"/>
        </w:rPr>
        <w:t>以财政性资金作为还款来源的借贷资金，视同财政性资金。财政性资金与非财政性资金无法分割采购的，统一适用《中华人民共和国政府采购法》及其实施条例。</w:t>
      </w:r>
    </w:p>
    <w:p w14:paraId="17722C4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27" w:name="_Toc23672"/>
      <w:bookmarkStart w:id="128" w:name="_Toc4999"/>
      <w:bookmarkStart w:id="129" w:name="_Toc163492826"/>
      <w:bookmarkStart w:id="130" w:name="_Toc17305"/>
      <w:bookmarkStart w:id="131" w:name="_Toc140132760"/>
      <w:bookmarkStart w:id="132" w:name="_Toc14888"/>
      <w:r>
        <w:rPr>
          <w:rFonts w:hint="eastAsia" w:ascii="宋体" w:hAnsi="宋体" w:eastAsia="宋体" w:cs="宋体"/>
          <w:b/>
          <w:bCs/>
          <w:color w:val="auto"/>
          <w:kern w:val="2"/>
          <w:sz w:val="24"/>
          <w:szCs w:val="28"/>
          <w:highlight w:val="none"/>
          <w:lang w:val="en-US" w:eastAsia="zh-CN" w:bidi="ar-SA"/>
        </w:rPr>
        <w:t>4.投标人资格要求</w:t>
      </w:r>
      <w:bookmarkEnd w:id="127"/>
      <w:bookmarkEnd w:id="128"/>
      <w:bookmarkEnd w:id="129"/>
      <w:bookmarkEnd w:id="130"/>
      <w:bookmarkEnd w:id="131"/>
      <w:bookmarkEnd w:id="132"/>
    </w:p>
    <w:p w14:paraId="522AD9C1">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4.1投标人资格要求：见“</w:t>
      </w:r>
      <w:r>
        <w:rPr>
          <w:rFonts w:hint="eastAsia" w:eastAsia="宋体"/>
          <w:color w:val="auto"/>
          <w:sz w:val="24"/>
          <w:highlight w:val="none"/>
          <w:lang w:val="en-US" w:eastAsia="zh-CN"/>
        </w:rPr>
        <w:t>第一章 招标公告</w:t>
      </w:r>
      <w:r>
        <w:rPr>
          <w:rFonts w:hint="eastAsia" w:eastAsia="宋体"/>
          <w:color w:val="auto"/>
          <w:sz w:val="24"/>
          <w:highlight w:val="none"/>
        </w:rPr>
        <w:t>”；</w:t>
      </w:r>
    </w:p>
    <w:p w14:paraId="3B57853B">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en-US" w:eastAsia="zh-CN"/>
        </w:rPr>
        <w:t>4</w:t>
      </w: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w:t>
      </w:r>
      <w:r>
        <w:rPr>
          <w:rFonts w:hint="eastAsia" w:eastAsia="宋体"/>
          <w:color w:val="auto"/>
          <w:sz w:val="24"/>
          <w:highlight w:val="none"/>
          <w:lang w:val="en-US" w:eastAsia="zh-CN"/>
        </w:rPr>
        <w:t>第一章 招标公告</w:t>
      </w:r>
      <w:r>
        <w:rPr>
          <w:rFonts w:hint="eastAsia" w:eastAsia="宋体"/>
          <w:color w:val="auto"/>
          <w:sz w:val="24"/>
          <w:highlight w:val="none"/>
          <w:lang w:val="zh-CN" w:eastAsia="zh-CN"/>
        </w:rPr>
        <w:t>”规定接受联合体投标的，还应遵守以下规定：</w:t>
      </w:r>
    </w:p>
    <w:p w14:paraId="512308F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eastAsia="宋体"/>
          <w:color w:val="auto"/>
          <w:sz w:val="24"/>
          <w:highlight w:val="none"/>
          <w:lang w:val="en-US" w:eastAsia="zh-CN"/>
        </w:rPr>
        <w:t>4</w:t>
      </w: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1两个以上的自然人、法人或者其他组织可以组成一个联合体，以一个</w:t>
      </w:r>
      <w:r>
        <w:rPr>
          <w:rFonts w:hint="eastAsia" w:eastAsia="宋体"/>
          <w:color w:val="auto"/>
          <w:sz w:val="24"/>
          <w:highlight w:val="none"/>
          <w:lang w:val="en-US" w:eastAsia="zh-CN"/>
        </w:rPr>
        <w:t>投标人</w:t>
      </w:r>
      <w:r>
        <w:rPr>
          <w:rFonts w:hint="eastAsia" w:eastAsia="宋体"/>
          <w:color w:val="auto"/>
          <w:sz w:val="24"/>
          <w:highlight w:val="none"/>
          <w:lang w:val="zh-CN" w:eastAsia="zh-CN"/>
        </w:rPr>
        <w:t>的身份共同参加政府采购。</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以联合体形式进行政府采购的，参加联合体的供应商均应当具备《</w:t>
      </w:r>
      <w:r>
        <w:rPr>
          <w:rFonts w:hint="eastAsia" w:eastAsia="宋体"/>
          <w:color w:val="auto"/>
          <w:sz w:val="24"/>
          <w:highlight w:val="none"/>
        </w:rPr>
        <w:t>中华人民共和国政府采购法</w:t>
      </w:r>
      <w:r>
        <w:rPr>
          <w:rFonts w:hint="eastAsia" w:ascii="宋体" w:hAnsi="宋体" w:eastAsia="宋体" w:cstheme="minorBidi"/>
          <w:iCs/>
          <w:color w:val="auto"/>
          <w:kern w:val="2"/>
          <w:sz w:val="24"/>
          <w:szCs w:val="22"/>
          <w:highlight w:val="none"/>
          <w:shd w:val="clear" w:color="auto" w:fill="FFFFFF" w:themeFill="background1"/>
          <w:lang w:val="zh-CN" w:eastAsia="zh-CN" w:bidi="ar-SA"/>
        </w:rPr>
        <w:t>》第二十二条规定的条件。</w:t>
      </w:r>
    </w:p>
    <w:p w14:paraId="7EFB49B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2.</w:t>
      </w:r>
      <w:r>
        <w:rPr>
          <w:rFonts w:hint="eastAsia" w:eastAsia="宋体" w:cstheme="minorBidi"/>
          <w:iCs/>
          <w:color w:val="auto"/>
          <w:kern w:val="2"/>
          <w:sz w:val="24"/>
          <w:szCs w:val="22"/>
          <w:highlight w:val="none"/>
          <w:shd w:val="clear" w:color="auto" w:fill="FFFFFF" w:themeFill="background1"/>
          <w:lang w:val="en-US" w:eastAsia="zh-CN" w:bidi="ar-SA"/>
        </w:rPr>
        <w:t>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联合体各方应按招标文件提供的格式签订联合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，明确约定联合体各方承担的工作和相应的责任，并将联合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作为投标文件的一部分提交，该协议书对联合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体所有成员</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均具有法律约束力。</w:t>
      </w:r>
    </w:p>
    <w:p w14:paraId="5343E5B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eastAsia="宋体" w:cstheme="minorBidi"/>
          <w:iCs/>
          <w:color w:val="auto"/>
          <w:kern w:val="2"/>
          <w:sz w:val="24"/>
          <w:szCs w:val="22"/>
          <w:highlight w:val="none"/>
          <w:shd w:val="clear" w:color="auto" w:fill="FFFFFF" w:themeFill="background1"/>
          <w:lang w:val="en-US" w:eastAsia="zh-CN" w:bidi="ar-SA"/>
        </w:rPr>
        <w:t>3</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联合体中有同类资质的供应商按照联合体分工承担相同工作的，应当按照资质等级较低的供应商确定资质等级。</w:t>
      </w:r>
    </w:p>
    <w:p w14:paraId="21D444C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4</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以联合体形式参加政府采购活动的，联合体各方不得再单独参加或者与其他供应商另外组成联合体参加</w:t>
      </w:r>
      <w:r>
        <w:rPr>
          <w:rFonts w:hint="eastAsia" w:ascii="宋体" w:hAnsi="宋体" w:eastAsia="宋体" w:cstheme="minorBidi"/>
          <w:iCs/>
          <w:color w:val="auto"/>
          <w:kern w:val="2"/>
          <w:sz w:val="24"/>
          <w:szCs w:val="22"/>
          <w:highlight w:val="none"/>
          <w:shd w:val="clear" w:color="auto" w:fill="FFFFFF" w:themeFill="background1"/>
          <w:lang w:val="en-US" w:eastAsia="zh-CN" w:bidi="ar-SA"/>
        </w:rPr>
        <w:t>同一合同项下的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投标，否则相关投标将被认定为</w:t>
      </w:r>
      <w:r>
        <w:rPr>
          <w:rFonts w:hint="eastAsia" w:ascii="宋体" w:hAnsi="宋体" w:eastAsia="宋体" w:cstheme="minorBidi"/>
          <w:b/>
          <w:bCs/>
          <w:iCs/>
          <w:color w:val="auto"/>
          <w:kern w:val="2"/>
          <w:sz w:val="24"/>
          <w:szCs w:val="22"/>
          <w:highlight w:val="none"/>
          <w:shd w:val="clear" w:color="auto" w:fill="FFFFFF" w:themeFill="background1"/>
          <w:lang w:val="zh-CN" w:eastAsia="zh-CN" w:bidi="ar-SA"/>
        </w:rPr>
        <w:t>投标无效</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p>
    <w:p w14:paraId="2E60D00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.5大中型企业、其他自然人、法人或者非法人组织与小型、微型企业组成联合体共同参加投标</w:t>
      </w:r>
      <w:r>
        <w:rPr>
          <w:rFonts w:hint="eastAsia"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协议</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书</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中应写明小型、微型企业的合同金额占到联合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投标</w:t>
      </w:r>
      <w:r>
        <w:rPr>
          <w:rFonts w:hint="eastAsia" w:ascii="宋体" w:hAnsi="宋体" w:eastAsia="宋体" w:cstheme="minorBidi"/>
          <w:iCs/>
          <w:color w:val="auto"/>
          <w:kern w:val="2"/>
          <w:sz w:val="24"/>
          <w:szCs w:val="22"/>
          <w:highlight w:val="none"/>
          <w:shd w:val="clear" w:color="auto" w:fill="FFFFFF" w:themeFill="background1"/>
          <w:lang w:val="en-US" w:eastAsia="zh-CN" w:bidi="ar-SA"/>
        </w:rPr>
        <w:t>合同</w:t>
      </w:r>
      <w:r>
        <w:rPr>
          <w:rFonts w:hint="eastAsia" w:ascii="宋体" w:hAnsi="宋体" w:eastAsia="宋体" w:cstheme="minorBidi"/>
          <w:iCs/>
          <w:color w:val="auto"/>
          <w:kern w:val="2"/>
          <w:sz w:val="24"/>
          <w:szCs w:val="22"/>
          <w:highlight w:val="none"/>
          <w:shd w:val="clear" w:color="auto" w:fill="FFFFFF" w:themeFill="background1"/>
          <w:lang w:val="zh-CN" w:eastAsia="zh-CN" w:bidi="ar-SA"/>
        </w:rPr>
        <w:t>总金额的比例。</w:t>
      </w:r>
    </w:p>
    <w:p w14:paraId="7127D16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zh-CN" w:eastAsia="zh-CN" w:bidi="ar-SA"/>
        </w:rPr>
        <w:t>4.2</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6</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联合体中标</w:t>
      </w:r>
      <w:r>
        <w:rPr>
          <w:rFonts w:hint="eastAsia"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采购</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合同应由</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联合体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各成员的合法授权代表签字</w:t>
      </w:r>
      <w:r>
        <w:rPr>
          <w:rFonts w:hint="eastAsia" w:eastAsia="宋体" w:cstheme="minorBidi"/>
          <w:iCs/>
          <w:color w:val="auto"/>
          <w:kern w:val="2"/>
          <w:sz w:val="24"/>
          <w:szCs w:val="22"/>
          <w:highlight w:val="none"/>
          <w:shd w:val="clear" w:color="auto" w:fill="FFFFFF" w:themeFill="background1"/>
          <w:lang w:val="en-US" w:eastAsia="zh-CN" w:bidi="ar-SA"/>
        </w:rPr>
        <w:t>及</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加盖</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联合体</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各成员公章，</w:t>
      </w:r>
      <w:r>
        <w:rPr>
          <w:rFonts w:hint="eastAsia" w:eastAsia="宋体" w:cstheme="minorBidi"/>
          <w:iCs/>
          <w:color w:val="auto"/>
          <w:kern w:val="2"/>
          <w:sz w:val="24"/>
          <w:szCs w:val="22"/>
          <w:highlight w:val="none"/>
          <w:shd w:val="clear" w:color="auto" w:fill="FFFFFF" w:themeFill="background1"/>
          <w:lang w:val="en-US" w:eastAsia="zh-CN" w:bidi="ar-SA"/>
        </w:rPr>
        <w:t>并</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对联合体成员作为整体和他们各自作为独立体均具有法律约束力，但若该签字或公章不齐全或缺乏，该联合体的牵头人的签署或类似的意思表示人具有代表该联合体的签署或意思表示的法律效力，并且据此各成员为履行合同应向采购人与采购代理机构承担连带责任。</w:t>
      </w:r>
    </w:p>
    <w:p w14:paraId="72C3CFE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zh-CN" w:eastAsia="zh-CN" w:bidi="ar-SA"/>
        </w:rPr>
        <w:t>4.2</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7</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联合体或其成员不得将其在合同项下的权利或义务全部或部分转让给第三人，有关分包事项须事先取得采购</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人</w:t>
      </w:r>
      <w:r>
        <w:rPr>
          <w:rFonts w:hint="eastAsia" w:ascii="宋体" w:hAnsi="宋体" w:eastAsia="宋体" w:cstheme="minorBidi"/>
          <w:iCs/>
          <w:color w:val="auto"/>
          <w:kern w:val="2"/>
          <w:sz w:val="24"/>
          <w:szCs w:val="22"/>
          <w:highlight w:val="none"/>
          <w:shd w:val="clear" w:color="auto" w:fill="FFFFFF" w:themeFill="background1"/>
          <w:lang w:val="zh-CN" w:eastAsia="zh-CN" w:bidi="ar-SA"/>
        </w:rPr>
        <w:t>书面同意并且须遵守相关法律、法规、本次招标的全部相关规定。</w:t>
      </w:r>
    </w:p>
    <w:p w14:paraId="7D2803A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stheme="minorBidi"/>
          <w:iCs/>
          <w:color w:val="auto"/>
          <w:kern w:val="2"/>
          <w:sz w:val="24"/>
          <w:szCs w:val="22"/>
          <w:highlight w:val="none"/>
          <w:shd w:val="clear" w:color="auto" w:fill="FFFFFF" w:themeFill="background1"/>
          <w:lang w:val="zh-CN"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4.2</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r>
        <w:rPr>
          <w:rFonts w:hint="eastAsia" w:eastAsia="宋体" w:cstheme="minorBidi"/>
          <w:iCs/>
          <w:color w:val="auto"/>
          <w:kern w:val="2"/>
          <w:sz w:val="24"/>
          <w:szCs w:val="22"/>
          <w:highlight w:val="none"/>
          <w:shd w:val="clear" w:color="auto" w:fill="FFFFFF" w:themeFill="background1"/>
          <w:lang w:val="en-US" w:eastAsia="zh-CN" w:bidi="ar-SA"/>
        </w:rPr>
        <w:t>8</w:t>
      </w:r>
      <w:r>
        <w:rPr>
          <w:rFonts w:hint="eastAsia" w:ascii="宋体" w:hAnsi="宋体" w:eastAsia="宋体" w:cstheme="minorBidi"/>
          <w:iCs/>
          <w:color w:val="auto"/>
          <w:kern w:val="2"/>
          <w:sz w:val="24"/>
          <w:szCs w:val="22"/>
          <w:highlight w:val="none"/>
          <w:shd w:val="clear" w:color="auto" w:fill="FFFFFF" w:themeFill="background1"/>
          <w:lang w:val="zh-CN" w:eastAsia="zh-CN" w:bidi="ar-SA"/>
        </w:rPr>
        <w:t>对联合体投标的其他资格要求见</w:t>
      </w:r>
      <w:r>
        <w:rPr>
          <w:rFonts w:hint="eastAsia" w:eastAsia="宋体"/>
          <w:color w:val="auto"/>
          <w:sz w:val="24"/>
          <w:highlight w:val="none"/>
        </w:rPr>
        <w:t>“</w:t>
      </w:r>
      <w:r>
        <w:rPr>
          <w:rFonts w:hint="eastAsia" w:eastAsia="宋体"/>
          <w:color w:val="auto"/>
          <w:sz w:val="24"/>
          <w:highlight w:val="none"/>
          <w:lang w:val="en-US" w:eastAsia="zh-CN"/>
        </w:rPr>
        <w:t>第一章 招标公告</w:t>
      </w:r>
      <w:r>
        <w:rPr>
          <w:rFonts w:hint="eastAsia" w:eastAsia="宋体"/>
          <w:color w:val="auto"/>
          <w:sz w:val="24"/>
          <w:highlight w:val="none"/>
        </w:rPr>
        <w:t>”</w:t>
      </w:r>
      <w:r>
        <w:rPr>
          <w:rFonts w:hint="eastAsia" w:eastAsia="宋体"/>
          <w:color w:val="auto"/>
          <w:sz w:val="24"/>
          <w:highlight w:val="none"/>
          <w:lang w:val="en-US" w:eastAsia="zh-CN"/>
        </w:rPr>
        <w:t>中的“二、</w:t>
      </w:r>
      <w:r>
        <w:rPr>
          <w:rFonts w:hint="eastAsia" w:ascii="宋体" w:hAnsi="宋体" w:eastAsia="宋体" w:cstheme="minorBidi"/>
          <w:iCs/>
          <w:color w:val="auto"/>
          <w:kern w:val="2"/>
          <w:sz w:val="24"/>
          <w:szCs w:val="22"/>
          <w:highlight w:val="none"/>
          <w:shd w:val="clear" w:color="auto" w:fill="FFFFFF" w:themeFill="background1"/>
          <w:lang w:val="en-US" w:eastAsia="zh-CN" w:bidi="ar-SA"/>
        </w:rPr>
        <w:t>申请人的</w:t>
      </w:r>
      <w:r>
        <w:rPr>
          <w:rFonts w:hint="eastAsia" w:ascii="宋体" w:hAnsi="宋体" w:eastAsia="宋体" w:cstheme="minorBidi"/>
          <w:iCs/>
          <w:color w:val="auto"/>
          <w:kern w:val="2"/>
          <w:sz w:val="24"/>
          <w:szCs w:val="22"/>
          <w:highlight w:val="none"/>
          <w:shd w:val="clear" w:color="auto" w:fill="FFFFFF" w:themeFill="background1"/>
          <w:lang w:val="zh-CN" w:eastAsia="zh-CN" w:bidi="ar-SA"/>
        </w:rPr>
        <w:t>资格</w:t>
      </w:r>
      <w:r>
        <w:rPr>
          <w:rFonts w:hint="eastAsia" w:ascii="宋体" w:hAnsi="宋体" w:eastAsia="宋体" w:cstheme="minorBidi"/>
          <w:iCs/>
          <w:color w:val="auto"/>
          <w:kern w:val="2"/>
          <w:sz w:val="24"/>
          <w:szCs w:val="22"/>
          <w:highlight w:val="none"/>
          <w:shd w:val="clear" w:color="auto" w:fill="FFFFFF" w:themeFill="background1"/>
          <w:lang w:val="en-US" w:eastAsia="zh-CN" w:bidi="ar-SA"/>
        </w:rPr>
        <w:t>要求</w:t>
      </w:r>
      <w:r>
        <w:rPr>
          <w:rFonts w:hint="eastAsia"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zh-CN" w:eastAsia="zh-CN" w:bidi="ar-SA"/>
        </w:rPr>
        <w:t>。</w:t>
      </w:r>
    </w:p>
    <w:p w14:paraId="4DE6446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33" w:name="_Toc2393"/>
      <w:bookmarkStart w:id="134" w:name="_Toc8952"/>
      <w:bookmarkStart w:id="135" w:name="_Toc21085"/>
      <w:bookmarkStart w:id="136" w:name="_Toc14011"/>
      <w:bookmarkStart w:id="137" w:name="_Toc163492827"/>
      <w:r>
        <w:rPr>
          <w:rFonts w:hint="eastAsia" w:ascii="宋体" w:hAnsi="宋体" w:eastAsia="宋体" w:cs="宋体"/>
          <w:b/>
          <w:bCs/>
          <w:color w:val="auto"/>
          <w:kern w:val="2"/>
          <w:sz w:val="24"/>
          <w:szCs w:val="28"/>
          <w:highlight w:val="none"/>
          <w:lang w:val="en-US" w:eastAsia="zh-CN" w:bidi="ar-SA"/>
        </w:rPr>
        <w:t>5.费用承担</w:t>
      </w:r>
      <w:bookmarkEnd w:id="133"/>
      <w:bookmarkEnd w:id="134"/>
      <w:bookmarkEnd w:id="135"/>
      <w:bookmarkEnd w:id="136"/>
      <w:bookmarkEnd w:id="137"/>
    </w:p>
    <w:p w14:paraId="3C6741ED">
      <w:pPr>
        <w:pStyle w:val="36"/>
        <w:keepNext w:val="0"/>
        <w:keepLines w:val="0"/>
        <w:pageBreakBefore w:val="0"/>
        <w:widowControl w:val="0"/>
        <w:kinsoku/>
        <w:overflowPunct/>
        <w:topLinePunct w:val="0"/>
        <w:autoSpaceDE/>
        <w:autoSpaceDN/>
        <w:bidi w:val="0"/>
        <w:adjustRightInd/>
        <w:snapToGrid/>
        <w:textAlignment w:val="auto"/>
        <w:rPr>
          <w:rFonts w:hint="eastAsia" w:eastAsia="宋体"/>
          <w:color w:val="auto"/>
          <w:sz w:val="24"/>
          <w:highlight w:val="none"/>
        </w:rPr>
      </w:pPr>
      <w:r>
        <w:rPr>
          <w:rFonts w:hint="eastAsia" w:eastAsia="宋体"/>
          <w:color w:val="auto"/>
          <w:sz w:val="24"/>
          <w:highlight w:val="none"/>
        </w:rPr>
        <w:t>5.1</w:t>
      </w:r>
      <w:r>
        <w:rPr>
          <w:rFonts w:hint="eastAsia" w:eastAsia="宋体"/>
          <w:color w:val="auto"/>
          <w:sz w:val="24"/>
          <w:highlight w:val="none"/>
          <w:lang w:val="en-US" w:eastAsia="zh-CN"/>
        </w:rPr>
        <w:t>不论投标的结果如何，投标人应承担所有与准备和参加投标有关的费用。</w:t>
      </w:r>
    </w:p>
    <w:p w14:paraId="0CE9ACA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38" w:name="_Toc12379"/>
      <w:bookmarkStart w:id="139" w:name="_Toc18248"/>
      <w:bookmarkStart w:id="140" w:name="_Toc163492828"/>
      <w:bookmarkStart w:id="141" w:name="_Toc30861"/>
      <w:bookmarkStart w:id="142" w:name="_Toc7681"/>
      <w:bookmarkStart w:id="143" w:name="_Toc140132761"/>
      <w:r>
        <w:rPr>
          <w:rFonts w:hint="eastAsia" w:ascii="宋体" w:hAnsi="宋体" w:eastAsia="宋体" w:cs="宋体"/>
          <w:b/>
          <w:bCs/>
          <w:color w:val="auto"/>
          <w:kern w:val="2"/>
          <w:sz w:val="24"/>
          <w:szCs w:val="28"/>
          <w:highlight w:val="none"/>
          <w:lang w:val="en-US" w:eastAsia="zh-CN" w:bidi="ar-SA"/>
        </w:rPr>
        <w:t>6.保密</w:t>
      </w:r>
      <w:bookmarkEnd w:id="138"/>
      <w:bookmarkEnd w:id="139"/>
      <w:bookmarkEnd w:id="140"/>
      <w:bookmarkEnd w:id="141"/>
      <w:bookmarkEnd w:id="142"/>
      <w:bookmarkEnd w:id="143"/>
    </w:p>
    <w:p w14:paraId="7CBA93F7">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6.1</w:t>
      </w:r>
      <w:r>
        <w:rPr>
          <w:rFonts w:hint="eastAsia" w:eastAsia="宋体"/>
          <w:color w:val="auto"/>
          <w:sz w:val="24"/>
          <w:highlight w:val="none"/>
          <w:lang w:val="en-US" w:eastAsia="zh-CN"/>
        </w:rPr>
        <w:t xml:space="preserve"> </w:t>
      </w:r>
      <w:r>
        <w:rPr>
          <w:rFonts w:hint="eastAsia" w:eastAsia="宋体"/>
          <w:color w:val="auto"/>
          <w:sz w:val="24"/>
          <w:highlight w:val="none"/>
        </w:rPr>
        <w:t>参与招标投标活动的各方应对招标文件和投标文件中的商业和技术等秘密保密，否则应承担相应的法律责任。</w:t>
      </w:r>
    </w:p>
    <w:p w14:paraId="2947ABF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2 </w:t>
      </w:r>
      <w:r>
        <w:rPr>
          <w:rFonts w:hint="eastAsia" w:ascii="宋体" w:hAnsi="宋体" w:eastAsia="宋体" w:cs="宋体"/>
          <w:color w:val="auto"/>
          <w:kern w:val="2"/>
          <w:sz w:val="24"/>
          <w:szCs w:val="22"/>
          <w:highlight w:val="none"/>
        </w:rPr>
        <w:t>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14:paraId="38BD9605">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3 </w:t>
      </w:r>
      <w:r>
        <w:rPr>
          <w:rFonts w:hint="eastAsia" w:ascii="宋体" w:hAnsi="宋体" w:eastAsia="宋体" w:cs="宋体"/>
          <w:color w:val="auto"/>
          <w:kern w:val="2"/>
          <w:sz w:val="24"/>
          <w:szCs w:val="22"/>
          <w:highlight w:val="none"/>
        </w:rPr>
        <w:t>采购代理机构有权将投标人提供的所有资料向有关政府部门或评审</w:t>
      </w:r>
      <w:r>
        <w:rPr>
          <w:rFonts w:hint="eastAsia" w:ascii="宋体" w:hAnsi="宋体" w:eastAsia="宋体" w:cs="宋体"/>
          <w:color w:val="auto"/>
          <w:kern w:val="2"/>
          <w:sz w:val="24"/>
          <w:szCs w:val="22"/>
          <w:highlight w:val="none"/>
          <w:lang w:val="en-US" w:eastAsia="zh-CN"/>
        </w:rPr>
        <w:t>投标文件</w:t>
      </w:r>
      <w:r>
        <w:rPr>
          <w:rFonts w:hint="eastAsia" w:ascii="宋体" w:hAnsi="宋体" w:eastAsia="宋体" w:cs="宋体"/>
          <w:color w:val="auto"/>
          <w:kern w:val="2"/>
          <w:sz w:val="24"/>
          <w:szCs w:val="22"/>
          <w:highlight w:val="none"/>
        </w:rPr>
        <w:t>的有关人员披露。</w:t>
      </w:r>
    </w:p>
    <w:p w14:paraId="7D9AB2DE">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4 各级人民政府财政部门对政府采购活动进行监督检查，有权查阅、复制有关文件、资料，相关单位和人员应当予以配合。</w:t>
      </w:r>
    </w:p>
    <w:p w14:paraId="284B114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44" w:name="_Toc30926"/>
      <w:bookmarkStart w:id="145" w:name="_Toc163492829"/>
      <w:bookmarkStart w:id="146" w:name="_Toc15553"/>
      <w:bookmarkStart w:id="147" w:name="_Toc140132762"/>
      <w:bookmarkStart w:id="148" w:name="_Toc29628"/>
      <w:bookmarkStart w:id="149" w:name="_Toc31425"/>
      <w:r>
        <w:rPr>
          <w:rFonts w:hint="eastAsia" w:ascii="宋体" w:hAnsi="宋体" w:eastAsia="宋体" w:cs="宋体"/>
          <w:b/>
          <w:bCs/>
          <w:color w:val="auto"/>
          <w:kern w:val="2"/>
          <w:sz w:val="24"/>
          <w:szCs w:val="28"/>
          <w:highlight w:val="none"/>
          <w:lang w:val="en-US" w:eastAsia="zh-CN" w:bidi="ar-SA"/>
        </w:rPr>
        <w:t>7.语言文字</w:t>
      </w:r>
      <w:bookmarkEnd w:id="144"/>
      <w:bookmarkEnd w:id="145"/>
      <w:bookmarkEnd w:id="146"/>
      <w:bookmarkEnd w:id="147"/>
      <w:bookmarkEnd w:id="148"/>
      <w:bookmarkEnd w:id="149"/>
    </w:p>
    <w:p w14:paraId="25140936">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7.1招标投标</w:t>
      </w:r>
      <w:r>
        <w:rPr>
          <w:rFonts w:hint="eastAsia" w:eastAsia="宋体"/>
          <w:color w:val="auto"/>
          <w:sz w:val="24"/>
          <w:highlight w:val="none"/>
          <w:lang w:val="en-US" w:eastAsia="zh-CN"/>
        </w:rPr>
        <w:t>过程</w:t>
      </w:r>
      <w:r>
        <w:rPr>
          <w:rFonts w:hint="eastAsia" w:eastAsia="宋体"/>
          <w:color w:val="auto"/>
          <w:sz w:val="24"/>
          <w:highlight w:val="none"/>
        </w:rPr>
        <w:t>文件使用的语言文字为中文。专用术语使用外文的，应附有中文注释。</w:t>
      </w:r>
      <w:r>
        <w:rPr>
          <w:rFonts w:hint="eastAsia" w:eastAsia="宋体"/>
          <w:color w:val="auto"/>
          <w:sz w:val="24"/>
          <w:highlight w:val="none"/>
          <w:lang w:val="en-US" w:eastAsia="zh-CN"/>
        </w:rPr>
        <w:t>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F33616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50" w:name="_Toc140132763"/>
      <w:bookmarkStart w:id="151" w:name="_Toc31019"/>
      <w:bookmarkStart w:id="152" w:name="_Toc19184"/>
      <w:bookmarkStart w:id="153" w:name="_Toc163492830"/>
      <w:bookmarkStart w:id="154" w:name="_Toc16458"/>
      <w:bookmarkStart w:id="155" w:name="_Toc28427"/>
      <w:r>
        <w:rPr>
          <w:rFonts w:hint="eastAsia" w:ascii="宋体" w:hAnsi="宋体" w:eastAsia="宋体" w:cs="宋体"/>
          <w:b/>
          <w:bCs/>
          <w:color w:val="auto"/>
          <w:kern w:val="2"/>
          <w:sz w:val="24"/>
          <w:szCs w:val="28"/>
          <w:highlight w:val="none"/>
          <w:lang w:val="en-US" w:eastAsia="zh-CN" w:bidi="ar-SA"/>
        </w:rPr>
        <w:t>8.计量单位</w:t>
      </w:r>
      <w:bookmarkEnd w:id="150"/>
      <w:bookmarkEnd w:id="151"/>
      <w:bookmarkEnd w:id="152"/>
      <w:bookmarkEnd w:id="153"/>
      <w:bookmarkEnd w:id="154"/>
      <w:bookmarkEnd w:id="155"/>
    </w:p>
    <w:p w14:paraId="45A7AE57">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8.1所有计量均采用中华人民共和国法定计量单位。</w:t>
      </w:r>
    </w:p>
    <w:p w14:paraId="099F3EF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56" w:name="_Toc140132764"/>
      <w:bookmarkStart w:id="157" w:name="_Toc30434"/>
      <w:bookmarkStart w:id="158" w:name="_Toc28428"/>
      <w:bookmarkStart w:id="159" w:name="_Toc163492831"/>
      <w:bookmarkStart w:id="160" w:name="_Toc8827"/>
      <w:bookmarkStart w:id="161" w:name="_Toc30077"/>
      <w:r>
        <w:rPr>
          <w:rFonts w:hint="eastAsia" w:ascii="宋体" w:hAnsi="宋体" w:eastAsia="宋体" w:cs="宋体"/>
          <w:b/>
          <w:bCs/>
          <w:color w:val="auto"/>
          <w:kern w:val="2"/>
          <w:sz w:val="24"/>
          <w:szCs w:val="28"/>
          <w:highlight w:val="none"/>
          <w:lang w:val="en-US" w:eastAsia="zh-CN" w:bidi="ar-SA"/>
        </w:rPr>
        <w:t>9.现场考察和答疑会</w:t>
      </w:r>
      <w:bookmarkEnd w:id="156"/>
      <w:bookmarkEnd w:id="157"/>
      <w:bookmarkEnd w:id="158"/>
      <w:bookmarkEnd w:id="159"/>
      <w:bookmarkEnd w:id="160"/>
      <w:bookmarkEnd w:id="161"/>
    </w:p>
    <w:p w14:paraId="5A8B8C45">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162" w:name="_Hlk143529198"/>
      <w:r>
        <w:rPr>
          <w:rFonts w:hint="eastAsia" w:eastAsia="宋体"/>
          <w:color w:val="auto"/>
          <w:sz w:val="24"/>
          <w:highlight w:val="none"/>
        </w:rPr>
        <w:t xml:space="preserve">9.1 “投标人须知前附表”规定组织现场考察的，采购代理机构按“投标人须知前附表”规定的时间、地点组织投标人项目现场考察。 </w:t>
      </w:r>
    </w:p>
    <w:p w14:paraId="5F8A235F">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9.2 投标人现场考察发生的费用自理。</w:t>
      </w:r>
    </w:p>
    <w:p w14:paraId="199A48B2">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9.3 在现场考察中，因投标人自身原因发生的人员伤亡和财产损失，由投标人自行负责。</w:t>
      </w:r>
    </w:p>
    <w:p w14:paraId="6F1F6A2D">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9.4 采购人在现场考察中介绍的项目场地和相关的周边环境情况，仅供投标人在编制投标文件时参考，采购人和采购代理机构不对投标人据此作出的判断和决策负责。</w:t>
      </w:r>
    </w:p>
    <w:p w14:paraId="0E249AE3">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9.5 “投标人须知前附表”规定召开答疑会的，采购代理机构按“投标人须知前附表”规定的时间和地点召开答疑会，澄清投标人提出的问题。</w:t>
      </w:r>
    </w:p>
    <w:p w14:paraId="00943847">
      <w:pPr>
        <w:pStyle w:val="36"/>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9.6 由于未参加现场考察或未参加标前答疑会而导致对项目实际情况不了解，影响投标文件编制、投标报价准确性、综合因素响应不全面等问题的，由投标人自行承担不利评审后果。</w:t>
      </w:r>
    </w:p>
    <w:bookmarkEnd w:id="162"/>
    <w:p w14:paraId="015C1ED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163" w:name="_Toc26824"/>
      <w:bookmarkStart w:id="164" w:name="_Toc155185858"/>
      <w:bookmarkStart w:id="165" w:name="_Toc163492833"/>
      <w:bookmarkStart w:id="166" w:name="_Toc1905"/>
      <w:bookmarkStart w:id="167" w:name="_Toc2189"/>
      <w:bookmarkStart w:id="168" w:name="_Toc31066"/>
      <w:bookmarkStart w:id="169" w:name="_Toc155185871"/>
      <w:r>
        <w:rPr>
          <w:rFonts w:hint="eastAsia" w:ascii="宋体" w:hAnsi="宋体" w:eastAsia="宋体" w:cs="宋体"/>
          <w:b/>
          <w:bCs/>
          <w:color w:val="auto"/>
          <w:kern w:val="2"/>
          <w:sz w:val="24"/>
          <w:szCs w:val="28"/>
          <w:highlight w:val="none"/>
          <w:lang w:val="en-US" w:eastAsia="zh-CN" w:bidi="ar-SA"/>
        </w:rPr>
        <w:t>10.电子投标说明</w:t>
      </w:r>
      <w:bookmarkEnd w:id="163"/>
      <w:bookmarkEnd w:id="164"/>
      <w:bookmarkEnd w:id="165"/>
      <w:bookmarkEnd w:id="166"/>
      <w:bookmarkEnd w:id="167"/>
      <w:bookmarkEnd w:id="168"/>
      <w:r>
        <w:rPr>
          <w:rFonts w:hint="eastAsia" w:ascii="宋体" w:hAnsi="宋体" w:eastAsia="宋体" w:cs="宋体"/>
          <w:b/>
          <w:bCs/>
          <w:color w:val="auto"/>
          <w:kern w:val="2"/>
          <w:sz w:val="24"/>
          <w:szCs w:val="28"/>
          <w:highlight w:val="none"/>
          <w:lang w:val="en-US" w:eastAsia="zh-CN" w:bidi="ar-SA"/>
        </w:rPr>
        <w:t xml:space="preserve">   </w:t>
      </w:r>
    </w:p>
    <w:p w14:paraId="111A156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 xml:space="preserve">.1 </w:t>
      </w:r>
      <w:r>
        <w:rPr>
          <w:rFonts w:hint="eastAsia" w:ascii="宋体" w:hAnsi="宋体" w:eastAsia="宋体"/>
          <w:color w:val="auto"/>
          <w:sz w:val="24"/>
          <w:highlight w:val="none"/>
        </w:rPr>
        <w:t>本次采购采用电子交易方式，电子交易平台为</w:t>
      </w:r>
      <w:r>
        <w:rPr>
          <w:rFonts w:hint="eastAsia"/>
          <w:color w:val="auto"/>
          <w:sz w:val="24"/>
          <w:highlight w:val="none"/>
          <w:lang w:val="en-US" w:eastAsia="zh-CN"/>
        </w:rPr>
        <w:t>政采云平台线上</w:t>
      </w:r>
      <w:r>
        <w:rPr>
          <w:rFonts w:hint="eastAsia" w:ascii="宋体" w:hAnsi="宋体" w:eastAsia="宋体"/>
          <w:color w:val="auto"/>
          <w:sz w:val="24"/>
          <w:highlight w:val="none"/>
        </w:rPr>
        <w:t>。投标人参与本项目电子交易活动前，应</w:t>
      </w:r>
      <w:r>
        <w:rPr>
          <w:rFonts w:hint="eastAsia" w:eastAsia="宋体"/>
          <w:color w:val="auto"/>
          <w:sz w:val="24"/>
          <w:highlight w:val="none"/>
          <w:lang w:val="en-US" w:eastAsia="zh-CN"/>
        </w:rPr>
        <w:t>在</w:t>
      </w:r>
      <w:r>
        <w:rPr>
          <w:rFonts w:hint="eastAsia" w:ascii="宋体" w:hAnsi="宋体" w:eastAsia="宋体"/>
          <w:color w:val="auto"/>
          <w:sz w:val="24"/>
          <w:highlight w:val="none"/>
        </w:rPr>
        <w:t>政</w:t>
      </w:r>
      <w:r>
        <w:rPr>
          <w:rFonts w:hint="eastAsia" w:eastAsia="宋体"/>
          <w:color w:val="auto"/>
          <w:sz w:val="24"/>
          <w:highlight w:val="none"/>
          <w:lang w:val="en-US" w:eastAsia="zh-CN"/>
        </w:rPr>
        <w:t>采</w:t>
      </w:r>
      <w:r>
        <w:rPr>
          <w:rFonts w:hint="eastAsia" w:ascii="宋体" w:hAnsi="宋体" w:eastAsia="宋体"/>
          <w:color w:val="auto"/>
          <w:sz w:val="24"/>
          <w:highlight w:val="none"/>
          <w:lang w:val="en-US"/>
        </w:rPr>
        <w:t>云</w:t>
      </w:r>
      <w:r>
        <w:rPr>
          <w:rFonts w:hint="eastAsia" w:ascii="宋体" w:hAnsi="宋体" w:eastAsia="宋体"/>
          <w:color w:val="auto"/>
          <w:sz w:val="24"/>
          <w:highlight w:val="none"/>
        </w:rPr>
        <w:t>平台</w:t>
      </w:r>
      <w:r>
        <w:rPr>
          <w:rFonts w:hint="eastAsia" w:eastAsia="宋体"/>
          <w:color w:val="auto"/>
          <w:sz w:val="24"/>
          <w:highlight w:val="none"/>
          <w:lang w:val="en-US" w:eastAsia="zh-CN"/>
        </w:rPr>
        <w:t>上</w:t>
      </w:r>
      <w:r>
        <w:rPr>
          <w:rFonts w:hint="eastAsia" w:ascii="宋体" w:hAnsi="宋体" w:eastAsia="宋体"/>
          <w:color w:val="auto"/>
          <w:sz w:val="24"/>
          <w:highlight w:val="none"/>
        </w:rPr>
        <w:t>注册</w:t>
      </w:r>
      <w:r>
        <w:rPr>
          <w:rFonts w:hint="eastAsia" w:eastAsia="宋体"/>
          <w:color w:val="auto"/>
          <w:sz w:val="24"/>
          <w:highlight w:val="none"/>
          <w:lang w:val="en-US" w:eastAsia="zh-CN"/>
        </w:rPr>
        <w:t>供应商账号</w:t>
      </w:r>
      <w:r>
        <w:rPr>
          <w:rFonts w:hint="eastAsia" w:ascii="宋体" w:hAnsi="宋体" w:eastAsia="宋体"/>
          <w:color w:val="auto"/>
          <w:sz w:val="24"/>
          <w:highlight w:val="none"/>
        </w:rPr>
        <w:t>。编制电子</w:t>
      </w:r>
      <w:r>
        <w:rPr>
          <w:rFonts w:hint="eastAsia" w:ascii="宋体" w:hAnsi="宋体" w:eastAsia="宋体"/>
          <w:color w:val="auto"/>
          <w:sz w:val="24"/>
          <w:highlight w:val="none"/>
          <w:lang w:val="en-US" w:eastAsia="zh-CN"/>
        </w:rPr>
        <w:t>投标</w:t>
      </w:r>
      <w:r>
        <w:rPr>
          <w:rFonts w:hint="eastAsia" w:ascii="宋体" w:hAnsi="宋体" w:eastAsia="宋体"/>
          <w:color w:val="auto"/>
          <w:sz w:val="24"/>
          <w:highlight w:val="none"/>
        </w:rPr>
        <w:t>文件前还需</w:t>
      </w:r>
      <w:r>
        <w:rPr>
          <w:rFonts w:hint="eastAsia" w:ascii="宋体" w:hAnsi="宋体" w:eastAsia="宋体"/>
          <w:color w:val="auto"/>
          <w:sz w:val="24"/>
          <w:highlight w:val="none"/>
          <w:lang w:val="en-US" w:eastAsia="zh-CN"/>
        </w:rPr>
        <w:t>申领CA证书并绑定帐号。投标人应充分考虑完成平台注册、申领CA证书等所需的时间。</w:t>
      </w:r>
      <w:r>
        <w:rPr>
          <w:rFonts w:hint="eastAsia" w:ascii="宋体" w:hAnsi="宋体" w:eastAsia="宋体"/>
          <w:color w:val="auto"/>
          <w:sz w:val="24"/>
          <w:highlight w:val="none"/>
          <w:lang w:val="zh-CN" w:eastAsia="zh-CN"/>
        </w:rPr>
        <w:t>潜在投标人领取文件须提前完成注册、CA证书和电子签章申领和绑定、下载投标客户端。因未办理CA数字证书、CA证书故障、操作不当等原因造成无法投标或投标失败等后果由投标人自行承担。</w:t>
      </w:r>
      <w:r>
        <w:rPr>
          <w:rFonts w:hint="eastAsia" w:eastAsia="宋体"/>
          <w:color w:val="auto"/>
          <w:sz w:val="24"/>
          <w:highlight w:val="none"/>
          <w:lang w:val="en-US" w:eastAsia="zh-CN"/>
        </w:rPr>
        <w:t>投标人</w:t>
      </w:r>
      <w:r>
        <w:rPr>
          <w:rFonts w:hint="eastAsia" w:ascii="宋体" w:hAnsi="宋体" w:eastAsia="宋体"/>
          <w:color w:val="auto"/>
          <w:sz w:val="24"/>
          <w:highlight w:val="none"/>
          <w:lang w:val="zh-CN" w:eastAsia="zh-CN"/>
        </w:rPr>
        <w:t>登录</w:t>
      </w:r>
      <w:r>
        <w:rPr>
          <w:rFonts w:hint="eastAsia"/>
          <w:color w:val="auto"/>
          <w:sz w:val="24"/>
          <w:highlight w:val="none"/>
          <w:lang w:val="zh-CN" w:eastAsia="zh-CN"/>
        </w:rPr>
        <w:t>新疆政府采购网</w:t>
      </w:r>
      <w:r>
        <w:rPr>
          <w:rFonts w:hint="eastAsia" w:ascii="宋体" w:hAnsi="宋体" w:eastAsia="宋体"/>
          <w:color w:val="auto"/>
          <w:sz w:val="24"/>
          <w:highlight w:val="none"/>
          <w:lang w:val="zh-CN" w:eastAsia="zh-CN"/>
        </w:rPr>
        <w:t>“供应商注册”—“新疆生产建设</w:t>
      </w:r>
      <w:r>
        <w:rPr>
          <w:rFonts w:hint="eastAsia"/>
          <w:color w:val="auto"/>
          <w:sz w:val="24"/>
          <w:highlight w:val="none"/>
          <w:lang w:val="zh-CN" w:eastAsia="zh-CN"/>
        </w:rPr>
        <w:t>新疆政府采购</w:t>
      </w:r>
      <w:r>
        <w:rPr>
          <w:rFonts w:hint="eastAsia" w:ascii="宋体" w:hAnsi="宋体" w:eastAsia="宋体"/>
          <w:color w:val="auto"/>
          <w:sz w:val="24"/>
          <w:highlight w:val="none"/>
          <w:lang w:val="zh-CN" w:eastAsia="zh-CN"/>
        </w:rPr>
        <w:t>供应商入驻登记”—“立即登记”进行自助注册绑定。</w:t>
      </w:r>
    </w:p>
    <w:p w14:paraId="18ECC26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2</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投标人将</w:t>
      </w:r>
      <w:r>
        <w:rPr>
          <w:rFonts w:hint="eastAsia"/>
          <w:color w:val="auto"/>
          <w:sz w:val="24"/>
          <w:highlight w:val="none"/>
          <w:lang w:val="en-US" w:eastAsia="zh-CN"/>
        </w:rPr>
        <w:t>新疆政府采购</w:t>
      </w:r>
      <w:r>
        <w:rPr>
          <w:rFonts w:hint="eastAsia" w:ascii="宋体" w:hAnsi="宋体" w:eastAsia="宋体"/>
          <w:color w:val="auto"/>
          <w:sz w:val="24"/>
          <w:highlight w:val="none"/>
          <w:lang w:val="en-US"/>
        </w:rPr>
        <w:t>电子交易云</w:t>
      </w:r>
      <w:r>
        <w:rPr>
          <w:rFonts w:hint="eastAsia" w:ascii="宋体" w:hAnsi="宋体" w:eastAsia="宋体"/>
          <w:color w:val="auto"/>
          <w:sz w:val="24"/>
          <w:highlight w:val="none"/>
        </w:rPr>
        <w:t>平台电子交易客户端下载、安装完成后，可通过账号密码或CA登录客户端进行</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制作。在使用政采云投标客户端时，建议使用WIN7及以上操作系统。</w:t>
      </w:r>
      <w:r>
        <w:rPr>
          <w:rFonts w:hint="eastAsia" w:eastAsia="宋体"/>
          <w:color w:val="auto"/>
          <w:sz w:val="24"/>
          <w:highlight w:val="none"/>
          <w:lang w:val="en-US" w:eastAsia="zh-CN"/>
        </w:rPr>
        <w:t>投标人</w:t>
      </w:r>
      <w:r>
        <w:rPr>
          <w:rFonts w:hint="eastAsia" w:ascii="宋体" w:hAnsi="宋体" w:eastAsia="宋体"/>
          <w:color w:val="auto"/>
          <w:sz w:val="24"/>
          <w:highlight w:val="none"/>
        </w:rPr>
        <w:t>登录</w:t>
      </w:r>
      <w:r>
        <w:rPr>
          <w:rFonts w:hint="eastAsia"/>
          <w:color w:val="auto"/>
          <w:sz w:val="24"/>
          <w:highlight w:val="none"/>
          <w:lang w:eastAsia="zh-CN"/>
        </w:rPr>
        <w:t>新疆政府采购网</w:t>
      </w:r>
      <w:r>
        <w:rPr>
          <w:rFonts w:hint="eastAsia" w:ascii="宋体" w:hAnsi="宋体" w:eastAsia="宋体"/>
          <w:color w:val="auto"/>
          <w:sz w:val="24"/>
          <w:highlight w:val="none"/>
        </w:rPr>
        <w:t>“下载专区”—“电子招投标客户端下载”下载相关客户端，如有问题可拨打政采云客户服务热线95763进行咨询。</w:t>
      </w:r>
    </w:p>
    <w:p w14:paraId="1E16A3E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3</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加密的电子</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应在</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递交截止时间前通过政采云平台上传完成。逾期上传或者未上传指定地点的</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，不予受理。</w:t>
      </w:r>
    </w:p>
    <w:p w14:paraId="53B28965">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4</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投标人在开标前须提前配置好电脑</w:t>
      </w:r>
      <w:r>
        <w:rPr>
          <w:rFonts w:hint="eastAsia" w:eastAsia="宋体"/>
          <w:color w:val="auto"/>
          <w:sz w:val="24"/>
          <w:highlight w:val="none"/>
          <w:lang w:val="en-US" w:eastAsia="zh-CN"/>
        </w:rPr>
        <w:t>及</w:t>
      </w:r>
      <w:r>
        <w:rPr>
          <w:rFonts w:hint="eastAsia" w:ascii="宋体" w:hAnsi="宋体" w:eastAsia="宋体"/>
          <w:color w:val="auto"/>
          <w:sz w:val="24"/>
          <w:highlight w:val="none"/>
        </w:rPr>
        <w:t>浏览器，开标时请使用制作加密电子</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的CA锁进行解密及报价确认。本项目</w:t>
      </w:r>
      <w:r>
        <w:rPr>
          <w:rFonts w:hint="eastAsia" w:ascii="宋体" w:hAnsi="宋体" w:eastAsia="宋体"/>
          <w:color w:val="auto"/>
          <w:sz w:val="24"/>
          <w:highlight w:val="none"/>
          <w:lang w:eastAsia="zh-CN"/>
        </w:rPr>
        <w:t>投标文件</w:t>
      </w:r>
      <w:r>
        <w:rPr>
          <w:rFonts w:hint="eastAsia" w:ascii="宋体" w:hAnsi="宋体" w:eastAsia="宋体"/>
          <w:color w:val="auto"/>
          <w:sz w:val="24"/>
          <w:highlight w:val="none"/>
        </w:rPr>
        <w:t>解密时间</w:t>
      </w:r>
      <w:r>
        <w:rPr>
          <w:rFonts w:hint="eastAsia" w:eastAsia="宋体"/>
          <w:color w:val="auto"/>
          <w:sz w:val="24"/>
          <w:highlight w:val="none"/>
          <w:lang w:val="en-US" w:eastAsia="zh-CN"/>
        </w:rPr>
        <w:t>详见“投标人须知前附表”</w:t>
      </w:r>
      <w:r>
        <w:rPr>
          <w:rFonts w:hint="eastAsia" w:ascii="宋体" w:hAnsi="宋体" w:eastAsia="宋体"/>
          <w:color w:val="auto"/>
          <w:sz w:val="24"/>
          <w:highlight w:val="none"/>
        </w:rPr>
        <w:t>，如因自身原因导致无法正常解密，后果由投标人自行承担。</w:t>
      </w:r>
    </w:p>
    <w:p w14:paraId="469768F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w:t>
      </w:r>
      <w:r>
        <w:rPr>
          <w:rFonts w:hint="eastAsia" w:ascii="宋体" w:hAnsi="宋体" w:eastAsia="宋体"/>
          <w:color w:val="auto"/>
          <w:sz w:val="24"/>
          <w:highlight w:val="none"/>
        </w:rPr>
        <w:t>5</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如遇“</w:t>
      </w:r>
      <w:r>
        <w:rPr>
          <w:rFonts w:hint="eastAsia"/>
          <w:color w:val="auto"/>
          <w:sz w:val="24"/>
          <w:highlight w:val="none"/>
          <w:lang w:val="en-US" w:eastAsia="zh-CN"/>
        </w:rPr>
        <w:t>政采云平台线上</w:t>
      </w:r>
      <w:r>
        <w:rPr>
          <w:rFonts w:hint="eastAsia" w:ascii="宋体" w:hAnsi="宋体" w:eastAsia="宋体"/>
          <w:color w:val="auto"/>
          <w:sz w:val="24"/>
          <w:highlight w:val="none"/>
        </w:rPr>
        <w:t>”电子交易规则调整，以最新要求为准。</w:t>
      </w:r>
    </w:p>
    <w:p w14:paraId="08AA0AB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.6 电子交易系统咨询：投标人应当充分考虑到电子投标可能会发生的各种问题和风险，特别是投标文件签署、提交等问题，</w:t>
      </w:r>
      <w:r>
        <w:rPr>
          <w:rFonts w:hint="eastAsia" w:eastAsia="宋体"/>
          <w:color w:val="auto"/>
          <w:sz w:val="24"/>
          <w:highlight w:val="none"/>
          <w:lang w:val="en-US" w:eastAsia="zh-CN"/>
        </w:rPr>
        <w:t>可</w:t>
      </w:r>
      <w:r>
        <w:rPr>
          <w:rFonts w:hint="eastAsia" w:ascii="宋体" w:hAnsi="宋体" w:eastAsia="宋体"/>
          <w:color w:val="auto"/>
          <w:sz w:val="24"/>
          <w:highlight w:val="none"/>
          <w:lang w:val="en-US" w:eastAsia="zh-CN"/>
        </w:rPr>
        <w:t>按照“</w:t>
      </w:r>
      <w:r>
        <w:rPr>
          <w:rFonts w:hint="eastAsia" w:eastAsia="宋体"/>
          <w:color w:val="auto"/>
          <w:sz w:val="24"/>
          <w:highlight w:val="none"/>
          <w:lang w:val="en-US" w:eastAsia="zh-CN"/>
        </w:rPr>
        <w:t>第一章 招标公告</w:t>
      </w:r>
      <w:r>
        <w:rPr>
          <w:rFonts w:hint="eastAsia" w:ascii="宋体" w:hAnsi="宋体" w:eastAsia="宋体"/>
          <w:color w:val="auto"/>
          <w:sz w:val="24"/>
          <w:highlight w:val="none"/>
          <w:lang w:val="en-US" w:eastAsia="zh-CN"/>
        </w:rPr>
        <w:t>”的</w:t>
      </w:r>
      <w:r>
        <w:rPr>
          <w:rFonts w:hint="eastAsia" w:eastAsia="宋体"/>
          <w:color w:val="auto"/>
          <w:sz w:val="24"/>
          <w:highlight w:val="none"/>
          <w:lang w:val="en-US" w:eastAsia="zh-CN"/>
        </w:rPr>
        <w:t>联系方式咨询相关人员</w:t>
      </w:r>
      <w:r>
        <w:rPr>
          <w:rFonts w:hint="eastAsia" w:ascii="宋体" w:hAnsi="宋体" w:eastAsia="宋体"/>
          <w:color w:val="auto"/>
          <w:sz w:val="24"/>
          <w:highlight w:val="none"/>
          <w:lang w:val="en-US" w:eastAsia="zh-CN"/>
        </w:rPr>
        <w:t>。</w:t>
      </w:r>
    </w:p>
    <w:p w14:paraId="39CA103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hint="eastAsia" w:eastAsia="宋体"/>
          <w:color w:val="auto"/>
          <w:sz w:val="24"/>
          <w:highlight w:val="none"/>
          <w:lang w:val="en-US" w:eastAsia="zh-CN"/>
        </w:rPr>
        <w:t>0</w:t>
      </w:r>
      <w:r>
        <w:rPr>
          <w:rFonts w:hint="eastAsia" w:ascii="宋体" w:hAnsi="宋体" w:eastAsia="宋体"/>
          <w:color w:val="auto"/>
          <w:sz w:val="24"/>
          <w:highlight w:val="none"/>
          <w:lang w:val="en-US" w:eastAsia="zh-CN"/>
        </w:rPr>
        <w:t>.7 由于本项目采用电子招标方式，潜在投标人的名单将在</w:t>
      </w:r>
      <w:r>
        <w:rPr>
          <w:rFonts w:hint="eastAsia" w:eastAsia="宋体"/>
          <w:color w:val="auto"/>
          <w:sz w:val="24"/>
          <w:highlight w:val="none"/>
          <w:lang w:val="en-US" w:eastAsia="zh-CN"/>
        </w:rPr>
        <w:t>提交</w:t>
      </w:r>
      <w:r>
        <w:rPr>
          <w:rFonts w:hint="eastAsia" w:ascii="宋体" w:hAnsi="宋体" w:eastAsia="宋体"/>
          <w:color w:val="auto"/>
          <w:sz w:val="24"/>
          <w:highlight w:val="none"/>
          <w:lang w:val="en-US" w:eastAsia="zh-CN"/>
        </w:rPr>
        <w:t>投标</w:t>
      </w:r>
      <w:r>
        <w:rPr>
          <w:rFonts w:hint="eastAsia" w:eastAsia="宋体"/>
          <w:color w:val="auto"/>
          <w:sz w:val="24"/>
          <w:highlight w:val="none"/>
          <w:lang w:val="en-US" w:eastAsia="zh-CN"/>
        </w:rPr>
        <w:t>文件</w:t>
      </w:r>
      <w:r>
        <w:rPr>
          <w:rFonts w:hint="eastAsia" w:ascii="宋体" w:hAnsi="宋体" w:eastAsia="宋体"/>
          <w:color w:val="auto"/>
          <w:sz w:val="24"/>
          <w:highlight w:val="none"/>
          <w:lang w:val="en-US" w:eastAsia="zh-CN"/>
        </w:rPr>
        <w:t>截止时间后才会解密。因此，采购人或采购代理机构无法通过传统的传真或邮件方式，将招标文件的澄清或修改内容逐一通知到每位已获取招标文件的潜在投标人。为确保信息的及时性和准确性，澄清或修改的内容将仅在政采云平台以更正公告的形式发布。潜在投标人需密切关注该网站，及时查看并下载相关更正公告。若因潜在投标人未能及时查看或下载相关更正公告，而导致的一切后果，将由潜在投标人自行承担。</w:t>
      </w:r>
    </w:p>
    <w:p w14:paraId="7A306C00">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170" w:name="_Toc163492834"/>
      <w:bookmarkStart w:id="171" w:name="_Toc27586"/>
      <w:bookmarkStart w:id="172" w:name="_Toc2058"/>
      <w:bookmarkStart w:id="173" w:name="_Toc25633"/>
      <w:bookmarkStart w:id="174" w:name="_Toc2606"/>
      <w:r>
        <w:rPr>
          <w:rFonts w:hint="eastAsia" w:ascii="宋体" w:hAnsi="宋体" w:eastAsia="宋体" w:cstheme="minorBidi"/>
          <w:b/>
          <w:bCs/>
          <w:color w:val="auto"/>
          <w:kern w:val="2"/>
          <w:sz w:val="24"/>
          <w:szCs w:val="32"/>
          <w:highlight w:val="none"/>
          <w:lang w:val="en-US" w:eastAsia="zh-CN" w:bidi="ar-SA"/>
        </w:rPr>
        <w:t>（二）招标文件</w:t>
      </w:r>
      <w:bookmarkEnd w:id="169"/>
      <w:bookmarkEnd w:id="170"/>
      <w:bookmarkEnd w:id="171"/>
      <w:bookmarkEnd w:id="172"/>
      <w:bookmarkEnd w:id="173"/>
      <w:bookmarkEnd w:id="174"/>
    </w:p>
    <w:p w14:paraId="08A2C6A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75" w:name="_Toc140132768"/>
      <w:bookmarkStart w:id="176" w:name="_Toc7878"/>
      <w:bookmarkStart w:id="177" w:name="_Toc27444"/>
      <w:bookmarkStart w:id="178" w:name="_Toc163492835"/>
      <w:bookmarkStart w:id="179" w:name="_Toc11591"/>
      <w:bookmarkStart w:id="180" w:name="_Toc24167"/>
      <w:r>
        <w:rPr>
          <w:rFonts w:hint="eastAsia" w:ascii="宋体" w:hAnsi="宋体" w:eastAsia="宋体" w:cs="宋体"/>
          <w:b/>
          <w:bCs/>
          <w:color w:val="auto"/>
          <w:kern w:val="2"/>
          <w:sz w:val="24"/>
          <w:szCs w:val="28"/>
          <w:highlight w:val="none"/>
          <w:lang w:val="en-US" w:eastAsia="zh-CN" w:bidi="ar-SA"/>
        </w:rPr>
        <w:t>11.招标文件的组成</w:t>
      </w:r>
      <w:bookmarkEnd w:id="175"/>
      <w:bookmarkEnd w:id="176"/>
      <w:bookmarkEnd w:id="177"/>
      <w:bookmarkEnd w:id="178"/>
      <w:bookmarkEnd w:id="179"/>
      <w:bookmarkEnd w:id="180"/>
    </w:p>
    <w:p w14:paraId="0FCCC62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.1本招标文件包括下列文件及根据本章第9款、第</w:t>
      </w: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款对招标文件所作的澄清或者修改。</w:t>
      </w:r>
    </w:p>
    <w:p w14:paraId="5876B8A3">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 xml:space="preserve">第一章 </w:t>
      </w:r>
      <w:r>
        <w:rPr>
          <w:rFonts w:hint="eastAsia" w:eastAsia="宋体"/>
          <w:color w:val="auto"/>
          <w:sz w:val="24"/>
          <w:highlight w:val="none"/>
          <w:lang w:val="en-US" w:eastAsia="zh-CN"/>
        </w:rPr>
        <w:t>招标公告</w:t>
      </w:r>
    </w:p>
    <w:p w14:paraId="626801D6">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第二章 投标人须知</w:t>
      </w:r>
    </w:p>
    <w:p w14:paraId="5E339F13">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第三章 采购需求</w:t>
      </w:r>
    </w:p>
    <w:p w14:paraId="750A6D4C">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第四章 资格审查</w:t>
      </w:r>
    </w:p>
    <w:p w14:paraId="08BF935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第五章 评标</w:t>
      </w:r>
      <w:r>
        <w:rPr>
          <w:rFonts w:hint="eastAsia" w:eastAsia="宋体" w:cs="仿宋_GB2312"/>
          <w:color w:val="auto"/>
          <w:sz w:val="24"/>
          <w:szCs w:val="24"/>
          <w:highlight w:val="none"/>
          <w:lang w:val="en-US" w:eastAsia="zh-CN"/>
        </w:rPr>
        <w:t>方</w:t>
      </w:r>
      <w:r>
        <w:rPr>
          <w:rFonts w:hint="eastAsia" w:eastAsia="宋体" w:cs="仿宋_GB2312"/>
          <w:color w:val="auto"/>
          <w:sz w:val="24"/>
          <w:szCs w:val="24"/>
          <w:highlight w:val="none"/>
        </w:rPr>
        <w:t>法及标准</w:t>
      </w:r>
    </w:p>
    <w:p w14:paraId="3F57501F">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第六章 合同</w:t>
      </w:r>
    </w:p>
    <w:p w14:paraId="5855AFA7">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第七章 投标文件的格式</w:t>
      </w:r>
    </w:p>
    <w:p w14:paraId="78CADEE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181" w:name="_Toc30904"/>
      <w:bookmarkStart w:id="182" w:name="_Toc13699"/>
      <w:bookmarkStart w:id="183" w:name="_Toc14064"/>
      <w:bookmarkStart w:id="184" w:name="_Toc20196"/>
      <w:bookmarkStart w:id="185" w:name="_Toc163492836"/>
      <w:bookmarkStart w:id="186" w:name="_Toc140132769"/>
      <w:r>
        <w:rPr>
          <w:rFonts w:hint="eastAsia" w:ascii="宋体" w:hAnsi="宋体" w:eastAsia="宋体" w:cs="宋体"/>
          <w:b/>
          <w:bCs/>
          <w:color w:val="auto"/>
          <w:kern w:val="2"/>
          <w:sz w:val="24"/>
          <w:szCs w:val="28"/>
          <w:highlight w:val="none"/>
          <w:lang w:val="en-US" w:eastAsia="zh-CN" w:bidi="ar-SA"/>
        </w:rPr>
        <w:t>12.招标文件的询问、澄清或者修改</w:t>
      </w:r>
      <w:bookmarkEnd w:id="181"/>
      <w:bookmarkEnd w:id="182"/>
      <w:bookmarkEnd w:id="183"/>
      <w:bookmarkEnd w:id="184"/>
      <w:bookmarkEnd w:id="185"/>
      <w:bookmarkEnd w:id="186"/>
    </w:p>
    <w:p w14:paraId="3A36B8C0">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w:t>
      </w:r>
      <w:r>
        <w:rPr>
          <w:rFonts w:eastAsia="宋体" w:cs="仿宋_GB2312"/>
          <w:color w:val="auto"/>
          <w:sz w:val="24"/>
          <w:szCs w:val="24"/>
          <w:highlight w:val="none"/>
        </w:rPr>
        <w:t>1</w:t>
      </w:r>
      <w:r>
        <w:rPr>
          <w:rFonts w:hint="eastAsia" w:eastAsia="宋体" w:cs="仿宋_GB2312"/>
          <w:color w:val="auto"/>
          <w:sz w:val="24"/>
          <w:szCs w:val="24"/>
          <w:highlight w:val="none"/>
        </w:rPr>
        <w:t xml:space="preserve"> 投标人对采购项目有疑问的，可以按照“投标人须知前附表”中的规定提出询问。提出后，请投标人及时通过交易平台“答疑文件下载”栏目查看答疑文件或澄清文件。必要时，采购代理机构将组织相关专家召开答疑会，如召开，答疑会安排另行通知。采购人或采购代理机构将在收到询问后依法予以答复。对招标文件询问的答复，在必要时将以澄清形式推送给每个获取招标文件的潜在投标人(答复中不包括问题的来源)。</w:t>
      </w:r>
    </w:p>
    <w:p w14:paraId="56F4138C">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hint="eastAsia" w:eastAsia="宋体" w:cs="仿宋_GB2312"/>
          <w:color w:val="auto"/>
          <w:sz w:val="24"/>
          <w:szCs w:val="24"/>
          <w:highlight w:val="none"/>
        </w:rPr>
        <w:t>投标人在规定的时间内未对招标文件提出疑问或要求澄清的，采购代理机构将视其为同意，对在“投标人须知前附表”中“</w:t>
      </w:r>
      <w:r>
        <w:rPr>
          <w:rFonts w:hint="eastAsia" w:eastAsia="宋体" w:cs="仿宋_GB2312"/>
          <w:color w:val="auto"/>
          <w:sz w:val="24"/>
          <w:szCs w:val="24"/>
          <w:highlight w:val="none"/>
          <w:lang w:val="en-US" w:eastAsia="zh-CN"/>
        </w:rPr>
        <w:t>提出询问的</w:t>
      </w:r>
      <w:r>
        <w:rPr>
          <w:rFonts w:hint="eastAsia" w:eastAsia="宋体" w:cs="仿宋_GB2312"/>
          <w:color w:val="auto"/>
          <w:sz w:val="24"/>
          <w:szCs w:val="24"/>
          <w:highlight w:val="none"/>
        </w:rPr>
        <w:t>时间</w:t>
      </w:r>
      <w:r>
        <w:rPr>
          <w:rFonts w:hint="eastAsia" w:eastAsia="宋体" w:cs="仿宋_GB2312"/>
          <w:color w:val="auto"/>
          <w:sz w:val="24"/>
          <w:szCs w:val="24"/>
          <w:highlight w:val="none"/>
          <w:lang w:val="en-US" w:eastAsia="zh-CN"/>
        </w:rPr>
        <w:t>要求</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之</w:t>
      </w:r>
      <w:r>
        <w:rPr>
          <w:rFonts w:hint="eastAsia" w:eastAsia="宋体" w:cs="仿宋_GB2312"/>
          <w:color w:val="auto"/>
          <w:sz w:val="24"/>
          <w:szCs w:val="24"/>
          <w:highlight w:val="none"/>
        </w:rPr>
        <w:t>后就招标文件内容提出的疑问及澄清要求将不予受理。</w:t>
      </w:r>
    </w:p>
    <w:p w14:paraId="4A5FAB87">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.2 采购人或者采购代理机构可以对已发出的招标文件进行必要的澄清或者修改。</w:t>
      </w:r>
      <w:r>
        <w:rPr>
          <w:rFonts w:hint="eastAsia" w:eastAsia="宋体"/>
          <w:color w:val="auto"/>
          <w:sz w:val="24"/>
          <w:highlight w:val="none"/>
        </w:rPr>
        <w:t>澄清或修改的内容为招标文件的组成部分，并对所有获取招标文件的潜在投标人具有约束力。</w:t>
      </w:r>
    </w:p>
    <w:p w14:paraId="1EB83C80">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2</w:t>
      </w:r>
      <w:r>
        <w:rPr>
          <w:rFonts w:hint="eastAsia" w:eastAsia="宋体" w:cs="仿宋_GB2312"/>
          <w:color w:val="auto"/>
          <w:sz w:val="24"/>
          <w:szCs w:val="24"/>
          <w:highlight w:val="none"/>
        </w:rPr>
        <w:t>.3 招标文件的澄清或者修改以当面交接、邮寄、传真或电子邮件、网站披露等其中至少一种方式，发给所有领取招标文件的</w:t>
      </w:r>
      <w:r>
        <w:rPr>
          <w:rFonts w:hint="eastAsia" w:eastAsia="宋体" w:cs="仿宋_GB2312"/>
          <w:color w:val="auto"/>
          <w:sz w:val="24"/>
          <w:szCs w:val="24"/>
          <w:highlight w:val="none"/>
          <w:lang w:val="en-US" w:eastAsia="zh-CN"/>
        </w:rPr>
        <w:t>潜在</w:t>
      </w:r>
      <w:r>
        <w:rPr>
          <w:rFonts w:hint="eastAsia" w:eastAsia="宋体" w:cs="仿宋_GB2312"/>
          <w:color w:val="auto"/>
          <w:sz w:val="24"/>
          <w:szCs w:val="24"/>
          <w:highlight w:val="none"/>
        </w:rPr>
        <w:t>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6F274E6E">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1</w:t>
      </w:r>
      <w:r>
        <w:rPr>
          <w:rFonts w:hint="eastAsia" w:eastAsia="宋体"/>
          <w:color w:val="auto"/>
          <w:sz w:val="24"/>
          <w:highlight w:val="none"/>
          <w:lang w:val="en-US" w:eastAsia="zh-CN"/>
        </w:rPr>
        <w:t>2</w:t>
      </w:r>
      <w:r>
        <w:rPr>
          <w:rFonts w:eastAsia="宋体"/>
          <w:color w:val="auto"/>
          <w:sz w:val="24"/>
          <w:highlight w:val="none"/>
        </w:rPr>
        <w:t>.</w:t>
      </w:r>
      <w:r>
        <w:rPr>
          <w:rFonts w:hint="eastAsia" w:eastAsia="宋体"/>
          <w:color w:val="auto"/>
          <w:sz w:val="24"/>
          <w:highlight w:val="none"/>
        </w:rPr>
        <w:t xml:space="preserve">4 </w:t>
      </w:r>
      <w:r>
        <w:rPr>
          <w:rFonts w:hint="eastAsia" w:eastAsia="宋体" w:cs="仿宋_GB2312"/>
          <w:color w:val="auto"/>
          <w:sz w:val="24"/>
          <w:szCs w:val="24"/>
          <w:highlight w:val="none"/>
          <w:lang w:val="en-US" w:eastAsia="zh-CN"/>
        </w:rPr>
        <w:t>“</w:t>
      </w:r>
      <w:r>
        <w:rPr>
          <w:rFonts w:hint="eastAsia" w:eastAsia="宋体" w:cs="仿宋_GB2312"/>
          <w:color w:val="auto"/>
          <w:sz w:val="24"/>
          <w:szCs w:val="24"/>
          <w:highlight w:val="none"/>
        </w:rPr>
        <w:t>投标人须知”所称“</w:t>
      </w:r>
      <w:r>
        <w:rPr>
          <w:rFonts w:hint="eastAsia" w:eastAsia="宋体"/>
          <w:color w:val="auto"/>
          <w:sz w:val="24"/>
          <w:highlight w:val="none"/>
        </w:rPr>
        <w:t>书面形式</w:t>
      </w:r>
      <w:r>
        <w:rPr>
          <w:rFonts w:hint="eastAsia" w:eastAsia="宋体" w:cs="仿宋_GB2312"/>
          <w:color w:val="auto"/>
          <w:sz w:val="24"/>
          <w:szCs w:val="24"/>
          <w:highlight w:val="none"/>
        </w:rPr>
        <w:t>”</w:t>
      </w:r>
      <w:r>
        <w:rPr>
          <w:rFonts w:hint="eastAsia" w:eastAsia="宋体"/>
          <w:color w:val="auto"/>
          <w:sz w:val="24"/>
          <w:highlight w:val="none"/>
        </w:rPr>
        <w:t>包括系统消息、政府采购</w:t>
      </w:r>
      <w:r>
        <w:rPr>
          <w:rFonts w:hint="eastAsia" w:eastAsia="宋体"/>
          <w:color w:val="auto"/>
          <w:sz w:val="24"/>
          <w:highlight w:val="none"/>
          <w:lang w:val="en-US" w:eastAsia="zh-CN"/>
        </w:rPr>
        <w:t>云平台</w:t>
      </w:r>
      <w:r>
        <w:rPr>
          <w:rFonts w:hint="eastAsia" w:eastAsia="宋体"/>
          <w:color w:val="auto"/>
          <w:sz w:val="24"/>
          <w:highlight w:val="none"/>
        </w:rPr>
        <w:t>发布的公告。</w:t>
      </w:r>
    </w:p>
    <w:p w14:paraId="1E6D774C">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2</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5</w:t>
      </w:r>
      <w:r>
        <w:rPr>
          <w:rFonts w:hint="eastAsia" w:ascii="宋体" w:hAnsi="宋体" w:eastAsia="宋体" w:cs="宋体"/>
          <w:color w:val="auto"/>
          <w:kern w:val="2"/>
          <w:sz w:val="24"/>
          <w:szCs w:val="22"/>
          <w:highlight w:val="none"/>
        </w:rPr>
        <w:t>采购代理机构一旦对招标文件作出了澄清、修改，即刻发生效力，采购代理机构有关的澄清、修改文件，将作为招标文件的组成部分，对所有现实的或潜在的投标人均具有约束力，而无论是否已经实际收到上述文件。同时，采购代理机构和投标人的权利及义务将受到新的截止期的约束。</w:t>
      </w:r>
    </w:p>
    <w:p w14:paraId="39FCE417">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2</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6</w:t>
      </w:r>
      <w:r>
        <w:rPr>
          <w:rFonts w:hint="eastAsia" w:ascii="宋体" w:hAnsi="宋体" w:eastAsia="宋体" w:cs="宋体"/>
          <w:color w:val="auto"/>
          <w:kern w:val="2"/>
          <w:sz w:val="24"/>
          <w:szCs w:val="22"/>
          <w:highlight w:val="none"/>
        </w:rPr>
        <w:t>采购代理机构对招标文件作出的澄清、修改在平台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14:paraId="578320B0">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187" w:name="_Toc155185872"/>
      <w:bookmarkStart w:id="188" w:name="_Toc195"/>
      <w:bookmarkStart w:id="189" w:name="_Toc9097"/>
      <w:bookmarkStart w:id="190" w:name="_Toc13035"/>
      <w:bookmarkStart w:id="191" w:name="_Toc3060"/>
      <w:bookmarkStart w:id="192" w:name="_Toc163492837"/>
      <w:r>
        <w:rPr>
          <w:rFonts w:hint="eastAsia" w:ascii="宋体" w:hAnsi="宋体" w:eastAsia="宋体" w:cstheme="minorBidi"/>
          <w:b/>
          <w:bCs/>
          <w:color w:val="auto"/>
          <w:kern w:val="2"/>
          <w:sz w:val="24"/>
          <w:szCs w:val="32"/>
          <w:highlight w:val="none"/>
          <w:lang w:val="en-US" w:eastAsia="zh-CN" w:bidi="ar-SA"/>
        </w:rPr>
        <w:t>（三）投标文件</w:t>
      </w:r>
      <w:bookmarkEnd w:id="187"/>
      <w:bookmarkEnd w:id="188"/>
      <w:bookmarkEnd w:id="189"/>
      <w:bookmarkEnd w:id="190"/>
      <w:bookmarkEnd w:id="191"/>
      <w:bookmarkEnd w:id="192"/>
    </w:p>
    <w:p w14:paraId="67D7EC6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193" w:name="_Toc13879"/>
      <w:bookmarkStart w:id="194" w:name="_Toc24818"/>
      <w:bookmarkStart w:id="195" w:name="_Toc163492838"/>
      <w:bookmarkStart w:id="196" w:name="_Toc30794"/>
      <w:bookmarkStart w:id="197" w:name="_Toc1776"/>
      <w:r>
        <w:rPr>
          <w:rFonts w:hint="eastAsia" w:ascii="宋体" w:hAnsi="宋体" w:eastAsia="宋体" w:cs="宋体"/>
          <w:b/>
          <w:bCs/>
          <w:color w:val="auto"/>
          <w:kern w:val="2"/>
          <w:sz w:val="24"/>
          <w:szCs w:val="28"/>
          <w:highlight w:val="none"/>
          <w:lang w:val="en-US" w:eastAsia="zh-CN" w:bidi="ar-SA"/>
        </w:rPr>
        <w:t>13.投标文件的组成</w:t>
      </w:r>
      <w:bookmarkEnd w:id="193"/>
      <w:bookmarkEnd w:id="194"/>
      <w:bookmarkEnd w:id="195"/>
      <w:bookmarkEnd w:id="196"/>
      <w:bookmarkEnd w:id="197"/>
    </w:p>
    <w:p w14:paraId="174A0A3D">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bookmarkStart w:id="198" w:name="_Toc140132772"/>
      <w:bookmarkStart w:id="199" w:name="_Toc163492839"/>
      <w:r>
        <w:rPr>
          <w:rFonts w:hint="eastAsia" w:ascii="宋体" w:hAnsi="宋体" w:eastAsia="宋体" w:cs="宋体"/>
          <w:color w:val="auto"/>
          <w:kern w:val="2"/>
          <w:sz w:val="24"/>
          <w:szCs w:val="22"/>
          <w:highlight w:val="none"/>
          <w:lang w:val="en-US" w:eastAsia="zh-CN"/>
        </w:rPr>
        <w:t>13</w:t>
      </w:r>
      <w:r>
        <w:rPr>
          <w:rFonts w:hint="eastAsia" w:ascii="宋体" w:hAnsi="宋体" w:eastAsia="宋体" w:cs="宋体"/>
          <w:color w:val="auto"/>
          <w:kern w:val="2"/>
          <w:sz w:val="24"/>
          <w:szCs w:val="22"/>
          <w:highlight w:val="none"/>
        </w:rPr>
        <w:t>.1投标人应完整地按招标文件提供的投标文件格式及要求编写投标文件，具体内容详见</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lang w:val="en-US" w:eastAsia="zh-CN"/>
        </w:rPr>
        <w:t xml:space="preserve">第七章 </w:t>
      </w:r>
      <w:r>
        <w:rPr>
          <w:rFonts w:hint="eastAsia" w:ascii="宋体" w:hAnsi="宋体" w:eastAsia="宋体" w:cs="宋体"/>
          <w:color w:val="auto"/>
          <w:kern w:val="2"/>
          <w:sz w:val="24"/>
          <w:szCs w:val="22"/>
          <w:highlight w:val="none"/>
        </w:rPr>
        <w:t>投标文件格式</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的相关内容。</w:t>
      </w:r>
    </w:p>
    <w:p w14:paraId="3BB3A0B7">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13.2</w:t>
      </w:r>
      <w:r>
        <w:rPr>
          <w:rFonts w:hint="eastAsia" w:ascii="宋体" w:hAnsi="宋体" w:eastAsia="宋体" w:cs="宋体"/>
          <w:color w:val="auto"/>
          <w:kern w:val="2"/>
          <w:sz w:val="24"/>
          <w:szCs w:val="22"/>
          <w:highlight w:val="none"/>
        </w:rPr>
        <w:t>投标人应提交招标文件要求的证明文件，证明其投标内容符合招标文件规定</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该证明文件是投标文件的一部分</w:t>
      </w:r>
      <w:r>
        <w:rPr>
          <w:rFonts w:hint="eastAsia" w:ascii="宋体" w:hAnsi="宋体"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证明文件</w:t>
      </w:r>
      <w:r>
        <w:rPr>
          <w:rFonts w:hint="eastAsia" w:ascii="宋体" w:hAnsi="宋体" w:eastAsia="宋体" w:cs="宋体"/>
          <w:color w:val="auto"/>
          <w:kern w:val="2"/>
          <w:sz w:val="24"/>
          <w:szCs w:val="22"/>
          <w:highlight w:val="none"/>
          <w:lang w:val="en-US" w:eastAsia="zh-CN"/>
        </w:rPr>
        <w:t>形式</w:t>
      </w:r>
      <w:r>
        <w:rPr>
          <w:rFonts w:hint="eastAsia" w:ascii="宋体" w:hAnsi="宋体" w:eastAsia="宋体" w:cs="宋体"/>
          <w:color w:val="auto"/>
          <w:kern w:val="2"/>
          <w:sz w:val="24"/>
          <w:szCs w:val="22"/>
          <w:highlight w:val="none"/>
        </w:rPr>
        <w:t>可以是文字资料、图纸和数据</w:t>
      </w:r>
      <w:bookmarkStart w:id="200" w:name="_Hlk11703583"/>
      <w:r>
        <w:rPr>
          <w:rFonts w:hint="eastAsia" w:ascii="宋体" w:hAnsi="宋体" w:eastAsia="宋体" w:cs="宋体"/>
          <w:color w:val="auto"/>
          <w:kern w:val="2"/>
          <w:sz w:val="24"/>
          <w:szCs w:val="22"/>
          <w:highlight w:val="none"/>
          <w:lang w:val="en-US" w:eastAsia="zh-CN"/>
        </w:rPr>
        <w:t>等。</w:t>
      </w:r>
    </w:p>
    <w:bookmarkEnd w:id="200"/>
    <w:p w14:paraId="781BBAEB">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13.3</w:t>
      </w:r>
      <w:r>
        <w:rPr>
          <w:rFonts w:hint="eastAsia" w:ascii="宋体" w:hAnsi="宋体" w:eastAsia="宋体" w:cs="宋体"/>
          <w:color w:val="auto"/>
          <w:kern w:val="2"/>
          <w:sz w:val="24"/>
          <w:szCs w:val="22"/>
          <w:highlight w:val="none"/>
        </w:rPr>
        <w:t>为保证公平公正，除非</w:t>
      </w:r>
      <w:r>
        <w:rPr>
          <w:rFonts w:hint="eastAsia" w:ascii="宋体" w:hAnsi="宋体" w:eastAsia="宋体" w:cs="宋体"/>
          <w:color w:val="auto"/>
          <w:kern w:val="2"/>
          <w:sz w:val="24"/>
          <w:szCs w:val="22"/>
          <w:highlight w:val="none"/>
          <w:lang w:val="en-US" w:eastAsia="zh-CN"/>
        </w:rPr>
        <w:t>本招标文件</w:t>
      </w:r>
      <w:r>
        <w:rPr>
          <w:rFonts w:hint="eastAsia" w:ascii="宋体" w:hAnsi="宋体" w:eastAsia="宋体" w:cs="宋体"/>
          <w:color w:val="auto"/>
          <w:kern w:val="2"/>
          <w:sz w:val="24"/>
          <w:szCs w:val="22"/>
          <w:highlight w:val="none"/>
        </w:rPr>
        <w:t>另有规定或说明，投标人对同一项目投标时，不得同时提供备选投标方案。</w:t>
      </w:r>
    </w:p>
    <w:p w14:paraId="2DB5A9E4">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01" w:name="_Toc893"/>
      <w:bookmarkStart w:id="202" w:name="_Toc10265"/>
      <w:bookmarkStart w:id="203" w:name="_Toc16697"/>
      <w:bookmarkStart w:id="204" w:name="_Toc12233"/>
      <w:r>
        <w:rPr>
          <w:rFonts w:hint="eastAsia" w:ascii="宋体" w:hAnsi="宋体" w:eastAsia="宋体" w:cs="宋体"/>
          <w:b/>
          <w:bCs/>
          <w:color w:val="auto"/>
          <w:kern w:val="2"/>
          <w:sz w:val="24"/>
          <w:szCs w:val="28"/>
          <w:highlight w:val="none"/>
          <w:lang w:val="en-US" w:eastAsia="zh-CN" w:bidi="ar-SA"/>
        </w:rPr>
        <w:t>14.投标报价</w:t>
      </w:r>
      <w:bookmarkEnd w:id="198"/>
      <w:bookmarkEnd w:id="199"/>
      <w:bookmarkEnd w:id="201"/>
      <w:bookmarkEnd w:id="202"/>
      <w:bookmarkEnd w:id="203"/>
      <w:bookmarkEnd w:id="204"/>
    </w:p>
    <w:p w14:paraId="3BD2CDC3">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lang w:val="zh-CN"/>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 xml:space="preserve">.1 </w:t>
      </w:r>
      <w:r>
        <w:rPr>
          <w:rFonts w:hint="eastAsia" w:eastAsia="宋体" w:cs="宋体"/>
          <w:snapToGrid w:val="0"/>
          <w:color w:val="auto"/>
          <w:sz w:val="24"/>
          <w:szCs w:val="24"/>
          <w:highlight w:val="none"/>
          <w:lang w:val="zh-CN"/>
        </w:rPr>
        <w:t>投标人的报价均应以人民币进行报价。</w:t>
      </w:r>
    </w:p>
    <w:p w14:paraId="6CC00543">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宋体"/>
          <w:snapToGrid w:val="0"/>
          <w:color w:val="auto"/>
          <w:sz w:val="24"/>
          <w:szCs w:val="24"/>
          <w:highlight w:val="none"/>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.2 投标人应按照本招标文件规定的报价方式进行报价，投标报价中不得包含招标文件要求以外的内容，否则，在评标时不予核减。投标报价中也不得</w:t>
      </w:r>
      <w:r>
        <w:rPr>
          <w:rFonts w:hint="eastAsia" w:eastAsia="宋体" w:cs="宋体"/>
          <w:snapToGrid w:val="0"/>
          <w:color w:val="auto"/>
          <w:sz w:val="24"/>
          <w:szCs w:val="24"/>
          <w:highlight w:val="none"/>
          <w:lang w:val="en-US" w:eastAsia="zh-CN"/>
        </w:rPr>
        <w:t>缺</w:t>
      </w:r>
      <w:r>
        <w:rPr>
          <w:rFonts w:hint="eastAsia" w:eastAsia="宋体" w:cs="宋体"/>
          <w:snapToGrid w:val="0"/>
          <w:color w:val="auto"/>
          <w:sz w:val="24"/>
          <w:szCs w:val="24"/>
          <w:highlight w:val="none"/>
        </w:rPr>
        <w:t>漏招标文件所要求的内容，否则，其</w:t>
      </w:r>
      <w:r>
        <w:rPr>
          <w:rFonts w:hint="eastAsia" w:eastAsia="宋体" w:cs="宋体"/>
          <w:b/>
          <w:bCs/>
          <w:snapToGrid w:val="0"/>
          <w:color w:val="auto"/>
          <w:sz w:val="24"/>
          <w:szCs w:val="24"/>
          <w:highlight w:val="none"/>
        </w:rPr>
        <w:t>投标无效</w:t>
      </w:r>
      <w:r>
        <w:rPr>
          <w:rFonts w:hint="eastAsia" w:eastAsia="宋体" w:cs="宋体"/>
          <w:snapToGrid w:val="0"/>
          <w:color w:val="auto"/>
          <w:sz w:val="24"/>
          <w:szCs w:val="24"/>
          <w:highlight w:val="none"/>
        </w:rPr>
        <w:t>。</w:t>
      </w:r>
    </w:p>
    <w:p w14:paraId="1197AD09">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2"/>
          <w:highlight w:val="none"/>
        </w:rPr>
      </w:pPr>
      <w:r>
        <w:rPr>
          <w:rFonts w:hint="eastAsia" w:eastAsia="宋体" w:cs="宋体"/>
          <w:color w:val="auto"/>
          <w:kern w:val="2"/>
          <w:sz w:val="24"/>
          <w:szCs w:val="22"/>
          <w:highlight w:val="none"/>
          <w:lang w:val="en-US" w:eastAsia="zh-CN"/>
        </w:rPr>
        <w:t>投标人的报价应包括为完成本项目所发生的一切费用和税费，采购人将不再支付报价以外的任何费用。</w:t>
      </w:r>
      <w:r>
        <w:rPr>
          <w:rFonts w:hint="eastAsia" w:ascii="宋体" w:hAnsi="宋体" w:eastAsia="宋体" w:cs="宋体"/>
          <w:color w:val="auto"/>
          <w:kern w:val="2"/>
          <w:sz w:val="24"/>
          <w:szCs w:val="22"/>
          <w:highlight w:val="none"/>
        </w:rPr>
        <w:t>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14:paraId="41BDFD38">
      <w:pPr>
        <w:pStyle w:val="10"/>
        <w:keepNext w:val="0"/>
        <w:keepLines w:val="0"/>
        <w:pageBreakBefore w:val="0"/>
        <w:widowControl w:val="0"/>
        <w:kinsoku/>
        <w:overflowPunct/>
        <w:topLinePunct w:val="0"/>
        <w:autoSpaceDE/>
        <w:autoSpaceDN/>
        <w:bidi w:val="0"/>
        <w:adjustRightInd/>
        <w:textAlignment w:val="auto"/>
        <w:rPr>
          <w:rFonts w:hint="eastAsia" w:eastAsia="宋体" w:cs="宋体"/>
          <w:color w:val="auto"/>
          <w:kern w:val="2"/>
          <w:sz w:val="24"/>
          <w:szCs w:val="22"/>
          <w:highlight w:val="none"/>
          <w:lang w:val="en-US" w:eastAsia="zh-CN"/>
        </w:rPr>
      </w:pPr>
      <w:r>
        <w:rPr>
          <w:rFonts w:hint="eastAsia" w:eastAsia="宋体" w:cs="宋体"/>
          <w:color w:val="auto"/>
          <w:kern w:val="2"/>
          <w:sz w:val="24"/>
          <w:szCs w:val="22"/>
          <w:highlight w:val="none"/>
          <w:lang w:val="en-US" w:eastAsia="zh-CN"/>
        </w:rPr>
        <w:t xml:space="preserve">投标人的报价应包括但不限于下列内容： </w:t>
      </w:r>
    </w:p>
    <w:p w14:paraId="4342C0DA">
      <w:pPr>
        <w:pStyle w:val="10"/>
        <w:keepNext w:val="0"/>
        <w:keepLines w:val="0"/>
        <w:pageBreakBefore w:val="0"/>
        <w:widowControl w:val="0"/>
        <w:kinsoku/>
        <w:overflowPunct/>
        <w:topLinePunct w:val="0"/>
        <w:autoSpaceDE/>
        <w:autoSpaceDN/>
        <w:bidi w:val="0"/>
        <w:adjustRightInd/>
        <w:textAlignment w:val="auto"/>
        <w:rPr>
          <w:rFonts w:hint="eastAsia" w:eastAsia="宋体" w:cs="宋体"/>
          <w:color w:val="auto"/>
          <w:kern w:val="2"/>
          <w:sz w:val="24"/>
          <w:szCs w:val="22"/>
          <w:highlight w:val="none"/>
          <w:lang w:val="en-US" w:eastAsia="zh-CN"/>
        </w:rPr>
      </w:pPr>
      <w:r>
        <w:rPr>
          <w:rFonts w:hint="eastAsia" w:ascii="宋体" w:hAnsi="宋体" w:eastAsia="宋体" w:cs="宋体"/>
          <w:snapToGrid w:val="0"/>
          <w:color w:val="auto"/>
          <w:kern w:val="2"/>
          <w:sz w:val="24"/>
          <w:szCs w:val="24"/>
          <w:highlight w:val="none"/>
          <w:lang w:val="en-US" w:eastAsia="zh-CN" w:bidi="ar-SA"/>
        </w:rPr>
        <w:t>14.2.1 投标货物及标准附件、备品备件、专用工具等的出厂价（包括已在中</w:t>
      </w:r>
      <w:r>
        <w:rPr>
          <w:rFonts w:hint="eastAsia" w:eastAsia="宋体" w:cs="宋体"/>
          <w:color w:val="auto"/>
          <w:kern w:val="2"/>
          <w:sz w:val="24"/>
          <w:szCs w:val="22"/>
          <w:highlight w:val="none"/>
          <w:lang w:val="en-US" w:eastAsia="zh-CN"/>
        </w:rPr>
        <w:t xml:space="preserve">国国内的进口货物完税后的仓库交货价、展室交货价或货架交货价）和运至最终目的地的运输费和保险费，安装调试、检验、技术服务、培训、质量保证、售后服务、税费等； </w:t>
      </w:r>
    </w:p>
    <w:p w14:paraId="412F0384">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snapToGrid w:val="0"/>
          <w:color w:val="auto"/>
          <w:kern w:val="2"/>
          <w:sz w:val="24"/>
          <w:szCs w:val="24"/>
          <w:highlight w:val="none"/>
          <w:lang w:val="en-US" w:eastAsia="zh-CN" w:bidi="ar-SA"/>
        </w:rPr>
      </w:pPr>
      <w:r>
        <w:rPr>
          <w:rFonts w:hint="eastAsia" w:ascii="宋体" w:hAnsi="宋体" w:eastAsia="宋体" w:cs="宋体"/>
          <w:snapToGrid w:val="0"/>
          <w:color w:val="auto"/>
          <w:kern w:val="2"/>
          <w:sz w:val="24"/>
          <w:szCs w:val="24"/>
          <w:highlight w:val="none"/>
          <w:lang w:val="en-US" w:eastAsia="zh-CN" w:bidi="ar-SA"/>
        </w:rPr>
        <w:t>14.2.2 按照招标文件要求完成本项目的全部相关费用。</w:t>
      </w:r>
    </w:p>
    <w:p w14:paraId="3EFD841C">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lang w:val="zh-CN"/>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 xml:space="preserve">.3 </w:t>
      </w:r>
      <w:r>
        <w:rPr>
          <w:rFonts w:hint="eastAsia" w:ascii="宋体" w:hAnsi="宋体" w:eastAsia="宋体" w:cs="宋体"/>
          <w:color w:val="auto"/>
          <w:kern w:val="2"/>
          <w:sz w:val="24"/>
          <w:szCs w:val="22"/>
          <w:highlight w:val="none"/>
        </w:rPr>
        <w:t>投标人须严格按照</w:t>
      </w:r>
      <w:r>
        <w:rPr>
          <w:rFonts w:hint="eastAsia" w:eastAsia="宋体" w:cs="宋体"/>
          <w:color w:val="auto"/>
          <w:kern w:val="2"/>
          <w:sz w:val="24"/>
          <w:szCs w:val="22"/>
          <w:highlight w:val="none"/>
          <w:lang w:val="en-US" w:eastAsia="zh-CN"/>
        </w:rPr>
        <w:t>分项</w:t>
      </w:r>
      <w:r>
        <w:rPr>
          <w:rFonts w:hint="eastAsia" w:ascii="宋体" w:hAnsi="宋体" w:eastAsia="宋体" w:cs="宋体"/>
          <w:color w:val="auto"/>
          <w:kern w:val="2"/>
          <w:sz w:val="24"/>
          <w:szCs w:val="22"/>
          <w:highlight w:val="none"/>
        </w:rPr>
        <w:t>报价表规定的内容填写货物单价以及其他事项。</w:t>
      </w:r>
      <w:r>
        <w:rPr>
          <w:rFonts w:hint="eastAsia" w:eastAsia="宋体" w:cs="宋体"/>
          <w:snapToGrid w:val="0"/>
          <w:color w:val="auto"/>
          <w:sz w:val="24"/>
          <w:szCs w:val="24"/>
          <w:highlight w:val="none"/>
          <w:lang w:val="zh-CN"/>
        </w:rPr>
        <w:t>投标人应根据本招标文件的规定和要求、市场价格水平及其走势、投标人的管理水平、投标人的方案和由这些因素决定的投标人之于本项目的成本水平等提出自己的报价。报价应合理，并包含完成本招标文件采购需求全部内容的所有费用，所有根据本招标文件或其它原因应由投标人支付的税款和其他应</w:t>
      </w:r>
      <w:r>
        <w:rPr>
          <w:rFonts w:hint="eastAsia" w:eastAsia="宋体" w:cs="宋体"/>
          <w:snapToGrid w:val="0"/>
          <w:color w:val="auto"/>
          <w:sz w:val="24"/>
          <w:szCs w:val="24"/>
          <w:highlight w:val="none"/>
          <w:lang w:val="en-US" w:eastAsia="zh-CN"/>
        </w:rPr>
        <w:t>缴</w:t>
      </w:r>
      <w:r>
        <w:rPr>
          <w:rFonts w:hint="eastAsia" w:eastAsia="宋体" w:cs="宋体"/>
          <w:snapToGrid w:val="0"/>
          <w:color w:val="auto"/>
          <w:sz w:val="24"/>
          <w:szCs w:val="24"/>
          <w:highlight w:val="none"/>
          <w:lang w:val="zh-CN"/>
        </w:rPr>
        <w:t>纳的费用都应包括在投标人提交的投标报价中。</w:t>
      </w:r>
    </w:p>
    <w:p w14:paraId="5E3B6519">
      <w:pPr>
        <w:keepNext w:val="0"/>
        <w:keepLines w:val="0"/>
        <w:pageBreakBefore w:val="0"/>
        <w:widowControl w:val="0"/>
        <w:kinsoku/>
        <w:overflowPunct/>
        <w:topLinePunct w:val="0"/>
        <w:autoSpaceDE/>
        <w:autoSpaceDN/>
        <w:bidi w:val="0"/>
        <w:adjustRightInd/>
        <w:ind w:firstLine="480" w:firstLineChars="200"/>
        <w:textAlignment w:val="auto"/>
        <w:rPr>
          <w:rFonts w:eastAsia="宋体" w:cs="宋体"/>
          <w:snapToGrid w:val="0"/>
          <w:color w:val="auto"/>
          <w:sz w:val="24"/>
          <w:szCs w:val="24"/>
          <w:highlight w:val="none"/>
        </w:rPr>
      </w:pPr>
      <w:r>
        <w:rPr>
          <w:rFonts w:eastAsia="宋体" w:cs="宋体"/>
          <w:snapToGrid w:val="0"/>
          <w:color w:val="auto"/>
          <w:sz w:val="24"/>
          <w:szCs w:val="24"/>
          <w:highlight w:val="none"/>
        </w:rPr>
        <w:t>1</w:t>
      </w:r>
      <w:r>
        <w:rPr>
          <w:rFonts w:hint="eastAsia" w:eastAsia="宋体" w:cs="宋体"/>
          <w:snapToGrid w:val="0"/>
          <w:color w:val="auto"/>
          <w:sz w:val="24"/>
          <w:szCs w:val="24"/>
          <w:highlight w:val="none"/>
          <w:lang w:val="en-US" w:eastAsia="zh-CN"/>
        </w:rPr>
        <w:t>4</w:t>
      </w:r>
      <w:r>
        <w:rPr>
          <w:rFonts w:hint="eastAsia" w:eastAsia="宋体" w:cs="宋体"/>
          <w:snapToGrid w:val="0"/>
          <w:color w:val="auto"/>
          <w:sz w:val="24"/>
          <w:szCs w:val="24"/>
          <w:highlight w:val="none"/>
        </w:rPr>
        <w:t>.4 投标人在投标文件中注明免费的项目将视为包含在投标报价中。</w:t>
      </w:r>
    </w:p>
    <w:p w14:paraId="78B9FFCD">
      <w:pPr>
        <w:pStyle w:val="10"/>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ascii="宋体" w:hAnsi="宋体" w:eastAsia="宋体" w:cs="宋体"/>
          <w:snapToGrid w:val="0"/>
          <w:color w:val="auto"/>
          <w:kern w:val="2"/>
          <w:sz w:val="24"/>
          <w:szCs w:val="24"/>
          <w:highlight w:val="none"/>
          <w:lang w:val="en-US" w:eastAsia="zh-CN" w:bidi="ar-SA"/>
        </w:rPr>
        <w:t>1</w:t>
      </w:r>
      <w:r>
        <w:rPr>
          <w:rFonts w:hint="eastAsia" w:ascii="宋体" w:hAnsi="宋体" w:eastAsia="宋体" w:cs="宋体"/>
          <w:snapToGrid w:val="0"/>
          <w:color w:val="auto"/>
          <w:kern w:val="2"/>
          <w:sz w:val="24"/>
          <w:szCs w:val="24"/>
          <w:highlight w:val="none"/>
          <w:lang w:val="en-US" w:eastAsia="zh-CN" w:bidi="ar-SA"/>
        </w:rPr>
        <w:t>4.5 每一</w:t>
      </w:r>
      <w:r>
        <w:rPr>
          <w:rFonts w:hint="eastAsia" w:eastAsia="宋体" w:cs="宋体"/>
          <w:snapToGrid w:val="0"/>
          <w:color w:val="auto"/>
          <w:sz w:val="24"/>
          <w:szCs w:val="24"/>
          <w:highlight w:val="none"/>
        </w:rPr>
        <w:t>种采购内容只允许有一个报价，否则其</w:t>
      </w:r>
      <w:r>
        <w:rPr>
          <w:rFonts w:hint="eastAsia" w:eastAsia="宋体" w:cs="宋体"/>
          <w:b/>
          <w:bCs/>
          <w:snapToGrid w:val="0"/>
          <w:color w:val="auto"/>
          <w:sz w:val="24"/>
          <w:szCs w:val="24"/>
          <w:highlight w:val="none"/>
        </w:rPr>
        <w:t>投标无效</w:t>
      </w:r>
      <w:r>
        <w:rPr>
          <w:rFonts w:hint="eastAsia" w:eastAsia="宋体" w:cs="宋体"/>
          <w:snapToGrid w:val="0"/>
          <w:color w:val="auto"/>
          <w:sz w:val="24"/>
          <w:szCs w:val="24"/>
          <w:highlight w:val="none"/>
        </w:rPr>
        <w:t>。</w:t>
      </w:r>
      <w:r>
        <w:rPr>
          <w:rFonts w:hint="eastAsia" w:ascii="宋体" w:hAnsi="宋体" w:eastAsia="宋体" w:cs="宋体"/>
          <w:color w:val="auto"/>
          <w:kern w:val="2"/>
          <w:sz w:val="24"/>
          <w:szCs w:val="22"/>
          <w:highlight w:val="none"/>
        </w:rPr>
        <w:t>除非招标文件另有规定，不接受可选择或可调整的投标方案和报价，任何有选择的或可调整的投标方案和报价将被视为非</w:t>
      </w:r>
      <w:r>
        <w:rPr>
          <w:rFonts w:hint="eastAsia" w:ascii="宋体" w:hAnsi="宋体" w:eastAsia="宋体" w:cs="宋体"/>
          <w:color w:val="auto"/>
          <w:kern w:val="2"/>
          <w:sz w:val="24"/>
          <w:szCs w:val="22"/>
          <w:highlight w:val="none"/>
          <w:lang w:val="en-US" w:eastAsia="zh-CN"/>
        </w:rPr>
        <w:t>实质性</w:t>
      </w:r>
      <w:r>
        <w:rPr>
          <w:rFonts w:hint="eastAsia" w:ascii="宋体" w:hAnsi="宋体" w:eastAsia="宋体" w:cs="宋体"/>
          <w:color w:val="auto"/>
          <w:kern w:val="2"/>
          <w:sz w:val="24"/>
          <w:szCs w:val="22"/>
          <w:highlight w:val="none"/>
        </w:rPr>
        <w:t>响应</w:t>
      </w:r>
      <w:r>
        <w:rPr>
          <w:rFonts w:hint="eastAsia" w:ascii="宋体" w:hAnsi="宋体" w:eastAsia="宋体" w:cs="宋体"/>
          <w:color w:val="auto"/>
          <w:kern w:val="2"/>
          <w:sz w:val="24"/>
          <w:szCs w:val="22"/>
          <w:highlight w:val="none"/>
          <w:lang w:val="en-US" w:eastAsia="zh-CN"/>
        </w:rPr>
        <w:t>招标文件,其</w:t>
      </w:r>
      <w:r>
        <w:rPr>
          <w:rFonts w:hint="eastAsia" w:eastAsia="宋体" w:cs="宋体"/>
          <w:b/>
          <w:bCs/>
          <w:snapToGrid w:val="0"/>
          <w:color w:val="auto"/>
          <w:sz w:val="24"/>
          <w:szCs w:val="24"/>
          <w:highlight w:val="none"/>
          <w:lang w:eastAsia="zh-CN"/>
        </w:rPr>
        <w:t>投标无效</w:t>
      </w:r>
      <w:r>
        <w:rPr>
          <w:rFonts w:hint="eastAsia" w:ascii="宋体" w:hAnsi="宋体" w:eastAsia="宋体" w:cs="宋体"/>
          <w:color w:val="auto"/>
          <w:kern w:val="2"/>
          <w:sz w:val="24"/>
          <w:szCs w:val="22"/>
          <w:highlight w:val="none"/>
        </w:rPr>
        <w:t>。</w:t>
      </w:r>
    </w:p>
    <w:p w14:paraId="234C15F2">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4</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 xml:space="preserve">6 </w:t>
      </w:r>
      <w:r>
        <w:rPr>
          <w:rFonts w:hint="eastAsia" w:eastAsia="宋体" w:cs="仿宋_GB2312"/>
          <w:color w:val="auto"/>
          <w:sz w:val="24"/>
          <w:szCs w:val="24"/>
          <w:highlight w:val="none"/>
        </w:rPr>
        <w:t>投标报价不得超过“</w:t>
      </w:r>
      <w:r>
        <w:rPr>
          <w:rFonts w:hint="eastAsia" w:eastAsia="宋体"/>
          <w:color w:val="auto"/>
          <w:sz w:val="24"/>
          <w:highlight w:val="none"/>
          <w:lang w:val="en-US" w:eastAsia="zh-CN"/>
        </w:rPr>
        <w:t>第一章 招标公告</w:t>
      </w:r>
      <w:r>
        <w:rPr>
          <w:rFonts w:hint="eastAsia" w:eastAsia="宋体" w:cs="仿宋_GB2312"/>
          <w:color w:val="auto"/>
          <w:sz w:val="24"/>
          <w:szCs w:val="24"/>
          <w:highlight w:val="none"/>
        </w:rPr>
        <w:t>”中规定的最高投标限价</w:t>
      </w:r>
      <w:r>
        <w:rPr>
          <w:rFonts w:hint="eastAsia" w:ascii="宋体" w:hAnsi="宋体" w:eastAsia="宋体"/>
          <w:color w:val="auto"/>
          <w:sz w:val="24"/>
          <w:highlight w:val="none"/>
          <w:lang w:val="en-US" w:eastAsia="zh-CN"/>
        </w:rPr>
        <w:t>或者预算金额</w:t>
      </w:r>
      <w:r>
        <w:rPr>
          <w:rFonts w:hint="eastAsia" w:eastAsia="宋体" w:cs="仿宋_GB2312"/>
          <w:color w:val="auto"/>
          <w:sz w:val="24"/>
          <w:szCs w:val="24"/>
          <w:highlight w:val="none"/>
        </w:rPr>
        <w:t>，否则</w:t>
      </w:r>
      <w:r>
        <w:rPr>
          <w:rFonts w:eastAsia="宋体" w:cs="仿宋_GB2312"/>
          <w:color w:val="auto"/>
          <w:sz w:val="24"/>
          <w:szCs w:val="24"/>
          <w:highlight w:val="none"/>
        </w:rPr>
        <w:t>评标委员会将</w:t>
      </w:r>
      <w:r>
        <w:rPr>
          <w:rFonts w:hint="eastAsia" w:eastAsia="宋体" w:cs="仿宋_GB2312"/>
          <w:b w:val="0"/>
          <w:bCs w:val="0"/>
          <w:color w:val="auto"/>
          <w:sz w:val="24"/>
          <w:szCs w:val="24"/>
          <w:highlight w:val="none"/>
          <w:lang w:val="en-US" w:eastAsia="zh-CN"/>
        </w:rPr>
        <w:t>对</w:t>
      </w:r>
      <w:r>
        <w:rPr>
          <w:rFonts w:eastAsia="宋体" w:cs="仿宋_GB2312"/>
          <w:b w:val="0"/>
          <w:bCs w:val="0"/>
          <w:color w:val="auto"/>
          <w:sz w:val="24"/>
          <w:szCs w:val="24"/>
          <w:highlight w:val="none"/>
        </w:rPr>
        <w:t>其</w:t>
      </w:r>
      <w:r>
        <w:rPr>
          <w:rFonts w:hint="eastAsia" w:eastAsia="宋体" w:cs="仿宋_GB2312"/>
          <w:b w:val="0"/>
          <w:bCs w:val="0"/>
          <w:color w:val="auto"/>
          <w:sz w:val="24"/>
          <w:szCs w:val="24"/>
          <w:highlight w:val="none"/>
          <w:lang w:val="en-US" w:eastAsia="zh-CN"/>
        </w:rPr>
        <w:t>作</w:t>
      </w:r>
      <w:r>
        <w:rPr>
          <w:rFonts w:hint="eastAsia" w:eastAsia="宋体" w:cs="仿宋_GB2312"/>
          <w:b/>
          <w:bCs/>
          <w:color w:val="auto"/>
          <w:sz w:val="24"/>
          <w:szCs w:val="24"/>
          <w:highlight w:val="none"/>
          <w:lang w:val="en-US" w:eastAsia="zh-CN"/>
        </w:rPr>
        <w:t>无效</w:t>
      </w:r>
      <w:r>
        <w:rPr>
          <w:rFonts w:eastAsia="宋体" w:cs="仿宋_GB2312"/>
          <w:b/>
          <w:bCs/>
          <w:color w:val="auto"/>
          <w:sz w:val="24"/>
          <w:szCs w:val="24"/>
          <w:highlight w:val="none"/>
        </w:rPr>
        <w:t>投标</w:t>
      </w:r>
      <w:r>
        <w:rPr>
          <w:rFonts w:hint="eastAsia" w:eastAsia="宋体" w:cs="仿宋_GB2312"/>
          <w:b/>
          <w:bCs/>
          <w:color w:val="auto"/>
          <w:sz w:val="24"/>
          <w:szCs w:val="24"/>
          <w:highlight w:val="none"/>
          <w:lang w:val="en-US" w:eastAsia="zh-CN"/>
        </w:rPr>
        <w:t>处理</w:t>
      </w:r>
      <w:r>
        <w:rPr>
          <w:rFonts w:eastAsia="宋体" w:cs="仿宋_GB2312"/>
          <w:color w:val="auto"/>
          <w:sz w:val="24"/>
          <w:szCs w:val="24"/>
          <w:highlight w:val="none"/>
        </w:rPr>
        <w:t>。</w:t>
      </w:r>
    </w:p>
    <w:p w14:paraId="313FA63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7 </w:t>
      </w:r>
      <w:r>
        <w:rPr>
          <w:rFonts w:hint="eastAsia" w:ascii="宋体" w:hAnsi="宋体" w:eastAsia="宋体" w:cs="宋体"/>
          <w:color w:val="auto"/>
          <w:kern w:val="2"/>
          <w:sz w:val="24"/>
          <w:szCs w:val="22"/>
          <w:highlight w:val="none"/>
        </w:rPr>
        <w:t>投标人对投标报价若有说明应在投标文件中显著处注明。</w:t>
      </w:r>
    </w:p>
    <w:p w14:paraId="2DE4CF29">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除政策性文件规定以外，投标人所报价格在合同实施期间不因市场变化因素而变动。</w:t>
      </w:r>
    </w:p>
    <w:p w14:paraId="2C302D73">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r>
        <w:rPr>
          <w:rFonts w:hint="eastAsia" w:ascii="宋体" w:hAnsi="宋体"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 xml:space="preserve">8 </w:t>
      </w:r>
      <w:r>
        <w:rPr>
          <w:rFonts w:hint="eastAsia" w:ascii="宋体" w:hAnsi="宋体" w:eastAsia="宋体" w:cs="宋体"/>
          <w:color w:val="auto"/>
          <w:kern w:val="2"/>
          <w:sz w:val="24"/>
          <w:szCs w:val="22"/>
          <w:highlight w:val="none"/>
        </w:rPr>
        <w:t>对于有配件、耗材、选件、备件和特殊工具的货物，还应填报投标货物配件、耗材、选件表和备件及特殊工具清单，注明品牌、型号、产地、功能、单价、批量折扣等内容，该表格格式由投标人自行设计。投标人按照上述要求分类报价，其目的是便于评标，但在任何情况下并不限制采购人以其他条款签订合同的权利。</w:t>
      </w:r>
    </w:p>
    <w:p w14:paraId="7CD424F2">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b/>
          <w:bCs/>
          <w:color w:val="auto"/>
          <w:kern w:val="2"/>
          <w:sz w:val="24"/>
          <w:szCs w:val="22"/>
          <w:highlight w:val="none"/>
        </w:rPr>
        <w:t>1</w:t>
      </w:r>
      <w:r>
        <w:rPr>
          <w:rFonts w:hint="eastAsia" w:ascii="宋体" w:hAnsi="宋体" w:eastAsia="宋体" w:cs="宋体"/>
          <w:b/>
          <w:bCs/>
          <w:color w:val="auto"/>
          <w:kern w:val="2"/>
          <w:sz w:val="24"/>
          <w:szCs w:val="22"/>
          <w:highlight w:val="none"/>
          <w:lang w:val="en-US" w:eastAsia="zh-CN"/>
        </w:rPr>
        <w:t>4</w:t>
      </w:r>
      <w:r>
        <w:rPr>
          <w:rFonts w:hint="eastAsia" w:ascii="宋体" w:hAnsi="宋体" w:eastAsia="宋体" w:cs="宋体"/>
          <w:b/>
          <w:bCs/>
          <w:color w:val="auto"/>
          <w:kern w:val="2"/>
          <w:sz w:val="24"/>
          <w:szCs w:val="22"/>
          <w:highlight w:val="none"/>
        </w:rPr>
        <w:t>.</w:t>
      </w:r>
      <w:r>
        <w:rPr>
          <w:rFonts w:hint="eastAsia" w:ascii="宋体" w:hAnsi="宋体" w:eastAsia="宋体" w:cs="宋体"/>
          <w:b/>
          <w:bCs/>
          <w:color w:val="auto"/>
          <w:kern w:val="2"/>
          <w:sz w:val="24"/>
          <w:szCs w:val="22"/>
          <w:highlight w:val="none"/>
          <w:lang w:val="en-US" w:eastAsia="zh-CN"/>
        </w:rPr>
        <w:t xml:space="preserve">9 </w:t>
      </w:r>
      <w:r>
        <w:rPr>
          <w:rFonts w:hint="eastAsia" w:ascii="宋体" w:hAnsi="宋体" w:eastAsia="宋体" w:cs="宋体"/>
          <w:b/>
          <w:bCs/>
          <w:color w:val="auto"/>
          <w:kern w:val="2"/>
          <w:sz w:val="24"/>
          <w:szCs w:val="22"/>
          <w:highlight w:val="none"/>
        </w:rPr>
        <w:t>最低报价不能作为中标的保证。</w:t>
      </w:r>
    </w:p>
    <w:p w14:paraId="2C6B9037">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default"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w:t>
      </w:r>
      <w:r>
        <w:rPr>
          <w:rFonts w:hint="eastAsia"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lang w:val="en-US" w:eastAsia="zh-CN"/>
        </w:rPr>
        <w:t>.10</w:t>
      </w:r>
      <w:r>
        <w:rPr>
          <w:rFonts w:hint="eastAsia" w:ascii="宋体" w:hAnsi="宋体" w:eastAsia="宋体" w:cs="宋体"/>
          <w:color w:val="auto"/>
          <w:kern w:val="0"/>
          <w:sz w:val="24"/>
          <w:szCs w:val="24"/>
          <w:highlight w:val="none"/>
          <w:lang w:val="en-US" w:eastAsia="zh-CN" w:bidi="ar"/>
        </w:rPr>
        <w:t>采购人不得向</w:t>
      </w:r>
      <w:r>
        <w:rPr>
          <w:rFonts w:hint="eastAsia" w:eastAsia="宋体" w:cs="宋体"/>
          <w:color w:val="auto"/>
          <w:kern w:val="0"/>
          <w:sz w:val="24"/>
          <w:szCs w:val="24"/>
          <w:highlight w:val="none"/>
          <w:lang w:val="en-US" w:eastAsia="zh-CN" w:bidi="ar"/>
        </w:rPr>
        <w:t>投标人</w:t>
      </w:r>
      <w:r>
        <w:rPr>
          <w:rFonts w:hint="eastAsia" w:ascii="宋体" w:hAnsi="宋体" w:eastAsia="宋体" w:cs="宋体"/>
          <w:color w:val="auto"/>
          <w:kern w:val="0"/>
          <w:sz w:val="24"/>
          <w:szCs w:val="24"/>
          <w:highlight w:val="none"/>
          <w:lang w:val="en-US" w:eastAsia="zh-CN" w:bidi="ar"/>
        </w:rPr>
        <w:t>索要或者接受其给予的赠品、回扣或者与采购无关的其他商品、服务。</w:t>
      </w:r>
    </w:p>
    <w:p w14:paraId="691BBD0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05" w:name="_Toc11990"/>
      <w:bookmarkStart w:id="206" w:name="_Toc140132773"/>
      <w:bookmarkStart w:id="207" w:name="_Toc163492840"/>
      <w:bookmarkStart w:id="208" w:name="_Toc2907"/>
      <w:bookmarkStart w:id="209" w:name="_Toc15358"/>
      <w:bookmarkStart w:id="210" w:name="_Toc4011"/>
      <w:r>
        <w:rPr>
          <w:rFonts w:hint="eastAsia" w:ascii="宋体" w:hAnsi="宋体" w:eastAsia="宋体" w:cs="宋体"/>
          <w:b/>
          <w:bCs/>
          <w:color w:val="auto"/>
          <w:kern w:val="2"/>
          <w:sz w:val="24"/>
          <w:szCs w:val="28"/>
          <w:highlight w:val="none"/>
          <w:lang w:val="en-US" w:eastAsia="zh-CN" w:bidi="ar-SA"/>
        </w:rPr>
        <w:t>15.投标有效期</w:t>
      </w:r>
      <w:bookmarkEnd w:id="205"/>
      <w:bookmarkEnd w:id="206"/>
      <w:bookmarkEnd w:id="207"/>
      <w:bookmarkEnd w:id="208"/>
      <w:bookmarkEnd w:id="209"/>
      <w:bookmarkEnd w:id="210"/>
    </w:p>
    <w:p w14:paraId="13B2B164">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 xml:space="preserve">.1 </w:t>
      </w:r>
      <w:r>
        <w:rPr>
          <w:rFonts w:ascii="Arial" w:hAnsi="Arial" w:eastAsia="宋体" w:cs="Arial"/>
          <w:color w:val="auto"/>
          <w:kern w:val="0"/>
          <w:sz w:val="24"/>
          <w:szCs w:val="21"/>
          <w:highlight w:val="none"/>
          <w:lang w:val="en"/>
        </w:rPr>
        <w:t>投标有效期</w:t>
      </w:r>
      <w:r>
        <w:rPr>
          <w:rFonts w:hint="eastAsia" w:eastAsia="宋体" w:cs="仿宋_GB2312"/>
          <w:color w:val="auto"/>
          <w:sz w:val="24"/>
          <w:szCs w:val="24"/>
          <w:highlight w:val="none"/>
        </w:rPr>
        <w:t>见“</w:t>
      </w:r>
      <w:r>
        <w:rPr>
          <w:rFonts w:hint="eastAsia" w:eastAsia="宋体" w:cs="仿宋_GB2312"/>
          <w:color w:val="auto"/>
          <w:sz w:val="24"/>
          <w:szCs w:val="24"/>
          <w:highlight w:val="none"/>
          <w:lang w:val="en-US" w:eastAsia="zh-CN"/>
        </w:rPr>
        <w:t xml:space="preserve">第二章 </w:t>
      </w:r>
      <w:r>
        <w:rPr>
          <w:rFonts w:eastAsia="宋体" w:cs="仿宋_GB2312"/>
          <w:color w:val="auto"/>
          <w:sz w:val="24"/>
          <w:szCs w:val="24"/>
          <w:highlight w:val="none"/>
        </w:rPr>
        <w:t>投标人须知前附表</w:t>
      </w:r>
      <w:r>
        <w:rPr>
          <w:rFonts w:hint="eastAsia" w:eastAsia="宋体" w:cs="仿宋_GB2312"/>
          <w:color w:val="auto"/>
          <w:sz w:val="24"/>
          <w:szCs w:val="24"/>
          <w:highlight w:val="none"/>
        </w:rPr>
        <w:t>”，投标人承诺的投标有效期</w:t>
      </w:r>
      <w:r>
        <w:rPr>
          <w:rFonts w:hint="eastAsia" w:eastAsia="宋体"/>
          <w:snapToGrid w:val="0"/>
          <w:color w:val="auto"/>
          <w:sz w:val="24"/>
          <w:highlight w:val="none"/>
          <w:lang w:val="zh-CN" w:eastAsia="zh-CN"/>
        </w:rPr>
        <w:t>少于</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val="zh-CN" w:eastAsia="zh-CN"/>
        </w:rPr>
        <w:t>文件规定期限的，其</w:t>
      </w:r>
      <w:r>
        <w:rPr>
          <w:rFonts w:hint="eastAsia" w:eastAsia="宋体"/>
          <w:b/>
          <w:bCs/>
          <w:snapToGrid w:val="0"/>
          <w:color w:val="auto"/>
          <w:sz w:val="24"/>
          <w:highlight w:val="none"/>
          <w:lang w:val="en-US" w:eastAsia="zh-CN"/>
        </w:rPr>
        <w:t>投标</w:t>
      </w:r>
      <w:r>
        <w:rPr>
          <w:rFonts w:hint="eastAsia" w:eastAsia="宋体"/>
          <w:b/>
          <w:bCs/>
          <w:snapToGrid w:val="0"/>
          <w:color w:val="auto"/>
          <w:sz w:val="24"/>
          <w:highlight w:val="none"/>
          <w:lang w:val="zh-CN" w:eastAsia="zh-CN"/>
        </w:rPr>
        <w:t>无效</w:t>
      </w:r>
      <w:r>
        <w:rPr>
          <w:rFonts w:hint="eastAsia" w:eastAsia="宋体"/>
          <w:snapToGrid w:val="0"/>
          <w:color w:val="auto"/>
          <w:sz w:val="24"/>
          <w:highlight w:val="none"/>
          <w:lang w:val="zh-CN" w:eastAsia="zh-CN"/>
        </w:rPr>
        <w:t>。</w:t>
      </w:r>
    </w:p>
    <w:p w14:paraId="6D112F8D">
      <w:pPr>
        <w:keepNext w:val="0"/>
        <w:keepLines w:val="0"/>
        <w:pageBreakBefore w:val="0"/>
        <w:widowControl w:val="0"/>
        <w:kinsoku/>
        <w:overflowPunct/>
        <w:topLinePunct w:val="0"/>
        <w:autoSpaceDE/>
        <w:autoSpaceDN/>
        <w:bidi w:val="0"/>
        <w:adjustRightInd/>
        <w:ind w:firstLine="480" w:firstLineChars="200"/>
        <w:textAlignment w:val="auto"/>
        <w:rPr>
          <w:rFonts w:hint="default" w:eastAsia="宋体" w:cs="仿宋_GB2312"/>
          <w:color w:val="auto"/>
          <w:sz w:val="24"/>
          <w:szCs w:val="24"/>
          <w:highlight w:val="none"/>
          <w:lang w:val="en-US" w:eastAsia="zh-CN"/>
        </w:rPr>
      </w:pPr>
      <w:r>
        <w:rPr>
          <w:rFonts w:hint="eastAsia" w:eastAsia="宋体" w:cs="仿宋_GB2312"/>
          <w:color w:val="auto"/>
          <w:sz w:val="24"/>
          <w:szCs w:val="24"/>
          <w:highlight w:val="none"/>
          <w:lang w:val="en-US" w:eastAsia="zh-CN"/>
        </w:rPr>
        <w:t>15.2 投标有效期从提交投标文件的截止之日起算。投标文件中承诺的投标有效期应当不少于招标文件中载明的投标有效期。投标有效期内投标人撤销投标文件的，采购人或者采购代理机构可以不退还投标保证金。</w:t>
      </w:r>
    </w:p>
    <w:p w14:paraId="4457FE8E">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3</w:t>
      </w:r>
      <w:r>
        <w:rPr>
          <w:rFonts w:eastAsia="宋体" w:cs="仿宋_GB2312"/>
          <w:color w:val="auto"/>
          <w:sz w:val="24"/>
          <w:szCs w:val="24"/>
          <w:highlight w:val="none"/>
        </w:rPr>
        <w:t>特殊情况下，在原</w:t>
      </w:r>
      <w:r>
        <w:rPr>
          <w:rFonts w:hint="eastAsia" w:eastAsia="宋体" w:cs="仿宋_GB2312"/>
          <w:color w:val="auto"/>
          <w:sz w:val="24"/>
          <w:szCs w:val="24"/>
          <w:highlight w:val="none"/>
        </w:rPr>
        <w:t>投标文件</w:t>
      </w:r>
      <w:r>
        <w:rPr>
          <w:rFonts w:eastAsia="宋体" w:cs="仿宋_GB2312"/>
          <w:color w:val="auto"/>
          <w:sz w:val="24"/>
          <w:szCs w:val="24"/>
          <w:highlight w:val="none"/>
        </w:rPr>
        <w:t>有效期截止之前，采购代理机构或采购人可要求</w:t>
      </w:r>
      <w:r>
        <w:rPr>
          <w:rFonts w:hint="eastAsia" w:eastAsia="宋体" w:cs="仿宋_GB2312"/>
          <w:color w:val="auto"/>
          <w:sz w:val="24"/>
          <w:szCs w:val="24"/>
          <w:highlight w:val="none"/>
        </w:rPr>
        <w:t>投标人</w:t>
      </w:r>
      <w:r>
        <w:rPr>
          <w:rFonts w:eastAsia="宋体" w:cs="仿宋_GB2312"/>
          <w:color w:val="auto"/>
          <w:sz w:val="24"/>
          <w:szCs w:val="24"/>
          <w:highlight w:val="none"/>
        </w:rPr>
        <w:t>延长</w:t>
      </w:r>
      <w:r>
        <w:rPr>
          <w:rFonts w:hint="eastAsia" w:eastAsia="宋体" w:cs="仿宋_GB2312"/>
          <w:color w:val="auto"/>
          <w:sz w:val="24"/>
          <w:szCs w:val="24"/>
          <w:highlight w:val="none"/>
        </w:rPr>
        <w:t>投标</w:t>
      </w:r>
      <w:r>
        <w:rPr>
          <w:rFonts w:eastAsia="宋体" w:cs="仿宋_GB2312"/>
          <w:color w:val="auto"/>
          <w:sz w:val="24"/>
          <w:szCs w:val="24"/>
          <w:highlight w:val="none"/>
        </w:rPr>
        <w:t>有效期。需要延长</w:t>
      </w:r>
      <w:r>
        <w:rPr>
          <w:rFonts w:hint="eastAsia" w:eastAsia="宋体" w:cs="仿宋_GB2312"/>
          <w:color w:val="auto"/>
          <w:sz w:val="24"/>
          <w:szCs w:val="24"/>
          <w:highlight w:val="none"/>
        </w:rPr>
        <w:t>投标</w:t>
      </w:r>
      <w:r>
        <w:rPr>
          <w:rFonts w:eastAsia="宋体" w:cs="仿宋_GB2312"/>
          <w:color w:val="auto"/>
          <w:sz w:val="24"/>
          <w:szCs w:val="24"/>
          <w:highlight w:val="none"/>
        </w:rPr>
        <w:t>有效期时，采购代理机构或采购人将以书面形式通知所有</w:t>
      </w:r>
      <w:r>
        <w:rPr>
          <w:rFonts w:hint="eastAsia" w:eastAsia="宋体" w:cs="仿宋_GB2312"/>
          <w:color w:val="auto"/>
          <w:sz w:val="24"/>
          <w:szCs w:val="24"/>
          <w:highlight w:val="none"/>
        </w:rPr>
        <w:t>投标人</w:t>
      </w:r>
      <w:r>
        <w:rPr>
          <w:rFonts w:eastAsia="宋体" w:cs="仿宋_GB2312"/>
          <w:color w:val="auto"/>
          <w:sz w:val="24"/>
          <w:szCs w:val="24"/>
          <w:highlight w:val="none"/>
        </w:rPr>
        <w:t>，</w:t>
      </w:r>
      <w:r>
        <w:rPr>
          <w:rFonts w:hint="eastAsia" w:eastAsia="宋体" w:cs="仿宋_GB2312"/>
          <w:color w:val="auto"/>
          <w:sz w:val="24"/>
          <w:szCs w:val="24"/>
          <w:highlight w:val="none"/>
        </w:rPr>
        <w:t>投标人</w:t>
      </w:r>
      <w:r>
        <w:rPr>
          <w:rFonts w:eastAsia="宋体" w:cs="仿宋_GB2312"/>
          <w:color w:val="auto"/>
          <w:sz w:val="24"/>
          <w:szCs w:val="24"/>
          <w:highlight w:val="none"/>
        </w:rPr>
        <w:t>应以书面形式答复是否同意延长</w:t>
      </w:r>
      <w:r>
        <w:rPr>
          <w:rFonts w:hint="eastAsia" w:eastAsia="宋体" w:cs="仿宋_GB2312"/>
          <w:color w:val="auto"/>
          <w:sz w:val="24"/>
          <w:szCs w:val="24"/>
          <w:highlight w:val="none"/>
        </w:rPr>
        <w:t>投标</w:t>
      </w:r>
      <w:r>
        <w:rPr>
          <w:rFonts w:eastAsia="宋体" w:cs="仿宋_GB2312"/>
          <w:color w:val="auto"/>
          <w:sz w:val="24"/>
          <w:szCs w:val="24"/>
          <w:highlight w:val="none"/>
        </w:rPr>
        <w:t>有效期。</w:t>
      </w:r>
    </w:p>
    <w:p w14:paraId="2EF7720C">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5</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rPr>
        <w:t>投标人</w:t>
      </w:r>
      <w:r>
        <w:rPr>
          <w:rFonts w:eastAsia="宋体" w:cs="仿宋_GB2312"/>
          <w:color w:val="auto"/>
          <w:sz w:val="24"/>
          <w:szCs w:val="24"/>
          <w:highlight w:val="none"/>
        </w:rPr>
        <w:t>同意延长的，</w:t>
      </w:r>
      <w:r>
        <w:rPr>
          <w:rFonts w:hint="eastAsia" w:eastAsia="宋体" w:cs="宋体"/>
          <w:color w:val="auto"/>
          <w:kern w:val="2"/>
          <w:sz w:val="24"/>
          <w:szCs w:val="22"/>
          <w:highlight w:val="none"/>
          <w:lang w:val="en-US" w:eastAsia="zh-CN"/>
        </w:rPr>
        <w:t>其</w:t>
      </w:r>
      <w:r>
        <w:rPr>
          <w:rFonts w:hint="eastAsia" w:ascii="宋体" w:hAnsi="宋体" w:eastAsia="宋体" w:cs="宋体"/>
          <w:color w:val="auto"/>
          <w:kern w:val="2"/>
          <w:sz w:val="24"/>
          <w:szCs w:val="22"/>
          <w:highlight w:val="none"/>
        </w:rPr>
        <w:t>投标保证金的有效期也相应延长</w:t>
      </w:r>
      <w:r>
        <w:rPr>
          <w:rFonts w:hint="eastAsia" w:eastAsia="宋体" w:cs="宋体"/>
          <w:color w:val="auto"/>
          <w:kern w:val="2"/>
          <w:sz w:val="24"/>
          <w:szCs w:val="22"/>
          <w:highlight w:val="none"/>
          <w:lang w:eastAsia="zh-CN"/>
        </w:rPr>
        <w:t>，</w:t>
      </w:r>
      <w:r>
        <w:rPr>
          <w:rFonts w:hint="eastAsia" w:eastAsia="宋体" w:cs="宋体"/>
          <w:color w:val="auto"/>
          <w:kern w:val="2"/>
          <w:sz w:val="24"/>
          <w:szCs w:val="22"/>
          <w:highlight w:val="none"/>
          <w:lang w:val="en-US" w:eastAsia="zh-CN"/>
        </w:rPr>
        <w:t>但</w:t>
      </w:r>
      <w:r>
        <w:rPr>
          <w:rFonts w:eastAsia="宋体" w:cs="仿宋_GB2312"/>
          <w:color w:val="auto"/>
          <w:sz w:val="24"/>
          <w:szCs w:val="24"/>
          <w:highlight w:val="none"/>
        </w:rPr>
        <w:t>不得要求或被允许修改或撤销其</w:t>
      </w:r>
      <w:r>
        <w:rPr>
          <w:rFonts w:hint="eastAsia" w:eastAsia="宋体" w:cs="仿宋_GB2312"/>
          <w:color w:val="auto"/>
          <w:sz w:val="24"/>
          <w:szCs w:val="24"/>
          <w:highlight w:val="none"/>
        </w:rPr>
        <w:t>投标文件</w:t>
      </w:r>
      <w:r>
        <w:rPr>
          <w:rFonts w:eastAsia="宋体" w:cs="仿宋_GB2312"/>
          <w:color w:val="auto"/>
          <w:sz w:val="24"/>
          <w:szCs w:val="24"/>
          <w:highlight w:val="none"/>
        </w:rPr>
        <w:t>；</w:t>
      </w:r>
      <w:r>
        <w:rPr>
          <w:rFonts w:hint="eastAsia" w:eastAsia="宋体" w:cs="仿宋_GB2312"/>
          <w:color w:val="auto"/>
          <w:sz w:val="24"/>
          <w:szCs w:val="24"/>
          <w:highlight w:val="none"/>
          <w:lang w:val="en-US" w:eastAsia="zh-CN"/>
        </w:rPr>
        <w:t>投标人</w:t>
      </w:r>
      <w:r>
        <w:rPr>
          <w:rFonts w:eastAsia="宋体" w:cs="仿宋_GB2312"/>
          <w:color w:val="auto"/>
          <w:sz w:val="24"/>
          <w:szCs w:val="24"/>
          <w:highlight w:val="none"/>
        </w:rPr>
        <w:t>拒绝延长的，其</w:t>
      </w:r>
      <w:r>
        <w:rPr>
          <w:rFonts w:hint="eastAsia" w:eastAsia="宋体" w:cs="仿宋_GB2312"/>
          <w:color w:val="auto"/>
          <w:sz w:val="24"/>
          <w:szCs w:val="24"/>
          <w:highlight w:val="none"/>
        </w:rPr>
        <w:t>投标文件</w:t>
      </w:r>
      <w:r>
        <w:rPr>
          <w:rFonts w:eastAsia="宋体" w:cs="仿宋_GB2312"/>
          <w:color w:val="auto"/>
          <w:sz w:val="24"/>
          <w:szCs w:val="24"/>
          <w:highlight w:val="none"/>
        </w:rPr>
        <w:t>在原</w:t>
      </w:r>
      <w:r>
        <w:rPr>
          <w:rFonts w:hint="eastAsia" w:eastAsia="宋体" w:cs="仿宋_GB2312"/>
          <w:color w:val="auto"/>
          <w:sz w:val="24"/>
          <w:szCs w:val="24"/>
          <w:highlight w:val="none"/>
        </w:rPr>
        <w:t>投标</w:t>
      </w:r>
      <w:r>
        <w:rPr>
          <w:rFonts w:eastAsia="宋体" w:cs="仿宋_GB2312"/>
          <w:color w:val="auto"/>
          <w:sz w:val="24"/>
          <w:szCs w:val="24"/>
          <w:highlight w:val="none"/>
        </w:rPr>
        <w:t>有效期满后将不再有效</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lang w:val="en-US" w:eastAsia="zh-CN"/>
        </w:rPr>
        <w:t>但其提交的投标保证金可予以退还</w:t>
      </w:r>
      <w:r>
        <w:rPr>
          <w:rFonts w:eastAsia="宋体" w:cs="仿宋_GB2312"/>
          <w:color w:val="auto"/>
          <w:sz w:val="24"/>
          <w:szCs w:val="24"/>
          <w:highlight w:val="none"/>
        </w:rPr>
        <w:t>。</w:t>
      </w:r>
    </w:p>
    <w:p w14:paraId="51F7C8D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11" w:name="_Toc17233"/>
      <w:bookmarkStart w:id="212" w:name="_Toc25519"/>
      <w:bookmarkStart w:id="213" w:name="_Toc22098"/>
      <w:bookmarkStart w:id="214" w:name="_Toc18088"/>
      <w:bookmarkStart w:id="215" w:name="_Toc140132774"/>
      <w:bookmarkStart w:id="216" w:name="_Toc163492841"/>
      <w:r>
        <w:rPr>
          <w:rFonts w:hint="eastAsia" w:ascii="宋体" w:hAnsi="宋体" w:eastAsia="宋体" w:cs="宋体"/>
          <w:b/>
          <w:bCs/>
          <w:color w:val="auto"/>
          <w:kern w:val="2"/>
          <w:sz w:val="24"/>
          <w:szCs w:val="28"/>
          <w:highlight w:val="none"/>
          <w:lang w:val="en-US" w:eastAsia="zh-CN" w:bidi="ar-SA"/>
        </w:rPr>
        <w:t>16.投标文件的编制</w:t>
      </w:r>
      <w:bookmarkEnd w:id="211"/>
      <w:bookmarkEnd w:id="212"/>
      <w:bookmarkEnd w:id="213"/>
      <w:bookmarkEnd w:id="214"/>
      <w:bookmarkEnd w:id="215"/>
      <w:bookmarkEnd w:id="216"/>
    </w:p>
    <w:p w14:paraId="523C51E8">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6</w:t>
      </w:r>
      <w:r>
        <w:rPr>
          <w:rFonts w:hint="eastAsia" w:eastAsia="宋体" w:cs="仿宋_GB2312"/>
          <w:color w:val="auto"/>
          <w:sz w:val="24"/>
          <w:szCs w:val="24"/>
          <w:highlight w:val="none"/>
        </w:rPr>
        <w:t>.1投标文件应在供应商客户端中进行编制，在投标文件中要求加盖印章的，除有特殊说明之外，</w:t>
      </w:r>
      <w:r>
        <w:rPr>
          <w:rFonts w:hint="eastAsia" w:eastAsia="宋体" w:cs="仿宋_GB2312"/>
          <w:color w:val="auto"/>
          <w:sz w:val="24"/>
          <w:szCs w:val="24"/>
          <w:highlight w:val="none"/>
          <w:lang w:val="en-US" w:eastAsia="zh-CN"/>
        </w:rPr>
        <w:t>可</w:t>
      </w:r>
      <w:r>
        <w:rPr>
          <w:rFonts w:hint="eastAsia" w:eastAsia="宋体" w:cs="仿宋_GB2312"/>
          <w:color w:val="auto"/>
          <w:sz w:val="24"/>
          <w:szCs w:val="24"/>
          <w:highlight w:val="none"/>
        </w:rPr>
        <w:t>使用电子签章签署。</w:t>
      </w:r>
    </w:p>
    <w:p w14:paraId="540601F4">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1</w:t>
      </w:r>
      <w:r>
        <w:rPr>
          <w:rFonts w:hint="eastAsia" w:eastAsia="宋体"/>
          <w:color w:val="auto"/>
          <w:sz w:val="24"/>
          <w:highlight w:val="none"/>
          <w:lang w:val="en-US" w:eastAsia="zh-CN"/>
        </w:rPr>
        <w:t>6</w:t>
      </w:r>
      <w:r>
        <w:rPr>
          <w:rFonts w:hint="eastAsia" w:eastAsia="宋体"/>
          <w:color w:val="auto"/>
          <w:sz w:val="24"/>
          <w:highlight w:val="none"/>
        </w:rPr>
        <w:t>.</w:t>
      </w:r>
      <w:bookmarkStart w:id="217" w:name="_Hlk143528557"/>
      <w:r>
        <w:rPr>
          <w:rFonts w:eastAsia="宋体"/>
          <w:color w:val="auto"/>
          <w:sz w:val="24"/>
          <w:highlight w:val="none"/>
        </w:rPr>
        <w:t>2</w:t>
      </w:r>
      <w:r>
        <w:rPr>
          <w:rFonts w:hint="eastAsia" w:eastAsia="宋体"/>
          <w:color w:val="auto"/>
          <w:sz w:val="24"/>
          <w:highlight w:val="none"/>
        </w:rPr>
        <w:t>投标人在供应商客户端中按照供应商客户端中的格式要求填写响应内容后，生成投标文件。投标人须按照招标文件的要求使用电子签章对要求加盖印章的部分逐一进行签章。</w:t>
      </w:r>
      <w:bookmarkEnd w:id="217"/>
    </w:p>
    <w:p w14:paraId="1A7BD123">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投标人应详细阅读招标文件的全部内容。投标文件须对招标文件中的内容作出实质性和完整的响应，如果投标文件填报的内容不详，或没有提供招标文件中所要求的全部资料及数据，将可能</w:t>
      </w:r>
      <w:r>
        <w:rPr>
          <w:rFonts w:hint="eastAsia" w:ascii="宋体" w:hAnsi="宋体" w:eastAsia="宋体"/>
          <w:b/>
          <w:bCs/>
          <w:color w:val="auto"/>
          <w:sz w:val="24"/>
          <w:highlight w:val="none"/>
        </w:rPr>
        <w:t>导致</w:t>
      </w:r>
      <w:r>
        <w:rPr>
          <w:rFonts w:hint="eastAsia" w:eastAsia="宋体"/>
          <w:b/>
          <w:bCs/>
          <w:color w:val="auto"/>
          <w:sz w:val="24"/>
          <w:highlight w:val="none"/>
          <w:lang w:val="en-US" w:eastAsia="zh-CN"/>
        </w:rPr>
        <w:t>其</w:t>
      </w:r>
      <w:r>
        <w:rPr>
          <w:rFonts w:hint="eastAsia" w:ascii="宋体" w:hAnsi="宋体" w:eastAsia="宋体"/>
          <w:b/>
          <w:bCs/>
          <w:color w:val="auto"/>
          <w:sz w:val="24"/>
          <w:highlight w:val="none"/>
        </w:rPr>
        <w:t>投标</w:t>
      </w:r>
      <w:r>
        <w:rPr>
          <w:rFonts w:hint="eastAsia" w:eastAsia="宋体"/>
          <w:b/>
          <w:bCs/>
          <w:color w:val="auto"/>
          <w:sz w:val="24"/>
          <w:highlight w:val="none"/>
          <w:lang w:val="en-US" w:eastAsia="zh-CN"/>
        </w:rPr>
        <w:t>无效</w:t>
      </w:r>
      <w:r>
        <w:rPr>
          <w:rFonts w:hint="eastAsia" w:ascii="宋体" w:hAnsi="宋体" w:eastAsia="宋体"/>
          <w:color w:val="auto"/>
          <w:sz w:val="24"/>
          <w:highlight w:val="none"/>
        </w:rPr>
        <w:t>。</w:t>
      </w:r>
    </w:p>
    <w:p w14:paraId="7A6BB4B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投标文件须严格按照</w:t>
      </w:r>
      <w:r>
        <w:rPr>
          <w:rFonts w:hint="eastAsia" w:ascii="宋体" w:hAnsi="宋体" w:eastAsia="宋体"/>
          <w:color w:val="auto"/>
          <w:sz w:val="24"/>
          <w:highlight w:val="none"/>
          <w:lang w:val="en-US" w:eastAsia="zh-CN"/>
        </w:rPr>
        <w:t>本</w:t>
      </w:r>
      <w:r>
        <w:rPr>
          <w:rFonts w:hint="eastAsia" w:ascii="宋体" w:hAnsi="宋体" w:eastAsia="宋体"/>
          <w:color w:val="auto"/>
          <w:sz w:val="24"/>
          <w:highlight w:val="none"/>
        </w:rPr>
        <w:t>招标文件第</w:t>
      </w:r>
      <w:r>
        <w:rPr>
          <w:rFonts w:hint="eastAsia" w:ascii="宋体" w:hAnsi="宋体" w:eastAsia="宋体"/>
          <w:color w:val="auto"/>
          <w:sz w:val="24"/>
          <w:highlight w:val="none"/>
          <w:lang w:val="en-US" w:eastAsia="zh-CN"/>
        </w:rPr>
        <w:t>七章</w:t>
      </w:r>
      <w:r>
        <w:rPr>
          <w:rFonts w:hint="eastAsia" w:ascii="宋体" w:hAnsi="宋体" w:eastAsia="宋体"/>
          <w:color w:val="auto"/>
          <w:sz w:val="24"/>
          <w:highlight w:val="none"/>
        </w:rPr>
        <w:t>规定的格式提交，并按规定的统一格式逐项填写，不准有空项；无相应内容可填的项，应填写“无”、“未测试”、“没有相应指标”等明确的回答文字。由于编排混乱导致投标文件被误读</w:t>
      </w:r>
      <w:r>
        <w:rPr>
          <w:rFonts w:hint="eastAsia"/>
          <w:color w:val="auto"/>
          <w:sz w:val="24"/>
          <w:highlight w:val="none"/>
          <w:lang w:val="en-US" w:eastAsia="zh-CN"/>
        </w:rPr>
        <w:t xml:space="preserve"> </w:t>
      </w:r>
      <w:r>
        <w:rPr>
          <w:rFonts w:hint="eastAsia" w:ascii="宋体" w:hAnsi="宋体" w:eastAsia="宋体"/>
          <w:color w:val="auto"/>
          <w:sz w:val="24"/>
          <w:highlight w:val="none"/>
        </w:rPr>
        <w:t>或查找不到，其责任由投标人承担。</w:t>
      </w:r>
    </w:p>
    <w:p w14:paraId="10A9DC8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eastAsia="宋体"/>
          <w:color w:val="auto"/>
          <w:sz w:val="24"/>
          <w:highlight w:val="none"/>
          <w:lang w:val="en-US" w:eastAsia="zh-CN"/>
        </w:rPr>
        <w:t>16.5货物的</w:t>
      </w:r>
      <w:r>
        <w:rPr>
          <w:rFonts w:hint="eastAsia" w:ascii="宋体" w:hAnsi="宋体" w:eastAsia="宋体"/>
          <w:color w:val="auto"/>
          <w:sz w:val="24"/>
          <w:highlight w:val="none"/>
          <w:lang w:val="en-US" w:eastAsia="zh-CN"/>
        </w:rPr>
        <w:t>技术参数有具体数值要求的，</w:t>
      </w:r>
      <w:r>
        <w:rPr>
          <w:rFonts w:hint="eastAsia" w:eastAsia="宋体"/>
          <w:color w:val="auto"/>
          <w:sz w:val="24"/>
          <w:highlight w:val="none"/>
          <w:lang w:val="en-US" w:eastAsia="zh-CN"/>
        </w:rPr>
        <w:t>且招标</w:t>
      </w:r>
      <w:r>
        <w:rPr>
          <w:rFonts w:hint="eastAsia" w:ascii="宋体" w:hAnsi="宋体" w:eastAsia="宋体"/>
          <w:color w:val="auto"/>
          <w:sz w:val="24"/>
          <w:highlight w:val="none"/>
          <w:lang w:val="en-US" w:eastAsia="zh-CN"/>
        </w:rPr>
        <w:t>文件要求</w:t>
      </w:r>
      <w:r>
        <w:rPr>
          <w:rFonts w:hint="eastAsia" w:eastAsia="宋体"/>
          <w:color w:val="auto"/>
          <w:sz w:val="24"/>
          <w:highlight w:val="none"/>
          <w:lang w:val="en-US" w:eastAsia="zh-CN"/>
        </w:rPr>
        <w:t>投标人</w:t>
      </w:r>
      <w:r>
        <w:rPr>
          <w:rFonts w:hint="eastAsia" w:ascii="宋体" w:hAnsi="宋体" w:eastAsia="宋体"/>
          <w:color w:val="auto"/>
          <w:sz w:val="24"/>
          <w:highlight w:val="none"/>
          <w:lang w:val="en-US" w:eastAsia="zh-CN"/>
        </w:rPr>
        <w:t>提供响应产品彩页、检验检测报告、厂家使用说明书等证明材料，</w:t>
      </w:r>
      <w:r>
        <w:rPr>
          <w:rFonts w:hint="eastAsia" w:eastAsia="宋体"/>
          <w:color w:val="auto"/>
          <w:sz w:val="24"/>
          <w:highlight w:val="none"/>
          <w:lang w:val="en-US" w:eastAsia="zh-CN"/>
        </w:rPr>
        <w:t>则投标人</w:t>
      </w:r>
      <w:r>
        <w:rPr>
          <w:rFonts w:hint="eastAsia" w:ascii="宋体" w:hAnsi="宋体" w:eastAsia="宋体"/>
          <w:color w:val="auto"/>
          <w:sz w:val="24"/>
          <w:highlight w:val="none"/>
          <w:lang w:val="en-US" w:eastAsia="zh-CN"/>
        </w:rPr>
        <w:t>在技术参数响应表中</w:t>
      </w:r>
      <w:r>
        <w:rPr>
          <w:rFonts w:hint="eastAsia" w:eastAsia="宋体"/>
          <w:color w:val="auto"/>
          <w:sz w:val="24"/>
          <w:highlight w:val="none"/>
          <w:lang w:val="en-US" w:eastAsia="zh-CN"/>
        </w:rPr>
        <w:t>须</w:t>
      </w:r>
      <w:r>
        <w:rPr>
          <w:rFonts w:hint="eastAsia" w:ascii="宋体" w:hAnsi="宋体" w:eastAsia="宋体"/>
          <w:color w:val="auto"/>
          <w:sz w:val="24"/>
          <w:highlight w:val="none"/>
          <w:lang w:val="en-US" w:eastAsia="zh-CN"/>
        </w:rPr>
        <w:t>标注产品实际参数数值，照搬照抄</w:t>
      </w:r>
      <w:r>
        <w:rPr>
          <w:rFonts w:hint="eastAsia" w:eastAsia="宋体"/>
          <w:color w:val="auto"/>
          <w:sz w:val="24"/>
          <w:highlight w:val="none"/>
          <w:lang w:val="en-US" w:eastAsia="zh-CN"/>
        </w:rPr>
        <w:t>招标</w:t>
      </w:r>
      <w:r>
        <w:rPr>
          <w:rFonts w:hint="eastAsia" w:ascii="宋体" w:hAnsi="宋体" w:eastAsia="宋体"/>
          <w:color w:val="auto"/>
          <w:sz w:val="24"/>
          <w:highlight w:val="none"/>
          <w:lang w:val="en-US" w:eastAsia="zh-CN"/>
        </w:rPr>
        <w:t>文件参数、不注明实际数值者</w:t>
      </w:r>
      <w:r>
        <w:rPr>
          <w:rFonts w:hint="eastAsia" w:ascii="宋体" w:hAnsi="宋体" w:eastAsia="宋体"/>
          <w:b/>
          <w:bCs/>
          <w:color w:val="auto"/>
          <w:sz w:val="24"/>
          <w:highlight w:val="none"/>
          <w:lang w:val="en-US" w:eastAsia="zh-CN"/>
        </w:rPr>
        <w:t>视为未响应</w:t>
      </w:r>
      <w:r>
        <w:rPr>
          <w:rFonts w:hint="eastAsia" w:ascii="宋体" w:hAnsi="宋体" w:eastAsia="宋体"/>
          <w:color w:val="auto"/>
          <w:sz w:val="24"/>
          <w:highlight w:val="none"/>
          <w:lang w:val="en-US" w:eastAsia="zh-CN"/>
        </w:rPr>
        <w:t>。</w:t>
      </w:r>
    </w:p>
    <w:p w14:paraId="4B72F25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6</w:t>
      </w:r>
      <w:r>
        <w:rPr>
          <w:rFonts w:hint="eastAsia" w:ascii="宋体" w:hAnsi="宋体" w:eastAsia="宋体"/>
          <w:color w:val="auto"/>
          <w:sz w:val="24"/>
          <w:highlight w:val="none"/>
        </w:rPr>
        <w:t>开标一览表为在开标</w:t>
      </w:r>
      <w:r>
        <w:rPr>
          <w:rFonts w:hint="eastAsia" w:eastAsia="宋体"/>
          <w:color w:val="auto"/>
          <w:sz w:val="24"/>
          <w:highlight w:val="none"/>
          <w:lang w:val="en-US" w:eastAsia="zh-CN"/>
        </w:rPr>
        <w:t>时</w:t>
      </w:r>
      <w:r>
        <w:rPr>
          <w:rFonts w:hint="eastAsia" w:ascii="宋体" w:hAnsi="宋体" w:eastAsia="宋体"/>
          <w:color w:val="auto"/>
          <w:sz w:val="24"/>
          <w:highlight w:val="none"/>
        </w:rPr>
        <w:t>唱标的内容，要求按格式统一填写，不得自行增减内容。</w:t>
      </w:r>
    </w:p>
    <w:p w14:paraId="499D7059">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7</w:t>
      </w:r>
      <w:r>
        <w:rPr>
          <w:rFonts w:hint="eastAsia" w:ascii="宋体" w:hAnsi="宋体" w:eastAsia="宋体"/>
          <w:color w:val="auto"/>
          <w:sz w:val="24"/>
          <w:highlight w:val="none"/>
        </w:rPr>
        <w:t>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w:t>
      </w:r>
      <w:r>
        <w:rPr>
          <w:rFonts w:hint="eastAsia" w:eastAsia="宋体"/>
          <w:color w:val="auto"/>
          <w:sz w:val="24"/>
          <w:highlight w:val="none"/>
          <w:lang w:val="en-US" w:eastAsia="zh-CN"/>
        </w:rPr>
        <w:t>按</w:t>
      </w:r>
      <w:r>
        <w:rPr>
          <w:rFonts w:hint="eastAsia" w:eastAsia="宋体"/>
          <w:b/>
          <w:bCs/>
          <w:color w:val="auto"/>
          <w:sz w:val="24"/>
          <w:highlight w:val="none"/>
          <w:lang w:val="en-US" w:eastAsia="zh-CN"/>
        </w:rPr>
        <w:t>无效投标</w:t>
      </w:r>
      <w:r>
        <w:rPr>
          <w:rFonts w:hint="eastAsia" w:ascii="宋体" w:hAnsi="宋体" w:eastAsia="宋体"/>
          <w:color w:val="auto"/>
          <w:sz w:val="24"/>
          <w:highlight w:val="none"/>
        </w:rPr>
        <w:t>处理。</w:t>
      </w:r>
    </w:p>
    <w:p w14:paraId="7DBECB06">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8</w:t>
      </w:r>
      <w:r>
        <w:rPr>
          <w:rFonts w:hint="eastAsia" w:ascii="宋体" w:hAnsi="宋体" w:eastAsia="宋体"/>
          <w:color w:val="auto"/>
          <w:sz w:val="24"/>
          <w:highlight w:val="none"/>
        </w:rPr>
        <w:t>投标人必须保证投标文件所提供的全部资料真实可靠，并接受采购</w:t>
      </w:r>
      <w:r>
        <w:rPr>
          <w:rFonts w:hint="eastAsia" w:ascii="宋体" w:hAnsi="宋体" w:eastAsia="宋体"/>
          <w:color w:val="auto"/>
          <w:sz w:val="24"/>
          <w:highlight w:val="none"/>
          <w:lang w:val="en-US" w:eastAsia="zh-CN"/>
        </w:rPr>
        <w:t>人、采购</w:t>
      </w:r>
      <w:r>
        <w:rPr>
          <w:rFonts w:hint="eastAsia" w:ascii="宋体" w:hAnsi="宋体" w:eastAsia="宋体"/>
          <w:color w:val="auto"/>
          <w:sz w:val="24"/>
          <w:highlight w:val="none"/>
        </w:rPr>
        <w:t>代理机构或评标委员会对其中任何资料进一步审查的要求。</w:t>
      </w:r>
    </w:p>
    <w:p w14:paraId="7AE3718F">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rPr>
        <w:t>1</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w:t>
      </w:r>
      <w:r>
        <w:rPr>
          <w:rFonts w:hint="eastAsia" w:eastAsia="宋体"/>
          <w:color w:val="auto"/>
          <w:sz w:val="24"/>
          <w:highlight w:val="none"/>
          <w:lang w:val="en-US" w:eastAsia="zh-CN"/>
        </w:rPr>
        <w:t>9</w:t>
      </w:r>
      <w:r>
        <w:rPr>
          <w:rFonts w:hint="eastAsia" w:ascii="宋体" w:hAnsi="宋体" w:eastAsia="宋体"/>
          <w:color w:val="auto"/>
          <w:sz w:val="24"/>
          <w:highlight w:val="none"/>
        </w:rPr>
        <w:t>投标人在投标文件及相关文件的签订、履行、通知等事项的文件中的单位盖章、印章、公章等处均指与当事人全称相一致的标准公章，不得使用其他形式（如带有“专用章”等字样的印章）。不符合本条规定的按</w:t>
      </w:r>
      <w:r>
        <w:rPr>
          <w:rFonts w:hint="eastAsia" w:ascii="宋体" w:hAnsi="宋体" w:eastAsia="宋体"/>
          <w:b/>
          <w:bCs/>
          <w:color w:val="auto"/>
          <w:sz w:val="24"/>
          <w:highlight w:val="none"/>
        </w:rPr>
        <w:t>无效投标</w:t>
      </w:r>
      <w:r>
        <w:rPr>
          <w:rFonts w:hint="eastAsia" w:ascii="宋体" w:hAnsi="宋体" w:eastAsia="宋体"/>
          <w:color w:val="auto"/>
          <w:sz w:val="24"/>
          <w:highlight w:val="none"/>
        </w:rPr>
        <w:t>处理。</w:t>
      </w:r>
    </w:p>
    <w:p w14:paraId="323B93DE">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16.10电子投标文件的编制</w:t>
      </w:r>
    </w:p>
    <w:p w14:paraId="072DFFA4">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16.10.1电子投标文件需按招标文件要求进行制作编制。投标文件制作时，不同内容按标签提示制作导入，按照招标文件中明确的投标文件目录和格式进行编制，保证目录清晰、内容完整；           </w:t>
      </w:r>
    </w:p>
    <w:p w14:paraId="51F1928B">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16.10.2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w:t>
      </w:r>
      <w:r>
        <w:rPr>
          <w:rFonts w:hint="eastAsia" w:ascii="宋体" w:hAnsi="宋体" w:eastAsia="宋体" w:cstheme="minorBidi"/>
          <w:b/>
          <w:bCs/>
          <w:iCs/>
          <w:color w:val="auto"/>
          <w:kern w:val="2"/>
          <w:sz w:val="24"/>
          <w:szCs w:val="22"/>
          <w:highlight w:val="none"/>
          <w:shd w:val="clear" w:color="auto" w:fill="FFFFFF" w:themeFill="background1"/>
          <w:lang w:val="en-US" w:eastAsia="zh-CN" w:bidi="ar-SA"/>
        </w:rPr>
        <w:t>其投标无效</w:t>
      </w: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6B2E6D6A">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218" w:name="_Toc4470"/>
      <w:bookmarkStart w:id="219" w:name="_Toc163492842"/>
      <w:bookmarkStart w:id="220" w:name="_Toc3198"/>
      <w:bookmarkStart w:id="221" w:name="_Toc17210"/>
      <w:bookmarkStart w:id="222" w:name="_Toc155185873"/>
      <w:bookmarkStart w:id="223" w:name="_Toc29237"/>
      <w:r>
        <w:rPr>
          <w:rFonts w:hint="eastAsia" w:ascii="宋体" w:hAnsi="宋体" w:eastAsia="宋体" w:cstheme="minorBidi"/>
          <w:b/>
          <w:bCs/>
          <w:color w:val="auto"/>
          <w:kern w:val="2"/>
          <w:sz w:val="24"/>
          <w:szCs w:val="32"/>
          <w:highlight w:val="none"/>
          <w:lang w:val="en-US" w:eastAsia="zh-CN" w:bidi="ar-SA"/>
        </w:rPr>
        <w:t>（四）投标</w:t>
      </w:r>
      <w:bookmarkEnd w:id="218"/>
      <w:bookmarkEnd w:id="219"/>
      <w:bookmarkEnd w:id="220"/>
      <w:bookmarkEnd w:id="221"/>
      <w:bookmarkEnd w:id="222"/>
      <w:bookmarkEnd w:id="223"/>
    </w:p>
    <w:p w14:paraId="386CC8E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24" w:name="_Toc18595"/>
      <w:bookmarkStart w:id="225" w:name="_Toc28270"/>
      <w:bookmarkStart w:id="226" w:name="_Toc22324"/>
      <w:bookmarkStart w:id="227" w:name="_Toc4876"/>
      <w:bookmarkStart w:id="228" w:name="_Toc163492843"/>
      <w:r>
        <w:rPr>
          <w:rFonts w:hint="eastAsia" w:ascii="宋体" w:hAnsi="宋体" w:eastAsia="宋体" w:cs="宋体"/>
          <w:b/>
          <w:bCs/>
          <w:color w:val="auto"/>
          <w:kern w:val="2"/>
          <w:sz w:val="24"/>
          <w:szCs w:val="28"/>
          <w:highlight w:val="none"/>
          <w:lang w:val="en-US" w:eastAsia="zh-CN" w:bidi="ar-SA"/>
        </w:rPr>
        <w:t>17.投标保证金</w:t>
      </w:r>
      <w:bookmarkEnd w:id="224"/>
      <w:bookmarkEnd w:id="225"/>
      <w:bookmarkEnd w:id="226"/>
      <w:bookmarkEnd w:id="227"/>
    </w:p>
    <w:p w14:paraId="1182B9BB">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17.1投标人应按照招标文件“第二章 投标人须知前附表”规定的金额及要求提交投标保证金。投标人自愿超额缴纳投标保证金的，投标文件不做无效处理。</w:t>
      </w:r>
    </w:p>
    <w:p w14:paraId="370C7C1E">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eastAsia="宋体" w:cstheme="minorBidi"/>
          <w:iCs/>
          <w:color w:val="auto"/>
          <w:kern w:val="2"/>
          <w:sz w:val="24"/>
          <w:szCs w:val="22"/>
          <w:highlight w:val="none"/>
          <w:shd w:val="clear" w:color="auto" w:fill="FFFFFF" w:themeFill="background1"/>
          <w:lang w:val="en-US" w:eastAsia="zh-CN" w:bidi="ar-SA"/>
        </w:rPr>
        <w:t>7</w:t>
      </w:r>
      <w:r>
        <w:rPr>
          <w:rFonts w:hint="eastAsia" w:ascii="宋体" w:hAnsi="宋体" w:eastAsia="宋体" w:cstheme="minorBidi"/>
          <w:iCs/>
          <w:color w:val="auto"/>
          <w:kern w:val="2"/>
          <w:sz w:val="24"/>
          <w:szCs w:val="22"/>
          <w:highlight w:val="none"/>
          <w:shd w:val="clear" w:color="auto" w:fill="FFFFFF" w:themeFill="background1"/>
          <w:lang w:val="en-US" w:eastAsia="zh-CN" w:bidi="ar-SA"/>
        </w:rPr>
        <w:t>.2</w:t>
      </w:r>
      <w:r>
        <w:rPr>
          <w:rFonts w:hint="eastAsia" w:eastAsia="宋体" w:cstheme="minorBidi"/>
          <w:iCs/>
          <w:color w:val="auto"/>
          <w:kern w:val="2"/>
          <w:sz w:val="24"/>
          <w:szCs w:val="22"/>
          <w:highlight w:val="none"/>
          <w:shd w:val="clear" w:color="auto" w:fill="FFFFFF" w:themeFill="background1"/>
          <w:lang w:val="en-US" w:eastAsia="zh-CN" w:bidi="ar-SA"/>
        </w:rPr>
        <w:t>提交</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投标保证金可采用的形式：政府采购法律法规接受的支票、汇票、本票、网上银行支付或者金融机构、担保机构出具的保函等非现金形式。</w:t>
      </w:r>
      <w:r>
        <w:rPr>
          <w:rFonts w:hint="eastAsia" w:ascii="宋体" w:hAnsi="宋体" w:eastAsia="宋体" w:cs="宋体"/>
          <w:color w:val="auto"/>
          <w:kern w:val="2"/>
          <w:sz w:val="24"/>
          <w:szCs w:val="22"/>
          <w:highlight w:val="none"/>
          <w:lang w:val="en-US" w:eastAsia="zh-CN" w:bidi="ar-SA"/>
        </w:rPr>
        <w:t>投标人未按照招标文件要求提交投标保证金的，</w:t>
      </w:r>
      <w:r>
        <w:rPr>
          <w:rFonts w:hint="eastAsia" w:eastAsia="宋体" w:cs="宋体"/>
          <w:color w:val="auto"/>
          <w:kern w:val="2"/>
          <w:sz w:val="24"/>
          <w:szCs w:val="22"/>
          <w:highlight w:val="none"/>
          <w:lang w:val="en-US" w:eastAsia="zh-CN" w:bidi="ar-SA"/>
        </w:rPr>
        <w:t>其</w:t>
      </w:r>
      <w:r>
        <w:rPr>
          <w:rFonts w:hint="eastAsia" w:ascii="宋体" w:hAnsi="宋体" w:eastAsia="宋体" w:cs="宋体"/>
          <w:b/>
          <w:bCs/>
          <w:color w:val="auto"/>
          <w:kern w:val="2"/>
          <w:sz w:val="24"/>
          <w:szCs w:val="22"/>
          <w:highlight w:val="none"/>
          <w:lang w:val="en-US" w:eastAsia="zh-CN" w:bidi="ar-SA"/>
        </w:rPr>
        <w:t>投标无效</w:t>
      </w:r>
      <w:r>
        <w:rPr>
          <w:rFonts w:hint="eastAsia" w:ascii="宋体" w:hAnsi="宋体" w:eastAsia="宋体" w:cs="宋体"/>
          <w:color w:val="auto"/>
          <w:kern w:val="2"/>
          <w:sz w:val="24"/>
          <w:szCs w:val="22"/>
          <w:highlight w:val="none"/>
          <w:lang w:val="en-US" w:eastAsia="zh-CN" w:bidi="ar-SA"/>
        </w:rPr>
        <w:t>。</w:t>
      </w:r>
      <w:r>
        <w:rPr>
          <w:rFonts w:hint="eastAsia" w:eastAsia="宋体"/>
          <w:color w:val="auto"/>
          <w:sz w:val="24"/>
          <w:highlight w:val="none"/>
          <w:lang w:val="en-US" w:eastAsia="zh-CN"/>
        </w:rPr>
        <w:t>投标保证金有效期同投标有效期。</w:t>
      </w:r>
    </w:p>
    <w:p w14:paraId="54BD0912">
      <w:pPr>
        <w:pStyle w:val="10"/>
        <w:keepNext w:val="0"/>
        <w:keepLines w:val="0"/>
        <w:pageBreakBefore w:val="0"/>
        <w:widowControl w:val="0"/>
        <w:kinsoku/>
        <w:overflowPunct/>
        <w:topLinePunct w:val="0"/>
        <w:autoSpaceDE/>
        <w:autoSpaceDN/>
        <w:bidi w:val="0"/>
        <w:adjustRightInd/>
        <w:textAlignment w:val="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17.3投标保证金到账（保函提交）截止时间同投标截止时间。以支票、汇票、本票、网上银行支付等形式提交投标保证金的，应在投标截止时间前到账；以金融机构、担保机构出具的保函等形式提交投标保证金的，应在投标截止时间前将投标保证金支付原件扫描后作为投标文件的组成部分与投标文件一起上传。由于到账时间晚于投标截止时间，或者票据错误、印鉴不清等原因导致不能到账的，其</w:t>
      </w:r>
      <w:r>
        <w:rPr>
          <w:rFonts w:hint="eastAsia" w:ascii="宋体" w:hAnsi="宋体" w:eastAsia="宋体" w:cs="宋体"/>
          <w:b/>
          <w:bCs/>
          <w:color w:val="auto"/>
          <w:kern w:val="2"/>
          <w:sz w:val="24"/>
          <w:szCs w:val="22"/>
          <w:highlight w:val="none"/>
          <w:lang w:val="en-US" w:eastAsia="zh-CN"/>
        </w:rPr>
        <w:t>投标无效</w:t>
      </w:r>
      <w:r>
        <w:rPr>
          <w:rFonts w:hint="eastAsia" w:ascii="宋体" w:hAnsi="宋体" w:eastAsia="宋体" w:cs="宋体"/>
          <w:color w:val="auto"/>
          <w:kern w:val="2"/>
          <w:sz w:val="24"/>
          <w:szCs w:val="22"/>
          <w:highlight w:val="none"/>
          <w:lang w:val="en-US" w:eastAsia="zh-CN"/>
        </w:rPr>
        <w:t>。</w:t>
      </w:r>
    </w:p>
    <w:p w14:paraId="3BAA958D">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4</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投标人为联合体的，可以由联合体中的一方或者多方共同</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提交</w:t>
      </w:r>
      <w:r>
        <w:rPr>
          <w:rFonts w:hint="default" w:ascii="宋体" w:hAnsi="宋体" w:eastAsia="宋体" w:cstheme="minorBidi"/>
          <w:iCs/>
          <w:color w:val="auto"/>
          <w:kern w:val="2"/>
          <w:sz w:val="24"/>
          <w:szCs w:val="22"/>
          <w:highlight w:val="none"/>
          <w:shd w:val="clear" w:color="auto" w:fill="FFFFFF" w:themeFill="background1"/>
          <w:lang w:val="en-US" w:eastAsia="zh-CN" w:bidi="ar-SA"/>
        </w:rPr>
        <w:t>投标保证金，其</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提交</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的投标保证金对联合体各方均具有约束力。</w:t>
      </w:r>
    </w:p>
    <w:p w14:paraId="27BA1101">
      <w:pPr>
        <w:pStyle w:val="53"/>
        <w:keepNext w:val="0"/>
        <w:keepLines w:val="0"/>
        <w:pageBreakBefore w:val="0"/>
        <w:widowControl w:val="0"/>
        <w:shd w:val="clear" w:color="auto" w:fill="auto"/>
        <w:kinsoku/>
        <w:wordWrap/>
        <w:overflowPunct/>
        <w:topLinePunct w:val="0"/>
        <w:autoSpaceDE/>
        <w:autoSpaceDN/>
        <w:bidi w:val="0"/>
        <w:adjustRightInd/>
        <w:spacing w:line="360" w:lineRule="auto"/>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17.5</w:t>
      </w:r>
      <w:r>
        <w:rPr>
          <w:rFonts w:hint="default" w:ascii="宋体" w:hAnsi="宋体" w:eastAsia="宋体" w:cstheme="minorBidi"/>
          <w:iCs/>
          <w:color w:val="auto"/>
          <w:kern w:val="2"/>
          <w:sz w:val="24"/>
          <w:szCs w:val="22"/>
          <w:highlight w:val="none"/>
          <w:shd w:val="clear" w:color="auto" w:fill="FFFFFF" w:themeFill="background1"/>
          <w:lang w:val="en-US" w:eastAsia="zh-CN" w:bidi="ar-SA"/>
        </w:rPr>
        <w:t>采购人或者采购代理机构应当在采购活动结束后及时退还</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保证金，采用银行保函、担保机构担保函等形式递交的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保证金，经</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同意后采购人、采购代理机构可以不再退还，但因</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自身原因导致无法及时退还的除外。未</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中标投标人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保证金应当自中标通知书发出之日起 5 个工作日内退还，</w:t>
      </w:r>
      <w:r>
        <w:rPr>
          <w:rFonts w:hint="eastAsia" w:ascii="宋体" w:hAnsi="宋体" w:eastAsia="宋体" w:cstheme="minorBidi"/>
          <w:iCs/>
          <w:color w:val="auto"/>
          <w:kern w:val="2"/>
          <w:sz w:val="24"/>
          <w:szCs w:val="22"/>
          <w:highlight w:val="none"/>
          <w:shd w:val="clear" w:color="auto" w:fill="FFFFFF" w:themeFill="background1"/>
          <w:lang w:val="en-US" w:eastAsia="zh-CN" w:bidi="ar-SA"/>
        </w:rPr>
        <w:t>中标投标人</w:t>
      </w:r>
      <w:r>
        <w:rPr>
          <w:rFonts w:hint="default" w:ascii="宋体" w:hAnsi="宋体" w:eastAsia="宋体" w:cstheme="minorBidi"/>
          <w:iCs/>
          <w:color w:val="auto"/>
          <w:kern w:val="2"/>
          <w:sz w:val="24"/>
          <w:szCs w:val="22"/>
          <w:highlight w:val="none"/>
          <w:shd w:val="clear" w:color="auto" w:fill="FFFFFF" w:themeFill="background1"/>
          <w:lang w:val="en-US" w:eastAsia="zh-CN" w:bidi="ar-SA"/>
        </w:rPr>
        <w:t>的</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投标</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保证金应当自采购合同签订之日起 5 个工作日内退还。 </w:t>
      </w:r>
    </w:p>
    <w:p w14:paraId="6CFB121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6</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投标人在投标截止时间前撤回已</w:t>
      </w:r>
      <w:r>
        <w:rPr>
          <w:rFonts w:hint="eastAsia" w:ascii="宋体" w:hAnsi="宋体" w:eastAsia="宋体" w:cstheme="minorBidi"/>
          <w:iCs/>
          <w:color w:val="auto"/>
          <w:kern w:val="2"/>
          <w:sz w:val="24"/>
          <w:szCs w:val="22"/>
          <w:highlight w:val="none"/>
          <w:shd w:val="clear" w:color="auto" w:fill="FFFFFF" w:themeFill="background1"/>
          <w:lang w:val="en-US" w:eastAsia="zh-CN" w:bidi="ar-SA"/>
        </w:rPr>
        <w:t>提</w:t>
      </w:r>
      <w:r>
        <w:rPr>
          <w:rFonts w:hint="default" w:ascii="宋体" w:hAnsi="宋体" w:eastAsia="宋体" w:cstheme="minorBidi"/>
          <w:iCs/>
          <w:color w:val="auto"/>
          <w:kern w:val="2"/>
          <w:sz w:val="24"/>
          <w:szCs w:val="22"/>
          <w:highlight w:val="none"/>
          <w:shd w:val="clear" w:color="auto" w:fill="FFFFFF" w:themeFill="background1"/>
          <w:lang w:val="en-US" w:eastAsia="zh-CN" w:bidi="ar-SA"/>
        </w:rPr>
        <w:t>交的投标文件的，自收到投标人书面撤回通知之日起 5 个工作日内，退还已收取的投标保证金，但因投标人自身原因导致无法及时退还的除外</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28156F6E">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终止招标项目已经收取投标保证金的，自终止采购活动后 5 个工作日内退还已收取的投标保证金及其在银行产生的孳息。</w:t>
      </w:r>
    </w:p>
    <w:p w14:paraId="0B6A028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有下列情形之一的，采购人或采购代理机构可以不予退还投标保证金</w:t>
      </w:r>
      <w:r>
        <w:rPr>
          <w:rFonts w:hint="eastAsia"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宋体"/>
          <w:color w:val="auto"/>
          <w:kern w:val="2"/>
          <w:sz w:val="24"/>
          <w:szCs w:val="22"/>
          <w:highlight w:val="none"/>
        </w:rPr>
        <w:t>情节严重的将其列入不良记录名单</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02F7ADEB">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.1 </w:t>
      </w:r>
      <w:r>
        <w:rPr>
          <w:rFonts w:hint="eastAsia" w:ascii="宋体" w:hAnsi="宋体" w:eastAsia="宋体" w:cs="宋体"/>
          <w:color w:val="auto"/>
          <w:kern w:val="2"/>
          <w:sz w:val="24"/>
          <w:szCs w:val="22"/>
          <w:highlight w:val="none"/>
        </w:rPr>
        <w:t>开标后在投标有效期内，投标人撤</w:t>
      </w:r>
      <w:r>
        <w:rPr>
          <w:rFonts w:hint="eastAsia" w:ascii="宋体" w:hAnsi="宋体" w:eastAsia="宋体" w:cs="宋体"/>
          <w:color w:val="auto"/>
          <w:kern w:val="2"/>
          <w:sz w:val="24"/>
          <w:szCs w:val="22"/>
          <w:highlight w:val="none"/>
          <w:lang w:val="en-US" w:eastAsia="zh-CN"/>
        </w:rPr>
        <w:t>销</w:t>
      </w:r>
      <w:r>
        <w:rPr>
          <w:rFonts w:hint="eastAsia" w:ascii="宋体" w:hAnsi="宋体" w:eastAsia="宋体" w:cs="宋体"/>
          <w:color w:val="auto"/>
          <w:kern w:val="2"/>
          <w:sz w:val="24"/>
          <w:szCs w:val="22"/>
          <w:highlight w:val="none"/>
        </w:rPr>
        <w:t>其投标</w:t>
      </w:r>
      <w:r>
        <w:rPr>
          <w:rFonts w:hint="eastAsia" w:ascii="宋体" w:hAnsi="宋体" w:eastAsia="宋体" w:cs="宋体"/>
          <w:color w:val="auto"/>
          <w:kern w:val="2"/>
          <w:sz w:val="24"/>
          <w:szCs w:val="22"/>
          <w:highlight w:val="none"/>
          <w:lang w:val="en-US" w:eastAsia="zh-CN"/>
        </w:rPr>
        <w:t>的</w:t>
      </w:r>
      <w:r>
        <w:rPr>
          <w:rFonts w:hint="eastAsia" w:ascii="宋体" w:hAnsi="宋体" w:eastAsia="宋体" w:cs="宋体"/>
          <w:color w:val="auto"/>
          <w:kern w:val="2"/>
          <w:sz w:val="24"/>
          <w:szCs w:val="22"/>
          <w:highlight w:val="none"/>
        </w:rPr>
        <w:t>；</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36FC9D74">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default" w:ascii="宋体" w:hAnsi="宋体" w:eastAsia="宋体" w:cstheme="minorBidi"/>
          <w:iCs/>
          <w:color w:val="auto"/>
          <w:kern w:val="2"/>
          <w:sz w:val="24"/>
          <w:szCs w:val="22"/>
          <w:highlight w:val="none"/>
          <w:shd w:val="clear" w:color="auto" w:fill="FFFFFF" w:themeFill="background1"/>
          <w:lang w:val="en-US" w:eastAsia="zh-CN" w:bidi="ar-SA"/>
        </w:rPr>
      </w:pPr>
      <w:r>
        <w:rPr>
          <w:rFonts w:hint="default" w:ascii="宋体" w:hAnsi="宋体" w:eastAsia="宋体" w:cstheme="minorBidi"/>
          <w:iCs/>
          <w:color w:val="auto"/>
          <w:kern w:val="2"/>
          <w:sz w:val="24"/>
          <w:szCs w:val="22"/>
          <w:highlight w:val="none"/>
          <w:shd w:val="clear" w:color="auto" w:fill="FFFFFF" w:themeFill="background1"/>
          <w:lang w:val="en-US" w:eastAsia="zh-CN" w:bidi="ar-SA"/>
        </w:rPr>
        <w:t>1</w:t>
      </w:r>
      <w:r>
        <w:rPr>
          <w:rFonts w:hint="eastAsia" w:ascii="宋体" w:hAnsi="宋体" w:eastAsia="宋体" w:cstheme="minorBidi"/>
          <w:iCs/>
          <w:color w:val="auto"/>
          <w:kern w:val="2"/>
          <w:sz w:val="24"/>
          <w:szCs w:val="22"/>
          <w:highlight w:val="none"/>
          <w:shd w:val="clear" w:color="auto" w:fill="FFFFFF" w:themeFill="background1"/>
          <w:lang w:val="en-US" w:eastAsia="zh-CN" w:bidi="ar-SA"/>
        </w:rPr>
        <w:t>7</w:t>
      </w:r>
      <w:r>
        <w:rPr>
          <w:rFonts w:hint="default" w:ascii="宋体" w:hAnsi="宋体" w:eastAsia="宋体" w:cstheme="minorBidi"/>
          <w:iCs/>
          <w:color w:val="auto"/>
          <w:kern w:val="2"/>
          <w:sz w:val="24"/>
          <w:szCs w:val="22"/>
          <w:highlight w:val="none"/>
          <w:shd w:val="clear" w:color="auto" w:fill="FFFFFF" w:themeFill="background1"/>
          <w:lang w:val="en-US" w:eastAsia="zh-CN" w:bidi="ar-SA"/>
        </w:rPr>
        <w:t>.</w:t>
      </w:r>
      <w:r>
        <w:rPr>
          <w:rFonts w:hint="eastAsia" w:ascii="宋体" w:hAnsi="宋体" w:eastAsia="宋体" w:cstheme="minorBidi"/>
          <w:iCs/>
          <w:color w:val="auto"/>
          <w:kern w:val="2"/>
          <w:sz w:val="24"/>
          <w:szCs w:val="22"/>
          <w:highlight w:val="none"/>
          <w:shd w:val="clear" w:color="auto" w:fill="FFFFFF" w:themeFill="background1"/>
          <w:lang w:val="en-US" w:eastAsia="zh-CN" w:bidi="ar-SA"/>
        </w:rPr>
        <w:t>8</w:t>
      </w:r>
      <w:r>
        <w:rPr>
          <w:rFonts w:hint="default" w:ascii="宋体" w:hAnsi="宋体" w:eastAsia="宋体" w:cstheme="minorBidi"/>
          <w:iCs/>
          <w:color w:val="auto"/>
          <w:kern w:val="2"/>
          <w:sz w:val="24"/>
          <w:szCs w:val="22"/>
          <w:highlight w:val="none"/>
          <w:shd w:val="clear" w:color="auto" w:fill="FFFFFF" w:themeFill="background1"/>
          <w:lang w:val="en-US" w:eastAsia="zh-CN" w:bidi="ar-SA"/>
        </w:rPr>
        <w:t xml:space="preserve">.2 </w:t>
      </w:r>
      <w:r>
        <w:rPr>
          <w:rFonts w:hint="eastAsia" w:ascii="宋体" w:hAnsi="宋体" w:eastAsia="宋体" w:cs="宋体"/>
          <w:color w:val="auto"/>
          <w:kern w:val="2"/>
          <w:sz w:val="24"/>
          <w:szCs w:val="22"/>
          <w:highlight w:val="none"/>
        </w:rPr>
        <w:t>中标后无正当理由不与采购人签订合同的；</w:t>
      </w:r>
    </w:p>
    <w:p w14:paraId="3694295C">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17.8.3 </w:t>
      </w:r>
      <w:r>
        <w:rPr>
          <w:rFonts w:hint="eastAsia" w:ascii="宋体" w:hAnsi="宋体" w:eastAsia="宋体" w:cs="宋体"/>
          <w:color w:val="auto"/>
          <w:kern w:val="2"/>
          <w:sz w:val="24"/>
          <w:szCs w:val="22"/>
          <w:highlight w:val="none"/>
        </w:rPr>
        <w:t>中标人与采购人订立背离合同实质性内容的其他协议；</w:t>
      </w:r>
    </w:p>
    <w:p w14:paraId="54583F23">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4</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将中标项目转让给他人，或者在投标文件中未说明，且未经采购</w:t>
      </w:r>
      <w:r>
        <w:rPr>
          <w:rFonts w:hint="eastAsia" w:ascii="宋体" w:hAnsi="宋体" w:eastAsia="宋体" w:cs="宋体"/>
          <w:color w:val="auto"/>
          <w:kern w:val="2"/>
          <w:sz w:val="24"/>
          <w:szCs w:val="22"/>
          <w:highlight w:val="none"/>
          <w:lang w:val="en-US" w:eastAsia="zh-CN"/>
        </w:rPr>
        <w:t>人</w:t>
      </w:r>
      <w:r>
        <w:rPr>
          <w:rFonts w:hint="eastAsia" w:ascii="宋体" w:hAnsi="宋体" w:eastAsia="宋体" w:cs="宋体"/>
          <w:color w:val="auto"/>
          <w:kern w:val="2"/>
          <w:sz w:val="24"/>
          <w:szCs w:val="22"/>
          <w:highlight w:val="none"/>
        </w:rPr>
        <w:t>同意，将中标项目分包给他人的；</w:t>
      </w:r>
    </w:p>
    <w:p w14:paraId="433DB211">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5</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存在串通投标行为的；</w:t>
      </w:r>
    </w:p>
    <w:p w14:paraId="0A3E2CC4">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6</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存在弄虚作假或提供虚假材料谋取中标的；</w:t>
      </w:r>
    </w:p>
    <w:p w14:paraId="3CBF915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17.8.</w:t>
      </w:r>
      <w:r>
        <w:rPr>
          <w:rFonts w:hint="eastAsia" w:ascii="宋体" w:hAnsi="宋体" w:eastAsia="宋体" w:cs="宋体"/>
          <w:color w:val="auto"/>
          <w:kern w:val="2"/>
          <w:sz w:val="24"/>
          <w:szCs w:val="22"/>
          <w:highlight w:val="none"/>
        </w:rPr>
        <w:t>7</w:t>
      </w:r>
      <w:r>
        <w:rPr>
          <w:rFonts w:hint="eastAsia" w:ascii="宋体" w:hAnsi="宋体" w:eastAsia="宋体" w:cs="宋体"/>
          <w:color w:val="auto"/>
          <w:kern w:val="2"/>
          <w:sz w:val="24"/>
          <w:szCs w:val="22"/>
          <w:highlight w:val="none"/>
          <w:lang w:val="en-US" w:eastAsia="zh-CN"/>
        </w:rPr>
        <w:t xml:space="preserve"> </w:t>
      </w:r>
      <w:r>
        <w:rPr>
          <w:rFonts w:hint="eastAsia" w:ascii="宋体" w:hAnsi="宋体" w:eastAsia="宋体" w:cs="宋体"/>
          <w:color w:val="auto"/>
          <w:kern w:val="2"/>
          <w:sz w:val="24"/>
          <w:szCs w:val="22"/>
          <w:highlight w:val="none"/>
        </w:rPr>
        <w:t>投标人其他未按招标文件规定和合同约定履行义务的行为。</w:t>
      </w:r>
    </w:p>
    <w:p w14:paraId="330E240F">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17.9如开标时投标人对本单位投标保证金缴纳情况有疑义，投标人应在开标结束前向采购人提交书面申请核实保证金缴纳情况。由银行或保险公司核实后出具书面材料予以答复。</w:t>
      </w:r>
    </w:p>
    <w:p w14:paraId="7018BCE4">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17.10为支持和促进中小企业发展，进一步发挥政府采购政策功能，鼓励投标供应商使用电子保函代替现金缴纳投标保证金，在线完成保函的申请、审核、开票、出函等环节，投标企业注意区分办理保函类型，并确认投标有效期，如采用政采云电子保函，可登录“新疆政府采购网”—顶部通栏“信用融资”或者“新疆政府采购网”首页“政采贷｜电子保函”快捷模块查看：</w:t>
      </w:r>
    </w:p>
    <w:p w14:paraId="1F3A8C5E">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直达链接（电子保函）：</w:t>
      </w:r>
    </w:p>
    <w:p w14:paraId="15E30E92">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https://jinrong.zcygov.cn/luban/finance/xinjiang?utm=site.site-PC-4838.1473-pc-wsg-customFloatWindow-front.1.b9d627301e6311efb796b33a13fe0d0a</w:t>
      </w:r>
    </w:p>
    <w:p w14:paraId="071DFFA7">
      <w:pPr>
        <w:pStyle w:val="53"/>
        <w:keepNext w:val="0"/>
        <w:keepLines w:val="0"/>
        <w:pageBreakBefore w:val="0"/>
        <w:widowControl w:val="0"/>
        <w:shd w:val="clear" w:color="auto" w:fill="auto"/>
        <w:kinsoku/>
        <w:wordWrap/>
        <w:overflowPunct/>
        <w:topLinePunct w:val="0"/>
        <w:autoSpaceDE/>
        <w:autoSpaceDN/>
        <w:bidi w:val="0"/>
        <w:adjustRightInd/>
        <w:spacing w:line="360" w:lineRule="auto"/>
        <w:ind w:firstLine="480" w:firstLineChars="200"/>
        <w:textAlignment w:val="auto"/>
        <w:rPr>
          <w:rFonts w:hint="eastAsia" w:ascii="宋体" w:hAnsi="宋体" w:eastAsia="宋体" w:cstheme="minorBidi"/>
          <w:iCs/>
          <w:color w:val="auto"/>
          <w:kern w:val="2"/>
          <w:sz w:val="24"/>
          <w:szCs w:val="22"/>
          <w:highlight w:val="none"/>
          <w:shd w:val="clear" w:color="auto" w:fill="FFFFFF" w:themeFill="background1"/>
          <w:lang w:val="en-US" w:eastAsia="zh-CN" w:bidi="ar-SA"/>
        </w:rPr>
      </w:pPr>
      <w:r>
        <w:rPr>
          <w:rFonts w:hint="eastAsia" w:ascii="宋体" w:hAnsi="宋体" w:eastAsia="宋体" w:cstheme="minorBidi"/>
          <w:iCs/>
          <w:color w:val="auto"/>
          <w:kern w:val="2"/>
          <w:sz w:val="24"/>
          <w:szCs w:val="22"/>
          <w:highlight w:val="none"/>
          <w:shd w:val="clear" w:color="auto" w:fill="FFFFFF" w:themeFill="background1"/>
          <w:lang w:val="en-US" w:eastAsia="zh-CN" w:bidi="ar-SA"/>
        </w:rPr>
        <w:t>金融服务支撑热线：</w:t>
      </w:r>
      <w:r>
        <w:rPr>
          <w:rFonts w:hint="eastAsia" w:ascii="宋体" w:hAnsi="宋体" w:eastAsia="宋体" w:cstheme="minorBidi"/>
          <w:b/>
          <w:bCs/>
          <w:iCs/>
          <w:color w:val="auto"/>
          <w:kern w:val="2"/>
          <w:sz w:val="24"/>
          <w:szCs w:val="22"/>
          <w:highlight w:val="none"/>
          <w:shd w:val="clear" w:color="auto" w:fill="FFFFFF" w:themeFill="background1"/>
          <w:lang w:val="en-US" w:eastAsia="zh-CN" w:bidi="ar-SA"/>
        </w:rPr>
        <w:t>0991-2661159</w:t>
      </w:r>
      <w:r>
        <w:rPr>
          <w:rFonts w:hint="eastAsia" w:ascii="宋体" w:hAnsi="宋体" w:eastAsia="宋体" w:cstheme="minorBidi"/>
          <w:iCs/>
          <w:color w:val="auto"/>
          <w:kern w:val="2"/>
          <w:sz w:val="24"/>
          <w:szCs w:val="22"/>
          <w:highlight w:val="none"/>
          <w:shd w:val="clear" w:color="auto" w:fill="FFFFFF" w:themeFill="background1"/>
          <w:lang w:val="en-US" w:eastAsia="zh-CN" w:bidi="ar-SA"/>
        </w:rPr>
        <w:t xml:space="preserve">     </w:t>
      </w:r>
    </w:p>
    <w:p w14:paraId="3586E85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29" w:name="_Toc26606"/>
      <w:bookmarkStart w:id="230" w:name="_Toc8188"/>
      <w:bookmarkStart w:id="231" w:name="_Toc28464"/>
      <w:bookmarkStart w:id="232" w:name="_Toc16247"/>
      <w:r>
        <w:rPr>
          <w:rFonts w:hint="eastAsia" w:ascii="宋体" w:hAnsi="宋体" w:eastAsia="宋体" w:cs="宋体"/>
          <w:b/>
          <w:bCs/>
          <w:color w:val="auto"/>
          <w:kern w:val="2"/>
          <w:sz w:val="24"/>
          <w:szCs w:val="28"/>
          <w:highlight w:val="none"/>
          <w:lang w:val="en-US" w:eastAsia="zh-CN" w:bidi="ar-SA"/>
        </w:rPr>
        <w:t>18.投标文件的加密</w:t>
      </w:r>
      <w:bookmarkEnd w:id="228"/>
      <w:bookmarkEnd w:id="229"/>
      <w:bookmarkEnd w:id="230"/>
      <w:bookmarkEnd w:id="231"/>
      <w:bookmarkEnd w:id="232"/>
    </w:p>
    <w:p w14:paraId="7CFFC076">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u w:val="single"/>
        </w:rPr>
      </w:pPr>
      <w:bookmarkStart w:id="233" w:name="_Hlk143531864"/>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.1投标人在供应商客户端中生成投标文件并完成签章之后，使用CA证书在供应商客户端中对投标文件进行加密。</w:t>
      </w:r>
    </w:p>
    <w:p w14:paraId="20075D69">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.2投标人应在供应商客户端中对加密的投标文件进行解密验证，以防止投标文件加密异常，在开标时无法解密。</w:t>
      </w:r>
    </w:p>
    <w:p w14:paraId="60E84957">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.3 投标人应保证加密投标文件的CA证书有效期在开标时间之前。若CA证书有效期临近开标时间，建议投标人提前办理CA证书续期，以免开标时无法进行解密。</w:t>
      </w:r>
    </w:p>
    <w:p w14:paraId="4D80B003">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lang w:eastAsia="zh-CN"/>
        </w:rPr>
        <w:t>投标人</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w:t>
      </w:r>
      <w:r>
        <w:rPr>
          <w:rFonts w:hint="eastAsia" w:eastAsia="宋体" w:cs="仿宋_GB2312"/>
          <w:color w:val="auto"/>
          <w:sz w:val="24"/>
          <w:szCs w:val="24"/>
          <w:highlight w:val="none"/>
          <w:lang w:val="en-US" w:eastAsia="zh-CN"/>
        </w:rPr>
        <w:t>止</w:t>
      </w:r>
      <w:r>
        <w:rPr>
          <w:rFonts w:hint="eastAsia" w:eastAsia="宋体" w:cs="仿宋_GB2312"/>
          <w:color w:val="auto"/>
          <w:sz w:val="24"/>
          <w:szCs w:val="24"/>
          <w:highlight w:val="none"/>
        </w:rPr>
        <w:t>时间前通过</w:t>
      </w:r>
      <w:r>
        <w:rPr>
          <w:rFonts w:hint="eastAsia" w:cs="仿宋_GB2312"/>
          <w:color w:val="auto"/>
          <w:sz w:val="24"/>
          <w:szCs w:val="24"/>
          <w:highlight w:val="none"/>
          <w:lang w:val="en-US" w:eastAsia="zh-CN"/>
        </w:rPr>
        <w:t>新疆政府采购网</w:t>
      </w:r>
      <w:r>
        <w:rPr>
          <w:rFonts w:hint="eastAsia" w:eastAsia="宋体" w:cs="仿宋_GB2312"/>
          <w:color w:val="auto"/>
          <w:sz w:val="24"/>
          <w:szCs w:val="24"/>
          <w:highlight w:val="none"/>
        </w:rPr>
        <w:t>（http://ccgp-bingtuan.gov.cn/）的”政采云登录入口”登录后，将加密电子</w:t>
      </w:r>
      <w:r>
        <w:rPr>
          <w:rFonts w:hint="eastAsia" w:eastAsia="宋体" w:cs="仿宋_GB2312"/>
          <w:color w:val="auto"/>
          <w:sz w:val="24"/>
          <w:szCs w:val="24"/>
          <w:highlight w:val="none"/>
          <w:lang w:eastAsia="zh-CN"/>
        </w:rPr>
        <w:t>投标文件</w:t>
      </w:r>
      <w:r>
        <w:rPr>
          <w:rFonts w:hint="eastAsia" w:ascii="宋体" w:hAnsi="宋体" w:eastAsia="宋体" w:cs="仿宋_GB2312"/>
          <w:color w:val="auto"/>
          <w:sz w:val="24"/>
          <w:szCs w:val="24"/>
          <w:highlight w:val="none"/>
        </w:rPr>
        <w:t>（为.jmbs后缀格式）</w:t>
      </w:r>
      <w:r>
        <w:rPr>
          <w:rFonts w:hint="eastAsia" w:eastAsia="宋体" w:cs="仿宋_GB2312"/>
          <w:color w:val="auto"/>
          <w:sz w:val="24"/>
          <w:szCs w:val="24"/>
          <w:highlight w:val="none"/>
        </w:rPr>
        <w:t>上传到对应项目的指定位置</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投标人认为有必要提交的其他资料请于投标截止时间前一并提交。</w:t>
      </w:r>
    </w:p>
    <w:p w14:paraId="7FD09881">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如果投标人未按上述要求</w:t>
      </w:r>
      <w:r>
        <w:rPr>
          <w:rFonts w:hint="eastAsia" w:eastAsia="宋体" w:cs="仿宋_GB2312"/>
          <w:color w:val="auto"/>
          <w:sz w:val="24"/>
          <w:szCs w:val="24"/>
          <w:highlight w:val="none"/>
          <w:lang w:val="en-US" w:eastAsia="zh-CN"/>
        </w:rPr>
        <w:t>加密并上传</w:t>
      </w:r>
      <w:r>
        <w:rPr>
          <w:rFonts w:hint="eastAsia" w:eastAsia="宋体" w:cs="仿宋_GB2312"/>
          <w:color w:val="auto"/>
          <w:sz w:val="24"/>
          <w:szCs w:val="24"/>
          <w:highlight w:val="none"/>
        </w:rPr>
        <w:t>，采购代理机构对投标文件的误投</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lang w:val="en-US" w:eastAsia="zh-CN"/>
        </w:rPr>
        <w:t>无法解密、传输错误等问题</w:t>
      </w:r>
      <w:r>
        <w:rPr>
          <w:rFonts w:hint="eastAsia" w:eastAsia="宋体" w:cs="仿宋_GB2312"/>
          <w:color w:val="auto"/>
          <w:sz w:val="24"/>
          <w:szCs w:val="24"/>
          <w:highlight w:val="none"/>
        </w:rPr>
        <w:t>概不负责。对由此造成</w:t>
      </w:r>
      <w:r>
        <w:rPr>
          <w:rFonts w:hint="eastAsia" w:eastAsia="宋体" w:cs="仿宋_GB2312"/>
          <w:color w:val="auto"/>
          <w:sz w:val="24"/>
          <w:szCs w:val="24"/>
          <w:highlight w:val="none"/>
          <w:lang w:val="en-US" w:eastAsia="zh-CN"/>
        </w:rPr>
        <w:t>无法正常开启</w:t>
      </w:r>
      <w:r>
        <w:rPr>
          <w:rFonts w:hint="eastAsia" w:eastAsia="宋体" w:cs="仿宋_GB2312"/>
          <w:color w:val="auto"/>
          <w:sz w:val="24"/>
          <w:szCs w:val="24"/>
          <w:highlight w:val="none"/>
        </w:rPr>
        <w:t>的投标文件，采购代理机构有权予以拒绝，并退回投标人。</w:t>
      </w:r>
    </w:p>
    <w:p w14:paraId="23051441">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1</w:t>
      </w:r>
      <w:r>
        <w:rPr>
          <w:rFonts w:hint="eastAsia" w:eastAsia="宋体" w:cs="仿宋_GB2312"/>
          <w:color w:val="auto"/>
          <w:sz w:val="24"/>
          <w:szCs w:val="24"/>
          <w:highlight w:val="none"/>
          <w:lang w:val="en-US" w:eastAsia="zh-CN"/>
        </w:rPr>
        <w:t>8</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6</w:t>
      </w:r>
      <w:r>
        <w:rPr>
          <w:rFonts w:hint="eastAsia" w:eastAsia="宋体" w:cs="仿宋_GB2312"/>
          <w:color w:val="auto"/>
          <w:sz w:val="24"/>
          <w:szCs w:val="24"/>
          <w:highlight w:val="none"/>
        </w:rPr>
        <w:t>本项目采用不见面开标，无需提供电子</w:t>
      </w:r>
      <w:r>
        <w:rPr>
          <w:rFonts w:hint="eastAsia" w:ascii="宋体" w:hAnsi="宋体" w:eastAsia="宋体" w:cs="仿宋_GB2312"/>
          <w:color w:val="auto"/>
          <w:sz w:val="24"/>
          <w:szCs w:val="24"/>
          <w:highlight w:val="none"/>
        </w:rPr>
        <w:t>投标文件U盘</w:t>
      </w:r>
      <w:r>
        <w:rPr>
          <w:rFonts w:hint="eastAsia" w:eastAsia="宋体" w:cs="仿宋_GB2312"/>
          <w:color w:val="auto"/>
          <w:sz w:val="24"/>
          <w:szCs w:val="24"/>
          <w:highlight w:val="none"/>
        </w:rPr>
        <w:t>。</w:t>
      </w:r>
    </w:p>
    <w:bookmarkEnd w:id="233"/>
    <w:p w14:paraId="31ED663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34" w:name="_Toc140132777"/>
      <w:bookmarkStart w:id="235" w:name="_Toc163492844"/>
      <w:bookmarkStart w:id="236" w:name="_Toc16258"/>
      <w:bookmarkStart w:id="237" w:name="_Toc27844"/>
      <w:bookmarkStart w:id="238" w:name="_Toc32423"/>
      <w:bookmarkStart w:id="239" w:name="_Toc29763"/>
      <w:r>
        <w:rPr>
          <w:rFonts w:hint="eastAsia" w:ascii="宋体" w:hAnsi="宋体" w:eastAsia="宋体" w:cs="宋体"/>
          <w:b/>
          <w:bCs/>
          <w:color w:val="auto"/>
          <w:kern w:val="2"/>
          <w:sz w:val="24"/>
          <w:szCs w:val="28"/>
          <w:highlight w:val="none"/>
          <w:lang w:val="en-US" w:eastAsia="zh-CN" w:bidi="ar-SA"/>
        </w:rPr>
        <w:t>19.投标文件的递交</w:t>
      </w:r>
      <w:bookmarkEnd w:id="234"/>
      <w:r>
        <w:rPr>
          <w:rFonts w:hint="eastAsia" w:ascii="宋体" w:hAnsi="宋体" w:eastAsia="宋体" w:cs="宋体"/>
          <w:b/>
          <w:bCs/>
          <w:color w:val="auto"/>
          <w:kern w:val="2"/>
          <w:sz w:val="24"/>
          <w:szCs w:val="28"/>
          <w:highlight w:val="none"/>
          <w:lang w:val="en-US" w:eastAsia="zh-CN" w:bidi="ar-SA"/>
        </w:rPr>
        <w:t>（上传）</w:t>
      </w:r>
      <w:bookmarkEnd w:id="235"/>
      <w:bookmarkEnd w:id="236"/>
      <w:bookmarkEnd w:id="237"/>
      <w:bookmarkEnd w:id="238"/>
      <w:bookmarkEnd w:id="239"/>
    </w:p>
    <w:p w14:paraId="68ADD5DF">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bookmarkStart w:id="240" w:name="_Hlk143531977"/>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.1 投标人应在“</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”规定的投标截止时间前递交（上传）投标文件。</w:t>
      </w:r>
    </w:p>
    <w:p w14:paraId="0686D9A3">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.2 投标人递交（上传）投标文件的地点见“</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w:t>
      </w:r>
    </w:p>
    <w:p w14:paraId="6AE6974A">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lang w:eastAsia="zh-CN"/>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.3投标人应充分评估集中同时投标带来的网络影响，尽量避开投标高峰时间，错峰进行电子投标。投标人递交全部的投标文件后可在政采云平台（项目采购</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投标文件上传）中获取投标文件递交回执单。</w:t>
      </w:r>
    </w:p>
    <w:p w14:paraId="66FB688C">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.4 投标人应在供应商客户端中下载未加密且完成签章的投标文件妥善保存，以便启动应急开标程序时使用。</w:t>
      </w:r>
    </w:p>
    <w:p w14:paraId="4469D505">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lang w:val="en-US" w:eastAsia="zh-CN"/>
        </w:rPr>
        <w:t>19</w:t>
      </w:r>
      <w:r>
        <w:rPr>
          <w:rFonts w:hint="eastAsia" w:eastAsia="宋体" w:cs="仿宋_GB2312"/>
          <w:color w:val="auto"/>
          <w:sz w:val="24"/>
          <w:szCs w:val="24"/>
          <w:highlight w:val="none"/>
        </w:rPr>
        <w:t>.5投标人所递交的投标文件不予退还。</w:t>
      </w:r>
    </w:p>
    <w:bookmarkEnd w:id="240"/>
    <w:p w14:paraId="6AD70963">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41" w:name="_Toc29074"/>
      <w:bookmarkStart w:id="242" w:name="_Toc163492845"/>
      <w:bookmarkStart w:id="243" w:name="_Toc32306"/>
      <w:bookmarkStart w:id="244" w:name="_Toc30939"/>
      <w:bookmarkStart w:id="245" w:name="_Toc4892"/>
      <w:r>
        <w:rPr>
          <w:rFonts w:hint="eastAsia" w:ascii="宋体" w:hAnsi="宋体" w:eastAsia="宋体" w:cs="宋体"/>
          <w:b/>
          <w:bCs/>
          <w:color w:val="auto"/>
          <w:kern w:val="2"/>
          <w:sz w:val="24"/>
          <w:szCs w:val="28"/>
          <w:highlight w:val="none"/>
          <w:lang w:val="en-US" w:eastAsia="zh-CN" w:bidi="ar-SA"/>
        </w:rPr>
        <w:t>20.拒收</w:t>
      </w:r>
      <w:bookmarkEnd w:id="241"/>
      <w:bookmarkEnd w:id="242"/>
      <w:bookmarkEnd w:id="243"/>
      <w:bookmarkEnd w:id="244"/>
      <w:bookmarkEnd w:id="245"/>
    </w:p>
    <w:p w14:paraId="163AD542">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2</w:t>
      </w:r>
      <w:r>
        <w:rPr>
          <w:rFonts w:hint="eastAsia" w:eastAsia="宋体" w:cs="仿宋_GB2312"/>
          <w:color w:val="auto"/>
          <w:sz w:val="24"/>
          <w:szCs w:val="24"/>
          <w:highlight w:val="none"/>
          <w:lang w:val="en-US" w:eastAsia="zh-CN"/>
        </w:rPr>
        <w:t>0</w:t>
      </w:r>
      <w:r>
        <w:rPr>
          <w:rFonts w:hint="eastAsia" w:eastAsia="宋体" w:cs="仿宋_GB2312"/>
          <w:color w:val="auto"/>
          <w:sz w:val="24"/>
          <w:szCs w:val="24"/>
          <w:highlight w:val="none"/>
        </w:rPr>
        <w:t>.1 超过投标文件提交截止时间</w:t>
      </w:r>
      <w:bookmarkStart w:id="246" w:name="_Hlk143532404"/>
      <w:r>
        <w:rPr>
          <w:rFonts w:hint="eastAsia" w:eastAsia="宋体" w:cs="仿宋_GB2312"/>
          <w:color w:val="auto"/>
          <w:sz w:val="24"/>
          <w:szCs w:val="24"/>
          <w:highlight w:val="none"/>
        </w:rPr>
        <w:t>或者不按照本章要求加密的投标文件，交易系统应当拒收</w:t>
      </w:r>
      <w:bookmarkEnd w:id="246"/>
      <w:r>
        <w:rPr>
          <w:rFonts w:hint="eastAsia" w:eastAsia="宋体" w:cs="仿宋_GB2312"/>
          <w:color w:val="auto"/>
          <w:sz w:val="24"/>
          <w:szCs w:val="24"/>
          <w:highlight w:val="none"/>
        </w:rPr>
        <w:t>。</w:t>
      </w:r>
    </w:p>
    <w:p w14:paraId="0356121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47" w:name="_Toc2528"/>
      <w:bookmarkStart w:id="248" w:name="_Toc29200"/>
      <w:bookmarkStart w:id="249" w:name="_Toc26768"/>
      <w:bookmarkStart w:id="250" w:name="_Toc163492846"/>
      <w:bookmarkStart w:id="251" w:name="_Toc4072"/>
      <w:bookmarkStart w:id="252" w:name="_Toc140132778"/>
      <w:r>
        <w:rPr>
          <w:rFonts w:hint="eastAsia" w:ascii="宋体" w:hAnsi="宋体" w:eastAsia="宋体" w:cs="宋体"/>
          <w:b/>
          <w:bCs/>
          <w:color w:val="auto"/>
          <w:kern w:val="2"/>
          <w:sz w:val="24"/>
          <w:szCs w:val="28"/>
          <w:highlight w:val="none"/>
          <w:lang w:val="en-US" w:eastAsia="zh-CN" w:bidi="ar-SA"/>
        </w:rPr>
        <w:t>21.投标文件的修改与撤回</w:t>
      </w:r>
      <w:bookmarkEnd w:id="247"/>
      <w:bookmarkEnd w:id="248"/>
      <w:bookmarkEnd w:id="249"/>
      <w:bookmarkEnd w:id="250"/>
      <w:bookmarkEnd w:id="251"/>
      <w:bookmarkEnd w:id="252"/>
    </w:p>
    <w:p w14:paraId="7DBF29E0">
      <w:pPr>
        <w:keepNext w:val="0"/>
        <w:keepLines w:val="0"/>
        <w:pageBreakBefore w:val="0"/>
        <w:widowControl w:val="0"/>
        <w:kinsoku/>
        <w:overflowPunct/>
        <w:topLinePunct w:val="0"/>
        <w:autoSpaceDE/>
        <w:autoSpaceDN/>
        <w:bidi w:val="0"/>
        <w:adjustRightInd/>
        <w:ind w:firstLine="480" w:firstLineChars="200"/>
        <w:textAlignment w:val="auto"/>
        <w:rPr>
          <w:rFonts w:hint="eastAsia" w:eastAsia="宋体" w:cs="仿宋_GB2312"/>
          <w:color w:val="auto"/>
          <w:sz w:val="24"/>
          <w:szCs w:val="24"/>
          <w:highlight w:val="none"/>
        </w:rPr>
      </w:pPr>
      <w:r>
        <w:rPr>
          <w:rFonts w:hint="eastAsia" w:eastAsia="宋体" w:cs="仿宋_GB2312"/>
          <w:color w:val="auto"/>
          <w:sz w:val="24"/>
          <w:szCs w:val="24"/>
          <w:highlight w:val="none"/>
        </w:rPr>
        <w:t>2</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.1</w:t>
      </w:r>
      <w:bookmarkStart w:id="253" w:name="_Hlk143532466"/>
      <w:r>
        <w:rPr>
          <w:rFonts w:hint="eastAsia" w:eastAsia="宋体" w:cs="仿宋_GB2312"/>
          <w:color w:val="auto"/>
          <w:sz w:val="24"/>
          <w:szCs w:val="24"/>
          <w:highlight w:val="none"/>
          <w:lang w:eastAsia="zh-CN"/>
        </w:rPr>
        <w:t>投标人</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w:t>
      </w:r>
      <w:r>
        <w:rPr>
          <w:rFonts w:hint="eastAsia" w:eastAsia="宋体"/>
          <w:color w:val="auto"/>
          <w:sz w:val="24"/>
          <w:highlight w:val="none"/>
          <w:lang w:val="en-US" w:eastAsia="zh-CN"/>
        </w:rPr>
        <w:t>第一章 招标公告</w:t>
      </w:r>
      <w:r>
        <w:rPr>
          <w:rFonts w:hint="eastAsia" w:eastAsia="宋体" w:cs="仿宋_GB2312"/>
          <w:color w:val="auto"/>
          <w:sz w:val="24"/>
          <w:szCs w:val="24"/>
          <w:highlight w:val="none"/>
          <w:lang w:eastAsia="zh-CN"/>
        </w:rPr>
        <w:t>”</w:t>
      </w:r>
      <w:r>
        <w:rPr>
          <w:rFonts w:hint="eastAsia" w:eastAsia="宋体" w:cs="仿宋_GB2312"/>
          <w:color w:val="auto"/>
          <w:sz w:val="24"/>
          <w:szCs w:val="24"/>
          <w:highlight w:val="none"/>
        </w:rPr>
        <w:t>规定的</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递交截止时间之前，可在</w:t>
      </w:r>
      <w:r>
        <w:rPr>
          <w:rFonts w:hint="eastAsia" w:cs="仿宋_GB2312"/>
          <w:color w:val="auto"/>
          <w:sz w:val="24"/>
          <w:szCs w:val="24"/>
          <w:highlight w:val="none"/>
          <w:lang w:eastAsia="zh-CN"/>
        </w:rPr>
        <w:t>新疆政府采购</w:t>
      </w:r>
      <w:r>
        <w:rPr>
          <w:rFonts w:hint="eastAsia" w:eastAsia="宋体" w:cs="仿宋_GB2312"/>
          <w:color w:val="auto"/>
          <w:sz w:val="24"/>
          <w:szCs w:val="24"/>
          <w:highlight w:val="none"/>
        </w:rPr>
        <w:t>电子交易云平台上随时撤回已上传的电子</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，将修改好的电子</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在</w:t>
      </w:r>
      <w:r>
        <w:rPr>
          <w:rFonts w:hint="eastAsia" w:eastAsia="宋体" w:cs="仿宋_GB2312"/>
          <w:color w:val="auto"/>
          <w:sz w:val="24"/>
          <w:szCs w:val="24"/>
          <w:highlight w:val="none"/>
          <w:lang w:eastAsia="zh-CN"/>
        </w:rPr>
        <w:t>投标文件</w:t>
      </w:r>
      <w:r>
        <w:rPr>
          <w:rFonts w:hint="eastAsia" w:eastAsia="宋体" w:cs="仿宋_GB2312"/>
          <w:color w:val="auto"/>
          <w:sz w:val="24"/>
          <w:szCs w:val="24"/>
          <w:highlight w:val="none"/>
        </w:rPr>
        <w:t>递交截止时间前重新上传到</w:t>
      </w:r>
      <w:r>
        <w:rPr>
          <w:rFonts w:hint="eastAsia" w:cs="仿宋_GB2312"/>
          <w:color w:val="auto"/>
          <w:sz w:val="24"/>
          <w:szCs w:val="24"/>
          <w:highlight w:val="none"/>
          <w:lang w:eastAsia="zh-CN"/>
        </w:rPr>
        <w:t>新疆政府采购</w:t>
      </w:r>
      <w:r>
        <w:rPr>
          <w:rFonts w:hint="eastAsia" w:eastAsia="宋体" w:cs="仿宋_GB2312"/>
          <w:color w:val="auto"/>
          <w:sz w:val="24"/>
          <w:szCs w:val="24"/>
          <w:highlight w:val="none"/>
        </w:rPr>
        <w:t>电子交易云平台的</w:t>
      </w:r>
      <w:r>
        <w:rPr>
          <w:rFonts w:hint="eastAsia" w:eastAsia="宋体" w:cs="仿宋_GB2312"/>
          <w:color w:val="auto"/>
          <w:sz w:val="24"/>
          <w:szCs w:val="24"/>
          <w:highlight w:val="none"/>
          <w:lang w:val="en-US" w:eastAsia="zh-CN"/>
        </w:rPr>
        <w:t>指</w:t>
      </w:r>
      <w:r>
        <w:rPr>
          <w:rFonts w:hint="eastAsia" w:eastAsia="宋体" w:cs="仿宋_GB2312"/>
          <w:color w:val="auto"/>
          <w:sz w:val="24"/>
          <w:szCs w:val="24"/>
          <w:highlight w:val="none"/>
        </w:rPr>
        <w:t>定位置。</w:t>
      </w:r>
    </w:p>
    <w:bookmarkEnd w:id="253"/>
    <w:p w14:paraId="20434D8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54" w:name="_Toc24996"/>
      <w:bookmarkStart w:id="255" w:name="_Toc163492847"/>
      <w:bookmarkStart w:id="256" w:name="_Toc9242"/>
      <w:bookmarkStart w:id="257" w:name="_Toc19338"/>
      <w:bookmarkStart w:id="258" w:name="_Toc6575"/>
      <w:bookmarkStart w:id="259" w:name="_Toc155185874"/>
      <w:r>
        <w:rPr>
          <w:rFonts w:hint="eastAsia" w:ascii="宋体" w:hAnsi="宋体" w:eastAsia="宋体" w:cs="宋体"/>
          <w:b/>
          <w:bCs/>
          <w:color w:val="auto"/>
          <w:kern w:val="2"/>
          <w:sz w:val="24"/>
          <w:szCs w:val="28"/>
          <w:highlight w:val="none"/>
          <w:lang w:val="en-US" w:eastAsia="zh-CN" w:bidi="ar-SA"/>
        </w:rPr>
        <w:t>22.实物样品</w:t>
      </w:r>
      <w:bookmarkEnd w:id="254"/>
      <w:bookmarkEnd w:id="255"/>
      <w:bookmarkEnd w:id="256"/>
      <w:bookmarkEnd w:id="257"/>
      <w:bookmarkEnd w:id="258"/>
      <w:bookmarkEnd w:id="259"/>
    </w:p>
    <w:p w14:paraId="52D4EAF6">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2</w:t>
      </w:r>
      <w:r>
        <w:rPr>
          <w:rFonts w:hint="eastAsia" w:eastAsia="宋体"/>
          <w:color w:val="auto"/>
          <w:sz w:val="24"/>
          <w:highlight w:val="none"/>
        </w:rPr>
        <w:t>.1“投标人须知前附表”要求提供样品的，样品的具体要求及评审详见“第三章 采购需求”和“第五章 评标</w:t>
      </w:r>
      <w:r>
        <w:rPr>
          <w:rFonts w:hint="eastAsia" w:eastAsia="宋体"/>
          <w:color w:val="auto"/>
          <w:sz w:val="24"/>
          <w:highlight w:val="none"/>
          <w:lang w:val="en-US" w:eastAsia="zh-CN"/>
        </w:rPr>
        <w:t>方</w:t>
      </w:r>
      <w:r>
        <w:rPr>
          <w:rFonts w:hint="eastAsia" w:eastAsia="宋体"/>
          <w:color w:val="auto"/>
          <w:sz w:val="24"/>
          <w:highlight w:val="none"/>
        </w:rPr>
        <w:t>法及标准”。</w:t>
      </w:r>
    </w:p>
    <w:p w14:paraId="2D6ED3FC">
      <w:pPr>
        <w:pStyle w:val="36"/>
        <w:keepNext w:val="0"/>
        <w:keepLines w:val="0"/>
        <w:pageBreakBefore w:val="0"/>
        <w:widowControl w:val="0"/>
        <w:kinsoku/>
        <w:overflowPunct/>
        <w:topLinePunct w:val="0"/>
        <w:autoSpaceDE/>
        <w:autoSpaceDN/>
        <w:bidi w:val="0"/>
        <w:adjustRightInd/>
        <w:textAlignment w:val="auto"/>
        <w:rPr>
          <w:rFonts w:eastAsia="宋体" w:cs="仿宋_GB2312"/>
          <w:b/>
          <w:color w:val="auto"/>
          <w:sz w:val="24"/>
          <w:szCs w:val="24"/>
          <w:highlight w:val="none"/>
        </w:rPr>
      </w:pPr>
      <w:r>
        <w:rPr>
          <w:rFonts w:eastAsia="宋体"/>
          <w:color w:val="auto"/>
          <w:sz w:val="24"/>
          <w:highlight w:val="none"/>
        </w:rPr>
        <w:t>2</w:t>
      </w:r>
      <w:r>
        <w:rPr>
          <w:rFonts w:hint="eastAsia" w:eastAsia="宋体"/>
          <w:color w:val="auto"/>
          <w:sz w:val="24"/>
          <w:highlight w:val="none"/>
          <w:lang w:val="en-US" w:eastAsia="zh-CN"/>
        </w:rPr>
        <w:t>2</w:t>
      </w:r>
      <w:r>
        <w:rPr>
          <w:rFonts w:hint="eastAsia" w:eastAsia="宋体"/>
          <w:color w:val="auto"/>
          <w:sz w:val="24"/>
          <w:highlight w:val="none"/>
        </w:rPr>
        <w:t>.2样品退还：</w:t>
      </w:r>
      <w:r>
        <w:rPr>
          <w:rFonts w:hint="eastAsia" w:ascii="宋体" w:hAnsi="宋体" w:eastAsia="宋体"/>
          <w:color w:val="auto"/>
          <w:sz w:val="24"/>
          <w:highlight w:val="none"/>
        </w:rPr>
        <w:t>未中标的投标人应</w:t>
      </w:r>
      <w:r>
        <w:rPr>
          <w:rFonts w:hint="eastAsia" w:ascii="宋体" w:hAnsi="宋体" w:eastAsia="宋体"/>
          <w:color w:val="auto"/>
          <w:sz w:val="24"/>
          <w:highlight w:val="none"/>
          <w:lang w:val="en-US" w:eastAsia="zh-CN"/>
        </w:rPr>
        <w:t>按照</w:t>
      </w:r>
      <w:r>
        <w:rPr>
          <w:rFonts w:hint="eastAsia" w:ascii="宋体" w:hAnsi="宋体" w:eastAsia="宋体"/>
          <w:color w:val="auto"/>
          <w:sz w:val="24"/>
          <w:highlight w:val="none"/>
        </w:rPr>
        <w:t>“投标人须知前附表”</w:t>
      </w:r>
      <w:r>
        <w:rPr>
          <w:rFonts w:hint="eastAsia" w:ascii="宋体" w:hAnsi="宋体" w:eastAsia="宋体"/>
          <w:color w:val="auto"/>
          <w:sz w:val="24"/>
          <w:highlight w:val="none"/>
          <w:lang w:val="en-US" w:eastAsia="zh-CN"/>
        </w:rPr>
        <w:t>要求</w:t>
      </w:r>
      <w:r>
        <w:rPr>
          <w:rFonts w:hint="eastAsia" w:ascii="宋体" w:hAnsi="宋体" w:eastAsia="宋体"/>
          <w:color w:val="auto"/>
          <w:sz w:val="24"/>
          <w:highlight w:val="none"/>
        </w:rPr>
        <w:t>自行联系采购人取回投标样品；中标人的样品由采购人进行保管、封存，并作为履约验收的参考</w:t>
      </w:r>
      <w:r>
        <w:rPr>
          <w:rFonts w:hint="eastAsia" w:eastAsia="宋体"/>
          <w:color w:val="auto"/>
          <w:sz w:val="24"/>
          <w:highlight w:val="none"/>
        </w:rPr>
        <w:t>（招标文件另有规定的从其规定）。</w:t>
      </w:r>
    </w:p>
    <w:p w14:paraId="7DD3C31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60" w:name="_Toc163492848"/>
      <w:bookmarkStart w:id="261" w:name="_Toc28857"/>
      <w:bookmarkStart w:id="262" w:name="_Toc31127"/>
      <w:bookmarkStart w:id="263" w:name="_Toc155185875"/>
      <w:bookmarkStart w:id="264" w:name="_Toc25755"/>
      <w:bookmarkStart w:id="265" w:name="_Toc29711"/>
      <w:r>
        <w:rPr>
          <w:rFonts w:hint="eastAsia" w:ascii="宋体" w:hAnsi="宋体" w:eastAsia="宋体" w:cs="宋体"/>
          <w:b/>
          <w:bCs/>
          <w:color w:val="auto"/>
          <w:kern w:val="2"/>
          <w:sz w:val="24"/>
          <w:szCs w:val="28"/>
          <w:highlight w:val="none"/>
          <w:lang w:val="en-US" w:eastAsia="zh-CN" w:bidi="ar-SA"/>
        </w:rPr>
        <w:t>23.演示</w:t>
      </w:r>
      <w:bookmarkEnd w:id="260"/>
      <w:bookmarkEnd w:id="261"/>
      <w:bookmarkEnd w:id="262"/>
      <w:bookmarkEnd w:id="263"/>
      <w:bookmarkEnd w:id="264"/>
      <w:bookmarkEnd w:id="265"/>
    </w:p>
    <w:p w14:paraId="1A234B38">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3</w:t>
      </w:r>
      <w:r>
        <w:rPr>
          <w:rFonts w:hint="eastAsia" w:eastAsia="宋体"/>
          <w:color w:val="auto"/>
          <w:sz w:val="24"/>
          <w:highlight w:val="none"/>
        </w:rPr>
        <w:t>.1要求投标人进行演示的，演示要求详见“投标人须知前附表”。</w:t>
      </w:r>
    </w:p>
    <w:p w14:paraId="527E9036">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3</w:t>
      </w:r>
      <w:r>
        <w:rPr>
          <w:rFonts w:hint="eastAsia" w:eastAsia="宋体"/>
          <w:color w:val="auto"/>
          <w:sz w:val="24"/>
          <w:highlight w:val="none"/>
        </w:rPr>
        <w:t>.2演示的评审详见“第三章 采购需求”和“第五章 评标</w:t>
      </w:r>
      <w:r>
        <w:rPr>
          <w:rFonts w:hint="eastAsia" w:eastAsia="宋体"/>
          <w:color w:val="auto"/>
          <w:sz w:val="24"/>
          <w:highlight w:val="none"/>
          <w:lang w:val="en-US" w:eastAsia="zh-CN"/>
        </w:rPr>
        <w:t>方</w:t>
      </w:r>
      <w:r>
        <w:rPr>
          <w:rFonts w:hint="eastAsia" w:eastAsia="宋体"/>
          <w:color w:val="auto"/>
          <w:sz w:val="24"/>
          <w:highlight w:val="none"/>
        </w:rPr>
        <w:t>法及标准”。</w:t>
      </w:r>
    </w:p>
    <w:p w14:paraId="44828689">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266" w:name="_Toc140132779"/>
      <w:bookmarkStart w:id="267" w:name="_Toc21792"/>
      <w:bookmarkStart w:id="268" w:name="_Toc7097"/>
      <w:bookmarkStart w:id="269" w:name="_Toc25557"/>
      <w:bookmarkStart w:id="270" w:name="_Toc6826"/>
      <w:bookmarkStart w:id="271" w:name="_Toc163492849"/>
      <w:bookmarkStart w:id="272" w:name="_Toc155185876"/>
      <w:r>
        <w:rPr>
          <w:rFonts w:hint="eastAsia" w:ascii="宋体" w:hAnsi="宋体" w:eastAsia="宋体" w:cstheme="minorBidi"/>
          <w:b/>
          <w:bCs/>
          <w:color w:val="auto"/>
          <w:kern w:val="2"/>
          <w:sz w:val="24"/>
          <w:szCs w:val="32"/>
          <w:highlight w:val="none"/>
          <w:lang w:val="en-US" w:eastAsia="zh-CN" w:bidi="ar-SA"/>
        </w:rPr>
        <w:t>（五）开标</w:t>
      </w:r>
      <w:bookmarkEnd w:id="266"/>
      <w:bookmarkEnd w:id="267"/>
      <w:bookmarkEnd w:id="268"/>
      <w:bookmarkEnd w:id="269"/>
      <w:bookmarkEnd w:id="270"/>
      <w:bookmarkEnd w:id="271"/>
      <w:bookmarkEnd w:id="272"/>
    </w:p>
    <w:p w14:paraId="1705A8F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73" w:name="_Toc29962"/>
      <w:bookmarkStart w:id="274" w:name="_Toc31983"/>
      <w:bookmarkStart w:id="275" w:name="_Toc140132780"/>
      <w:bookmarkStart w:id="276" w:name="_Toc25197"/>
      <w:bookmarkStart w:id="277" w:name="_Toc16939"/>
      <w:bookmarkStart w:id="278" w:name="_Toc163492850"/>
      <w:r>
        <w:rPr>
          <w:rFonts w:hint="eastAsia" w:ascii="宋体" w:hAnsi="宋体" w:eastAsia="宋体" w:cs="宋体"/>
          <w:b/>
          <w:bCs/>
          <w:color w:val="auto"/>
          <w:kern w:val="2"/>
          <w:sz w:val="24"/>
          <w:szCs w:val="28"/>
          <w:highlight w:val="none"/>
          <w:lang w:val="en-US" w:eastAsia="zh-CN" w:bidi="ar-SA"/>
        </w:rPr>
        <w:t>24.开标会议</w:t>
      </w:r>
      <w:bookmarkEnd w:id="273"/>
      <w:bookmarkEnd w:id="274"/>
      <w:bookmarkEnd w:id="275"/>
      <w:bookmarkEnd w:id="276"/>
      <w:bookmarkEnd w:id="277"/>
      <w:bookmarkEnd w:id="278"/>
    </w:p>
    <w:p w14:paraId="43376441">
      <w:pPr>
        <w:keepNext w:val="0"/>
        <w:keepLines w:val="0"/>
        <w:pageBreakBefore w:val="0"/>
        <w:widowControl w:val="0"/>
        <w:kinsoku/>
        <w:overflowPunct/>
        <w:topLinePunct w:val="0"/>
        <w:autoSpaceDE/>
        <w:autoSpaceDN/>
        <w:bidi w:val="0"/>
        <w:adjustRightInd/>
        <w:snapToGrid/>
        <w:ind w:firstLine="480" w:firstLineChars="200"/>
        <w:textAlignment w:val="auto"/>
        <w:rPr>
          <w:rFonts w:hint="eastAsia" w:eastAsia="宋体" w:cs="仿宋_GB2312"/>
          <w:color w:val="auto"/>
          <w:sz w:val="24"/>
          <w:szCs w:val="24"/>
          <w:highlight w:val="none"/>
          <w:lang w:eastAsia="zh-CN"/>
        </w:rPr>
      </w:pPr>
      <w:bookmarkStart w:id="279" w:name="_Toc140132781"/>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4</w:t>
      </w:r>
      <w:r>
        <w:rPr>
          <w:rFonts w:hint="eastAsia" w:eastAsia="宋体" w:cs="仿宋_GB2312"/>
          <w:color w:val="auto"/>
          <w:sz w:val="24"/>
          <w:szCs w:val="24"/>
          <w:highlight w:val="none"/>
        </w:rPr>
        <w:t>.</w:t>
      </w:r>
      <w:r>
        <w:rPr>
          <w:rFonts w:hint="eastAsia" w:eastAsia="宋体" w:cs="仿宋_GB2312"/>
          <w:color w:val="auto"/>
          <w:sz w:val="24"/>
          <w:szCs w:val="24"/>
          <w:highlight w:val="none"/>
          <w:lang w:val="en-US" w:eastAsia="zh-CN"/>
        </w:rPr>
        <w:t>1</w:t>
      </w:r>
      <w:r>
        <w:rPr>
          <w:rFonts w:hint="eastAsia" w:eastAsia="宋体" w:cs="仿宋_GB2312"/>
          <w:color w:val="auto"/>
          <w:sz w:val="24"/>
          <w:szCs w:val="24"/>
          <w:highlight w:val="none"/>
        </w:rPr>
        <w:t>开标会按“</w:t>
      </w:r>
      <w:r>
        <w:rPr>
          <w:rFonts w:hint="eastAsia" w:eastAsia="宋体" w:cs="仿宋_GB2312"/>
          <w:color w:val="auto"/>
          <w:sz w:val="24"/>
          <w:szCs w:val="24"/>
          <w:highlight w:val="none"/>
          <w:lang w:val="en-US" w:eastAsia="zh-CN"/>
        </w:rPr>
        <w:t xml:space="preserve">第一章 </w:t>
      </w:r>
      <w:r>
        <w:rPr>
          <w:rFonts w:hint="eastAsia" w:eastAsia="宋体"/>
          <w:color w:val="auto"/>
          <w:sz w:val="24"/>
          <w:highlight w:val="none"/>
          <w:lang w:val="en-US" w:eastAsia="zh-CN"/>
        </w:rPr>
        <w:t>招标公告</w:t>
      </w:r>
      <w:r>
        <w:rPr>
          <w:rFonts w:hint="eastAsia" w:eastAsia="宋体" w:cs="仿宋_GB2312"/>
          <w:color w:val="auto"/>
          <w:sz w:val="24"/>
          <w:szCs w:val="24"/>
          <w:highlight w:val="none"/>
        </w:rPr>
        <w:t>”规定的开标时间和地点准时举行，采购人、采购代理机构邀请所有投标人准时参加开标会。</w:t>
      </w:r>
      <w:r>
        <w:rPr>
          <w:rFonts w:hint="eastAsia" w:eastAsia="宋体"/>
          <w:color w:val="auto"/>
          <w:sz w:val="24"/>
          <w:highlight w:val="none"/>
        </w:rPr>
        <w:t>投标人应按照</w:t>
      </w:r>
      <w:r>
        <w:rPr>
          <w:rFonts w:hint="eastAsia" w:eastAsia="宋体"/>
          <w:color w:val="auto"/>
          <w:sz w:val="24"/>
          <w:highlight w:val="none"/>
          <w:lang w:val="en-US" w:eastAsia="zh-CN"/>
        </w:rPr>
        <w:t>招标文件</w:t>
      </w:r>
      <w:r>
        <w:rPr>
          <w:rFonts w:hint="eastAsia" w:eastAsia="宋体"/>
          <w:color w:val="auto"/>
          <w:sz w:val="24"/>
          <w:highlight w:val="none"/>
        </w:rPr>
        <w:t>的要求参与</w:t>
      </w:r>
      <w:r>
        <w:rPr>
          <w:rFonts w:hint="eastAsia" w:eastAsia="宋体"/>
          <w:color w:val="auto"/>
          <w:sz w:val="24"/>
          <w:highlight w:val="none"/>
          <w:lang w:val="en-US" w:eastAsia="zh-CN"/>
        </w:rPr>
        <w:t>不见面开标</w:t>
      </w:r>
      <w:r>
        <w:rPr>
          <w:rFonts w:hint="eastAsia" w:eastAsia="宋体"/>
          <w:color w:val="auto"/>
          <w:sz w:val="24"/>
          <w:highlight w:val="none"/>
        </w:rPr>
        <w:t>。</w:t>
      </w:r>
    </w:p>
    <w:p w14:paraId="60A061F0">
      <w:pPr>
        <w:keepNext w:val="0"/>
        <w:keepLines w:val="0"/>
        <w:pageBreakBefore w:val="0"/>
        <w:widowControl w:val="0"/>
        <w:kinsoku/>
        <w:wordWrap w:val="0"/>
        <w:overflowPunct/>
        <w:topLinePunct w:val="0"/>
        <w:autoSpaceDE/>
        <w:autoSpaceDN/>
        <w:bidi w:val="0"/>
        <w:adjustRightInd/>
        <w:snapToGrid/>
        <w:ind w:firstLine="480" w:firstLineChars="200"/>
        <w:textAlignment w:val="auto"/>
        <w:rPr>
          <w:rFonts w:hint="eastAsia" w:ascii="宋体" w:hAnsi="宋体" w:eastAsia="宋体" w:cs="宋体"/>
          <w:color w:val="auto"/>
          <w:kern w:val="2"/>
          <w:sz w:val="24"/>
          <w:szCs w:val="22"/>
          <w:highlight w:val="none"/>
        </w:rPr>
      </w:pPr>
      <w:r>
        <w:rPr>
          <w:rFonts w:eastAsia="宋体"/>
          <w:color w:val="auto"/>
          <w:sz w:val="24"/>
          <w:highlight w:val="none"/>
        </w:rPr>
        <w:t>2</w:t>
      </w:r>
      <w:r>
        <w:rPr>
          <w:rFonts w:hint="eastAsia" w:eastAsia="宋体"/>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 xml:space="preserve"> </w:t>
      </w:r>
      <w:bookmarkEnd w:id="279"/>
      <w:r>
        <w:rPr>
          <w:rFonts w:hint="eastAsia" w:ascii="宋体" w:hAnsi="宋体" w:eastAsia="宋体" w:cs="宋体"/>
          <w:color w:val="auto"/>
          <w:kern w:val="2"/>
          <w:sz w:val="24"/>
          <w:szCs w:val="22"/>
          <w:highlight w:val="none"/>
        </w:rPr>
        <w:t>采购代理机构按照招标文件规定的时间、地点主持开标。采购人在规定的</w:t>
      </w:r>
      <w:r>
        <w:rPr>
          <w:rFonts w:hint="eastAsia" w:ascii="宋体" w:hAnsi="宋体" w:eastAsia="宋体" w:cs="宋体"/>
          <w:color w:val="auto"/>
          <w:kern w:val="2"/>
          <w:sz w:val="24"/>
          <w:szCs w:val="22"/>
          <w:highlight w:val="none"/>
          <w:lang w:eastAsia="zh-CN"/>
        </w:rPr>
        <w:t>投标文件</w:t>
      </w:r>
      <w:r>
        <w:rPr>
          <w:rFonts w:hint="eastAsia" w:ascii="宋体" w:hAnsi="宋体" w:eastAsia="宋体" w:cs="宋体"/>
          <w:color w:val="auto"/>
          <w:kern w:val="2"/>
          <w:sz w:val="24"/>
          <w:szCs w:val="22"/>
          <w:highlight w:val="none"/>
        </w:rPr>
        <w:t>递交截止时间（开标时间）和地点进行不见面远程开标。</w:t>
      </w:r>
      <w:r>
        <w:rPr>
          <w:rFonts w:hint="eastAsia" w:ascii="宋体" w:hAnsi="宋体" w:eastAsia="宋体" w:cs="宋体"/>
          <w:color w:val="auto"/>
          <w:kern w:val="2"/>
          <w:sz w:val="24"/>
          <w:szCs w:val="22"/>
          <w:highlight w:val="none"/>
          <w:lang w:eastAsia="zh-CN"/>
        </w:rPr>
        <w:t>投标人</w:t>
      </w:r>
      <w:r>
        <w:rPr>
          <w:rFonts w:hint="eastAsia" w:ascii="宋体" w:hAnsi="宋体" w:eastAsia="宋体" w:cs="宋体"/>
          <w:color w:val="auto"/>
          <w:kern w:val="2"/>
          <w:sz w:val="24"/>
          <w:szCs w:val="22"/>
          <w:highlight w:val="none"/>
        </w:rPr>
        <w:t>的法定代表人或其委托代理人无需到达开标现场，仅需在任意地点通过</w:t>
      </w:r>
      <w:r>
        <w:rPr>
          <w:rFonts w:hint="eastAsia" w:cs="宋体"/>
          <w:color w:val="auto"/>
          <w:kern w:val="2"/>
          <w:sz w:val="24"/>
          <w:szCs w:val="22"/>
          <w:highlight w:val="none"/>
          <w:lang w:val="en-US" w:eastAsia="zh-CN"/>
        </w:rPr>
        <w:t>政采云平台线上</w:t>
      </w:r>
      <w:r>
        <w:rPr>
          <w:rFonts w:hint="eastAsia" w:ascii="宋体" w:hAnsi="宋体" w:eastAsia="宋体" w:cs="宋体"/>
          <w:color w:val="auto"/>
          <w:kern w:val="2"/>
          <w:sz w:val="24"/>
          <w:szCs w:val="22"/>
          <w:highlight w:val="none"/>
        </w:rPr>
        <w:t>的</w:t>
      </w:r>
      <w:r>
        <w:rPr>
          <w:rFonts w:hint="eastAsia" w:eastAsia="宋体" w:cs="宋体"/>
          <w:color w:val="auto"/>
          <w:kern w:val="2"/>
          <w:sz w:val="24"/>
          <w:szCs w:val="22"/>
          <w:highlight w:val="none"/>
          <w:lang w:eastAsia="zh-CN"/>
        </w:rPr>
        <w:t>“</w:t>
      </w:r>
      <w:r>
        <w:rPr>
          <w:rFonts w:hint="eastAsia" w:ascii="宋体" w:hAnsi="宋体" w:eastAsia="宋体" w:cs="宋体"/>
          <w:color w:val="auto"/>
          <w:kern w:val="2"/>
          <w:sz w:val="24"/>
          <w:szCs w:val="22"/>
          <w:highlight w:val="none"/>
        </w:rPr>
        <w:t>政采云登录入口”登录后，进入“政采云远程开标大厅”参加开标会议，并使用CA密钥完成远程解密、提疑澄清、开标唱标、结果公布等交互环节。</w:t>
      </w:r>
    </w:p>
    <w:p w14:paraId="4F83B05F">
      <w:pPr>
        <w:keepNext w:val="0"/>
        <w:keepLines w:val="0"/>
        <w:pageBreakBefore w:val="0"/>
        <w:widowControl w:val="0"/>
        <w:kinsoku/>
        <w:overflowPunct/>
        <w:topLinePunct w:val="0"/>
        <w:autoSpaceDE/>
        <w:autoSpaceDN/>
        <w:bidi w:val="0"/>
        <w:adjustRightInd/>
        <w:ind w:firstLine="480" w:firstLineChars="200"/>
        <w:textAlignment w:val="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2</w:t>
      </w:r>
      <w:r>
        <w:rPr>
          <w:rFonts w:hint="eastAsia" w:eastAsia="宋体" w:cs="宋体"/>
          <w:color w:val="auto"/>
          <w:kern w:val="2"/>
          <w:sz w:val="24"/>
          <w:szCs w:val="22"/>
          <w:highlight w:val="none"/>
          <w:lang w:val="en-US" w:eastAsia="zh-CN"/>
        </w:rPr>
        <w:t>4</w:t>
      </w:r>
      <w:r>
        <w:rPr>
          <w:rFonts w:hint="eastAsia" w:ascii="宋体" w:hAnsi="宋体" w:eastAsia="宋体" w:cs="宋体"/>
          <w:color w:val="auto"/>
          <w:kern w:val="2"/>
          <w:sz w:val="24"/>
          <w:szCs w:val="22"/>
          <w:highlight w:val="none"/>
          <w:lang w:val="en-US" w:eastAsia="zh-CN"/>
        </w:rPr>
        <w:t xml:space="preserve">.3开标过程将宣布投标人名称、投标价格和招标文件规定的需要宣布的其他内容并进行记录，并由参加开标的各投标人确认。投标人未在规定时间内提 出疑义或确认一览表的，视同认可开标结果。 </w:t>
      </w:r>
    </w:p>
    <w:p w14:paraId="63FB5E6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80" w:name="_Toc12764"/>
      <w:bookmarkStart w:id="281" w:name="_Toc20710"/>
      <w:bookmarkStart w:id="282" w:name="_Toc30827"/>
      <w:bookmarkStart w:id="283" w:name="_Toc140132783"/>
      <w:bookmarkStart w:id="284" w:name="_Toc17474"/>
      <w:bookmarkStart w:id="285" w:name="_Toc163492852"/>
      <w:r>
        <w:rPr>
          <w:rFonts w:hint="eastAsia" w:ascii="宋体" w:hAnsi="宋体" w:eastAsia="宋体" w:cs="宋体"/>
          <w:b/>
          <w:bCs/>
          <w:color w:val="auto"/>
          <w:kern w:val="2"/>
          <w:sz w:val="24"/>
          <w:szCs w:val="28"/>
          <w:highlight w:val="none"/>
          <w:lang w:val="en-US" w:eastAsia="zh-CN" w:bidi="ar-SA"/>
        </w:rPr>
        <w:t>25.开标程序</w:t>
      </w:r>
      <w:bookmarkEnd w:id="280"/>
      <w:bookmarkEnd w:id="281"/>
      <w:bookmarkEnd w:id="282"/>
      <w:bookmarkEnd w:id="283"/>
      <w:bookmarkEnd w:id="284"/>
      <w:bookmarkEnd w:id="285"/>
    </w:p>
    <w:p w14:paraId="60F7948B">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.1 投标人不足3家的，不得开标。</w:t>
      </w:r>
    </w:p>
    <w:p w14:paraId="5B4EFA66">
      <w:pPr>
        <w:keepNext w:val="0"/>
        <w:keepLines w:val="0"/>
        <w:pageBreakBefore w:val="0"/>
        <w:widowControl w:val="0"/>
        <w:kinsoku/>
        <w:overflowPunct/>
        <w:topLinePunct w:val="0"/>
        <w:autoSpaceDE/>
        <w:autoSpaceDN/>
        <w:bidi w:val="0"/>
        <w:adjustRightInd/>
        <w:ind w:firstLine="480" w:firstLineChars="200"/>
        <w:textAlignment w:val="auto"/>
        <w:rPr>
          <w:rFonts w:eastAsia="宋体"/>
          <w:color w:val="auto"/>
          <w:sz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.2 评标委员会成员不得参加开标活动。</w:t>
      </w:r>
    </w:p>
    <w:p w14:paraId="6EDD80B3">
      <w:pPr>
        <w:keepNext w:val="0"/>
        <w:keepLines w:val="0"/>
        <w:pageBreakBefore w:val="0"/>
        <w:widowControl w:val="0"/>
        <w:kinsoku/>
        <w:overflowPunct/>
        <w:topLinePunct w:val="0"/>
        <w:autoSpaceDE/>
        <w:autoSpaceDN/>
        <w:bidi w:val="0"/>
        <w:adjustRightInd/>
        <w:ind w:firstLine="480" w:firstLineChars="200"/>
        <w:textAlignment w:val="auto"/>
        <w:rPr>
          <w:rFonts w:eastAsia="宋体" w:cs="仿宋_GB2312"/>
          <w:color w:val="auto"/>
          <w:sz w:val="24"/>
          <w:szCs w:val="24"/>
          <w:highlight w:val="none"/>
        </w:rPr>
      </w:pPr>
      <w:r>
        <w:rPr>
          <w:rFonts w:eastAsia="宋体" w:cs="仿宋_GB2312"/>
          <w:color w:val="auto"/>
          <w:sz w:val="24"/>
          <w:szCs w:val="24"/>
          <w:highlight w:val="none"/>
        </w:rPr>
        <w:t>2</w:t>
      </w:r>
      <w:r>
        <w:rPr>
          <w:rFonts w:hint="eastAsia" w:eastAsia="宋体" w:cs="仿宋_GB2312"/>
          <w:color w:val="auto"/>
          <w:sz w:val="24"/>
          <w:szCs w:val="24"/>
          <w:highlight w:val="none"/>
          <w:lang w:val="en-US" w:eastAsia="zh-CN"/>
        </w:rPr>
        <w:t>5</w:t>
      </w:r>
      <w:r>
        <w:rPr>
          <w:rFonts w:hint="eastAsia" w:eastAsia="宋体" w:cs="仿宋_GB2312"/>
          <w:color w:val="auto"/>
          <w:sz w:val="24"/>
          <w:szCs w:val="24"/>
          <w:highlight w:val="none"/>
        </w:rPr>
        <w:t>.3主持人按下列程序进行开标：</w:t>
      </w:r>
    </w:p>
    <w:p w14:paraId="02BF7803">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（1）宣布开标会纪律；</w:t>
      </w:r>
    </w:p>
    <w:p w14:paraId="06FE8596">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（2）介绍参加开标会的单位和人员；</w:t>
      </w:r>
    </w:p>
    <w:p w14:paraId="69CFC68B">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（3）发起投标文件解密。投标人应在“投标人须知前附表”规定的时间内使用加密投标文件的CA证书在系统中完成投标文件的解密；</w:t>
      </w:r>
    </w:p>
    <w:p w14:paraId="30C058B0">
      <w:pPr>
        <w:keepNext w:val="0"/>
        <w:keepLines w:val="0"/>
        <w:pageBreakBefore w:val="0"/>
        <w:widowControl w:val="0"/>
        <w:kinsoku/>
        <w:overflowPunct/>
        <w:topLinePunct w:val="0"/>
        <w:autoSpaceDE/>
        <w:autoSpaceDN/>
        <w:bidi w:val="0"/>
        <w:adjustRightInd/>
        <w:ind w:firstLine="398" w:firstLineChars="166"/>
        <w:textAlignment w:val="auto"/>
        <w:rPr>
          <w:rFonts w:eastAsia="宋体" w:cs="仿宋_GB2312"/>
          <w:color w:val="auto"/>
          <w:sz w:val="24"/>
          <w:szCs w:val="24"/>
          <w:highlight w:val="none"/>
        </w:rPr>
      </w:pPr>
      <w:r>
        <w:rPr>
          <w:rFonts w:hint="eastAsia" w:eastAsia="宋体" w:cs="仿宋_GB2312"/>
          <w:color w:val="auto"/>
          <w:sz w:val="24"/>
          <w:szCs w:val="24"/>
          <w:highlight w:val="none"/>
        </w:rPr>
        <w:t>（4）解密完成后，系统自动显示投标人名称、投标价格和招标文件规定的需要宣布的其他内容；</w:t>
      </w:r>
    </w:p>
    <w:p w14:paraId="102D4E44">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eastAsia="宋体" w:cs="仿宋_GB2312"/>
          <w:color w:val="auto"/>
          <w:sz w:val="24"/>
          <w:szCs w:val="24"/>
          <w:highlight w:val="none"/>
          <w:lang w:val="en-US" w:eastAsia="zh-CN"/>
        </w:rPr>
      </w:pPr>
      <w:r>
        <w:rPr>
          <w:rFonts w:hint="eastAsia" w:eastAsia="宋体" w:cs="仿宋_GB2312"/>
          <w:color w:val="auto"/>
          <w:sz w:val="24"/>
          <w:szCs w:val="24"/>
          <w:highlight w:val="none"/>
        </w:rPr>
        <w:t>（5）系统自动生成开标记录表，</w:t>
      </w:r>
      <w:r>
        <w:rPr>
          <w:rFonts w:hint="eastAsia" w:eastAsia="宋体" w:cs="仿宋_GB2312"/>
          <w:color w:val="auto"/>
          <w:sz w:val="24"/>
          <w:szCs w:val="24"/>
          <w:highlight w:val="none"/>
          <w:lang w:val="en-US" w:eastAsia="zh-CN"/>
        </w:rPr>
        <w:t>投标人</w:t>
      </w:r>
      <w:r>
        <w:rPr>
          <w:rFonts w:hint="eastAsia" w:eastAsia="宋体" w:cs="仿宋_GB2312"/>
          <w:color w:val="auto"/>
          <w:sz w:val="24"/>
          <w:szCs w:val="24"/>
          <w:highlight w:val="none"/>
        </w:rPr>
        <w:t>应在线对开标记录进行签署确认</w:t>
      </w:r>
      <w:r>
        <w:rPr>
          <w:rFonts w:hint="eastAsia" w:eastAsia="宋体" w:cs="仿宋_GB2312"/>
          <w:color w:val="auto"/>
          <w:sz w:val="24"/>
          <w:szCs w:val="24"/>
          <w:highlight w:val="none"/>
          <w:lang w:val="en-US" w:eastAsia="zh-CN"/>
        </w:rPr>
        <w:t>；</w:t>
      </w:r>
    </w:p>
    <w:p w14:paraId="1E68785D">
      <w:pPr>
        <w:keepNext w:val="0"/>
        <w:keepLines w:val="0"/>
        <w:pageBreakBefore w:val="0"/>
        <w:widowControl w:val="0"/>
        <w:kinsoku/>
        <w:overflowPunct/>
        <w:topLinePunct w:val="0"/>
        <w:autoSpaceDE/>
        <w:autoSpaceDN/>
        <w:bidi w:val="0"/>
        <w:adjustRightInd/>
        <w:ind w:left="564" w:leftChars="200" w:hanging="84" w:hangingChars="35"/>
        <w:textAlignment w:val="auto"/>
        <w:rPr>
          <w:rFonts w:hint="eastAsia"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（6）开标会结束。</w:t>
      </w:r>
      <w:bookmarkStart w:id="286" w:name="_Toc163492853"/>
      <w:bookmarkStart w:id="287" w:name="_Toc140132784"/>
    </w:p>
    <w:p w14:paraId="459D358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88" w:name="_Toc15283"/>
      <w:bookmarkStart w:id="289" w:name="_Toc19420"/>
      <w:bookmarkStart w:id="290" w:name="_Toc20123"/>
      <w:bookmarkStart w:id="291" w:name="_Toc10387"/>
      <w:r>
        <w:rPr>
          <w:rFonts w:hint="eastAsia" w:ascii="宋体" w:hAnsi="宋体" w:eastAsia="宋体" w:cs="宋体"/>
          <w:b/>
          <w:bCs/>
          <w:color w:val="auto"/>
          <w:kern w:val="2"/>
          <w:sz w:val="24"/>
          <w:szCs w:val="28"/>
          <w:highlight w:val="none"/>
          <w:lang w:val="en-US" w:eastAsia="zh-CN" w:bidi="ar-SA"/>
        </w:rPr>
        <w:t>26.开标疑义及回避情形</w:t>
      </w:r>
      <w:bookmarkEnd w:id="286"/>
      <w:bookmarkEnd w:id="287"/>
      <w:bookmarkEnd w:id="288"/>
      <w:bookmarkEnd w:id="289"/>
      <w:bookmarkEnd w:id="290"/>
      <w:bookmarkEnd w:id="291"/>
    </w:p>
    <w:p w14:paraId="04573EB2">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6</w:t>
      </w:r>
      <w:r>
        <w:rPr>
          <w:rFonts w:hint="eastAsia" w:eastAsia="宋体"/>
          <w:color w:val="auto"/>
          <w:sz w:val="24"/>
          <w:highlight w:val="none"/>
        </w:rPr>
        <w:t>.1投标人代表对开标过程和开标记录有疑义，以及认为采购人、采购代理机构相关工作人员有需要回避的情形的，应在开标会议中提出询问或者回避申请。采购人、采购代理机构对投标人授权代表提出的询问或者回避申请应当及时处理。</w:t>
      </w:r>
    </w:p>
    <w:p w14:paraId="4E69EE01">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2</w:t>
      </w:r>
      <w:r>
        <w:rPr>
          <w:rFonts w:hint="eastAsia" w:eastAsia="宋体"/>
          <w:color w:val="auto"/>
          <w:sz w:val="24"/>
          <w:highlight w:val="none"/>
          <w:lang w:val="en-US" w:eastAsia="zh-CN"/>
        </w:rPr>
        <w:t>6</w:t>
      </w:r>
      <w:r>
        <w:rPr>
          <w:rFonts w:hint="eastAsia" w:eastAsia="宋体"/>
          <w:color w:val="auto"/>
          <w:sz w:val="24"/>
          <w:highlight w:val="none"/>
        </w:rPr>
        <w:t>.2投标人未参加开标的，视同认可开标结果。</w:t>
      </w:r>
    </w:p>
    <w:p w14:paraId="55D243EF">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292" w:name="_Toc2893"/>
      <w:bookmarkStart w:id="293" w:name="_Toc155185877"/>
      <w:bookmarkStart w:id="294" w:name="_Toc140132785"/>
      <w:bookmarkStart w:id="295" w:name="_Toc19512"/>
      <w:bookmarkStart w:id="296" w:name="_Toc20084"/>
      <w:bookmarkStart w:id="297" w:name="_Toc163492854"/>
      <w:bookmarkStart w:id="298" w:name="_Toc11421"/>
      <w:r>
        <w:rPr>
          <w:rFonts w:hint="eastAsia" w:ascii="宋体" w:hAnsi="宋体" w:eastAsia="宋体" w:cstheme="minorBidi"/>
          <w:b/>
          <w:bCs/>
          <w:color w:val="auto"/>
          <w:kern w:val="2"/>
          <w:sz w:val="24"/>
          <w:szCs w:val="32"/>
          <w:highlight w:val="none"/>
          <w:lang w:val="en-US" w:eastAsia="zh-CN" w:bidi="ar-SA"/>
        </w:rPr>
        <w:t>（六）资格审查</w:t>
      </w:r>
      <w:bookmarkEnd w:id="292"/>
      <w:bookmarkEnd w:id="293"/>
      <w:bookmarkEnd w:id="294"/>
      <w:bookmarkEnd w:id="295"/>
      <w:bookmarkEnd w:id="296"/>
      <w:bookmarkEnd w:id="297"/>
      <w:bookmarkEnd w:id="298"/>
    </w:p>
    <w:p w14:paraId="2C1B5FD6">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299" w:name="_Toc162"/>
      <w:bookmarkStart w:id="300" w:name="_Toc163492855"/>
      <w:bookmarkStart w:id="301" w:name="_Toc9963"/>
      <w:bookmarkStart w:id="302" w:name="_Toc13821"/>
      <w:bookmarkStart w:id="303" w:name="_Toc1466"/>
      <w:r>
        <w:rPr>
          <w:rFonts w:hint="eastAsia" w:ascii="宋体" w:hAnsi="宋体" w:eastAsia="宋体" w:cs="宋体"/>
          <w:b/>
          <w:bCs/>
          <w:color w:val="auto"/>
          <w:kern w:val="2"/>
          <w:sz w:val="24"/>
          <w:szCs w:val="28"/>
          <w:highlight w:val="none"/>
          <w:lang w:val="en-US" w:eastAsia="zh-CN" w:bidi="ar-SA"/>
        </w:rPr>
        <w:t>27.资格审查及审查主体</w:t>
      </w:r>
      <w:bookmarkEnd w:id="299"/>
      <w:bookmarkEnd w:id="300"/>
      <w:bookmarkEnd w:id="301"/>
      <w:bookmarkEnd w:id="302"/>
      <w:bookmarkEnd w:id="303"/>
    </w:p>
    <w:p w14:paraId="3F6E8AD4">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304" w:name="_Toc140132786"/>
      <w:r>
        <w:rPr>
          <w:rFonts w:hint="eastAsia"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.1</w:t>
      </w:r>
      <w:bookmarkEnd w:id="304"/>
      <w:r>
        <w:rPr>
          <w:rFonts w:hint="eastAsia" w:eastAsia="宋体"/>
          <w:color w:val="auto"/>
          <w:sz w:val="24"/>
          <w:highlight w:val="none"/>
        </w:rPr>
        <w:t>开标结束后，采购人或者采购代理机构应当依法对投标人的资格进行审查。</w:t>
      </w:r>
    </w:p>
    <w:p w14:paraId="6F7626D3">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305" w:name="_Toc140132787"/>
      <w:r>
        <w:rPr>
          <w:rFonts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.2</w:t>
      </w:r>
      <w:r>
        <w:rPr>
          <w:rFonts w:eastAsia="宋体"/>
          <w:color w:val="auto"/>
          <w:sz w:val="24"/>
          <w:highlight w:val="none"/>
        </w:rPr>
        <w:t>资格审查</w:t>
      </w:r>
      <w:r>
        <w:rPr>
          <w:rFonts w:hint="eastAsia" w:eastAsia="宋体"/>
          <w:color w:val="auto"/>
          <w:sz w:val="24"/>
          <w:highlight w:val="none"/>
        </w:rPr>
        <w:t>按“第四章</w:t>
      </w:r>
      <w:r>
        <w:rPr>
          <w:rFonts w:hint="eastAsia" w:eastAsia="宋体"/>
          <w:color w:val="auto"/>
          <w:sz w:val="24"/>
          <w:highlight w:val="none"/>
          <w:lang w:val="en-US" w:eastAsia="zh-CN"/>
        </w:rPr>
        <w:t xml:space="preserve"> </w:t>
      </w:r>
      <w:r>
        <w:rPr>
          <w:rFonts w:hint="eastAsia" w:eastAsia="宋体"/>
          <w:color w:val="auto"/>
          <w:sz w:val="24"/>
          <w:highlight w:val="none"/>
        </w:rPr>
        <w:t>资格审查”的规定进行。</w:t>
      </w:r>
      <w:bookmarkEnd w:id="305"/>
    </w:p>
    <w:p w14:paraId="44D43B82">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bookmarkStart w:id="306" w:name="_Toc140132788"/>
      <w:r>
        <w:rPr>
          <w:rFonts w:eastAsia="宋体"/>
          <w:color w:val="auto"/>
          <w:sz w:val="24"/>
          <w:highlight w:val="none"/>
        </w:rPr>
        <w:t>2</w:t>
      </w:r>
      <w:r>
        <w:rPr>
          <w:rFonts w:hint="eastAsia" w:eastAsia="宋体"/>
          <w:color w:val="auto"/>
          <w:sz w:val="24"/>
          <w:highlight w:val="none"/>
          <w:lang w:val="en-US" w:eastAsia="zh-CN"/>
        </w:rPr>
        <w:t>7</w:t>
      </w:r>
      <w:r>
        <w:rPr>
          <w:rFonts w:hint="eastAsia" w:eastAsia="宋体"/>
          <w:color w:val="auto"/>
          <w:sz w:val="24"/>
          <w:highlight w:val="none"/>
        </w:rPr>
        <w:t>.3</w:t>
      </w:r>
      <w:r>
        <w:rPr>
          <w:rFonts w:eastAsia="宋体"/>
          <w:color w:val="auto"/>
          <w:sz w:val="24"/>
          <w:highlight w:val="none"/>
        </w:rPr>
        <w:t>资格审查结束后，应及时对资格审查结果进行复核，对资格审查错误进行及时纠正并记录。</w:t>
      </w:r>
      <w:bookmarkEnd w:id="306"/>
    </w:p>
    <w:p w14:paraId="272F167A">
      <w:pPr>
        <w:pStyle w:val="36"/>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27.4</w:t>
      </w:r>
      <w:r>
        <w:rPr>
          <w:rFonts w:eastAsia="宋体"/>
          <w:color w:val="auto"/>
          <w:sz w:val="24"/>
          <w:highlight w:val="none"/>
        </w:rPr>
        <w:t>资格审查</w:t>
      </w:r>
      <w:r>
        <w:rPr>
          <w:rFonts w:hint="eastAsia" w:eastAsia="宋体"/>
          <w:color w:val="auto"/>
          <w:sz w:val="24"/>
          <w:highlight w:val="none"/>
        </w:rPr>
        <w:t>合格投标人不足3家的，不得评标。</w:t>
      </w:r>
    </w:p>
    <w:p w14:paraId="7A1F7D21">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07" w:name="_Toc8249"/>
      <w:bookmarkStart w:id="308" w:name="_Toc31247"/>
      <w:bookmarkStart w:id="309" w:name="_Toc30290"/>
      <w:bookmarkStart w:id="310" w:name="_Toc163492856"/>
      <w:bookmarkStart w:id="311" w:name="_Toc14198"/>
      <w:bookmarkStart w:id="312" w:name="_Toc155185878"/>
      <w:bookmarkStart w:id="313" w:name="_Toc140132789"/>
      <w:r>
        <w:rPr>
          <w:rFonts w:hint="eastAsia" w:ascii="宋体" w:hAnsi="宋体" w:eastAsia="宋体" w:cstheme="minorBidi"/>
          <w:b/>
          <w:bCs/>
          <w:color w:val="auto"/>
          <w:kern w:val="2"/>
          <w:sz w:val="24"/>
          <w:szCs w:val="32"/>
          <w:highlight w:val="none"/>
          <w:lang w:val="en-US" w:eastAsia="zh-CN" w:bidi="ar-SA"/>
        </w:rPr>
        <w:t>（七）评标</w:t>
      </w:r>
      <w:bookmarkEnd w:id="307"/>
      <w:bookmarkEnd w:id="308"/>
      <w:bookmarkEnd w:id="309"/>
      <w:bookmarkEnd w:id="310"/>
      <w:bookmarkEnd w:id="311"/>
      <w:bookmarkEnd w:id="312"/>
      <w:bookmarkEnd w:id="313"/>
    </w:p>
    <w:p w14:paraId="7EBE7AB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14" w:name="_Toc16858"/>
      <w:bookmarkStart w:id="315" w:name="_Toc163492857"/>
      <w:bookmarkStart w:id="316" w:name="_Toc4659"/>
      <w:bookmarkStart w:id="317" w:name="_Toc20462"/>
      <w:bookmarkStart w:id="318" w:name="_Toc140132790"/>
      <w:bookmarkStart w:id="319" w:name="_Toc32434"/>
      <w:r>
        <w:rPr>
          <w:rFonts w:hint="eastAsia" w:ascii="宋体" w:hAnsi="宋体" w:eastAsia="宋体" w:cs="宋体"/>
          <w:b/>
          <w:bCs/>
          <w:color w:val="auto"/>
          <w:kern w:val="2"/>
          <w:sz w:val="24"/>
          <w:szCs w:val="28"/>
          <w:highlight w:val="none"/>
          <w:lang w:val="en-US" w:eastAsia="zh-CN" w:bidi="ar-SA"/>
        </w:rPr>
        <w:t>28.评标委员会</w:t>
      </w:r>
      <w:bookmarkEnd w:id="314"/>
      <w:bookmarkEnd w:id="315"/>
      <w:bookmarkEnd w:id="316"/>
      <w:bookmarkEnd w:id="317"/>
      <w:bookmarkEnd w:id="318"/>
      <w:bookmarkEnd w:id="319"/>
    </w:p>
    <w:p w14:paraId="1EA2B13D">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ascii="宋体" w:hAnsi="宋体" w:eastAsia="宋体"/>
          <w:color w:val="auto"/>
          <w:sz w:val="24"/>
          <w:highlight w:val="none"/>
        </w:rPr>
        <w:t>2</w:t>
      </w:r>
      <w:r>
        <w:rPr>
          <w:rFonts w:hint="eastAsia" w:ascii="宋体" w:hAnsi="宋体" w:eastAsia="宋体"/>
          <w:color w:val="auto"/>
          <w:sz w:val="24"/>
          <w:highlight w:val="none"/>
          <w:lang w:val="en-US" w:eastAsia="zh-CN"/>
        </w:rPr>
        <w:t>8</w:t>
      </w:r>
      <w:r>
        <w:rPr>
          <w:rFonts w:hint="eastAsia" w:ascii="宋体" w:hAnsi="宋体" w:eastAsia="宋体"/>
          <w:color w:val="auto"/>
          <w:sz w:val="24"/>
          <w:highlight w:val="none"/>
        </w:rPr>
        <w:t>.1 评标由采购人依法组建的评标委员会负责。评标委员会由采购人代表和评审专家组成</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成员人数应当为5</w:t>
      </w:r>
      <w:r>
        <w:rPr>
          <w:rFonts w:hint="eastAsia" w:ascii="宋体" w:hAnsi="宋体" w:eastAsia="宋体"/>
          <w:color w:val="auto"/>
          <w:sz w:val="24"/>
          <w:highlight w:val="none"/>
        </w:rPr>
        <w:t>人以上单数，其中</w:t>
      </w:r>
      <w:r>
        <w:rPr>
          <w:rFonts w:hint="eastAsia" w:ascii="宋体" w:hAnsi="宋体" w:eastAsia="宋体"/>
          <w:color w:val="auto"/>
          <w:sz w:val="24"/>
          <w:highlight w:val="none"/>
          <w:lang w:val="en-US" w:eastAsia="zh-CN"/>
        </w:rPr>
        <w:t>评审</w:t>
      </w:r>
      <w:r>
        <w:rPr>
          <w:rFonts w:hint="eastAsia" w:ascii="宋体" w:hAnsi="宋体" w:eastAsia="宋体"/>
          <w:color w:val="auto"/>
          <w:sz w:val="24"/>
          <w:highlight w:val="none"/>
        </w:rPr>
        <w:t>专家不</w:t>
      </w:r>
      <w:r>
        <w:rPr>
          <w:rFonts w:hint="eastAsia" w:ascii="宋体" w:hAnsi="宋体" w:eastAsia="宋体"/>
          <w:color w:val="auto"/>
          <w:sz w:val="24"/>
          <w:highlight w:val="none"/>
          <w:lang w:val="en-US" w:eastAsia="zh-CN"/>
        </w:rPr>
        <w:t>得</w:t>
      </w:r>
      <w:r>
        <w:rPr>
          <w:rFonts w:hint="eastAsia" w:ascii="宋体" w:hAnsi="宋体" w:eastAsia="宋体"/>
          <w:color w:val="auto"/>
          <w:sz w:val="24"/>
          <w:highlight w:val="none"/>
        </w:rPr>
        <w:t>少于</w:t>
      </w:r>
      <w:r>
        <w:rPr>
          <w:rFonts w:hint="eastAsia" w:ascii="宋体" w:hAnsi="宋体" w:eastAsia="宋体"/>
          <w:color w:val="auto"/>
          <w:sz w:val="24"/>
          <w:highlight w:val="none"/>
          <w:lang w:val="en-US" w:eastAsia="zh-CN"/>
        </w:rPr>
        <w:t>成员总数的</w:t>
      </w:r>
      <w:r>
        <w:rPr>
          <w:rFonts w:hint="eastAsia" w:ascii="宋体" w:hAnsi="宋体" w:eastAsia="宋体"/>
          <w:color w:val="auto"/>
          <w:sz w:val="24"/>
          <w:highlight w:val="none"/>
        </w:rPr>
        <w:t>三分之二。</w:t>
      </w:r>
      <w:r>
        <w:rPr>
          <w:rFonts w:hint="default" w:ascii="宋体" w:hAnsi="宋体" w:eastAsia="宋体"/>
          <w:color w:val="auto"/>
          <w:sz w:val="24"/>
          <w:highlight w:val="none"/>
          <w:lang w:val="en-US" w:eastAsia="zh-CN"/>
        </w:rPr>
        <w:t>采购人或者采购代理机构应当从省级以上财政部门设立的政府采购评审专家库中，通过随机方式抽取评审专家。</w:t>
      </w:r>
    </w:p>
    <w:p w14:paraId="32DE7801">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28.2 </w:t>
      </w:r>
      <w:r>
        <w:rPr>
          <w:rFonts w:ascii="宋体" w:hAnsi="宋体" w:eastAsia="宋体"/>
          <w:color w:val="auto"/>
          <w:sz w:val="24"/>
          <w:highlight w:val="none"/>
          <w:lang w:val="en-US" w:eastAsia="zh-CN"/>
        </w:rPr>
        <w:t>采购项目符合下列情形之一的，评标委员会成员人数应当为</w:t>
      </w:r>
      <w:r>
        <w:rPr>
          <w:rFonts w:hint="default" w:ascii="宋体" w:hAnsi="宋体" w:eastAsia="宋体"/>
          <w:color w:val="auto"/>
          <w:sz w:val="24"/>
          <w:highlight w:val="none"/>
          <w:lang w:val="en-US" w:eastAsia="zh-CN"/>
        </w:rPr>
        <w:t>7人以上单数：</w:t>
      </w:r>
    </w:p>
    <w:p w14:paraId="05C639B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1</w:t>
      </w:r>
      <w:r>
        <w:rPr>
          <w:rFonts w:hint="default" w:ascii="宋体" w:hAnsi="宋体" w:eastAsia="宋体"/>
          <w:color w:val="auto"/>
          <w:sz w:val="24"/>
          <w:highlight w:val="none"/>
          <w:lang w:val="en-US" w:eastAsia="zh-CN"/>
        </w:rPr>
        <w:t>）采购预算金额在1000万元以上；</w:t>
      </w:r>
    </w:p>
    <w:p w14:paraId="67DFE620">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2</w:t>
      </w:r>
      <w:r>
        <w:rPr>
          <w:rFonts w:hint="default" w:ascii="宋体" w:hAnsi="宋体" w:eastAsia="宋体"/>
          <w:color w:val="auto"/>
          <w:sz w:val="24"/>
          <w:highlight w:val="none"/>
          <w:lang w:val="en-US" w:eastAsia="zh-CN"/>
        </w:rPr>
        <w:t>）技术复杂；</w:t>
      </w:r>
    </w:p>
    <w:p w14:paraId="6B9FB10B">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default" w:ascii="宋体" w:hAnsi="宋体" w:eastAsia="宋体"/>
          <w:color w:val="auto"/>
          <w:sz w:val="24"/>
          <w:highlight w:val="none"/>
          <w:lang w:val="en-US" w:eastAsia="zh-CN"/>
        </w:rPr>
        <w:t>（</w:t>
      </w:r>
      <w:r>
        <w:rPr>
          <w:rFonts w:hint="eastAsia" w:ascii="宋体" w:hAnsi="宋体" w:eastAsia="宋体"/>
          <w:color w:val="auto"/>
          <w:sz w:val="24"/>
          <w:highlight w:val="none"/>
          <w:lang w:val="en-US" w:eastAsia="zh-CN"/>
        </w:rPr>
        <w:t>3</w:t>
      </w:r>
      <w:r>
        <w:rPr>
          <w:rFonts w:hint="default" w:ascii="宋体" w:hAnsi="宋体" w:eastAsia="宋体"/>
          <w:color w:val="auto"/>
          <w:sz w:val="24"/>
          <w:highlight w:val="none"/>
          <w:lang w:val="en-US" w:eastAsia="zh-CN"/>
        </w:rPr>
        <w:t>）社会影响较大。</w:t>
      </w:r>
    </w:p>
    <w:p w14:paraId="4590A674">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28.3</w:t>
      </w:r>
      <w:r>
        <w:rPr>
          <w:rFonts w:hint="default" w:ascii="宋体" w:hAnsi="宋体" w:eastAsia="宋体"/>
          <w:color w:val="auto"/>
          <w:sz w:val="24"/>
          <w:highlight w:val="none"/>
          <w:lang w:val="en-US" w:eastAsia="zh-CN"/>
        </w:rPr>
        <w:t>评审专家对本单位的采购项目只能作为采购人代表参与评标，对技术复杂、专业性强的采购项目，通过随机方式难以确定合适评审专家的，经主管预算单位同意，采购人可以自行选定相应专业领域的评审专家。采购代理机构工作人员不得参加由本机构代理的政府采购项目的评标。</w:t>
      </w:r>
    </w:p>
    <w:p w14:paraId="16E9280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28.4</w:t>
      </w:r>
      <w:r>
        <w:rPr>
          <w:rFonts w:hint="default" w:ascii="宋体" w:hAnsi="宋体" w:eastAsia="宋体"/>
          <w:color w:val="auto"/>
          <w:sz w:val="24"/>
          <w:highlight w:val="none"/>
          <w:lang w:val="en-US" w:eastAsia="zh-CN"/>
        </w:rPr>
        <w:t>评标委员会成员名单在评标结果公告前应当保密。</w:t>
      </w:r>
    </w:p>
    <w:p w14:paraId="2F8842E2">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28.5</w:t>
      </w:r>
      <w:r>
        <w:rPr>
          <w:rFonts w:hint="default" w:ascii="宋体" w:hAnsi="宋体" w:eastAsia="宋体"/>
          <w:color w:val="auto"/>
          <w:sz w:val="24"/>
          <w:highlight w:val="none"/>
          <w:lang w:val="en-US" w:eastAsia="zh-CN"/>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28948BF7">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28.6</w:t>
      </w:r>
      <w:r>
        <w:rPr>
          <w:rFonts w:hint="default" w:ascii="宋体" w:hAnsi="宋体" w:eastAsia="宋体"/>
          <w:color w:val="auto"/>
          <w:sz w:val="24"/>
          <w:highlight w:val="none"/>
          <w:lang w:val="en-US" w:eastAsia="zh-CN"/>
        </w:rPr>
        <w:t>无法及时补足评标委员会成员的，采购人或者采购代理机构应当停止评标活动，封存所有投标文件和开标、评标资料，依法重新组建评标委员会进行评标。原评标委员会所作出的评标意见无效。</w:t>
      </w:r>
    </w:p>
    <w:p w14:paraId="301CAD81">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8</w:t>
      </w:r>
      <w:r>
        <w:rPr>
          <w:rFonts w:hint="eastAsia" w:eastAsia="宋体"/>
          <w:color w:val="auto"/>
          <w:sz w:val="24"/>
          <w:highlight w:val="none"/>
        </w:rPr>
        <w:t>.</w:t>
      </w:r>
      <w:r>
        <w:rPr>
          <w:rFonts w:hint="eastAsia" w:eastAsia="宋体"/>
          <w:color w:val="auto"/>
          <w:sz w:val="24"/>
          <w:highlight w:val="none"/>
          <w:lang w:val="en-US" w:eastAsia="zh-CN"/>
        </w:rPr>
        <w:t>7</w:t>
      </w:r>
      <w:r>
        <w:rPr>
          <w:rFonts w:hint="eastAsia" w:eastAsia="宋体"/>
          <w:color w:val="auto"/>
          <w:sz w:val="24"/>
          <w:highlight w:val="none"/>
        </w:rPr>
        <w:t xml:space="preserve"> 评标委员会成员有下列情形之一的，应当回避：</w:t>
      </w:r>
    </w:p>
    <w:p w14:paraId="0656ACEF">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（1）参加采购活动前3年内与投标人存在劳动关系；</w:t>
      </w:r>
    </w:p>
    <w:p w14:paraId="55B6A1BF">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（2）参加采购活动前3年内担任投标人的董事、监事；</w:t>
      </w:r>
    </w:p>
    <w:p w14:paraId="61A1D2B8">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（3）参加采购活动前3年内是投标人的控股股东或实际控制人；</w:t>
      </w:r>
    </w:p>
    <w:p w14:paraId="2961D582">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（4）与投标人的法定代表人或者负责人有夫妻、直系血亲、三代以内旁系血亲或者近姻亲关系；</w:t>
      </w:r>
    </w:p>
    <w:p w14:paraId="20FB9B78">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（5）与投标人有其他可能影响采购活动公平、公正进行的关系。</w:t>
      </w:r>
    </w:p>
    <w:p w14:paraId="25BEA5A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20" w:name="_Toc26969"/>
      <w:bookmarkStart w:id="321" w:name="_Toc3667"/>
      <w:bookmarkStart w:id="322" w:name="_Toc15103"/>
      <w:bookmarkStart w:id="323" w:name="_Toc163492858"/>
      <w:bookmarkStart w:id="324" w:name="_Toc140132791"/>
      <w:bookmarkStart w:id="325" w:name="_Toc23723"/>
      <w:r>
        <w:rPr>
          <w:rFonts w:hint="eastAsia" w:ascii="宋体" w:hAnsi="宋体" w:eastAsia="宋体" w:cs="宋体"/>
          <w:b/>
          <w:bCs/>
          <w:color w:val="auto"/>
          <w:kern w:val="2"/>
          <w:sz w:val="24"/>
          <w:szCs w:val="28"/>
          <w:highlight w:val="none"/>
          <w:lang w:val="en-US" w:eastAsia="zh-CN" w:bidi="ar-SA"/>
        </w:rPr>
        <w:t>29.评标</w:t>
      </w:r>
      <w:bookmarkEnd w:id="320"/>
      <w:bookmarkEnd w:id="321"/>
      <w:bookmarkEnd w:id="322"/>
      <w:bookmarkEnd w:id="323"/>
      <w:bookmarkEnd w:id="324"/>
      <w:bookmarkEnd w:id="325"/>
    </w:p>
    <w:p w14:paraId="6D0B095D">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eastAsia="zh-CN"/>
        </w:rPr>
      </w:pPr>
      <w:r>
        <w:rPr>
          <w:rFonts w:hint="eastAsia" w:eastAsia="宋体"/>
          <w:color w:val="auto"/>
          <w:sz w:val="24"/>
          <w:highlight w:val="none"/>
          <w:lang w:val="en-US" w:eastAsia="zh-CN"/>
        </w:rPr>
        <w:t>29</w:t>
      </w:r>
      <w:r>
        <w:rPr>
          <w:rFonts w:hint="eastAsia" w:eastAsia="宋体"/>
          <w:color w:val="auto"/>
          <w:sz w:val="24"/>
          <w:highlight w:val="none"/>
        </w:rPr>
        <w:t>.1</w:t>
      </w:r>
      <w:r>
        <w:rPr>
          <w:rFonts w:hint="eastAsia" w:eastAsia="宋体"/>
          <w:color w:val="auto"/>
          <w:sz w:val="24"/>
          <w:highlight w:val="none"/>
          <w:lang w:val="en-US" w:eastAsia="zh-CN"/>
        </w:rPr>
        <w:t xml:space="preserve"> 评标方法分为综合评分法和</w:t>
      </w:r>
      <w:r>
        <w:rPr>
          <w:rFonts w:eastAsia="宋体"/>
          <w:color w:val="auto"/>
          <w:sz w:val="24"/>
          <w:highlight w:val="none"/>
        </w:rPr>
        <w:t>最低评标价法</w:t>
      </w:r>
      <w:r>
        <w:rPr>
          <w:rFonts w:hint="eastAsia" w:eastAsia="宋体"/>
          <w:color w:val="auto"/>
          <w:sz w:val="24"/>
          <w:highlight w:val="none"/>
          <w:lang w:eastAsia="zh-CN"/>
        </w:rPr>
        <w:t>，</w:t>
      </w:r>
      <w:r>
        <w:rPr>
          <w:rFonts w:eastAsia="宋体"/>
          <w:color w:val="auto"/>
          <w:sz w:val="24"/>
          <w:highlight w:val="none"/>
        </w:rPr>
        <w:t>本项目</w:t>
      </w:r>
      <w:r>
        <w:rPr>
          <w:rFonts w:hint="eastAsia" w:eastAsia="宋体"/>
          <w:color w:val="auto"/>
          <w:sz w:val="24"/>
          <w:highlight w:val="none"/>
        </w:rPr>
        <w:t>评标</w:t>
      </w:r>
      <w:r>
        <w:rPr>
          <w:rFonts w:hint="eastAsia" w:eastAsia="宋体"/>
          <w:color w:val="auto"/>
          <w:sz w:val="24"/>
          <w:highlight w:val="none"/>
          <w:lang w:val="en-US" w:eastAsia="zh-CN"/>
        </w:rPr>
        <w:t>方法详见</w:t>
      </w:r>
      <w:r>
        <w:rPr>
          <w:rFonts w:hint="eastAsia" w:eastAsia="宋体"/>
          <w:color w:val="auto"/>
          <w:sz w:val="24"/>
          <w:highlight w:val="none"/>
        </w:rPr>
        <w:t>“投标人须知前附表”</w:t>
      </w:r>
      <w:r>
        <w:rPr>
          <w:rFonts w:hint="eastAsia" w:eastAsia="宋体"/>
          <w:color w:val="auto"/>
          <w:sz w:val="24"/>
          <w:highlight w:val="none"/>
          <w:lang w:eastAsia="zh-CN"/>
        </w:rPr>
        <w:t>。</w:t>
      </w:r>
    </w:p>
    <w:p w14:paraId="2BC22B3E">
      <w:pPr>
        <w:pStyle w:val="36"/>
        <w:rPr>
          <w:rFonts w:eastAsia="宋体"/>
          <w:color w:val="auto"/>
          <w:sz w:val="24"/>
          <w:highlight w:val="none"/>
        </w:rPr>
      </w:pPr>
      <w:r>
        <w:rPr>
          <w:rFonts w:eastAsia="宋体"/>
          <w:color w:val="auto"/>
          <w:sz w:val="24"/>
          <w:highlight w:val="none"/>
        </w:rPr>
        <w:t>2</w:t>
      </w:r>
      <w:r>
        <w:rPr>
          <w:rFonts w:hint="eastAsia" w:eastAsia="宋体"/>
          <w:color w:val="auto"/>
          <w:sz w:val="24"/>
          <w:highlight w:val="none"/>
          <w:lang w:val="en-US" w:eastAsia="zh-CN"/>
        </w:rPr>
        <w:t>9.1.1</w:t>
      </w:r>
      <w:r>
        <w:rPr>
          <w:rFonts w:eastAsia="宋体"/>
          <w:color w:val="auto"/>
          <w:sz w:val="24"/>
          <w:highlight w:val="none"/>
        </w:rPr>
        <w:t>综合评分法，是指投标文件满足招标文件全部实质性要求</w:t>
      </w:r>
      <w:r>
        <w:rPr>
          <w:rFonts w:hint="eastAsia" w:eastAsia="宋体"/>
          <w:color w:val="auto"/>
          <w:sz w:val="24"/>
          <w:highlight w:val="none"/>
          <w:lang w:eastAsia="zh-CN"/>
        </w:rPr>
        <w:t>，</w:t>
      </w:r>
      <w:r>
        <w:rPr>
          <w:rFonts w:eastAsia="宋体"/>
          <w:color w:val="auto"/>
          <w:sz w:val="24"/>
          <w:highlight w:val="none"/>
        </w:rPr>
        <w:t>且按照评审因素的量化指标评审得分最高的投标人为中标候选人的评标方法。</w:t>
      </w:r>
    </w:p>
    <w:p w14:paraId="0E3867EE">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29.1.2.</w:t>
      </w:r>
      <w:r>
        <w:rPr>
          <w:rFonts w:eastAsia="宋体"/>
          <w:color w:val="auto"/>
          <w:sz w:val="24"/>
          <w:highlight w:val="none"/>
        </w:rPr>
        <w:t>最低评标价法，是指投标文件满足招标文件全部实质性要求</w:t>
      </w:r>
      <w:r>
        <w:rPr>
          <w:rFonts w:hint="eastAsia" w:eastAsia="宋体"/>
          <w:color w:val="auto"/>
          <w:sz w:val="24"/>
          <w:highlight w:val="none"/>
          <w:lang w:eastAsia="zh-CN"/>
        </w:rPr>
        <w:t>，</w:t>
      </w:r>
      <w:r>
        <w:rPr>
          <w:rFonts w:eastAsia="宋体"/>
          <w:color w:val="auto"/>
          <w:sz w:val="24"/>
          <w:highlight w:val="none"/>
        </w:rPr>
        <w:t>且投标报价最低的投标人为中标候选人的评标方法。</w:t>
      </w:r>
    </w:p>
    <w:p w14:paraId="418DE4CD">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lang w:val="en-US" w:eastAsia="zh-CN"/>
        </w:rPr>
        <w:t>29</w:t>
      </w:r>
      <w:r>
        <w:rPr>
          <w:rFonts w:hint="eastAsia" w:eastAsia="宋体"/>
          <w:color w:val="auto"/>
          <w:sz w:val="24"/>
          <w:highlight w:val="none"/>
        </w:rPr>
        <w:t>.</w:t>
      </w:r>
      <w:r>
        <w:rPr>
          <w:rFonts w:hint="eastAsia" w:eastAsia="宋体"/>
          <w:color w:val="auto"/>
          <w:sz w:val="24"/>
          <w:highlight w:val="none"/>
          <w:lang w:val="en-US" w:eastAsia="zh-CN"/>
        </w:rPr>
        <w:t xml:space="preserve">2 </w:t>
      </w:r>
      <w:r>
        <w:rPr>
          <w:rFonts w:hint="eastAsia" w:eastAsia="宋体"/>
          <w:color w:val="auto"/>
          <w:sz w:val="24"/>
          <w:highlight w:val="none"/>
        </w:rPr>
        <w:t>评标委员会按照“第五章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的</w:t>
      </w:r>
      <w:r>
        <w:rPr>
          <w:rFonts w:hint="eastAsia" w:eastAsia="宋体"/>
          <w:color w:val="auto"/>
          <w:sz w:val="24"/>
          <w:highlight w:val="none"/>
        </w:rPr>
        <w:t>规定对投标文件进行评审。“第五章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法及标准”没有规定的方法、评审因素和标准，不作为评标依据。</w:t>
      </w:r>
    </w:p>
    <w:p w14:paraId="1A9007D8">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29</w:t>
      </w:r>
      <w:r>
        <w:rPr>
          <w:rFonts w:hint="eastAsia" w:eastAsia="宋体"/>
          <w:color w:val="auto"/>
          <w:sz w:val="24"/>
          <w:highlight w:val="none"/>
        </w:rPr>
        <w:t>.</w:t>
      </w:r>
      <w:r>
        <w:rPr>
          <w:rFonts w:hint="eastAsia" w:eastAsia="宋体"/>
          <w:color w:val="auto"/>
          <w:sz w:val="24"/>
          <w:highlight w:val="none"/>
          <w:lang w:val="en-US" w:eastAsia="zh-CN"/>
        </w:rPr>
        <w:t xml:space="preserve">3 </w:t>
      </w:r>
      <w:r>
        <w:rPr>
          <w:rFonts w:hint="eastAsia" w:eastAsia="宋体"/>
          <w:color w:val="auto"/>
          <w:sz w:val="24"/>
          <w:highlight w:val="none"/>
        </w:rPr>
        <w:t>评标委员会按“投标人须知前附表”规定的中标候选人数量在评标报告中向采购人推荐中标候选人。</w:t>
      </w:r>
    </w:p>
    <w:p w14:paraId="1E63454C">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29.4 开标之后，直到签订合同止，凡是属于审查、澄清、评价和比较投标的有关资料以及定标意向等，均不得向投标人或者其他与评标无关的人员透露。</w:t>
      </w:r>
    </w:p>
    <w:p w14:paraId="57927CBE">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29.5 在确定中标人之前，投标人试图在投标文件审查、澄清、比较和评标时对评标委员会、采购人和采购代理机构施加任何影响都可能导致其</w:t>
      </w:r>
      <w:r>
        <w:rPr>
          <w:rFonts w:hint="eastAsia" w:eastAsia="宋体"/>
          <w:b/>
          <w:bCs/>
          <w:color w:val="auto"/>
          <w:sz w:val="24"/>
          <w:highlight w:val="none"/>
          <w:lang w:val="en-US" w:eastAsia="zh-CN"/>
        </w:rPr>
        <w:t>投标无效</w:t>
      </w:r>
      <w:r>
        <w:rPr>
          <w:rFonts w:hint="eastAsia" w:eastAsia="宋体"/>
          <w:color w:val="auto"/>
          <w:sz w:val="24"/>
          <w:highlight w:val="none"/>
          <w:lang w:val="en-US" w:eastAsia="zh-CN"/>
        </w:rPr>
        <w:t>。</w:t>
      </w:r>
    </w:p>
    <w:p w14:paraId="32A32003">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 电子招投标的应急措施</w:t>
      </w:r>
    </w:p>
    <w:p w14:paraId="52525CD6">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29.6.1电子开标、评标如出现下列原因，导致系统无法正常运行或无法正常评标时，应采取应急措施。</w:t>
      </w:r>
    </w:p>
    <w:p w14:paraId="3D99F562">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（1）系统服务器发生故障，无法访问或无法使用系统；</w:t>
      </w:r>
    </w:p>
    <w:p w14:paraId="518B308A">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（2）系统的软件或数据库出现错误，不能进行正常操作；</w:t>
      </w:r>
    </w:p>
    <w:p w14:paraId="657BA7B3">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（3）系统发现有安全漏洞，有潜在的泄密危险；</w:t>
      </w:r>
    </w:p>
    <w:p w14:paraId="26B15397">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（4）病毒发作或受到外来病毒的攻击；</w:t>
      </w:r>
    </w:p>
    <w:p w14:paraId="6BCA43D9">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（5）出现其他不可抗拒的客观原因造成开评标系统无法正常使用。</w:t>
      </w:r>
    </w:p>
    <w:p w14:paraId="2BA3CE00">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出现上述情况时，应对未开标的暂停开标。已在系统内开标、评标的立即停止。采取应急措施时，必须对原有资料及信息作出妥善保密处理。</w:t>
      </w:r>
    </w:p>
    <w:p w14:paraId="791CC4F0">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29.6.2因系统原因导致投标人均无法解密电子投标文件时，采购代理机构可在开标现场直接导入投标人在投标截止时间前递交的未加密的电子投标文件进行开标、评标。</w:t>
      </w:r>
    </w:p>
    <w:p w14:paraId="28CD45E0">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29.7 投标人瑕疵滞后发现的处理规则</w:t>
      </w:r>
    </w:p>
    <w:p w14:paraId="11E85EAD">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29.7.1无论基于何种原因，各项本应作</w:t>
      </w:r>
      <w:r>
        <w:rPr>
          <w:rFonts w:hint="eastAsia" w:eastAsia="宋体"/>
          <w:b/>
          <w:bCs/>
          <w:color w:val="auto"/>
          <w:sz w:val="24"/>
          <w:highlight w:val="none"/>
          <w:lang w:val="en-US" w:eastAsia="zh-CN"/>
        </w:rPr>
        <w:t>无效投标</w:t>
      </w:r>
      <w:r>
        <w:rPr>
          <w:rFonts w:hint="eastAsia" w:eastAsia="宋体"/>
          <w:color w:val="auto"/>
          <w:sz w:val="24"/>
          <w:highlight w:val="none"/>
          <w:lang w:val="en-US" w:eastAsia="zh-CN"/>
        </w:rPr>
        <w:t>处理的情形即便未被及时发现而使该投标人进入初审、综合评审或其他后续程序，包括已经签订合同的情形，一旦该投标人的投标作无效投标处理或该投标人的此前评议结果被取消，其现有的位置将被其他投标人依序替代，相关的一切损失均由该投标人承担。</w:t>
      </w:r>
    </w:p>
    <w:p w14:paraId="34027149">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26" w:name="_Toc22170"/>
      <w:bookmarkStart w:id="327" w:name="_Toc155185879"/>
      <w:bookmarkStart w:id="328" w:name="_Toc4255"/>
      <w:bookmarkStart w:id="329" w:name="_Toc8349"/>
      <w:bookmarkStart w:id="330" w:name="_Toc1414"/>
      <w:bookmarkStart w:id="331" w:name="_Toc163492859"/>
      <w:bookmarkStart w:id="332" w:name="_Toc140132792"/>
      <w:r>
        <w:rPr>
          <w:rFonts w:hint="eastAsia" w:ascii="宋体" w:hAnsi="宋体" w:eastAsia="宋体" w:cstheme="minorBidi"/>
          <w:b/>
          <w:bCs/>
          <w:color w:val="auto"/>
          <w:kern w:val="2"/>
          <w:sz w:val="24"/>
          <w:szCs w:val="32"/>
          <w:highlight w:val="none"/>
          <w:lang w:val="en-US" w:eastAsia="zh-CN" w:bidi="ar-SA"/>
        </w:rPr>
        <w:t>（八）中标</w:t>
      </w:r>
      <w:bookmarkEnd w:id="326"/>
      <w:bookmarkEnd w:id="327"/>
      <w:bookmarkEnd w:id="328"/>
      <w:bookmarkEnd w:id="329"/>
      <w:bookmarkEnd w:id="330"/>
      <w:bookmarkEnd w:id="331"/>
      <w:bookmarkEnd w:id="332"/>
    </w:p>
    <w:p w14:paraId="37B6B95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33" w:name="_Toc140132793"/>
      <w:bookmarkStart w:id="334" w:name="_Toc9777"/>
      <w:bookmarkStart w:id="335" w:name="_Toc4784"/>
      <w:bookmarkStart w:id="336" w:name="_Toc26318"/>
      <w:bookmarkStart w:id="337" w:name="_Toc31516"/>
      <w:bookmarkStart w:id="338" w:name="_Toc163492860"/>
      <w:r>
        <w:rPr>
          <w:rFonts w:hint="eastAsia" w:ascii="宋体" w:hAnsi="宋体" w:eastAsia="宋体" w:cs="宋体"/>
          <w:b/>
          <w:bCs/>
          <w:color w:val="auto"/>
          <w:kern w:val="2"/>
          <w:sz w:val="24"/>
          <w:szCs w:val="28"/>
          <w:highlight w:val="none"/>
          <w:lang w:val="en-US" w:eastAsia="zh-CN" w:bidi="ar-SA"/>
        </w:rPr>
        <w:t>30.确定中标人</w:t>
      </w:r>
      <w:bookmarkEnd w:id="333"/>
      <w:bookmarkEnd w:id="334"/>
      <w:bookmarkEnd w:id="335"/>
      <w:bookmarkEnd w:id="336"/>
      <w:bookmarkEnd w:id="337"/>
      <w:bookmarkEnd w:id="338"/>
    </w:p>
    <w:p w14:paraId="23CC2B81">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eastAsia="宋体"/>
          <w:color w:val="auto"/>
          <w:sz w:val="24"/>
          <w:highlight w:val="none"/>
          <w:lang w:val="en-US" w:eastAsia="zh-CN"/>
        </w:rPr>
        <w:t>30.1</w:t>
      </w:r>
      <w:r>
        <w:rPr>
          <w:rFonts w:hint="eastAsia" w:ascii="宋体" w:hAnsi="宋体" w:eastAsia="宋体" w:cs="宋体"/>
          <w:color w:val="auto"/>
          <w:kern w:val="0"/>
          <w:sz w:val="24"/>
          <w:szCs w:val="24"/>
          <w:highlight w:val="none"/>
          <w:lang w:val="en-US" w:eastAsia="zh-CN" w:bidi="ar"/>
        </w:rPr>
        <w:t>采购人将在评标报告确定的中标候选人名单中按顺序确定中标人，中标候选人并列的，按照</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确定中标人；招标文件未规定的，采取随机抽取的方式确定。采购人是否委托评标委员会直接确定中标人，见</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w:t>
      </w:r>
    </w:p>
    <w:p w14:paraId="1B14917F">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w:t>
      </w:r>
      <w:r>
        <w:rPr>
          <w:rFonts w:hint="eastAsia" w:eastAsia="宋体" w:cs="宋体"/>
          <w:color w:val="auto"/>
          <w:kern w:val="0"/>
          <w:sz w:val="24"/>
          <w:szCs w:val="24"/>
          <w:highlight w:val="none"/>
          <w:lang w:val="en-US" w:eastAsia="zh-CN" w:bidi="ar"/>
        </w:rPr>
        <w:t>0</w:t>
      </w:r>
      <w:r>
        <w:rPr>
          <w:rFonts w:hint="eastAsia" w:ascii="宋体" w:hAnsi="宋体" w:eastAsia="宋体" w:cs="宋体"/>
          <w:color w:val="auto"/>
          <w:kern w:val="0"/>
          <w:sz w:val="24"/>
          <w:szCs w:val="24"/>
          <w:highlight w:val="none"/>
          <w:lang w:val="en-US" w:eastAsia="zh-CN" w:bidi="ar"/>
        </w:rPr>
        <w:t>.</w:t>
      </w:r>
      <w:r>
        <w:rPr>
          <w:rFonts w:hint="eastAsia" w:eastAsia="宋体" w:cs="宋体"/>
          <w:color w:val="auto"/>
          <w:kern w:val="0"/>
          <w:sz w:val="24"/>
          <w:szCs w:val="24"/>
          <w:highlight w:val="none"/>
          <w:lang w:val="en-US" w:eastAsia="zh-CN" w:bidi="ar"/>
        </w:rPr>
        <w:t>2采</w:t>
      </w:r>
      <w:r>
        <w:rPr>
          <w:rFonts w:hint="eastAsia" w:ascii="宋体" w:hAnsi="宋体" w:eastAsia="宋体" w:cs="宋体"/>
          <w:color w:val="auto"/>
          <w:kern w:val="0"/>
          <w:sz w:val="24"/>
          <w:szCs w:val="24"/>
          <w:highlight w:val="none"/>
          <w:lang w:val="en-US" w:eastAsia="zh-CN" w:bidi="ar"/>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Pr>
          <w:rFonts w:hint="eastAsia" w:eastAsia="宋体"/>
          <w:color w:val="auto"/>
          <w:sz w:val="24"/>
          <w:highlight w:val="none"/>
        </w:rPr>
        <w:t>“投标人须知前附表”</w:t>
      </w:r>
      <w:r>
        <w:rPr>
          <w:rFonts w:hint="eastAsia" w:ascii="宋体" w:hAnsi="宋体" w:eastAsia="宋体" w:cs="宋体"/>
          <w:color w:val="auto"/>
          <w:kern w:val="0"/>
          <w:sz w:val="24"/>
          <w:szCs w:val="24"/>
          <w:highlight w:val="none"/>
          <w:lang w:val="en-US" w:eastAsia="zh-CN" w:bidi="ar"/>
        </w:rPr>
        <w:t>规定的方式确定一个投标人获得中标人推荐资格，招标文件未规定的采取随机抽取方式确定，其他同品牌投标人不作为中标候选人。</w:t>
      </w:r>
    </w:p>
    <w:p w14:paraId="5EF9107C">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hint="eastAsia" w:eastAsia="宋体" w:cs="宋体"/>
          <w:color w:val="auto"/>
          <w:kern w:val="0"/>
          <w:sz w:val="24"/>
          <w:szCs w:val="24"/>
          <w:highlight w:val="none"/>
          <w:lang w:val="en-US" w:eastAsia="zh-CN" w:bidi="ar"/>
        </w:rPr>
      </w:pPr>
      <w:r>
        <w:rPr>
          <w:rFonts w:hint="eastAsia" w:eastAsia="宋体" w:cs="宋体"/>
          <w:color w:val="auto"/>
          <w:kern w:val="0"/>
          <w:sz w:val="24"/>
          <w:szCs w:val="24"/>
          <w:highlight w:val="none"/>
          <w:lang w:val="en-US" w:eastAsia="zh-CN" w:bidi="ar"/>
        </w:rPr>
        <w:t>30.3采用最低评标价法的采购项目，提供相同品牌产品的不同投标人参加同一合同项下投标的，以其中通过资格审查、符合性审查且报价最低的参加评标；报价相同的，由采购人或者采购人委托评标委员会按照</w:t>
      </w:r>
      <w:r>
        <w:rPr>
          <w:rFonts w:hint="eastAsia" w:eastAsia="宋体"/>
          <w:color w:val="auto"/>
          <w:sz w:val="24"/>
          <w:highlight w:val="none"/>
        </w:rPr>
        <w:t>“投标人须知前附表”</w:t>
      </w:r>
      <w:r>
        <w:rPr>
          <w:rFonts w:hint="eastAsia" w:eastAsia="宋体" w:cs="宋体"/>
          <w:color w:val="auto"/>
          <w:kern w:val="0"/>
          <w:sz w:val="24"/>
          <w:szCs w:val="24"/>
          <w:highlight w:val="none"/>
          <w:lang w:val="en-US" w:eastAsia="zh-CN" w:bidi="ar"/>
        </w:rPr>
        <w:t>规定的方式确定一个参加评标的投标人，招标文件未规定的采取随机抽取方式确定，其他投标无效。</w:t>
      </w:r>
    </w:p>
    <w:p w14:paraId="4A5A7398">
      <w:pPr>
        <w:keepNext w:val="0"/>
        <w:keepLines w:val="0"/>
        <w:pageBreakBefore w:val="0"/>
        <w:widowControl w:val="0"/>
        <w:suppressLineNumbers w:val="0"/>
        <w:kinsoku/>
        <w:overflowPunct/>
        <w:topLinePunct w:val="0"/>
        <w:autoSpaceDE/>
        <w:autoSpaceDN/>
        <w:bidi w:val="0"/>
        <w:adjustRightInd/>
        <w:ind w:firstLine="480" w:firstLineChars="200"/>
        <w:jc w:val="left"/>
        <w:textAlignment w:val="auto"/>
        <w:rPr>
          <w:rFonts w:eastAsia="宋体"/>
          <w:color w:val="auto"/>
          <w:sz w:val="24"/>
          <w:highlight w:val="none"/>
        </w:rPr>
      </w:pPr>
      <w:r>
        <w:rPr>
          <w:rFonts w:hint="eastAsia" w:eastAsia="宋体" w:cs="宋体"/>
          <w:color w:val="auto"/>
          <w:kern w:val="0"/>
          <w:sz w:val="24"/>
          <w:szCs w:val="24"/>
          <w:highlight w:val="none"/>
          <w:lang w:val="en-US" w:eastAsia="zh-CN" w:bidi="ar"/>
        </w:rPr>
        <w:t>30.4非单一产品采购项目，采购人应当根据采购项目技术构成、产品价格比重等合理确定核心产品，并在</w:t>
      </w:r>
      <w:r>
        <w:rPr>
          <w:rFonts w:hint="eastAsia" w:eastAsia="宋体"/>
          <w:color w:val="auto"/>
          <w:sz w:val="24"/>
          <w:highlight w:val="none"/>
        </w:rPr>
        <w:t>“投标人须知前附表”</w:t>
      </w:r>
      <w:r>
        <w:rPr>
          <w:rFonts w:hint="eastAsia" w:eastAsia="宋体" w:cs="宋体"/>
          <w:color w:val="auto"/>
          <w:kern w:val="0"/>
          <w:sz w:val="24"/>
          <w:szCs w:val="24"/>
          <w:highlight w:val="none"/>
          <w:lang w:val="en-US" w:eastAsia="zh-CN" w:bidi="ar"/>
        </w:rPr>
        <w:t>中载明。多家投标人提供的核心产品品牌相同的，按前两款规定处理。</w:t>
      </w:r>
      <w:r>
        <w:rPr>
          <w:rFonts w:hint="eastAsia" w:ascii="宋体" w:hAnsi="宋体" w:eastAsia="宋体" w:cs="宋体"/>
          <w:color w:val="auto"/>
          <w:kern w:val="0"/>
          <w:sz w:val="24"/>
          <w:szCs w:val="24"/>
          <w:highlight w:val="none"/>
          <w:lang w:val="en-US" w:eastAsia="zh-CN" w:bidi="ar"/>
        </w:rPr>
        <w:t xml:space="preserve"> </w:t>
      </w:r>
    </w:p>
    <w:p w14:paraId="1897145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39" w:name="_Toc163492861"/>
      <w:bookmarkStart w:id="340" w:name="_Toc24795"/>
      <w:bookmarkStart w:id="341" w:name="_Toc6330"/>
      <w:bookmarkStart w:id="342" w:name="_Toc19155"/>
      <w:bookmarkStart w:id="343" w:name="_Toc7431"/>
      <w:bookmarkStart w:id="344" w:name="_Toc140132794"/>
      <w:r>
        <w:rPr>
          <w:rFonts w:hint="eastAsia" w:ascii="宋体" w:hAnsi="宋体" w:eastAsia="宋体" w:cs="宋体"/>
          <w:b/>
          <w:bCs/>
          <w:color w:val="auto"/>
          <w:kern w:val="2"/>
          <w:sz w:val="24"/>
          <w:szCs w:val="28"/>
          <w:highlight w:val="none"/>
          <w:lang w:val="en-US" w:eastAsia="zh-CN" w:bidi="ar-SA"/>
        </w:rPr>
        <w:t>31.中标结果公告</w:t>
      </w:r>
      <w:bookmarkEnd w:id="339"/>
      <w:bookmarkEnd w:id="340"/>
      <w:bookmarkEnd w:id="341"/>
      <w:bookmarkEnd w:id="342"/>
      <w:bookmarkEnd w:id="343"/>
      <w:bookmarkEnd w:id="344"/>
    </w:p>
    <w:p w14:paraId="712AF3E4">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1</w:t>
      </w:r>
      <w:r>
        <w:rPr>
          <w:rFonts w:hint="eastAsia" w:eastAsia="宋体"/>
          <w:color w:val="auto"/>
          <w:sz w:val="24"/>
          <w:highlight w:val="none"/>
        </w:rPr>
        <w:t>.1</w:t>
      </w:r>
      <w:r>
        <w:rPr>
          <w:rFonts w:hint="eastAsia" w:eastAsia="宋体"/>
          <w:color w:val="auto"/>
          <w:sz w:val="24"/>
          <w:highlight w:val="none"/>
          <w:lang w:val="en-US" w:eastAsia="zh-CN"/>
        </w:rPr>
        <w:t>采购人或</w:t>
      </w:r>
      <w:r>
        <w:rPr>
          <w:rFonts w:hint="eastAsia" w:eastAsia="宋体"/>
          <w:color w:val="auto"/>
          <w:sz w:val="24"/>
          <w:highlight w:val="none"/>
        </w:rPr>
        <w:t>采购代理机构应当自中标人确定之日起2个工作日内，在</w:t>
      </w:r>
      <w:r>
        <w:rPr>
          <w:rFonts w:hint="eastAsia" w:eastAsia="宋体"/>
          <w:color w:val="auto"/>
          <w:sz w:val="24"/>
          <w:highlight w:val="none"/>
          <w:lang w:val="en-US" w:eastAsia="zh-CN"/>
        </w:rPr>
        <w:t>发布招标公告的同一</w:t>
      </w:r>
      <w:r>
        <w:rPr>
          <w:rFonts w:hint="eastAsia" w:eastAsia="宋体"/>
          <w:color w:val="auto"/>
          <w:sz w:val="24"/>
          <w:highlight w:val="none"/>
        </w:rPr>
        <w:t>媒体上发布中标结果公告，</w:t>
      </w:r>
      <w:r>
        <w:rPr>
          <w:rFonts w:hint="eastAsia" w:eastAsia="宋体"/>
          <w:color w:val="auto"/>
          <w:sz w:val="24"/>
          <w:highlight w:val="none"/>
          <w:lang w:val="en-US" w:eastAsia="zh-CN"/>
        </w:rPr>
        <w:t>同时向中标人</w:t>
      </w:r>
      <w:r>
        <w:rPr>
          <w:rFonts w:hint="eastAsia" w:eastAsia="宋体"/>
          <w:color w:val="auto"/>
          <w:sz w:val="24"/>
          <w:highlight w:val="none"/>
        </w:rPr>
        <w:t>发出中标通知书</w:t>
      </w:r>
      <w:r>
        <w:rPr>
          <w:rFonts w:hint="eastAsia" w:eastAsia="宋体"/>
          <w:color w:val="auto"/>
          <w:sz w:val="24"/>
          <w:highlight w:val="none"/>
          <w:lang w:eastAsia="zh-CN"/>
        </w:rPr>
        <w:t>。招标文件随中标结果同时公告，</w:t>
      </w:r>
      <w:r>
        <w:rPr>
          <w:rFonts w:hint="eastAsia" w:eastAsia="宋体"/>
          <w:color w:val="auto"/>
          <w:sz w:val="24"/>
          <w:highlight w:val="none"/>
        </w:rPr>
        <w:t>中标结果公告期限为1个工作日。</w:t>
      </w:r>
    </w:p>
    <w:p w14:paraId="5352A1FC">
      <w:pPr>
        <w:pStyle w:val="36"/>
        <w:keepNext w:val="0"/>
        <w:keepLines w:val="0"/>
        <w:pageBreakBefore w:val="0"/>
        <w:widowControl w:val="0"/>
        <w:kinsoku/>
        <w:overflowPunct/>
        <w:topLinePunct w:val="0"/>
        <w:autoSpaceDE/>
        <w:autoSpaceDN/>
        <w:bidi w:val="0"/>
        <w:adjustRightInd/>
        <w:textAlignment w:val="auto"/>
        <w:rPr>
          <w:rFonts w:hint="eastAsia" w:eastAsia="宋体"/>
          <w:bCs/>
          <w:color w:val="auto"/>
          <w:sz w:val="24"/>
          <w:highlight w:val="none"/>
          <w:lang w:eastAsia="zh-CN"/>
        </w:rPr>
      </w:pPr>
      <w:r>
        <w:rPr>
          <w:rFonts w:hint="eastAsia" w:eastAsia="宋体"/>
          <w:bCs/>
          <w:color w:val="auto"/>
          <w:sz w:val="24"/>
          <w:highlight w:val="none"/>
        </w:rPr>
        <w:t>3</w:t>
      </w:r>
      <w:r>
        <w:rPr>
          <w:rFonts w:hint="eastAsia" w:eastAsia="宋体"/>
          <w:bCs/>
          <w:color w:val="auto"/>
          <w:sz w:val="24"/>
          <w:highlight w:val="none"/>
          <w:lang w:val="en-US" w:eastAsia="zh-CN"/>
        </w:rPr>
        <w:t>1</w:t>
      </w:r>
      <w:r>
        <w:rPr>
          <w:rFonts w:eastAsia="宋体"/>
          <w:bCs/>
          <w:color w:val="auto"/>
          <w:sz w:val="24"/>
          <w:highlight w:val="none"/>
        </w:rPr>
        <w:t>.2</w:t>
      </w:r>
      <w:r>
        <w:rPr>
          <w:rFonts w:hint="eastAsia" w:eastAsia="宋体"/>
          <w:bCs/>
          <w:color w:val="auto"/>
          <w:sz w:val="24"/>
          <w:highlight w:val="none"/>
          <w:lang w:eastAsia="zh-CN"/>
        </w:rPr>
        <w:t>中标</w:t>
      </w:r>
      <w:r>
        <w:rPr>
          <w:rFonts w:hint="eastAsia" w:eastAsia="宋体"/>
          <w:bCs/>
          <w:color w:val="auto"/>
          <w:sz w:val="24"/>
          <w:highlight w:val="none"/>
          <w:lang w:val="en-US" w:eastAsia="zh-CN"/>
        </w:rPr>
        <w:t>人</w:t>
      </w:r>
      <w:r>
        <w:rPr>
          <w:rFonts w:hint="eastAsia" w:eastAsia="宋体"/>
          <w:bCs/>
          <w:color w:val="auto"/>
          <w:sz w:val="24"/>
          <w:highlight w:val="none"/>
          <w:lang w:eastAsia="zh-CN"/>
        </w:rPr>
        <w:t>为中小企业</w:t>
      </w:r>
      <w:r>
        <w:rPr>
          <w:rFonts w:hint="eastAsia" w:eastAsia="宋体"/>
          <w:bCs/>
          <w:color w:val="auto"/>
          <w:sz w:val="24"/>
          <w:highlight w:val="none"/>
          <w:lang w:val="en-US" w:eastAsia="zh-CN"/>
        </w:rPr>
        <w:t>享受中小企业扶持政策的</w:t>
      </w:r>
      <w:r>
        <w:rPr>
          <w:rFonts w:hint="eastAsia" w:eastAsia="宋体"/>
          <w:bCs/>
          <w:color w:val="auto"/>
          <w:sz w:val="24"/>
          <w:highlight w:val="none"/>
          <w:lang w:eastAsia="zh-CN"/>
        </w:rPr>
        <w:t>，其“中小企业声明函”随中标结果同时公告。中标</w:t>
      </w:r>
      <w:r>
        <w:rPr>
          <w:rFonts w:hint="eastAsia" w:eastAsia="宋体"/>
          <w:bCs/>
          <w:color w:val="auto"/>
          <w:sz w:val="24"/>
          <w:highlight w:val="none"/>
          <w:lang w:val="en-US" w:eastAsia="zh-CN"/>
        </w:rPr>
        <w:t>人</w:t>
      </w:r>
      <w:r>
        <w:rPr>
          <w:rFonts w:hint="eastAsia" w:eastAsia="宋体"/>
          <w:bCs/>
          <w:color w:val="auto"/>
          <w:sz w:val="24"/>
          <w:highlight w:val="none"/>
          <w:lang w:eastAsia="zh-CN"/>
        </w:rPr>
        <w:t>为残疾人福利性单位的，其“残疾人福利性单位声明函”随中标结果同时公告。</w:t>
      </w:r>
    </w:p>
    <w:p w14:paraId="284DD9EA">
      <w:pPr>
        <w:pStyle w:val="36"/>
        <w:keepNext w:val="0"/>
        <w:keepLines w:val="0"/>
        <w:pageBreakBefore w:val="0"/>
        <w:widowControl w:val="0"/>
        <w:kinsoku/>
        <w:overflowPunct/>
        <w:topLinePunct w:val="0"/>
        <w:autoSpaceDE/>
        <w:autoSpaceDN/>
        <w:bidi w:val="0"/>
        <w:adjustRightInd/>
        <w:textAlignment w:val="auto"/>
        <w:rPr>
          <w:rFonts w:hint="eastAsia" w:ascii="宋体" w:hAnsi="宋体" w:eastAsia="宋体"/>
          <w:bCs/>
          <w:color w:val="auto"/>
          <w:sz w:val="24"/>
          <w:highlight w:val="none"/>
        </w:rPr>
      </w:pPr>
      <w:r>
        <w:rPr>
          <w:rFonts w:hint="eastAsia" w:ascii="宋体" w:hAnsi="宋体" w:eastAsia="宋体"/>
          <w:bCs/>
          <w:color w:val="auto"/>
          <w:sz w:val="24"/>
          <w:highlight w:val="none"/>
          <w:lang w:val="en-US" w:eastAsia="zh-CN"/>
        </w:rPr>
        <w:t>31.3</w:t>
      </w:r>
      <w:r>
        <w:rPr>
          <w:rFonts w:hint="eastAsia" w:ascii="宋体" w:hAnsi="宋体" w:eastAsia="宋体"/>
          <w:bCs/>
          <w:color w:val="auto"/>
          <w:sz w:val="24"/>
          <w:highlight w:val="none"/>
        </w:rPr>
        <w:t>项目采购采用最低评标价法的，公告中标结果时同时公告因落实政府采购政策等原因进行价格扣除后中标</w:t>
      </w:r>
      <w:r>
        <w:rPr>
          <w:rFonts w:hint="eastAsia" w:ascii="宋体" w:hAnsi="宋体" w:eastAsia="宋体"/>
          <w:bCs/>
          <w:color w:val="auto"/>
          <w:sz w:val="24"/>
          <w:highlight w:val="none"/>
          <w:lang w:val="en-US" w:eastAsia="zh-CN"/>
        </w:rPr>
        <w:t>人</w:t>
      </w:r>
      <w:r>
        <w:rPr>
          <w:rFonts w:hint="eastAsia" w:ascii="宋体" w:hAnsi="宋体" w:eastAsia="宋体"/>
          <w:bCs/>
          <w:color w:val="auto"/>
          <w:sz w:val="24"/>
          <w:highlight w:val="none"/>
        </w:rPr>
        <w:t>的评审报价；项目采购采用综合评分法的，公告中标结果时同时公告中标</w:t>
      </w:r>
      <w:r>
        <w:rPr>
          <w:rFonts w:hint="eastAsia" w:ascii="宋体" w:hAnsi="宋体" w:eastAsia="宋体"/>
          <w:bCs/>
          <w:color w:val="auto"/>
          <w:sz w:val="24"/>
          <w:highlight w:val="none"/>
          <w:lang w:val="en-US" w:eastAsia="zh-CN"/>
        </w:rPr>
        <w:t>供应商</w:t>
      </w:r>
      <w:r>
        <w:rPr>
          <w:rFonts w:hint="eastAsia" w:ascii="宋体" w:hAnsi="宋体" w:eastAsia="宋体"/>
          <w:bCs/>
          <w:color w:val="auto"/>
          <w:sz w:val="24"/>
          <w:highlight w:val="none"/>
        </w:rPr>
        <w:t>的评审总得分。</w:t>
      </w:r>
    </w:p>
    <w:p w14:paraId="24E8EB4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45" w:name="_Toc17586"/>
      <w:bookmarkStart w:id="346" w:name="_Toc2830"/>
      <w:bookmarkStart w:id="347" w:name="_Toc7104"/>
      <w:bookmarkStart w:id="348" w:name="_Toc163492862"/>
      <w:bookmarkStart w:id="349" w:name="_Toc17569"/>
      <w:bookmarkStart w:id="350" w:name="_Toc140132795"/>
      <w:r>
        <w:rPr>
          <w:rFonts w:hint="eastAsia" w:ascii="宋体" w:hAnsi="宋体" w:eastAsia="宋体" w:cs="宋体"/>
          <w:b/>
          <w:bCs/>
          <w:color w:val="auto"/>
          <w:kern w:val="2"/>
          <w:sz w:val="24"/>
          <w:szCs w:val="28"/>
          <w:highlight w:val="none"/>
          <w:lang w:val="en-US" w:eastAsia="zh-CN" w:bidi="ar-SA"/>
        </w:rPr>
        <w:t>32.中标通知</w:t>
      </w:r>
      <w:bookmarkEnd w:id="345"/>
      <w:bookmarkEnd w:id="346"/>
      <w:bookmarkEnd w:id="347"/>
      <w:bookmarkEnd w:id="348"/>
      <w:bookmarkEnd w:id="349"/>
      <w:bookmarkEnd w:id="350"/>
    </w:p>
    <w:p w14:paraId="41D33E18">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2</w:t>
      </w:r>
      <w:r>
        <w:rPr>
          <w:rFonts w:hint="eastAsia" w:eastAsia="宋体"/>
          <w:color w:val="auto"/>
          <w:sz w:val="24"/>
          <w:highlight w:val="none"/>
        </w:rPr>
        <w:t>.1采购人和采购代理机构以书面形式向中标人发出中标通知书，同时将招标结果通知未中标的投标人。对未通过资格审查的投标人，应当告知其未通过的原因；采用综合评分法评审的，还应当告知未中标人本人的评审得分与排序。</w:t>
      </w:r>
    </w:p>
    <w:p w14:paraId="67E9F9A5">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32.2中标通知书对采购人和中标人均具有法律效力。中标通知书发出后，采购人改变中标结果的，或者中标人放弃中标项目的，应当依法承担法律责任。</w:t>
      </w:r>
    </w:p>
    <w:p w14:paraId="004C264E">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51" w:name="_Toc9494"/>
      <w:bookmarkStart w:id="352" w:name="_Toc163492863"/>
      <w:bookmarkStart w:id="353" w:name="_Toc4010"/>
      <w:bookmarkStart w:id="354" w:name="_Toc28090"/>
      <w:bookmarkStart w:id="355" w:name="_Toc27448"/>
      <w:r>
        <w:rPr>
          <w:rFonts w:hint="eastAsia" w:ascii="宋体" w:hAnsi="宋体" w:eastAsia="宋体" w:cstheme="minorBidi"/>
          <w:b/>
          <w:bCs/>
          <w:color w:val="auto"/>
          <w:kern w:val="2"/>
          <w:sz w:val="24"/>
          <w:szCs w:val="32"/>
          <w:highlight w:val="none"/>
          <w:lang w:val="en-US" w:eastAsia="zh-CN" w:bidi="ar-SA"/>
        </w:rPr>
        <w:t>（九）签订</w:t>
      </w:r>
      <w:bookmarkStart w:id="356" w:name="_Toc140132796"/>
      <w:bookmarkStart w:id="357" w:name="_Toc155185880"/>
      <w:r>
        <w:rPr>
          <w:rFonts w:hint="eastAsia" w:ascii="宋体" w:hAnsi="宋体" w:eastAsia="宋体" w:cstheme="minorBidi"/>
          <w:b/>
          <w:bCs/>
          <w:color w:val="auto"/>
          <w:kern w:val="2"/>
          <w:sz w:val="24"/>
          <w:szCs w:val="32"/>
          <w:highlight w:val="none"/>
          <w:lang w:val="en-US" w:eastAsia="zh-CN" w:bidi="ar-SA"/>
        </w:rPr>
        <w:t>合同</w:t>
      </w:r>
      <w:bookmarkEnd w:id="351"/>
      <w:bookmarkEnd w:id="352"/>
      <w:bookmarkEnd w:id="353"/>
      <w:bookmarkEnd w:id="354"/>
      <w:bookmarkEnd w:id="355"/>
      <w:bookmarkEnd w:id="356"/>
      <w:bookmarkEnd w:id="357"/>
    </w:p>
    <w:p w14:paraId="547E6B9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58" w:name="_Toc163492864"/>
      <w:bookmarkStart w:id="359" w:name="_Toc18923"/>
      <w:bookmarkStart w:id="360" w:name="_Toc18377"/>
      <w:bookmarkStart w:id="361" w:name="_Toc22178"/>
      <w:bookmarkStart w:id="362" w:name="_Toc140132797"/>
      <w:bookmarkStart w:id="363" w:name="_Toc6972"/>
      <w:r>
        <w:rPr>
          <w:rFonts w:hint="eastAsia" w:ascii="宋体" w:hAnsi="宋体" w:eastAsia="宋体" w:cs="宋体"/>
          <w:b/>
          <w:bCs/>
          <w:color w:val="auto"/>
          <w:kern w:val="2"/>
          <w:sz w:val="24"/>
          <w:szCs w:val="28"/>
          <w:highlight w:val="none"/>
          <w:lang w:val="en-US" w:eastAsia="zh-CN" w:bidi="ar-SA"/>
        </w:rPr>
        <w:t>33.履约保证金</w:t>
      </w:r>
      <w:bookmarkEnd w:id="358"/>
      <w:bookmarkEnd w:id="359"/>
      <w:bookmarkEnd w:id="360"/>
      <w:bookmarkEnd w:id="361"/>
      <w:bookmarkEnd w:id="362"/>
      <w:bookmarkEnd w:id="363"/>
    </w:p>
    <w:p w14:paraId="77717F01">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3</w:t>
      </w:r>
      <w:r>
        <w:rPr>
          <w:rFonts w:hint="eastAsia" w:eastAsia="宋体"/>
          <w:color w:val="auto"/>
          <w:sz w:val="24"/>
          <w:highlight w:val="none"/>
        </w:rPr>
        <w:t>.1在签订合同前，中标人应按“投标人须知前附表”规定的金额、担保形式和采购人认可的履约担保格式向采购人提交履约保证金。</w:t>
      </w:r>
    </w:p>
    <w:p w14:paraId="73BC7DAF">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3</w:t>
      </w:r>
      <w:r>
        <w:rPr>
          <w:rFonts w:hint="eastAsia" w:eastAsia="宋体"/>
          <w:color w:val="auto"/>
          <w:sz w:val="24"/>
          <w:highlight w:val="none"/>
        </w:rPr>
        <w:t>.2中标人不能按本章第</w:t>
      </w:r>
      <w:r>
        <w:rPr>
          <w:rFonts w:eastAsia="宋体"/>
          <w:color w:val="auto"/>
          <w:sz w:val="24"/>
          <w:highlight w:val="none"/>
        </w:rPr>
        <w:t>3</w:t>
      </w:r>
      <w:r>
        <w:rPr>
          <w:rFonts w:hint="eastAsia" w:eastAsia="宋体"/>
          <w:color w:val="auto"/>
          <w:sz w:val="24"/>
          <w:highlight w:val="none"/>
          <w:lang w:val="en-US" w:eastAsia="zh-CN"/>
        </w:rPr>
        <w:t>3</w:t>
      </w:r>
      <w:r>
        <w:rPr>
          <w:rFonts w:hint="eastAsia" w:eastAsia="宋体"/>
          <w:color w:val="auto"/>
          <w:sz w:val="24"/>
          <w:highlight w:val="none"/>
        </w:rPr>
        <w:t>.1项要求提交履约担保的，视为放弃中标，给采购人造成损失的，中标人还应当承担民事责任。</w:t>
      </w:r>
    </w:p>
    <w:p w14:paraId="4B3DD6F8">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64" w:name="_Toc30681"/>
      <w:bookmarkStart w:id="365" w:name="_Toc140132798"/>
      <w:bookmarkStart w:id="366" w:name="_Toc2818"/>
      <w:bookmarkStart w:id="367" w:name="_Toc163492865"/>
      <w:bookmarkStart w:id="368" w:name="_Toc25821"/>
      <w:bookmarkStart w:id="369" w:name="_Toc19464"/>
      <w:r>
        <w:rPr>
          <w:rFonts w:hint="eastAsia" w:ascii="宋体" w:hAnsi="宋体" w:eastAsia="宋体" w:cs="宋体"/>
          <w:b/>
          <w:bCs/>
          <w:color w:val="auto"/>
          <w:kern w:val="2"/>
          <w:sz w:val="24"/>
          <w:szCs w:val="28"/>
          <w:highlight w:val="none"/>
          <w:lang w:val="en-US" w:eastAsia="zh-CN" w:bidi="ar-SA"/>
        </w:rPr>
        <w:t>34.签订合同</w:t>
      </w:r>
      <w:bookmarkEnd w:id="364"/>
      <w:bookmarkEnd w:id="365"/>
      <w:bookmarkEnd w:id="366"/>
      <w:bookmarkEnd w:id="367"/>
      <w:bookmarkEnd w:id="368"/>
      <w:bookmarkEnd w:id="369"/>
    </w:p>
    <w:p w14:paraId="77507EBB">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.1 采购人和中标人应当自中标通知书发出之日起</w:t>
      </w:r>
      <w:r>
        <w:rPr>
          <w:rFonts w:hint="eastAsia" w:eastAsia="宋体"/>
          <w:color w:val="auto"/>
          <w:sz w:val="24"/>
          <w:highlight w:val="none"/>
          <w:lang w:val="en-US" w:eastAsia="zh-CN"/>
        </w:rPr>
        <w:t>25</w:t>
      </w:r>
      <w:r>
        <w:rPr>
          <w:rFonts w:hint="eastAsia" w:eastAsia="宋体"/>
          <w:color w:val="auto"/>
          <w:sz w:val="24"/>
          <w:highlight w:val="none"/>
        </w:rPr>
        <w:t>天内，根据招标文件和中标人的投标文件订立书面合同。</w:t>
      </w:r>
      <w:r>
        <w:rPr>
          <w:rFonts w:hint="eastAsia" w:ascii="宋体" w:hAnsi="宋体" w:eastAsia="宋体"/>
          <w:color w:val="auto"/>
          <w:sz w:val="24"/>
          <w:highlight w:val="none"/>
        </w:rPr>
        <w:t>采购人因不可抗力原因迟延签订合同的，应当自不可抗力事由消除之日起7日内完成合同签订事宜。</w:t>
      </w:r>
      <w:r>
        <w:rPr>
          <w:rFonts w:hint="eastAsia" w:eastAsia="宋体"/>
          <w:color w:val="auto"/>
          <w:sz w:val="24"/>
          <w:highlight w:val="none"/>
        </w:rPr>
        <w:t>所签订的合同不得对招标文件和中标人投标文件作实质性修改。中标人无正当理由拒签合同，给采购人造成损失的，中标人还应当承担民事责任。</w:t>
      </w:r>
    </w:p>
    <w:p w14:paraId="72CF4FDD">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34.2 中标人拒绝与采购人签订合同的，采购人可以按照评标报告推荐的中标候选人名单排序，确定下一候选人为中标人，也可以重新开展政府采购活动。</w:t>
      </w:r>
    </w:p>
    <w:p w14:paraId="0D3421B6">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 xml:space="preserve"> 采购人和中标人不得向对方提出任何不合理的要求，作为签订合同的条件，双方不得私下订立背离合同实质性内容的协议。</w:t>
      </w:r>
    </w:p>
    <w:p w14:paraId="5551DDAE">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en-US" w:eastAsia="zh-CN"/>
        </w:rPr>
      </w:pPr>
      <w:r>
        <w:rPr>
          <w:rFonts w:hint="eastAsia" w:eastAsia="宋体"/>
          <w:color w:val="auto"/>
          <w:sz w:val="24"/>
          <w:highlight w:val="none"/>
          <w:lang w:val="en-US" w:eastAsia="zh-CN"/>
        </w:rPr>
        <w:t>34.4 联合体中标的，联合体各方应当共同与采购人签订合同，就采购合同约定的事项向采购人承担连带责任。</w:t>
      </w:r>
    </w:p>
    <w:p w14:paraId="2BA187E8">
      <w:pPr>
        <w:pStyle w:val="36"/>
        <w:keepNext w:val="0"/>
        <w:keepLines w:val="0"/>
        <w:pageBreakBefore w:val="0"/>
        <w:widowControl w:val="0"/>
        <w:kinsoku/>
        <w:overflowPunct/>
        <w:topLinePunct w:val="0"/>
        <w:autoSpaceDE/>
        <w:autoSpaceDN/>
        <w:bidi w:val="0"/>
        <w:adjustRightInd/>
        <w:textAlignment w:val="auto"/>
        <w:rPr>
          <w:rFonts w:hint="eastAsia" w:eastAsia="宋体"/>
          <w:b/>
          <w:bCs/>
          <w:color w:val="auto"/>
          <w:sz w:val="24"/>
          <w:highlight w:val="none"/>
          <w:lang w:val="en-US" w:eastAsia="zh-CN"/>
        </w:rPr>
      </w:pPr>
      <w:r>
        <w:rPr>
          <w:rFonts w:hint="eastAsia" w:eastAsia="宋体"/>
          <w:color w:val="auto"/>
          <w:sz w:val="24"/>
          <w:highlight w:val="none"/>
          <w:lang w:val="en-US" w:eastAsia="zh-CN"/>
        </w:rPr>
        <w:t>34.5 本项目的非主体、非关键性工作是否允许分包，见“投标人须知前附表”。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eastAsia="宋体"/>
          <w:b/>
          <w:bCs/>
          <w:color w:val="auto"/>
          <w:sz w:val="24"/>
          <w:highlight w:val="none"/>
          <w:lang w:val="en-US" w:eastAsia="zh-CN"/>
        </w:rPr>
        <w:t>投标无效</w:t>
      </w:r>
      <w:r>
        <w:rPr>
          <w:rFonts w:hint="eastAsia" w:eastAsia="宋体"/>
          <w:color w:val="auto"/>
          <w:sz w:val="24"/>
          <w:highlight w:val="none"/>
          <w:lang w:val="en-US" w:eastAsia="zh-CN"/>
        </w:rPr>
        <w:t>。中标人就采购项目和分包项目向采购人负责，分包供应商就分包项目承担责任。</w:t>
      </w:r>
      <w:r>
        <w:rPr>
          <w:rFonts w:hint="eastAsia" w:eastAsia="宋体"/>
          <w:b/>
          <w:bCs/>
          <w:color w:val="auto"/>
          <w:sz w:val="24"/>
          <w:highlight w:val="none"/>
          <w:lang w:val="en-US" w:eastAsia="zh-CN"/>
        </w:rPr>
        <w:t>政府采购合同不能转包。</w:t>
      </w:r>
    </w:p>
    <w:p w14:paraId="13D12B87">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4</w:t>
      </w: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采购合同履行中，采购人需追加与合同标的相同的</w:t>
      </w:r>
      <w:r>
        <w:rPr>
          <w:rFonts w:hint="eastAsia" w:eastAsia="宋体"/>
          <w:color w:val="auto"/>
          <w:sz w:val="24"/>
          <w:highlight w:val="none"/>
          <w:lang w:val="en-US" w:eastAsia="zh-CN"/>
        </w:rPr>
        <w:t>货物、工程或者服务</w:t>
      </w:r>
      <w:r>
        <w:rPr>
          <w:rFonts w:hint="eastAsia" w:eastAsia="宋体"/>
          <w:color w:val="auto"/>
          <w:sz w:val="24"/>
          <w:highlight w:val="none"/>
        </w:rPr>
        <w:t>的，在不改变合同其他条款的前提下，可以与中标人协商签订补充合同，但所有补充合同的采购金额不得超过原合同采购金额的百分之十。</w:t>
      </w:r>
    </w:p>
    <w:p w14:paraId="259D0E8B">
      <w:pPr>
        <w:pStyle w:val="36"/>
        <w:keepNext w:val="0"/>
        <w:keepLines w:val="0"/>
        <w:pageBreakBefore w:val="0"/>
        <w:widowControl w:val="0"/>
        <w:kinsoku/>
        <w:overflowPunct/>
        <w:topLinePunct w:val="0"/>
        <w:autoSpaceDE/>
        <w:autoSpaceDN/>
        <w:bidi w:val="0"/>
        <w:adjustRightInd/>
        <w:textAlignment w:val="auto"/>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34.7 采购人应于签订合同之日起2个工作日内在政采云平台备案公示。</w:t>
      </w:r>
    </w:p>
    <w:p w14:paraId="12490EB6">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70" w:name="_Toc16755"/>
      <w:bookmarkStart w:id="371" w:name="_Toc155185881"/>
      <w:bookmarkStart w:id="372" w:name="_Toc16618"/>
      <w:bookmarkStart w:id="373" w:name="_Toc9575"/>
      <w:bookmarkStart w:id="374" w:name="_Toc140132799"/>
      <w:bookmarkStart w:id="375" w:name="_Toc3470"/>
      <w:bookmarkStart w:id="376" w:name="_Toc163492866"/>
      <w:r>
        <w:rPr>
          <w:rFonts w:hint="eastAsia" w:ascii="宋体" w:hAnsi="宋体" w:eastAsia="宋体" w:cstheme="minorBidi"/>
          <w:b/>
          <w:bCs/>
          <w:color w:val="auto"/>
          <w:kern w:val="2"/>
          <w:sz w:val="24"/>
          <w:szCs w:val="32"/>
          <w:highlight w:val="none"/>
          <w:lang w:val="en-US" w:eastAsia="zh-CN" w:bidi="ar-SA"/>
        </w:rPr>
        <w:t>（十）质疑和投诉</w:t>
      </w:r>
      <w:bookmarkEnd w:id="370"/>
      <w:bookmarkEnd w:id="371"/>
      <w:bookmarkEnd w:id="372"/>
      <w:bookmarkEnd w:id="373"/>
      <w:bookmarkEnd w:id="374"/>
      <w:bookmarkEnd w:id="375"/>
      <w:bookmarkEnd w:id="376"/>
    </w:p>
    <w:p w14:paraId="23BE6A9F">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77" w:name="_Toc5638"/>
      <w:bookmarkStart w:id="378" w:name="_Toc8211"/>
      <w:bookmarkStart w:id="379" w:name="_Toc140132800"/>
      <w:bookmarkStart w:id="380" w:name="_Toc26264"/>
      <w:bookmarkStart w:id="381" w:name="_Toc163492867"/>
      <w:bookmarkStart w:id="382" w:name="_Toc1814"/>
      <w:r>
        <w:rPr>
          <w:rFonts w:hint="eastAsia" w:ascii="宋体" w:hAnsi="宋体" w:eastAsia="宋体" w:cs="宋体"/>
          <w:b/>
          <w:bCs/>
          <w:color w:val="auto"/>
          <w:kern w:val="2"/>
          <w:sz w:val="24"/>
          <w:szCs w:val="28"/>
          <w:highlight w:val="none"/>
          <w:lang w:val="en-US" w:eastAsia="zh-CN" w:bidi="ar-SA"/>
        </w:rPr>
        <w:t>35.质疑</w:t>
      </w:r>
      <w:bookmarkEnd w:id="377"/>
      <w:bookmarkEnd w:id="378"/>
      <w:bookmarkEnd w:id="379"/>
      <w:bookmarkEnd w:id="380"/>
      <w:bookmarkEnd w:id="381"/>
      <w:bookmarkEnd w:id="382"/>
    </w:p>
    <w:p w14:paraId="097AA162">
      <w:pPr>
        <w:pStyle w:val="36"/>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.1供应商认为采购文件、采购过程、中标结果使自己的权益受到损害的，可以在知道或者应知其权益受到损害之日起7个工作日内，以书面形式向采购人、采购代理机构提出质疑</w:t>
      </w:r>
      <w:r>
        <w:rPr>
          <w:rFonts w:hint="eastAsia" w:eastAsia="宋体"/>
          <w:color w:val="auto"/>
          <w:sz w:val="24"/>
          <w:highlight w:val="none"/>
          <w:lang w:eastAsia="zh-CN"/>
        </w:rPr>
        <w:t>，</w:t>
      </w:r>
      <w:r>
        <w:rPr>
          <w:rFonts w:hint="eastAsia" w:eastAsia="宋体"/>
          <w:color w:val="auto"/>
          <w:sz w:val="24"/>
          <w:highlight w:val="none"/>
          <w:lang w:val="en-US" w:eastAsia="zh-CN"/>
        </w:rPr>
        <w:t>详见“投标人须知前附表”</w:t>
      </w:r>
      <w:r>
        <w:rPr>
          <w:rFonts w:hint="eastAsia" w:eastAsia="宋体"/>
          <w:color w:val="auto"/>
          <w:sz w:val="24"/>
          <w:highlight w:val="none"/>
        </w:rPr>
        <w:t>。供应商在法定质疑期内一次性提出针对同一采购程序环节的质疑。</w:t>
      </w:r>
    </w:p>
    <w:p w14:paraId="35972B93">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.2提出质疑的供应商（以下简称质疑供应商）应当是参与所质疑项目采购活动的供应商。</w:t>
      </w:r>
    </w:p>
    <w:p w14:paraId="6503DC74">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35.3</w:t>
      </w:r>
      <w:r>
        <w:rPr>
          <w:rFonts w:hint="eastAsia" w:eastAsia="宋体"/>
          <w:color w:val="auto"/>
          <w:sz w:val="24"/>
          <w:highlight w:val="none"/>
        </w:rPr>
        <w:t>潜在供应商已依法获取其可质疑的采购文件的，可以对该文件提出质疑。对采购文件提出质疑的，应当在获取采购文件或者采购文件公告期限届满之日起7个工作日内提出。</w:t>
      </w:r>
    </w:p>
    <w:p w14:paraId="7A916D67">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35.4</w:t>
      </w:r>
      <w:r>
        <w:rPr>
          <w:rFonts w:hint="eastAsia" w:eastAsia="宋体"/>
          <w:color w:val="auto"/>
          <w:sz w:val="24"/>
          <w:highlight w:val="none"/>
        </w:rPr>
        <w:t>供应商提出质疑应当提交质疑函和必要的证明材料。质疑函应当包括下列内容：</w:t>
      </w:r>
    </w:p>
    <w:p w14:paraId="57C1F480">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1</w:t>
      </w:r>
      <w:r>
        <w:rPr>
          <w:rFonts w:hint="eastAsia" w:eastAsia="宋体"/>
          <w:color w:val="auto"/>
          <w:sz w:val="24"/>
          <w:highlight w:val="none"/>
        </w:rPr>
        <w:t>）供应商的姓名或者名称、地址、邮编、联系人及联系电话；</w:t>
      </w:r>
    </w:p>
    <w:p w14:paraId="2B1F4E61">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）质疑项目的名称、</w:t>
      </w:r>
      <w:r>
        <w:rPr>
          <w:rFonts w:hint="eastAsia" w:eastAsia="宋体"/>
          <w:color w:val="auto"/>
          <w:sz w:val="24"/>
          <w:highlight w:val="none"/>
          <w:lang w:val="en-US" w:eastAsia="zh-CN"/>
        </w:rPr>
        <w:t>项目</w:t>
      </w:r>
      <w:r>
        <w:rPr>
          <w:rFonts w:hint="eastAsia" w:eastAsia="宋体"/>
          <w:color w:val="auto"/>
          <w:sz w:val="24"/>
          <w:highlight w:val="none"/>
        </w:rPr>
        <w:t>编号</w:t>
      </w:r>
      <w:r>
        <w:rPr>
          <w:rFonts w:hint="eastAsia" w:eastAsia="宋体"/>
          <w:color w:val="auto"/>
          <w:sz w:val="24"/>
          <w:highlight w:val="none"/>
          <w:lang w:val="en-US" w:eastAsia="zh-CN"/>
        </w:rPr>
        <w:t>/包号</w:t>
      </w:r>
      <w:r>
        <w:rPr>
          <w:rFonts w:hint="eastAsia" w:eastAsia="宋体"/>
          <w:color w:val="auto"/>
          <w:sz w:val="24"/>
          <w:highlight w:val="none"/>
        </w:rPr>
        <w:t>；</w:t>
      </w:r>
    </w:p>
    <w:p w14:paraId="1AA8BB74">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）具体、明确的质疑事项和与质疑事项相关的请求；</w:t>
      </w:r>
    </w:p>
    <w:p w14:paraId="6456E8B1">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4</w:t>
      </w:r>
      <w:r>
        <w:rPr>
          <w:rFonts w:hint="eastAsia" w:eastAsia="宋体"/>
          <w:color w:val="auto"/>
          <w:sz w:val="24"/>
          <w:highlight w:val="none"/>
        </w:rPr>
        <w:t>）事实依据；</w:t>
      </w:r>
    </w:p>
    <w:p w14:paraId="4D032ABB">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5</w:t>
      </w:r>
      <w:r>
        <w:rPr>
          <w:rFonts w:hint="eastAsia" w:eastAsia="宋体"/>
          <w:color w:val="auto"/>
          <w:sz w:val="24"/>
          <w:highlight w:val="none"/>
        </w:rPr>
        <w:t>）必要的法律依据；</w:t>
      </w:r>
    </w:p>
    <w:p w14:paraId="2E14DE4D">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）提出质疑的日期。</w:t>
      </w:r>
    </w:p>
    <w:p w14:paraId="553B627B">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供应商为自然人的，应当由本人签字；供应商为法人或者其他组织的，应当由法定代表人、主要负责人，或者其授权代表签字或者盖章，并加盖公章。</w:t>
      </w:r>
    </w:p>
    <w:p w14:paraId="5F1352A8">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5</w:t>
      </w:r>
      <w:r>
        <w:rPr>
          <w:rFonts w:hint="eastAsia" w:eastAsia="宋体"/>
          <w:color w:val="auto"/>
          <w:sz w:val="24"/>
          <w:highlight w:val="none"/>
        </w:rPr>
        <w:t>.5质疑函不符合上述要求的，采购人或代理机构应书面告知具体事项，质疑人应当按要求进行修改或补充，并在质疑有效期限内提交。</w:t>
      </w:r>
    </w:p>
    <w:p w14:paraId="4A4B9243">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hint="eastAsia" w:eastAsia="宋体"/>
          <w:snapToGrid w:val="0"/>
          <w:color w:val="auto"/>
          <w:sz w:val="24"/>
          <w:highlight w:val="none"/>
        </w:rPr>
        <w:t>3</w:t>
      </w:r>
      <w:r>
        <w:rPr>
          <w:rFonts w:hint="eastAsia" w:eastAsia="宋体"/>
          <w:snapToGrid w:val="0"/>
          <w:color w:val="auto"/>
          <w:sz w:val="24"/>
          <w:highlight w:val="none"/>
          <w:lang w:val="en-US" w:eastAsia="zh-CN"/>
        </w:rPr>
        <w:t>5</w:t>
      </w:r>
      <w:r>
        <w:rPr>
          <w:rFonts w:hint="eastAsia" w:eastAsia="宋体"/>
          <w:snapToGrid w:val="0"/>
          <w:color w:val="auto"/>
          <w:sz w:val="24"/>
          <w:highlight w:val="none"/>
        </w:rPr>
        <w:t>.</w:t>
      </w:r>
      <w:r>
        <w:rPr>
          <w:rFonts w:hint="eastAsia" w:eastAsia="宋体"/>
          <w:snapToGrid w:val="0"/>
          <w:color w:val="auto"/>
          <w:sz w:val="24"/>
          <w:highlight w:val="none"/>
          <w:lang w:val="en-US" w:eastAsia="zh-CN"/>
        </w:rPr>
        <w:t>6</w:t>
      </w:r>
      <w:r>
        <w:rPr>
          <w:rFonts w:hint="eastAsia" w:eastAsia="宋体"/>
          <w:snapToGrid w:val="0"/>
          <w:color w:val="auto"/>
          <w:sz w:val="24"/>
          <w:highlight w:val="none"/>
        </w:rPr>
        <w:t>投标人进行虚假和恶意</w:t>
      </w:r>
      <w:r>
        <w:rPr>
          <w:rFonts w:hint="eastAsia" w:eastAsia="宋体"/>
          <w:snapToGrid w:val="0"/>
          <w:color w:val="auto"/>
          <w:sz w:val="24"/>
          <w:highlight w:val="none"/>
          <w:lang w:val="en-US" w:eastAsia="zh-CN"/>
        </w:rPr>
        <w:t>质疑投诉</w:t>
      </w:r>
      <w:r>
        <w:rPr>
          <w:rFonts w:hint="eastAsia" w:eastAsia="宋体"/>
          <w:snapToGrid w:val="0"/>
          <w:color w:val="auto"/>
          <w:sz w:val="24"/>
          <w:highlight w:val="none"/>
        </w:rPr>
        <w:t>的，采购代理机构将提请有关部门将其列入不良记录名单，在一至三年内禁止参加政府采购活动，并将处理决定在相关政府采购媒体上公布。</w:t>
      </w:r>
    </w:p>
    <w:p w14:paraId="3E72DE8B">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35.7</w:t>
      </w:r>
      <w:r>
        <w:rPr>
          <w:rFonts w:hint="eastAsia" w:eastAsia="宋体"/>
          <w:color w:val="auto"/>
          <w:sz w:val="24"/>
          <w:highlight w:val="none"/>
        </w:rPr>
        <w:t>质疑函</w:t>
      </w:r>
      <w:r>
        <w:rPr>
          <w:rFonts w:hint="eastAsia" w:eastAsia="宋体"/>
          <w:color w:val="auto"/>
          <w:sz w:val="24"/>
          <w:highlight w:val="none"/>
          <w:lang w:val="en-US" w:eastAsia="zh-CN"/>
        </w:rPr>
        <w:t>应当使用中文，并采用财政部门制定的范本。</w:t>
      </w:r>
    </w:p>
    <w:p w14:paraId="57BB856E">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83" w:name="_Toc21790"/>
      <w:bookmarkStart w:id="384" w:name="_Toc163492868"/>
      <w:bookmarkStart w:id="385" w:name="_Toc2311"/>
      <w:bookmarkStart w:id="386" w:name="_Toc140132801"/>
      <w:bookmarkStart w:id="387" w:name="_Toc13773"/>
      <w:bookmarkStart w:id="388" w:name="_Toc28277"/>
      <w:r>
        <w:rPr>
          <w:rFonts w:hint="eastAsia" w:ascii="宋体" w:hAnsi="宋体" w:eastAsia="宋体" w:cs="宋体"/>
          <w:b/>
          <w:bCs/>
          <w:color w:val="auto"/>
          <w:kern w:val="2"/>
          <w:sz w:val="24"/>
          <w:szCs w:val="28"/>
          <w:highlight w:val="none"/>
          <w:lang w:val="en-US" w:eastAsia="zh-CN" w:bidi="ar-SA"/>
        </w:rPr>
        <w:t>36.质疑答复</w:t>
      </w:r>
      <w:bookmarkEnd w:id="383"/>
      <w:bookmarkEnd w:id="384"/>
      <w:bookmarkEnd w:id="385"/>
      <w:bookmarkEnd w:id="386"/>
      <w:bookmarkEnd w:id="387"/>
      <w:bookmarkEnd w:id="388"/>
    </w:p>
    <w:p w14:paraId="43D7F91D">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color w:val="auto"/>
          <w:sz w:val="24"/>
          <w:highlight w:val="none"/>
        </w:rPr>
        <w:t>3</w:t>
      </w:r>
      <w:r>
        <w:rPr>
          <w:rFonts w:hint="eastAsia" w:eastAsia="宋体"/>
          <w:color w:val="auto"/>
          <w:sz w:val="24"/>
          <w:highlight w:val="none"/>
          <w:lang w:val="en-US" w:eastAsia="zh-CN"/>
        </w:rPr>
        <w:t>6</w:t>
      </w:r>
      <w:r>
        <w:rPr>
          <w:rFonts w:hint="eastAsia" w:eastAsia="宋体"/>
          <w:color w:val="auto"/>
          <w:sz w:val="24"/>
          <w:highlight w:val="none"/>
        </w:rPr>
        <w:t>.1采购人、采购代理机构不得拒收质疑供应商在法定质疑期内发出的质疑函，应当在收到质疑函后7个工作日内作出答复，并以书面形式通知质疑供应商和其他有关供应商。</w:t>
      </w:r>
    </w:p>
    <w:p w14:paraId="6776834F">
      <w:pPr>
        <w:pStyle w:val="36"/>
        <w:keepNext w:val="0"/>
        <w:keepLines w:val="0"/>
        <w:pageBreakBefore w:val="0"/>
        <w:widowControl w:val="0"/>
        <w:kinsoku/>
        <w:overflowPunct/>
        <w:topLinePunct w:val="0"/>
        <w:autoSpaceDE/>
        <w:autoSpaceDN/>
        <w:bidi w:val="0"/>
        <w:adjustRightInd/>
        <w:textAlignment w:val="auto"/>
        <w:rPr>
          <w:rFonts w:hint="default" w:eastAsia="宋体"/>
          <w:color w:val="auto"/>
          <w:sz w:val="24"/>
          <w:highlight w:val="none"/>
          <w:lang w:val="en-US" w:eastAsia="zh-CN"/>
        </w:rPr>
      </w:pPr>
      <w:r>
        <w:rPr>
          <w:rFonts w:hint="eastAsia" w:eastAsia="宋体"/>
          <w:color w:val="auto"/>
          <w:sz w:val="24"/>
          <w:highlight w:val="none"/>
          <w:lang w:val="en-US" w:eastAsia="zh-CN"/>
        </w:rPr>
        <w:t>36.2供应商对评审过程、中标结果提出质疑的，采购人、采购代理机构可以组织原评标委员会协助答复质疑。</w:t>
      </w:r>
    </w:p>
    <w:p w14:paraId="14E02AAA">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bookmarkStart w:id="389" w:name="_Toc163492869"/>
      <w:bookmarkStart w:id="390" w:name="_Toc140132802"/>
      <w:r>
        <w:rPr>
          <w:rFonts w:hint="eastAsia" w:eastAsia="宋体"/>
          <w:color w:val="auto"/>
          <w:sz w:val="24"/>
          <w:highlight w:val="none"/>
          <w:lang w:val="zh-CN" w:eastAsia="zh-CN"/>
        </w:rPr>
        <w:t>质疑答复应当包括下列内容：</w:t>
      </w:r>
    </w:p>
    <w:p w14:paraId="457CAA68">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1</w:t>
      </w:r>
      <w:r>
        <w:rPr>
          <w:rFonts w:hint="eastAsia" w:eastAsia="宋体"/>
          <w:color w:val="auto"/>
          <w:sz w:val="24"/>
          <w:highlight w:val="none"/>
          <w:lang w:val="zh-CN" w:eastAsia="zh-CN"/>
        </w:rPr>
        <w:t>）质疑供应商的姓名或者名称；</w:t>
      </w:r>
    </w:p>
    <w:p w14:paraId="462FCFC0">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2</w:t>
      </w:r>
      <w:r>
        <w:rPr>
          <w:rFonts w:hint="eastAsia" w:eastAsia="宋体"/>
          <w:color w:val="auto"/>
          <w:sz w:val="24"/>
          <w:highlight w:val="none"/>
          <w:lang w:val="zh-CN" w:eastAsia="zh-CN"/>
        </w:rPr>
        <w:t>）收到质疑函的日期、质疑项目名称及</w:t>
      </w:r>
      <w:r>
        <w:rPr>
          <w:rFonts w:hint="eastAsia" w:eastAsia="宋体"/>
          <w:color w:val="auto"/>
          <w:sz w:val="24"/>
          <w:highlight w:val="none"/>
          <w:lang w:val="en-US" w:eastAsia="zh-CN"/>
        </w:rPr>
        <w:t>项目</w:t>
      </w:r>
      <w:r>
        <w:rPr>
          <w:rFonts w:hint="eastAsia" w:eastAsia="宋体"/>
          <w:color w:val="auto"/>
          <w:sz w:val="24"/>
          <w:highlight w:val="none"/>
          <w:lang w:val="zh-CN" w:eastAsia="zh-CN"/>
        </w:rPr>
        <w:t>编号/包号；</w:t>
      </w:r>
    </w:p>
    <w:p w14:paraId="18D72157">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3</w:t>
      </w:r>
      <w:r>
        <w:rPr>
          <w:rFonts w:hint="eastAsia" w:eastAsia="宋体"/>
          <w:color w:val="auto"/>
          <w:sz w:val="24"/>
          <w:highlight w:val="none"/>
          <w:lang w:val="zh-CN" w:eastAsia="zh-CN"/>
        </w:rPr>
        <w:t>）质疑事项、质疑答复的具体内容、事实依据和法律依据；</w:t>
      </w:r>
    </w:p>
    <w:p w14:paraId="416368F5">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4</w:t>
      </w:r>
      <w:r>
        <w:rPr>
          <w:rFonts w:hint="eastAsia" w:eastAsia="宋体"/>
          <w:color w:val="auto"/>
          <w:sz w:val="24"/>
          <w:highlight w:val="none"/>
          <w:lang w:val="zh-CN" w:eastAsia="zh-CN"/>
        </w:rPr>
        <w:t>）告知质疑供应商依法投诉的权利；</w:t>
      </w:r>
    </w:p>
    <w:p w14:paraId="36EE7969">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5</w:t>
      </w:r>
      <w:r>
        <w:rPr>
          <w:rFonts w:hint="eastAsia" w:eastAsia="宋体"/>
          <w:color w:val="auto"/>
          <w:sz w:val="24"/>
          <w:highlight w:val="none"/>
          <w:lang w:val="zh-CN" w:eastAsia="zh-CN"/>
        </w:rPr>
        <w:t>）质疑答复人名称；</w:t>
      </w:r>
    </w:p>
    <w:p w14:paraId="7E632C0C">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w:t>
      </w:r>
      <w:r>
        <w:rPr>
          <w:rFonts w:hint="eastAsia" w:eastAsia="宋体"/>
          <w:color w:val="auto"/>
          <w:sz w:val="24"/>
          <w:highlight w:val="none"/>
          <w:lang w:val="en-US" w:eastAsia="zh-CN"/>
        </w:rPr>
        <w:t>6</w:t>
      </w:r>
      <w:r>
        <w:rPr>
          <w:rFonts w:hint="eastAsia" w:eastAsia="宋体"/>
          <w:color w:val="auto"/>
          <w:sz w:val="24"/>
          <w:highlight w:val="none"/>
          <w:lang w:val="zh-CN" w:eastAsia="zh-CN"/>
        </w:rPr>
        <w:t>）答复质疑的日期。</w:t>
      </w:r>
    </w:p>
    <w:p w14:paraId="56A5E1E9">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val="zh-CN" w:eastAsia="zh-CN"/>
        </w:rPr>
      </w:pPr>
      <w:r>
        <w:rPr>
          <w:rFonts w:hint="eastAsia" w:eastAsia="宋体"/>
          <w:color w:val="auto"/>
          <w:sz w:val="24"/>
          <w:highlight w:val="none"/>
          <w:lang w:val="zh-CN" w:eastAsia="zh-CN"/>
        </w:rPr>
        <w:t>质疑答复的内容不得涉及商业秘密。</w:t>
      </w:r>
    </w:p>
    <w:p w14:paraId="6D6B407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391" w:name="_Toc32007"/>
      <w:bookmarkStart w:id="392" w:name="_Toc32321"/>
      <w:bookmarkStart w:id="393" w:name="_Toc13357"/>
      <w:bookmarkStart w:id="394" w:name="_Toc11920"/>
      <w:r>
        <w:rPr>
          <w:rFonts w:hint="eastAsia" w:ascii="宋体" w:hAnsi="宋体" w:eastAsia="宋体" w:cs="宋体"/>
          <w:b/>
          <w:bCs/>
          <w:color w:val="auto"/>
          <w:kern w:val="2"/>
          <w:sz w:val="24"/>
          <w:szCs w:val="28"/>
          <w:highlight w:val="none"/>
          <w:lang w:val="en-US" w:eastAsia="zh-CN" w:bidi="ar-SA"/>
        </w:rPr>
        <w:t>37.投诉</w:t>
      </w:r>
      <w:bookmarkEnd w:id="389"/>
      <w:bookmarkEnd w:id="390"/>
      <w:bookmarkEnd w:id="391"/>
      <w:bookmarkEnd w:id="392"/>
      <w:bookmarkEnd w:id="393"/>
      <w:bookmarkEnd w:id="394"/>
    </w:p>
    <w:p w14:paraId="5BD0CD3B">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37.1</w:t>
      </w:r>
      <w:r>
        <w:rPr>
          <w:rFonts w:hint="eastAsia" w:eastAsia="宋体"/>
          <w:color w:val="auto"/>
          <w:sz w:val="24"/>
          <w:highlight w:val="none"/>
        </w:rPr>
        <w:t>质疑供应商对采购人、采购代理机构的答复不满意，或者采购人、采购代理机构未在规定时间内作出答复的，可以在答复期满后15个工作日内向</w:t>
      </w:r>
      <w:r>
        <w:rPr>
          <w:rFonts w:hint="eastAsia" w:eastAsia="宋体"/>
          <w:color w:val="auto"/>
          <w:sz w:val="24"/>
          <w:highlight w:val="none"/>
          <w:lang w:val="en-US" w:eastAsia="zh-CN"/>
        </w:rPr>
        <w:t>同级政府采购监督管理部门</w:t>
      </w:r>
      <w:r>
        <w:rPr>
          <w:rFonts w:hint="eastAsia" w:eastAsia="宋体"/>
          <w:color w:val="auto"/>
          <w:sz w:val="24"/>
          <w:highlight w:val="none"/>
        </w:rPr>
        <w:t>提起投诉。</w:t>
      </w:r>
    </w:p>
    <w:p w14:paraId="348027D2">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37.2</w:t>
      </w:r>
      <w:r>
        <w:rPr>
          <w:rFonts w:hint="eastAsia" w:eastAsia="宋体"/>
          <w:color w:val="auto"/>
          <w:sz w:val="24"/>
          <w:highlight w:val="none"/>
        </w:rPr>
        <w:t>投诉人投诉时,应当提交投诉书和必要的证明材料，并按照被投诉采购人、采购代理机构（以下简称被投诉人）和与投诉事项有关的供应商数量提供投诉书的副本。投诉书应当包括下列内容：</w:t>
      </w:r>
    </w:p>
    <w:p w14:paraId="057A5A91">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1</w:t>
      </w:r>
      <w:r>
        <w:rPr>
          <w:rFonts w:hint="eastAsia" w:eastAsia="宋体"/>
          <w:color w:val="auto"/>
          <w:sz w:val="24"/>
          <w:highlight w:val="none"/>
        </w:rPr>
        <w:t>）投诉人和被投诉人的姓名或者名称、通讯地址、邮编、联系人及联系电话；</w:t>
      </w:r>
    </w:p>
    <w:p w14:paraId="4B753851">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2</w:t>
      </w:r>
      <w:r>
        <w:rPr>
          <w:rFonts w:hint="eastAsia" w:eastAsia="宋体"/>
          <w:color w:val="auto"/>
          <w:sz w:val="24"/>
          <w:highlight w:val="none"/>
        </w:rPr>
        <w:t>）质疑和质疑答复情况说明及相关证明材料；</w:t>
      </w:r>
    </w:p>
    <w:p w14:paraId="086B0607">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3</w:t>
      </w:r>
      <w:r>
        <w:rPr>
          <w:rFonts w:hint="eastAsia" w:eastAsia="宋体"/>
          <w:color w:val="auto"/>
          <w:sz w:val="24"/>
          <w:highlight w:val="none"/>
        </w:rPr>
        <w:t>）具体、明确的投诉事项和与投诉事项相关的投诉请求；</w:t>
      </w:r>
    </w:p>
    <w:p w14:paraId="78BC80FD">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4</w:t>
      </w:r>
      <w:r>
        <w:rPr>
          <w:rFonts w:hint="eastAsia" w:eastAsia="宋体"/>
          <w:color w:val="auto"/>
          <w:sz w:val="24"/>
          <w:highlight w:val="none"/>
        </w:rPr>
        <w:t>）事实依据；</w:t>
      </w:r>
    </w:p>
    <w:p w14:paraId="2AD666C0">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5</w:t>
      </w:r>
      <w:r>
        <w:rPr>
          <w:rFonts w:hint="eastAsia" w:eastAsia="宋体"/>
          <w:color w:val="auto"/>
          <w:sz w:val="24"/>
          <w:highlight w:val="none"/>
        </w:rPr>
        <w:t>）法律依据；</w:t>
      </w:r>
    </w:p>
    <w:p w14:paraId="28B1919B">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w:t>
      </w:r>
      <w:r>
        <w:rPr>
          <w:rFonts w:hint="eastAsia" w:eastAsia="宋体"/>
          <w:color w:val="auto"/>
          <w:sz w:val="24"/>
          <w:highlight w:val="none"/>
          <w:lang w:val="en-US" w:eastAsia="zh-CN"/>
        </w:rPr>
        <w:t>6</w:t>
      </w:r>
      <w:r>
        <w:rPr>
          <w:rFonts w:hint="eastAsia" w:eastAsia="宋体"/>
          <w:color w:val="auto"/>
          <w:sz w:val="24"/>
          <w:highlight w:val="none"/>
        </w:rPr>
        <w:t>）提起投诉的日期。</w:t>
      </w:r>
    </w:p>
    <w:p w14:paraId="29B1C185">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投诉人为自然人的，应当由本人签字；投诉人为法人或者其他组织的，应当由法定代表人、主要负责人，或者其授权代表签字或者盖章，并加盖公章。</w:t>
      </w:r>
    </w:p>
    <w:p w14:paraId="2A3BCE0B">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lang w:val="en-US" w:eastAsia="zh-CN"/>
        </w:rPr>
        <w:t>37.3</w:t>
      </w:r>
      <w:r>
        <w:rPr>
          <w:rFonts w:hint="eastAsia" w:eastAsia="宋体"/>
          <w:color w:val="auto"/>
          <w:sz w:val="24"/>
          <w:highlight w:val="none"/>
        </w:rPr>
        <w:t>供应商</w:t>
      </w:r>
      <w:r>
        <w:rPr>
          <w:rFonts w:hint="eastAsia" w:eastAsia="宋体"/>
          <w:color w:val="auto"/>
          <w:sz w:val="24"/>
          <w:highlight w:val="none"/>
          <w:lang w:val="en-US" w:eastAsia="zh-CN"/>
        </w:rPr>
        <w:t>质疑、</w:t>
      </w:r>
      <w:r>
        <w:rPr>
          <w:rFonts w:hint="eastAsia" w:eastAsia="宋体"/>
          <w:color w:val="auto"/>
          <w:sz w:val="24"/>
          <w:highlight w:val="none"/>
        </w:rPr>
        <w:t>投诉</w:t>
      </w:r>
      <w:r>
        <w:rPr>
          <w:rFonts w:hint="eastAsia" w:eastAsia="宋体"/>
          <w:color w:val="auto"/>
          <w:sz w:val="24"/>
          <w:highlight w:val="none"/>
          <w:lang w:val="en-US" w:eastAsia="zh-CN"/>
        </w:rPr>
        <w:t>应当有明确的请求和必要的证明材料</w:t>
      </w:r>
      <w:r>
        <w:rPr>
          <w:rFonts w:hint="eastAsia" w:eastAsia="宋体"/>
          <w:color w:val="auto"/>
          <w:sz w:val="24"/>
          <w:highlight w:val="none"/>
          <w:lang w:eastAsia="zh-CN"/>
        </w:rPr>
        <w:t>。</w:t>
      </w:r>
      <w:r>
        <w:rPr>
          <w:rFonts w:hint="eastAsia" w:eastAsia="宋体"/>
          <w:color w:val="auto"/>
          <w:sz w:val="24"/>
          <w:highlight w:val="none"/>
        </w:rPr>
        <w:t>供应商投诉的事项不得超出</w:t>
      </w:r>
      <w:r>
        <w:rPr>
          <w:rFonts w:hint="eastAsia" w:eastAsia="宋体"/>
          <w:color w:val="auto"/>
          <w:sz w:val="24"/>
          <w:highlight w:val="none"/>
          <w:lang w:val="en-US" w:eastAsia="zh-CN"/>
        </w:rPr>
        <w:t>已</w:t>
      </w:r>
      <w:r>
        <w:rPr>
          <w:rFonts w:hint="eastAsia" w:eastAsia="宋体"/>
          <w:color w:val="auto"/>
          <w:sz w:val="24"/>
          <w:highlight w:val="none"/>
        </w:rPr>
        <w:t>质疑事项的范围，但基于质疑答复内容提出的投诉事项除外。</w:t>
      </w:r>
    </w:p>
    <w:p w14:paraId="4A2CC2E9">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snapToGrid w:val="0"/>
          <w:color w:val="auto"/>
          <w:sz w:val="24"/>
          <w:highlight w:val="none"/>
          <w:lang w:val="en-US" w:eastAsia="zh-CN"/>
        </w:rPr>
        <w:t>37.4</w:t>
      </w:r>
      <w:r>
        <w:rPr>
          <w:rFonts w:hint="eastAsia" w:eastAsia="宋体"/>
          <w:color w:val="auto"/>
          <w:sz w:val="24"/>
          <w:highlight w:val="none"/>
          <w:lang w:val="en-US" w:eastAsia="zh-CN"/>
        </w:rPr>
        <w:t>投诉书应当使用中文，并采用财政部门制定的范本。</w:t>
      </w:r>
    </w:p>
    <w:p w14:paraId="076E00EB">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395" w:name="_Toc30549"/>
      <w:bookmarkStart w:id="396" w:name="_Toc163492870"/>
      <w:bookmarkStart w:id="397" w:name="_Toc13943"/>
      <w:bookmarkStart w:id="398" w:name="_Toc155185882"/>
      <w:bookmarkStart w:id="399" w:name="_Toc3580"/>
      <w:bookmarkStart w:id="400" w:name="_Toc140132803"/>
      <w:bookmarkStart w:id="401" w:name="_Toc18525"/>
      <w:r>
        <w:rPr>
          <w:rFonts w:hint="eastAsia" w:ascii="宋体" w:hAnsi="宋体" w:eastAsia="宋体" w:cstheme="minorBidi"/>
          <w:b/>
          <w:bCs/>
          <w:color w:val="auto"/>
          <w:kern w:val="2"/>
          <w:sz w:val="24"/>
          <w:szCs w:val="32"/>
          <w:highlight w:val="none"/>
          <w:lang w:val="en-US" w:eastAsia="zh-CN" w:bidi="ar-SA"/>
        </w:rPr>
        <w:t>（十一）采购代理服务费</w:t>
      </w:r>
      <w:bookmarkEnd w:id="395"/>
      <w:bookmarkEnd w:id="396"/>
      <w:bookmarkEnd w:id="397"/>
      <w:bookmarkEnd w:id="398"/>
      <w:bookmarkEnd w:id="399"/>
      <w:bookmarkEnd w:id="400"/>
      <w:bookmarkEnd w:id="401"/>
    </w:p>
    <w:p w14:paraId="3EF5B76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02" w:name="_Toc17649"/>
      <w:bookmarkStart w:id="403" w:name="_Toc13299"/>
      <w:bookmarkStart w:id="404" w:name="_Toc163492871"/>
      <w:bookmarkStart w:id="405" w:name="_Toc140132804"/>
      <w:bookmarkStart w:id="406" w:name="_Toc6328"/>
      <w:bookmarkStart w:id="407" w:name="_Toc30395"/>
      <w:r>
        <w:rPr>
          <w:rFonts w:hint="eastAsia" w:ascii="宋体" w:hAnsi="宋体" w:eastAsia="宋体" w:cs="宋体"/>
          <w:b/>
          <w:bCs/>
          <w:color w:val="auto"/>
          <w:kern w:val="2"/>
          <w:sz w:val="24"/>
          <w:szCs w:val="28"/>
          <w:highlight w:val="none"/>
          <w:lang w:val="en-US" w:eastAsia="zh-CN" w:bidi="ar-SA"/>
        </w:rPr>
        <w:t>38.收取方式和标准</w:t>
      </w:r>
      <w:bookmarkEnd w:id="402"/>
      <w:bookmarkEnd w:id="403"/>
      <w:bookmarkEnd w:id="404"/>
      <w:bookmarkEnd w:id="405"/>
      <w:bookmarkEnd w:id="406"/>
      <w:bookmarkEnd w:id="407"/>
    </w:p>
    <w:p w14:paraId="0FDD9E25">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eastAsia="宋体"/>
          <w:bCs/>
          <w:color w:val="auto"/>
          <w:sz w:val="24"/>
          <w:highlight w:val="none"/>
        </w:rPr>
        <w:t>3</w:t>
      </w:r>
      <w:r>
        <w:rPr>
          <w:rFonts w:hint="eastAsia" w:eastAsia="宋体"/>
          <w:bCs/>
          <w:color w:val="auto"/>
          <w:sz w:val="24"/>
          <w:highlight w:val="none"/>
          <w:lang w:val="en-US" w:eastAsia="zh-CN"/>
        </w:rPr>
        <w:t>8</w:t>
      </w:r>
      <w:r>
        <w:rPr>
          <w:rFonts w:hint="eastAsia" w:eastAsia="宋体"/>
          <w:color w:val="auto"/>
          <w:sz w:val="24"/>
          <w:highlight w:val="none"/>
        </w:rPr>
        <w:t>.1采购代理机构按“投标人须知前附表”规定的方式和标准收取采购代理服务费。</w:t>
      </w:r>
    </w:p>
    <w:p w14:paraId="3ED844E1">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08" w:name="_Toc8195"/>
      <w:bookmarkStart w:id="409" w:name="_Toc4233"/>
      <w:bookmarkStart w:id="410" w:name="_Toc12331"/>
      <w:bookmarkStart w:id="411" w:name="_Toc140132805"/>
      <w:bookmarkStart w:id="412" w:name="_Toc155185883"/>
      <w:bookmarkStart w:id="413" w:name="_Toc163492872"/>
      <w:bookmarkStart w:id="414" w:name="_Toc21208"/>
      <w:r>
        <w:rPr>
          <w:rFonts w:hint="eastAsia" w:ascii="宋体" w:hAnsi="宋体" w:eastAsia="宋体" w:cstheme="minorBidi"/>
          <w:b/>
          <w:bCs/>
          <w:color w:val="auto"/>
          <w:kern w:val="2"/>
          <w:sz w:val="24"/>
          <w:szCs w:val="32"/>
          <w:highlight w:val="none"/>
          <w:lang w:val="en-US" w:eastAsia="zh-CN" w:bidi="ar-SA"/>
        </w:rPr>
        <w:t>（十二）无效投标和废标</w:t>
      </w:r>
      <w:bookmarkEnd w:id="408"/>
      <w:bookmarkEnd w:id="409"/>
      <w:bookmarkEnd w:id="410"/>
      <w:bookmarkEnd w:id="411"/>
      <w:bookmarkEnd w:id="412"/>
      <w:bookmarkEnd w:id="413"/>
      <w:bookmarkEnd w:id="414"/>
    </w:p>
    <w:p w14:paraId="2586923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15" w:name="_Toc163492873"/>
      <w:bookmarkStart w:id="416" w:name="_Toc140132806"/>
      <w:bookmarkStart w:id="417" w:name="_Toc4746"/>
      <w:bookmarkStart w:id="418" w:name="_Toc8456"/>
      <w:bookmarkStart w:id="419" w:name="_Toc6212"/>
      <w:bookmarkStart w:id="420" w:name="_Toc27690"/>
      <w:r>
        <w:rPr>
          <w:rFonts w:hint="eastAsia" w:ascii="宋体" w:hAnsi="宋体" w:eastAsia="宋体" w:cs="宋体"/>
          <w:b/>
          <w:bCs/>
          <w:color w:val="auto"/>
          <w:kern w:val="2"/>
          <w:sz w:val="24"/>
          <w:szCs w:val="28"/>
          <w:highlight w:val="none"/>
          <w:lang w:val="en-US" w:eastAsia="zh-CN" w:bidi="ar-SA"/>
        </w:rPr>
        <w:t>39.无效投标</w:t>
      </w:r>
      <w:bookmarkEnd w:id="415"/>
      <w:bookmarkEnd w:id="416"/>
      <w:bookmarkEnd w:id="417"/>
      <w:bookmarkEnd w:id="418"/>
      <w:bookmarkEnd w:id="419"/>
      <w:bookmarkEnd w:id="420"/>
    </w:p>
    <w:p w14:paraId="0EBD1306">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lang w:val="en-US" w:eastAsia="zh-CN"/>
        </w:rPr>
        <w:t>39</w:t>
      </w:r>
      <w:r>
        <w:rPr>
          <w:rFonts w:hint="eastAsia" w:eastAsia="宋体"/>
          <w:color w:val="auto"/>
          <w:sz w:val="24"/>
          <w:highlight w:val="none"/>
        </w:rPr>
        <w:t>.1投标文件存在“第四章</w:t>
      </w:r>
      <w:r>
        <w:rPr>
          <w:rFonts w:hint="eastAsia" w:eastAsia="宋体"/>
          <w:color w:val="auto"/>
          <w:sz w:val="24"/>
          <w:highlight w:val="none"/>
          <w:lang w:val="en-US" w:eastAsia="zh-CN"/>
        </w:rPr>
        <w:t xml:space="preserve"> </w:t>
      </w:r>
      <w:r>
        <w:rPr>
          <w:rFonts w:hint="eastAsia" w:eastAsia="宋体"/>
          <w:color w:val="auto"/>
          <w:sz w:val="24"/>
          <w:highlight w:val="none"/>
        </w:rPr>
        <w:t>资格审查”、“第五章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及本招标文件</w:t>
      </w:r>
      <w:r>
        <w:rPr>
          <w:rFonts w:hint="eastAsia" w:eastAsia="宋体"/>
          <w:color w:val="auto"/>
          <w:sz w:val="24"/>
          <w:highlight w:val="none"/>
        </w:rPr>
        <w:t>规定的投标无效情形的，其</w:t>
      </w:r>
      <w:r>
        <w:rPr>
          <w:rFonts w:hint="eastAsia" w:eastAsia="宋体"/>
          <w:b/>
          <w:bCs/>
          <w:color w:val="auto"/>
          <w:sz w:val="24"/>
          <w:highlight w:val="none"/>
        </w:rPr>
        <w:t>投标无效</w:t>
      </w:r>
      <w:r>
        <w:rPr>
          <w:rFonts w:hint="eastAsia" w:eastAsia="宋体"/>
          <w:color w:val="auto"/>
          <w:sz w:val="24"/>
          <w:highlight w:val="none"/>
        </w:rPr>
        <w:t>。</w:t>
      </w:r>
    </w:p>
    <w:p w14:paraId="7306E47B">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21" w:name="_Toc15530"/>
      <w:bookmarkStart w:id="422" w:name="_Toc140132807"/>
      <w:bookmarkStart w:id="423" w:name="_Toc163492874"/>
      <w:bookmarkStart w:id="424" w:name="_Toc22537"/>
      <w:bookmarkStart w:id="425" w:name="_Toc31646"/>
      <w:bookmarkStart w:id="426" w:name="_Toc31376"/>
      <w:r>
        <w:rPr>
          <w:rFonts w:hint="eastAsia" w:ascii="宋体" w:hAnsi="宋体" w:eastAsia="宋体" w:cs="宋体"/>
          <w:b/>
          <w:bCs/>
          <w:color w:val="auto"/>
          <w:kern w:val="2"/>
          <w:sz w:val="24"/>
          <w:szCs w:val="28"/>
          <w:highlight w:val="none"/>
          <w:lang w:val="en-US" w:eastAsia="zh-CN" w:bidi="ar-SA"/>
        </w:rPr>
        <w:t>40.废标</w:t>
      </w:r>
      <w:bookmarkEnd w:id="421"/>
      <w:bookmarkEnd w:id="422"/>
      <w:bookmarkEnd w:id="423"/>
      <w:bookmarkEnd w:id="424"/>
      <w:bookmarkEnd w:id="425"/>
      <w:bookmarkEnd w:id="426"/>
    </w:p>
    <w:p w14:paraId="5BFCDD79">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lang w:eastAsia="zh-CN"/>
        </w:rPr>
      </w:pPr>
      <w:r>
        <w:rPr>
          <w:rFonts w:eastAsia="宋体"/>
          <w:color w:val="auto"/>
          <w:sz w:val="24"/>
          <w:highlight w:val="none"/>
        </w:rPr>
        <w:t>4</w:t>
      </w:r>
      <w:r>
        <w:rPr>
          <w:rFonts w:hint="eastAsia" w:eastAsia="宋体"/>
          <w:color w:val="auto"/>
          <w:sz w:val="24"/>
          <w:highlight w:val="none"/>
          <w:lang w:val="en-US" w:eastAsia="zh-CN"/>
        </w:rPr>
        <w:t>0</w:t>
      </w:r>
      <w:r>
        <w:rPr>
          <w:rFonts w:hint="eastAsia" w:eastAsia="宋体"/>
          <w:color w:val="auto"/>
          <w:sz w:val="24"/>
          <w:highlight w:val="none"/>
        </w:rPr>
        <w:t>.1在招标采购中出现有“第五章</w:t>
      </w:r>
      <w:r>
        <w:rPr>
          <w:rFonts w:hint="eastAsia" w:eastAsia="宋体"/>
          <w:color w:val="auto"/>
          <w:sz w:val="24"/>
          <w:highlight w:val="none"/>
          <w:lang w:val="en-US" w:eastAsia="zh-CN"/>
        </w:rPr>
        <w:t xml:space="preserve"> </w:t>
      </w:r>
      <w:r>
        <w:rPr>
          <w:rFonts w:hint="eastAsia" w:eastAsia="宋体"/>
          <w:color w:val="auto"/>
          <w:sz w:val="24"/>
          <w:highlight w:val="none"/>
        </w:rPr>
        <w:t>评标</w:t>
      </w:r>
      <w:r>
        <w:rPr>
          <w:rFonts w:hint="eastAsia" w:eastAsia="宋体"/>
          <w:color w:val="auto"/>
          <w:sz w:val="24"/>
          <w:highlight w:val="none"/>
          <w:lang w:val="en-US" w:eastAsia="zh-CN"/>
        </w:rPr>
        <w:t>方</w:t>
      </w:r>
      <w:r>
        <w:rPr>
          <w:rFonts w:hint="eastAsia" w:eastAsia="宋体"/>
          <w:color w:val="auto"/>
          <w:sz w:val="24"/>
          <w:highlight w:val="none"/>
        </w:rPr>
        <w:t>法及标准”</w:t>
      </w:r>
      <w:r>
        <w:rPr>
          <w:rFonts w:hint="eastAsia" w:eastAsia="宋体"/>
          <w:color w:val="auto"/>
          <w:sz w:val="24"/>
          <w:highlight w:val="none"/>
          <w:lang w:val="en-US" w:eastAsia="zh-CN"/>
        </w:rPr>
        <w:t>及本招标文件</w:t>
      </w:r>
      <w:r>
        <w:rPr>
          <w:rFonts w:hint="eastAsia" w:eastAsia="宋体"/>
          <w:color w:val="auto"/>
          <w:sz w:val="24"/>
          <w:highlight w:val="none"/>
        </w:rPr>
        <w:t>规定的废标情形的，应予以</w:t>
      </w:r>
      <w:r>
        <w:rPr>
          <w:rFonts w:hint="eastAsia" w:eastAsia="宋体"/>
          <w:b/>
          <w:bCs/>
          <w:color w:val="auto"/>
          <w:sz w:val="24"/>
          <w:highlight w:val="none"/>
        </w:rPr>
        <w:t>废标</w:t>
      </w:r>
      <w:r>
        <w:rPr>
          <w:rFonts w:hint="eastAsia" w:eastAsia="宋体"/>
          <w:color w:val="auto"/>
          <w:sz w:val="24"/>
          <w:highlight w:val="none"/>
          <w:lang w:eastAsia="zh-CN"/>
        </w:rPr>
        <w:t>。</w:t>
      </w:r>
    </w:p>
    <w:p w14:paraId="0C4DEC92">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27" w:name="_Toc140132766"/>
      <w:bookmarkStart w:id="428" w:name="_Toc163492875"/>
      <w:bookmarkStart w:id="429" w:name="_Toc8342"/>
      <w:bookmarkStart w:id="430" w:name="_Toc7834"/>
      <w:bookmarkStart w:id="431" w:name="_Toc21776"/>
      <w:bookmarkStart w:id="432" w:name="_Toc23246"/>
      <w:bookmarkStart w:id="433" w:name="_Toc155185884"/>
      <w:bookmarkStart w:id="434" w:name="_Toc140132808"/>
      <w:r>
        <w:rPr>
          <w:rFonts w:hint="eastAsia" w:ascii="宋体" w:hAnsi="宋体" w:eastAsia="宋体" w:cstheme="minorBidi"/>
          <w:b/>
          <w:bCs/>
          <w:color w:val="auto"/>
          <w:kern w:val="2"/>
          <w:sz w:val="24"/>
          <w:szCs w:val="32"/>
          <w:highlight w:val="none"/>
          <w:lang w:val="en-US" w:eastAsia="zh-CN" w:bidi="ar-SA"/>
        </w:rPr>
        <w:t>（十三）落实政府采购政策</w:t>
      </w:r>
      <w:bookmarkEnd w:id="427"/>
      <w:bookmarkEnd w:id="428"/>
      <w:r>
        <w:rPr>
          <w:rFonts w:hint="eastAsia" w:ascii="宋体" w:hAnsi="宋体" w:eastAsia="宋体" w:cstheme="minorBidi"/>
          <w:b/>
          <w:bCs/>
          <w:color w:val="auto"/>
          <w:kern w:val="2"/>
          <w:sz w:val="24"/>
          <w:szCs w:val="32"/>
          <w:highlight w:val="none"/>
          <w:lang w:val="en-US" w:eastAsia="zh-CN" w:bidi="ar-SA"/>
        </w:rPr>
        <w:t>（包括但不限于下列具体政策要求）</w:t>
      </w:r>
      <w:bookmarkEnd w:id="429"/>
      <w:bookmarkEnd w:id="430"/>
      <w:bookmarkEnd w:id="431"/>
      <w:bookmarkEnd w:id="432"/>
    </w:p>
    <w:p w14:paraId="5800BCE0">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35" w:name="_Toc30437"/>
      <w:bookmarkStart w:id="436" w:name="_Toc27084"/>
      <w:bookmarkStart w:id="437" w:name="_Toc20299"/>
      <w:bookmarkStart w:id="438" w:name="_Toc163492876"/>
      <w:bookmarkStart w:id="439" w:name="_Toc3043"/>
      <w:r>
        <w:rPr>
          <w:rFonts w:hint="eastAsia" w:ascii="宋体" w:hAnsi="宋体" w:eastAsia="宋体" w:cs="宋体"/>
          <w:b/>
          <w:bCs/>
          <w:color w:val="auto"/>
          <w:kern w:val="2"/>
          <w:sz w:val="24"/>
          <w:szCs w:val="28"/>
          <w:highlight w:val="none"/>
          <w:lang w:val="en-US" w:eastAsia="zh-CN" w:bidi="ar-SA"/>
        </w:rPr>
        <w:t>41.支持国产和进口产品审批</w:t>
      </w:r>
      <w:bookmarkEnd w:id="435"/>
      <w:bookmarkEnd w:id="436"/>
      <w:bookmarkEnd w:id="437"/>
      <w:bookmarkEnd w:id="438"/>
      <w:bookmarkEnd w:id="439"/>
    </w:p>
    <w:p w14:paraId="26D924DD">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eastAsia="宋体"/>
          <w:snapToGrid w:val="0"/>
          <w:color w:val="auto"/>
          <w:sz w:val="24"/>
          <w:highlight w:val="none"/>
        </w:rPr>
        <w:t>4</w:t>
      </w:r>
      <w:r>
        <w:rPr>
          <w:rFonts w:hint="eastAsia" w:eastAsia="宋体"/>
          <w:snapToGrid w:val="0"/>
          <w:color w:val="auto"/>
          <w:sz w:val="24"/>
          <w:highlight w:val="none"/>
          <w:lang w:val="en-US" w:eastAsia="zh-CN"/>
        </w:rPr>
        <w:t>1</w:t>
      </w:r>
      <w:r>
        <w:rPr>
          <w:rFonts w:hint="eastAsia" w:eastAsia="宋体"/>
          <w:snapToGrid w:val="0"/>
          <w:color w:val="auto"/>
          <w:sz w:val="24"/>
          <w:highlight w:val="none"/>
        </w:rPr>
        <w:t>.1除“投标人须知前附表”另有规定外，政府采购应当采购本国</w:t>
      </w:r>
      <w:r>
        <w:rPr>
          <w:rFonts w:hint="eastAsia" w:eastAsia="宋体"/>
          <w:snapToGrid w:val="0"/>
          <w:color w:val="auto"/>
          <w:sz w:val="24"/>
          <w:highlight w:val="none"/>
          <w:lang w:val="en-US" w:eastAsia="zh-CN"/>
        </w:rPr>
        <w:t>货物、工程和服务</w:t>
      </w:r>
      <w:r>
        <w:rPr>
          <w:rFonts w:hint="eastAsia" w:eastAsia="宋体"/>
          <w:snapToGrid w:val="0"/>
          <w:color w:val="auto"/>
          <w:sz w:val="24"/>
          <w:highlight w:val="none"/>
        </w:rPr>
        <w:t>，确需采购进口产品的，采购人应当按照</w:t>
      </w:r>
      <w:r>
        <w:rPr>
          <w:rFonts w:hint="eastAsia" w:eastAsia="宋体"/>
          <w:snapToGrid w:val="0"/>
          <w:color w:val="auto"/>
          <w:sz w:val="24"/>
          <w:highlight w:val="none"/>
          <w:lang w:val="en-US" w:eastAsia="zh-CN"/>
        </w:rPr>
        <w:t>《政府采购进口产品管理办法》（财库〔2007〕119 号文）、</w:t>
      </w:r>
      <w:r>
        <w:rPr>
          <w:rFonts w:hint="eastAsia" w:eastAsia="宋体"/>
          <w:snapToGrid w:val="0"/>
          <w:color w:val="auto"/>
          <w:sz w:val="24"/>
          <w:highlight w:val="none"/>
        </w:rPr>
        <w:t>《关于政府采购进口产品管理有关问题的通知》（财办库〔</w:t>
      </w:r>
      <w:r>
        <w:rPr>
          <w:rFonts w:eastAsia="宋体"/>
          <w:snapToGrid w:val="0"/>
          <w:color w:val="auto"/>
          <w:sz w:val="24"/>
          <w:highlight w:val="none"/>
        </w:rPr>
        <w:t>2008〕248号）规定执行（进口产品审批制，科研院所监管部门另有规定的从其规定）。</w:t>
      </w:r>
      <w:r>
        <w:rPr>
          <w:rFonts w:hint="eastAsia" w:eastAsia="宋体"/>
          <w:snapToGrid w:val="0"/>
          <w:color w:val="auto"/>
          <w:sz w:val="24"/>
          <w:highlight w:val="none"/>
        </w:rPr>
        <w:t>项目若涉及采购进口产品的，具体要求详见“第三章</w:t>
      </w:r>
      <w:r>
        <w:rPr>
          <w:rFonts w:eastAsia="宋体"/>
          <w:snapToGrid w:val="0"/>
          <w:color w:val="auto"/>
          <w:sz w:val="24"/>
          <w:highlight w:val="none"/>
        </w:rPr>
        <w:t xml:space="preserve"> 采购需求”</w:t>
      </w:r>
      <w:r>
        <w:rPr>
          <w:rFonts w:hint="eastAsia" w:eastAsia="宋体"/>
          <w:snapToGrid w:val="0"/>
          <w:color w:val="auto"/>
          <w:sz w:val="24"/>
          <w:highlight w:val="none"/>
        </w:rPr>
        <w:t>。</w:t>
      </w:r>
    </w:p>
    <w:p w14:paraId="201F13F9">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41.2进口产品指通过中国海关报关验放进入中国境内且产自关境外的产品，包括已经进入中国境内的进口产品。 </w:t>
      </w:r>
    </w:p>
    <w:p w14:paraId="0C404CE2">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41.3若采购需求中写明允许采购进口产品，投标人应保证所投产品可履行合法报通关手续进入中国关境内。</w:t>
      </w:r>
    </w:p>
    <w:p w14:paraId="50A8DE9A">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41.4若采购需求中未写明允许采购进口产品，如投标人所投产品为进口产品，其投标将被认定为</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w:t>
      </w:r>
    </w:p>
    <w:p w14:paraId="6764F88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40" w:name="_Toc9595"/>
      <w:bookmarkStart w:id="441" w:name="_Toc163492877"/>
      <w:bookmarkStart w:id="442" w:name="_Toc6934"/>
      <w:bookmarkStart w:id="443" w:name="_Toc6874"/>
      <w:bookmarkStart w:id="444" w:name="_Toc18106"/>
      <w:r>
        <w:rPr>
          <w:rFonts w:hint="eastAsia" w:ascii="宋体" w:hAnsi="宋体" w:eastAsia="宋体" w:cs="宋体"/>
          <w:b/>
          <w:bCs/>
          <w:color w:val="auto"/>
          <w:kern w:val="2"/>
          <w:sz w:val="24"/>
          <w:szCs w:val="28"/>
          <w:highlight w:val="none"/>
          <w:lang w:val="en-US" w:eastAsia="zh-CN" w:bidi="ar-SA"/>
        </w:rPr>
        <w:t>42.中小企业、监狱企业及残疾人福利性单位</w:t>
      </w:r>
      <w:bookmarkEnd w:id="440"/>
      <w:bookmarkEnd w:id="441"/>
      <w:bookmarkEnd w:id="442"/>
      <w:bookmarkEnd w:id="443"/>
      <w:bookmarkEnd w:id="444"/>
    </w:p>
    <w:p w14:paraId="6CF3C244">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eastAsia" w:eastAsia="宋体"/>
          <w:snapToGrid w:val="0"/>
          <w:color w:val="auto"/>
          <w:sz w:val="24"/>
          <w:highlight w:val="none"/>
        </w:rPr>
        <w:t>.</w:t>
      </w:r>
      <w:r>
        <w:rPr>
          <w:rFonts w:hint="eastAsia" w:eastAsia="宋体"/>
          <w:snapToGrid w:val="0"/>
          <w:color w:val="auto"/>
          <w:sz w:val="24"/>
          <w:highlight w:val="none"/>
          <w:lang w:val="en-US" w:eastAsia="zh-CN"/>
        </w:rPr>
        <w:t>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w:t>
      </w:r>
      <w:r>
        <w:rPr>
          <w:rFonts w:hint="default" w:eastAsia="宋体"/>
          <w:snapToGrid w:val="0"/>
          <w:color w:val="auto"/>
          <w:sz w:val="24"/>
          <w:highlight w:val="none"/>
          <w:lang w:val="en-US" w:eastAsia="zh-CN"/>
        </w:rPr>
        <w:t>2022</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19 </w:t>
      </w:r>
      <w:r>
        <w:rPr>
          <w:rFonts w:hint="eastAsia" w:eastAsia="宋体"/>
          <w:snapToGrid w:val="0"/>
          <w:color w:val="auto"/>
          <w:sz w:val="24"/>
          <w:highlight w:val="none"/>
          <w:lang w:val="en-US" w:eastAsia="zh-CN"/>
        </w:rPr>
        <w:t>号）、《政府采购促进中小企业发展管理办法》（财库〔</w:t>
      </w:r>
      <w:r>
        <w:rPr>
          <w:rFonts w:hint="default" w:eastAsia="宋体"/>
          <w:snapToGrid w:val="0"/>
          <w:color w:val="auto"/>
          <w:sz w:val="24"/>
          <w:highlight w:val="none"/>
          <w:lang w:val="en-US" w:eastAsia="zh-CN"/>
        </w:rPr>
        <w:t>2020</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46 </w:t>
      </w:r>
      <w:r>
        <w:rPr>
          <w:rFonts w:hint="eastAsia" w:eastAsia="宋体"/>
          <w:snapToGrid w:val="0"/>
          <w:color w:val="auto"/>
          <w:sz w:val="24"/>
          <w:highlight w:val="none"/>
          <w:lang w:val="en-US" w:eastAsia="zh-CN"/>
        </w:rPr>
        <w:t>号）、《关于印发中小企业划型标准规定的通知》（工信部联企业〔</w:t>
      </w:r>
      <w:r>
        <w:rPr>
          <w:rFonts w:hint="default" w:eastAsia="宋体"/>
          <w:snapToGrid w:val="0"/>
          <w:color w:val="auto"/>
          <w:sz w:val="24"/>
          <w:highlight w:val="none"/>
          <w:lang w:val="en-US" w:eastAsia="zh-CN"/>
        </w:rPr>
        <w:t>2011</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300 </w:t>
      </w:r>
      <w:r>
        <w:rPr>
          <w:rFonts w:hint="eastAsia" w:eastAsia="宋体"/>
          <w:snapToGrid w:val="0"/>
          <w:color w:val="auto"/>
          <w:sz w:val="24"/>
          <w:highlight w:val="none"/>
          <w:lang w:val="en-US" w:eastAsia="zh-CN"/>
        </w:rPr>
        <w:t xml:space="preserve">号）、《金融业企业划型标准规定》（〔2015〕309 号）等国务院批准的中小企业划分标准执行。 </w:t>
      </w:r>
    </w:p>
    <w:p w14:paraId="775C3158">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eastAsia" w:eastAsia="宋体"/>
          <w:snapToGrid w:val="0"/>
          <w:color w:val="auto"/>
          <w:sz w:val="24"/>
          <w:highlight w:val="none"/>
        </w:rPr>
        <w:t>.</w:t>
      </w:r>
      <w:r>
        <w:rPr>
          <w:rFonts w:hint="eastAsia" w:eastAsia="宋体"/>
          <w:snapToGrid w:val="0"/>
          <w:color w:val="auto"/>
          <w:sz w:val="24"/>
          <w:highlight w:val="none"/>
          <w:lang w:val="en-US" w:eastAsia="zh-CN"/>
        </w:rPr>
        <w:t>2</w:t>
      </w:r>
      <w:r>
        <w:rPr>
          <w:rFonts w:hint="eastAsia" w:eastAsia="宋体"/>
          <w:snapToGrid w:val="0"/>
          <w:color w:val="auto"/>
          <w:sz w:val="24"/>
          <w:highlight w:val="none"/>
        </w:rPr>
        <w:t>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司法部关于政府采购支持监狱企业发展有关问题的通知》（财库〔2014〕68号）、《关于促进残疾人就业政府采购政策的通知》（财库〔2017〕141号）的规定，本项目供应商如</w:t>
      </w:r>
      <w:r>
        <w:rPr>
          <w:rFonts w:hint="eastAsia" w:eastAsia="宋体"/>
          <w:snapToGrid w:val="0"/>
          <w:color w:val="auto"/>
          <w:sz w:val="24"/>
          <w:highlight w:val="none"/>
          <w:lang w:eastAsia="zh-CN"/>
        </w:rPr>
        <w:t>需享受中小企业相关政策的，且</w:t>
      </w:r>
      <w:r>
        <w:rPr>
          <w:rFonts w:hint="eastAsia" w:eastAsia="宋体"/>
          <w:snapToGrid w:val="0"/>
          <w:color w:val="auto"/>
          <w:sz w:val="24"/>
          <w:highlight w:val="none"/>
        </w:rPr>
        <w:t>符合上述文件规定的，</w:t>
      </w:r>
      <w:r>
        <w:rPr>
          <w:rFonts w:hint="eastAsia" w:eastAsia="宋体"/>
          <w:snapToGrid w:val="0"/>
          <w:color w:val="auto"/>
          <w:sz w:val="24"/>
          <w:highlight w:val="none"/>
          <w:lang w:eastAsia="zh-CN"/>
        </w:rPr>
        <w:t>应按本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文件规定格式</w:t>
      </w:r>
      <w:r>
        <w:rPr>
          <w:rFonts w:hint="eastAsia" w:eastAsia="宋体"/>
          <w:snapToGrid w:val="0"/>
          <w:color w:val="auto"/>
          <w:sz w:val="24"/>
          <w:highlight w:val="none"/>
        </w:rPr>
        <w:t>提供</w:t>
      </w:r>
      <w:r>
        <w:rPr>
          <w:rFonts w:hint="eastAsia" w:eastAsia="宋体"/>
          <w:snapToGrid w:val="0"/>
          <w:color w:val="auto"/>
          <w:sz w:val="24"/>
          <w:highlight w:val="none"/>
          <w:lang w:eastAsia="zh-CN"/>
        </w:rPr>
        <w:t>“</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rPr>
        <w:t>监狱企业证明文件</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lang w:eastAsia="zh-CN"/>
        </w:rPr>
        <w:t>“</w:t>
      </w:r>
      <w:r>
        <w:rPr>
          <w:rFonts w:hint="eastAsia" w:eastAsia="宋体"/>
          <w:snapToGrid w:val="0"/>
          <w:color w:val="auto"/>
          <w:sz w:val="24"/>
          <w:highlight w:val="none"/>
        </w:rPr>
        <w:t>残疾人福利性单位声明函</w:t>
      </w:r>
      <w:r>
        <w:rPr>
          <w:rFonts w:hint="eastAsia" w:eastAsia="宋体"/>
          <w:snapToGrid w:val="0"/>
          <w:color w:val="auto"/>
          <w:sz w:val="24"/>
          <w:highlight w:val="none"/>
          <w:lang w:eastAsia="zh-CN"/>
        </w:rPr>
        <w:t>”</w:t>
      </w:r>
      <w:r>
        <w:rPr>
          <w:rFonts w:hint="eastAsia" w:eastAsia="宋体"/>
          <w:snapToGrid w:val="0"/>
          <w:color w:val="auto"/>
          <w:sz w:val="24"/>
          <w:highlight w:val="none"/>
        </w:rPr>
        <w:t>，评审时，</w:t>
      </w:r>
      <w:r>
        <w:rPr>
          <w:rFonts w:hint="eastAsia" w:eastAsia="宋体"/>
          <w:snapToGrid w:val="0"/>
          <w:color w:val="auto"/>
          <w:sz w:val="24"/>
          <w:highlight w:val="none"/>
          <w:lang w:val="en-US" w:eastAsia="zh-CN"/>
        </w:rPr>
        <w:t>评标委员会</w:t>
      </w:r>
      <w:r>
        <w:rPr>
          <w:rFonts w:hint="eastAsia" w:eastAsia="宋体"/>
          <w:snapToGrid w:val="0"/>
          <w:color w:val="auto"/>
          <w:sz w:val="24"/>
          <w:highlight w:val="none"/>
        </w:rPr>
        <w:t>将依据</w:t>
      </w:r>
      <w:r>
        <w:rPr>
          <w:rFonts w:hint="eastAsia" w:eastAsia="宋体"/>
          <w:snapToGrid w:val="0"/>
          <w:color w:val="auto"/>
          <w:sz w:val="24"/>
          <w:highlight w:val="none"/>
          <w:lang w:eastAsia="zh-CN"/>
        </w:rPr>
        <w:t>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w:t>
      </w:r>
      <w:r>
        <w:rPr>
          <w:rFonts w:hint="eastAsia" w:eastAsia="宋体"/>
          <w:snapToGrid w:val="0"/>
          <w:color w:val="auto"/>
          <w:sz w:val="24"/>
          <w:highlight w:val="none"/>
        </w:rPr>
        <w:t>“</w:t>
      </w:r>
      <w:r>
        <w:rPr>
          <w:rFonts w:hint="eastAsia" w:eastAsia="宋体"/>
          <w:snapToGrid w:val="0"/>
          <w:color w:val="auto"/>
          <w:sz w:val="24"/>
          <w:highlight w:val="none"/>
          <w:lang w:val="en-US" w:eastAsia="zh-CN"/>
        </w:rPr>
        <w:t>投标人</w:t>
      </w:r>
      <w:r>
        <w:rPr>
          <w:rFonts w:hint="eastAsia" w:eastAsia="宋体"/>
          <w:snapToGrid w:val="0"/>
          <w:color w:val="auto"/>
          <w:sz w:val="24"/>
          <w:highlight w:val="none"/>
        </w:rPr>
        <w:t>须知前附表”规定的报价扣除比例，对供应商报价进行价格扣除，用扣除后的价格参与评审</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公告中明确项目专门面向中小企业采购的，“</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”为资格要求文件，</w:t>
      </w:r>
      <w:r>
        <w:rPr>
          <w:rFonts w:hint="eastAsia" w:eastAsia="宋体"/>
          <w:snapToGrid w:val="0"/>
          <w:color w:val="auto"/>
          <w:sz w:val="24"/>
          <w:highlight w:val="none"/>
        </w:rPr>
        <w:t>供应商</w:t>
      </w:r>
      <w:r>
        <w:rPr>
          <w:rFonts w:hint="eastAsia" w:eastAsia="宋体"/>
          <w:snapToGrid w:val="0"/>
          <w:color w:val="auto"/>
          <w:sz w:val="24"/>
          <w:highlight w:val="none"/>
          <w:lang w:eastAsia="zh-CN"/>
        </w:rPr>
        <w:t>参与</w:t>
      </w:r>
      <w:r>
        <w:rPr>
          <w:rFonts w:hint="eastAsia" w:eastAsia="宋体"/>
          <w:snapToGrid w:val="0"/>
          <w:color w:val="auto"/>
          <w:sz w:val="24"/>
          <w:highlight w:val="none"/>
          <w:lang w:val="en-US" w:eastAsia="zh-CN"/>
        </w:rPr>
        <w:t>投标</w:t>
      </w:r>
      <w:r>
        <w:rPr>
          <w:rFonts w:hint="eastAsia" w:eastAsia="宋体"/>
          <w:snapToGrid w:val="0"/>
          <w:color w:val="auto"/>
          <w:sz w:val="24"/>
          <w:highlight w:val="none"/>
          <w:lang w:eastAsia="zh-CN"/>
        </w:rPr>
        <w:t>须按本</w:t>
      </w:r>
      <w:r>
        <w:rPr>
          <w:rFonts w:hint="eastAsia" w:eastAsia="宋体"/>
          <w:snapToGrid w:val="0"/>
          <w:color w:val="auto"/>
          <w:sz w:val="24"/>
          <w:highlight w:val="none"/>
          <w:lang w:val="en-US" w:eastAsia="zh-CN"/>
        </w:rPr>
        <w:t>招标</w:t>
      </w:r>
      <w:r>
        <w:rPr>
          <w:rFonts w:hint="eastAsia" w:eastAsia="宋体"/>
          <w:snapToGrid w:val="0"/>
          <w:color w:val="auto"/>
          <w:sz w:val="24"/>
          <w:highlight w:val="none"/>
          <w:lang w:eastAsia="zh-CN"/>
        </w:rPr>
        <w:t>文件规定格式</w:t>
      </w:r>
      <w:r>
        <w:rPr>
          <w:rFonts w:hint="eastAsia" w:eastAsia="宋体"/>
          <w:snapToGrid w:val="0"/>
          <w:color w:val="auto"/>
          <w:sz w:val="24"/>
          <w:highlight w:val="none"/>
        </w:rPr>
        <w:t>提供</w:t>
      </w:r>
      <w:r>
        <w:rPr>
          <w:rFonts w:hint="eastAsia" w:eastAsia="宋体"/>
          <w:snapToGrid w:val="0"/>
          <w:color w:val="auto"/>
          <w:sz w:val="24"/>
          <w:highlight w:val="none"/>
          <w:lang w:eastAsia="zh-CN"/>
        </w:rPr>
        <w:t>“</w:t>
      </w:r>
      <w:r>
        <w:rPr>
          <w:rFonts w:hint="eastAsia" w:eastAsia="宋体"/>
          <w:snapToGrid w:val="0"/>
          <w:color w:val="auto"/>
          <w:sz w:val="24"/>
          <w:highlight w:val="none"/>
        </w:rPr>
        <w:t>中小企业声明函</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rPr>
        <w:t>监狱企业证明文件</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或</w:t>
      </w:r>
      <w:r>
        <w:rPr>
          <w:rFonts w:hint="eastAsia" w:eastAsia="宋体"/>
          <w:snapToGrid w:val="0"/>
          <w:color w:val="auto"/>
          <w:sz w:val="24"/>
          <w:highlight w:val="none"/>
          <w:lang w:eastAsia="zh-CN"/>
        </w:rPr>
        <w:t>“</w:t>
      </w:r>
      <w:r>
        <w:rPr>
          <w:rFonts w:hint="eastAsia" w:eastAsia="宋体"/>
          <w:snapToGrid w:val="0"/>
          <w:color w:val="auto"/>
          <w:sz w:val="24"/>
          <w:highlight w:val="none"/>
        </w:rPr>
        <w:t>残疾人福利性单位声明函</w:t>
      </w:r>
      <w:r>
        <w:rPr>
          <w:rFonts w:hint="eastAsia" w:eastAsia="宋体"/>
          <w:snapToGrid w:val="0"/>
          <w:color w:val="auto"/>
          <w:sz w:val="24"/>
          <w:highlight w:val="none"/>
          <w:lang w:eastAsia="zh-CN"/>
        </w:rPr>
        <w:t>”等作为资格证明文件。</w:t>
      </w:r>
      <w:r>
        <w:rPr>
          <w:rFonts w:hint="eastAsia" w:eastAsia="宋体"/>
          <w:snapToGrid w:val="0"/>
          <w:color w:val="auto"/>
          <w:sz w:val="24"/>
          <w:highlight w:val="none"/>
          <w:lang w:val="en-US" w:eastAsia="zh-CN"/>
        </w:rPr>
        <w:t xml:space="preserve"> </w:t>
      </w:r>
    </w:p>
    <w:p w14:paraId="743E5E0E">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3</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投标人提供的货物、工程或者服务符合下列情形的，享受中小企业扶持政策： </w:t>
      </w:r>
    </w:p>
    <w:p w14:paraId="07E7A00A">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1</w:t>
      </w:r>
      <w:r>
        <w:rPr>
          <w:rFonts w:hint="eastAsia" w:eastAsia="宋体"/>
          <w:snapToGrid w:val="0"/>
          <w:color w:val="auto"/>
          <w:sz w:val="24"/>
          <w:highlight w:val="none"/>
          <w:lang w:val="en-US" w:eastAsia="zh-CN"/>
        </w:rPr>
        <w:t xml:space="preserve">）在货物采购项目中，货物由中小企业制造，即货物由中小企业生产且使用该中小企业商号或者注册商标； </w:t>
      </w:r>
    </w:p>
    <w:p w14:paraId="128FB5A1">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2</w:t>
      </w:r>
      <w:r>
        <w:rPr>
          <w:rFonts w:hint="eastAsia" w:eastAsia="宋体"/>
          <w:snapToGrid w:val="0"/>
          <w:color w:val="auto"/>
          <w:sz w:val="24"/>
          <w:highlight w:val="none"/>
          <w:lang w:val="en-US" w:eastAsia="zh-CN"/>
        </w:rPr>
        <w:t xml:space="preserve">）在工程采购项目中，工程由中小企业承建，即工程施工单位为中小企业； </w:t>
      </w:r>
    </w:p>
    <w:p w14:paraId="4557B965">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3</w:t>
      </w:r>
      <w:r>
        <w:rPr>
          <w:rFonts w:hint="eastAsia" w:eastAsia="宋体"/>
          <w:snapToGrid w:val="0"/>
          <w:color w:val="auto"/>
          <w:sz w:val="24"/>
          <w:highlight w:val="none"/>
          <w:lang w:val="en-US" w:eastAsia="zh-CN"/>
        </w:rPr>
        <w:t>）在服务采购项目中，服务由中小企业承接，即提供服务的人员为中小企业依照《中华人民共和国劳动合同法》订立劳动合同的从业人员。</w:t>
      </w:r>
    </w:p>
    <w:p w14:paraId="5C38B69F">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eastAsia="宋体"/>
          <w:snapToGrid w:val="0"/>
          <w:color w:val="auto"/>
          <w:sz w:val="24"/>
          <w:highlight w:val="none"/>
          <w:lang w:val="en-US" w:eastAsia="zh-CN"/>
        </w:rPr>
        <w:t>.</w:t>
      </w:r>
      <w:r>
        <w:rPr>
          <w:rFonts w:hint="eastAsia" w:eastAsia="宋体"/>
          <w:snapToGrid w:val="0"/>
          <w:color w:val="auto"/>
          <w:sz w:val="24"/>
          <w:highlight w:val="none"/>
          <w:lang w:val="en-US" w:eastAsia="zh-CN"/>
        </w:rPr>
        <w:t>4</w:t>
      </w:r>
      <w:r>
        <w:rPr>
          <w:rFonts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在货物采购项目中，投标人提供的货物既有中小企业制造货物，也有大型企业制造货物的，不享受中小企业扶持政策。 </w:t>
      </w:r>
    </w:p>
    <w:p w14:paraId="0B6C9A16">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5</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以联合体形式参加政府采购活动，联合体各方均为中小企业的，联合体视同中小企业。其中，联合体各方均为小微企业的，联合体视同小微企业。  </w:t>
      </w:r>
    </w:p>
    <w:p w14:paraId="364BC09C">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6</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在政府采购活动中，监狱企业视同小型、微型企业，享受预留份额、评审中价格扣除等政府采购促进中小企业发展的政府采购政策。</w:t>
      </w:r>
    </w:p>
    <w:p w14:paraId="1EF9D90B">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 xml:space="preserve">在政府采购活动中，残疾人福利性单位视同小型、微型企业，享受预留份额、评审中价格扣除等促进中小企业发展的政府采购政策。残疾人福利性单位定义：享受政府采购支持政策的残疾人福利性单位应当同时满足以下条件： </w:t>
      </w:r>
    </w:p>
    <w:p w14:paraId="2EADF7DB">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 xml:space="preserve">安置的残疾人占本单位在职职工人数的比例不低于 </w:t>
      </w:r>
      <w:r>
        <w:rPr>
          <w:rFonts w:hint="default" w:eastAsia="宋体"/>
          <w:snapToGrid w:val="0"/>
          <w:color w:val="auto"/>
          <w:sz w:val="24"/>
          <w:highlight w:val="none"/>
          <w:lang w:val="en-US" w:eastAsia="zh-CN"/>
        </w:rPr>
        <w:t xml:space="preserve">25% </w:t>
      </w:r>
      <w:r>
        <w:rPr>
          <w:rFonts w:hint="eastAsia" w:eastAsia="宋体"/>
          <w:snapToGrid w:val="0"/>
          <w:color w:val="auto"/>
          <w:sz w:val="24"/>
          <w:highlight w:val="none"/>
          <w:lang w:val="en-US" w:eastAsia="zh-CN"/>
        </w:rPr>
        <w:t xml:space="preserve">（含 </w:t>
      </w:r>
      <w:r>
        <w:rPr>
          <w:rFonts w:hint="default" w:eastAsia="宋体"/>
          <w:snapToGrid w:val="0"/>
          <w:color w:val="auto"/>
          <w:sz w:val="24"/>
          <w:highlight w:val="none"/>
          <w:lang w:val="en-US" w:eastAsia="zh-CN"/>
        </w:rPr>
        <w:t>25%</w:t>
      </w:r>
      <w:r>
        <w:rPr>
          <w:rFonts w:hint="eastAsia" w:eastAsia="宋体"/>
          <w:snapToGrid w:val="0"/>
          <w:color w:val="auto"/>
          <w:sz w:val="24"/>
          <w:highlight w:val="none"/>
          <w:lang w:val="en-US" w:eastAsia="zh-CN"/>
        </w:rPr>
        <w:t xml:space="preserve">），并且安置的残疾人人数不少于 </w:t>
      </w:r>
      <w:r>
        <w:rPr>
          <w:rFonts w:hint="default" w:eastAsia="宋体"/>
          <w:snapToGrid w:val="0"/>
          <w:color w:val="auto"/>
          <w:sz w:val="24"/>
          <w:highlight w:val="none"/>
          <w:lang w:val="en-US" w:eastAsia="zh-CN"/>
        </w:rPr>
        <w:t xml:space="preserve">10 </w:t>
      </w:r>
      <w:r>
        <w:rPr>
          <w:rFonts w:hint="eastAsia" w:eastAsia="宋体"/>
          <w:snapToGrid w:val="0"/>
          <w:color w:val="auto"/>
          <w:sz w:val="24"/>
          <w:highlight w:val="none"/>
          <w:lang w:val="en-US" w:eastAsia="zh-CN"/>
        </w:rPr>
        <w:t xml:space="preserve">人（含 </w:t>
      </w:r>
      <w:r>
        <w:rPr>
          <w:rFonts w:hint="default" w:eastAsia="宋体"/>
          <w:snapToGrid w:val="0"/>
          <w:color w:val="auto"/>
          <w:sz w:val="24"/>
          <w:highlight w:val="none"/>
          <w:lang w:val="en-US" w:eastAsia="zh-CN"/>
        </w:rPr>
        <w:t>10</w:t>
      </w:r>
      <w:r>
        <w:rPr>
          <w:rFonts w:hint="eastAsia" w:eastAsia="宋体"/>
          <w:snapToGrid w:val="0"/>
          <w:color w:val="auto"/>
          <w:sz w:val="24"/>
          <w:highlight w:val="none"/>
          <w:lang w:val="en-US" w:eastAsia="zh-CN"/>
        </w:rPr>
        <w:t xml:space="preserve">人）； </w:t>
      </w:r>
    </w:p>
    <w:p w14:paraId="5B128E6C">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.2 </w:t>
      </w:r>
      <w:r>
        <w:rPr>
          <w:rFonts w:hint="eastAsia" w:eastAsia="宋体"/>
          <w:snapToGrid w:val="0"/>
          <w:color w:val="auto"/>
          <w:sz w:val="24"/>
          <w:highlight w:val="none"/>
          <w:lang w:val="en-US" w:eastAsia="zh-CN"/>
        </w:rPr>
        <w:t xml:space="preserve">依法与安置的每位残疾人签订了1年以上（含1年）的劳动合同或服务协议； </w:t>
      </w:r>
    </w:p>
    <w:p w14:paraId="750299D4">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.3 </w:t>
      </w:r>
      <w:r>
        <w:rPr>
          <w:rFonts w:hint="eastAsia" w:eastAsia="宋体"/>
          <w:snapToGrid w:val="0"/>
          <w:color w:val="auto"/>
          <w:sz w:val="24"/>
          <w:highlight w:val="none"/>
          <w:lang w:val="en-US" w:eastAsia="zh-CN"/>
        </w:rPr>
        <w:t xml:space="preserve">为安置的每位残疾人按月足额缴纳了基本养老保险、基本医疗保险、失业保险、工伤保险和生育保险等社会保险费； </w:t>
      </w:r>
    </w:p>
    <w:p w14:paraId="5494926D">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.4 </w:t>
      </w:r>
      <w:r>
        <w:rPr>
          <w:rFonts w:hint="eastAsia" w:eastAsia="宋体"/>
          <w:snapToGrid w:val="0"/>
          <w:color w:val="auto"/>
          <w:sz w:val="24"/>
          <w:highlight w:val="none"/>
          <w:lang w:val="en-US" w:eastAsia="zh-CN"/>
        </w:rPr>
        <w:t xml:space="preserve">通过银行等金融机构向安置的每位残疾人，按月支付了不低于单位所在区县适用的经省级人民政府批准的月最低工资标准的工资； </w:t>
      </w:r>
    </w:p>
    <w:p w14:paraId="6AD696D2">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.5 </w:t>
      </w:r>
      <w:r>
        <w:rPr>
          <w:rFonts w:hint="eastAsia" w:eastAsia="宋体"/>
          <w:snapToGrid w:val="0"/>
          <w:color w:val="auto"/>
          <w:sz w:val="24"/>
          <w:highlight w:val="none"/>
          <w:lang w:val="en-US" w:eastAsia="zh-CN"/>
        </w:rPr>
        <w:t xml:space="preserve">提供本单位制造的货物、承担的工程或者服务（以下简称产品），或者提供其他残疾人福利性单位制造的货物（不包括使用非残疾人福利性单位注册商标的货物）； </w:t>
      </w:r>
    </w:p>
    <w:p w14:paraId="6F6930A8">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7</w:t>
      </w:r>
      <w:r>
        <w:rPr>
          <w:rFonts w:hint="default" w:eastAsia="宋体"/>
          <w:snapToGrid w:val="0"/>
          <w:color w:val="auto"/>
          <w:sz w:val="24"/>
          <w:highlight w:val="none"/>
          <w:lang w:val="en-US" w:eastAsia="zh-CN"/>
        </w:rPr>
        <w:t xml:space="preserve">.6 </w:t>
      </w:r>
      <w:r>
        <w:rPr>
          <w:rFonts w:hint="eastAsia" w:eastAsia="宋体"/>
          <w:snapToGrid w:val="0"/>
          <w:color w:val="auto"/>
          <w:sz w:val="24"/>
          <w:highlight w:val="none"/>
          <w:lang w:val="en-US" w:eastAsia="zh-CN"/>
        </w:rPr>
        <w:t>前款所称残疾人是指法定劳动年龄内，持有《中华人民共和国残疾人证》或者《中华人民共和国残疾军人证（</w:t>
      </w:r>
      <w:r>
        <w:rPr>
          <w:rFonts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 xml:space="preserve">至 </w:t>
      </w:r>
      <w:r>
        <w:rPr>
          <w:rFonts w:hint="default" w:eastAsia="宋体"/>
          <w:snapToGrid w:val="0"/>
          <w:color w:val="auto"/>
          <w:sz w:val="24"/>
          <w:highlight w:val="none"/>
          <w:lang w:val="en-US" w:eastAsia="zh-CN"/>
        </w:rPr>
        <w:t xml:space="preserve">8 </w:t>
      </w:r>
      <w:r>
        <w:rPr>
          <w:rFonts w:hint="eastAsia" w:eastAsia="宋体"/>
          <w:snapToGrid w:val="0"/>
          <w:color w:val="auto"/>
          <w:sz w:val="24"/>
          <w:highlight w:val="none"/>
          <w:lang w:val="en-US" w:eastAsia="zh-CN"/>
        </w:rPr>
        <w:t xml:space="preserve">级）》的自然人，包括具有劳动条件和劳动意愿的精神残疾人。在职职工人数是指与残疾人福利性单位建立劳动关系并依法签订劳动合同或服务协议的雇员人数。 </w:t>
      </w:r>
    </w:p>
    <w:p w14:paraId="50A69BFA">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8</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本项目是否专门面向中小企业预留采购份额见“第一章 招标公告”。    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9</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采购标的对应的中小企业划分标准所属行业见“投标人须知前附表”。    42</w:t>
      </w:r>
      <w:r>
        <w:rPr>
          <w:rFonts w:hint="default" w:eastAsia="宋体"/>
          <w:snapToGrid w:val="0"/>
          <w:color w:val="auto"/>
          <w:sz w:val="24"/>
          <w:highlight w:val="none"/>
          <w:lang w:val="en-US" w:eastAsia="zh-CN"/>
        </w:rPr>
        <w:t>.</w:t>
      </w:r>
      <w:r>
        <w:rPr>
          <w:rFonts w:hint="eastAsia" w:eastAsia="宋体"/>
          <w:snapToGrid w:val="0"/>
          <w:color w:val="auto"/>
          <w:sz w:val="24"/>
          <w:highlight w:val="none"/>
          <w:lang w:val="en-US" w:eastAsia="zh-CN"/>
        </w:rPr>
        <w:t>10</w:t>
      </w:r>
      <w:r>
        <w:rPr>
          <w:rFonts w:hint="default" w:eastAsia="宋体"/>
          <w:snapToGrid w:val="0"/>
          <w:color w:val="auto"/>
          <w:sz w:val="24"/>
          <w:highlight w:val="none"/>
          <w:lang w:val="en-US" w:eastAsia="zh-CN"/>
        </w:rPr>
        <w:t xml:space="preserve"> </w:t>
      </w:r>
      <w:r>
        <w:rPr>
          <w:rFonts w:hint="eastAsia" w:eastAsia="宋体"/>
          <w:snapToGrid w:val="0"/>
          <w:color w:val="auto"/>
          <w:sz w:val="24"/>
          <w:highlight w:val="none"/>
          <w:lang w:val="en-US" w:eastAsia="zh-CN"/>
        </w:rPr>
        <w:t>小微企业价格评审优惠的政策调整：见“投标人须知前附表”及“第五章 评标方法及标准”。</w:t>
      </w:r>
    </w:p>
    <w:p w14:paraId="17DD5FF7">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45" w:name="_Toc9255"/>
      <w:bookmarkStart w:id="446" w:name="_Toc1808"/>
      <w:bookmarkStart w:id="447" w:name="_Toc5822"/>
      <w:bookmarkStart w:id="448" w:name="_Toc163492878"/>
      <w:bookmarkStart w:id="449" w:name="_Toc7407"/>
      <w:r>
        <w:rPr>
          <w:rFonts w:hint="eastAsia" w:ascii="宋体" w:hAnsi="宋体" w:eastAsia="宋体" w:cs="宋体"/>
          <w:b/>
          <w:bCs/>
          <w:color w:val="auto"/>
          <w:kern w:val="2"/>
          <w:sz w:val="24"/>
          <w:szCs w:val="28"/>
          <w:highlight w:val="none"/>
          <w:lang w:val="en-US" w:eastAsia="zh-CN" w:bidi="ar-SA"/>
        </w:rPr>
        <w:t>43.政府采购节能产品、环境标志产品</w:t>
      </w:r>
      <w:bookmarkEnd w:id="445"/>
      <w:bookmarkEnd w:id="446"/>
      <w:bookmarkEnd w:id="447"/>
      <w:bookmarkEnd w:id="448"/>
      <w:bookmarkEnd w:id="449"/>
    </w:p>
    <w:p w14:paraId="741E7E7A">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eastAsia="宋体"/>
          <w:snapToGrid w:val="0"/>
          <w:color w:val="auto"/>
          <w:sz w:val="24"/>
          <w:highlight w:val="none"/>
          <w:lang w:val="en-US" w:eastAsia="zh-CN"/>
        </w:rPr>
        <w:t xml:space="preserve">.1 </w:t>
      </w:r>
      <w:r>
        <w:rPr>
          <w:rFonts w:hint="eastAsia" w:eastAsia="宋体"/>
          <w:snapToGrid w:val="0"/>
          <w:color w:val="auto"/>
          <w:sz w:val="24"/>
          <w:highlight w:val="none"/>
          <w:lang w:val="en-US"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关于政府采购节能产品、环境标志产品的相关规定依据《关于调整优化节能产品、环境标志产品政府采购执行机制的通知》（财库〔</w:t>
      </w:r>
      <w:r>
        <w:rPr>
          <w:rFonts w:hint="default" w:eastAsia="宋体"/>
          <w:snapToGrid w:val="0"/>
          <w:color w:val="auto"/>
          <w:sz w:val="24"/>
          <w:highlight w:val="none"/>
          <w:lang w:val="en-US" w:eastAsia="zh-CN"/>
        </w:rPr>
        <w:t>2019</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9 </w:t>
      </w:r>
      <w:r>
        <w:rPr>
          <w:rFonts w:hint="eastAsia" w:eastAsia="宋体"/>
          <w:snapToGrid w:val="0"/>
          <w:color w:val="auto"/>
          <w:sz w:val="24"/>
          <w:highlight w:val="none"/>
          <w:lang w:val="en-US" w:eastAsia="zh-CN"/>
        </w:rPr>
        <w:t>号）、《关于印发环境标志产品政府采购品目清单的通知》（财库〔2019〕18号）、《关于印发节能产品政府采购品目清单的通知》（财库〔2019〕19号）的规定。</w:t>
      </w:r>
    </w:p>
    <w:p w14:paraId="2EC4C51A">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.2 </w:t>
      </w:r>
      <w:r>
        <w:rPr>
          <w:rFonts w:hint="eastAsia" w:eastAsia="宋体"/>
          <w:snapToGrid w:val="0"/>
          <w:color w:val="auto"/>
          <w:sz w:val="24"/>
          <w:highlight w:val="none"/>
          <w:lang w:val="en-US" w:eastAsia="zh-CN"/>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 </w:t>
      </w:r>
    </w:p>
    <w:p w14:paraId="25CFE0EE">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.3 </w:t>
      </w:r>
      <w:r>
        <w:rPr>
          <w:rFonts w:hint="eastAsia" w:eastAsia="宋体"/>
          <w:snapToGrid w:val="0"/>
          <w:color w:val="auto"/>
          <w:sz w:val="24"/>
          <w:highlight w:val="none"/>
          <w:lang w:val="en-US" w:eastAsia="zh-CN"/>
        </w:rPr>
        <w:t>如本项目采购产品属于实施政府强制采购品目清单范围的节能产品，则投标人所报产品必须获得国家确定的认证机构出具的、处于有效期之内的节能产品认证证书，否则</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 xml:space="preserve">。 </w:t>
      </w:r>
    </w:p>
    <w:p w14:paraId="04E599F1">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43</w:t>
      </w:r>
      <w:r>
        <w:rPr>
          <w:rFonts w:hint="default" w:eastAsia="宋体"/>
          <w:snapToGrid w:val="0"/>
          <w:color w:val="auto"/>
          <w:sz w:val="24"/>
          <w:highlight w:val="none"/>
          <w:lang w:val="en-US" w:eastAsia="zh-CN"/>
        </w:rPr>
        <w:t xml:space="preserve">.4 </w:t>
      </w:r>
      <w:r>
        <w:rPr>
          <w:rFonts w:hint="eastAsia" w:eastAsia="宋体"/>
          <w:snapToGrid w:val="0"/>
          <w:color w:val="auto"/>
          <w:sz w:val="24"/>
          <w:highlight w:val="none"/>
          <w:lang w:val="en-US" w:eastAsia="zh-CN"/>
        </w:rPr>
        <w:t>非政府强制采购的节能产品或环境标志产品，依据品目清单和认证证书实施政府优先采购。优先采购的具体规定见“第五章 评标方法及标准”（如涉及）。</w:t>
      </w:r>
    </w:p>
    <w:p w14:paraId="51B3D928">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snapToGrid w:val="0"/>
          <w:color w:val="auto"/>
          <w:sz w:val="24"/>
          <w:highlight w:val="none"/>
          <w:lang w:val="en-US" w:eastAsia="zh-CN"/>
        </w:rPr>
        <w:t xml:space="preserve">43.5 </w:t>
      </w:r>
      <w:r>
        <w:rPr>
          <w:rFonts w:hint="eastAsia" w:eastAsia="宋体"/>
          <w:snapToGrid w:val="0"/>
          <w:color w:val="auto"/>
          <w:sz w:val="24"/>
          <w:highlight w:val="none"/>
        </w:rPr>
        <w:t>投标人所投产品如属于节能产品政府采购品目清单、环境标志产品政府采购品目清单范围的，须提供国家确定的认证机构出具的、处于有效期内的产品认证证书，认证证书的产品型号与所投产品不一致的，视为未提供。属于政府强制采购产品的，</w:t>
      </w:r>
      <w:r>
        <w:rPr>
          <w:rFonts w:eastAsia="宋体"/>
          <w:snapToGrid w:val="0"/>
          <w:color w:val="auto"/>
          <w:sz w:val="24"/>
          <w:highlight w:val="none"/>
        </w:rPr>
        <w:t>已作为投标时强制性要求不再给予</w:t>
      </w:r>
      <w:r>
        <w:rPr>
          <w:rFonts w:hint="eastAsia" w:eastAsia="宋体"/>
          <w:snapToGrid w:val="0"/>
          <w:color w:val="auto"/>
          <w:sz w:val="24"/>
          <w:highlight w:val="none"/>
          <w:lang w:val="en-US" w:eastAsia="zh-CN"/>
        </w:rPr>
        <w:t>价格评审优惠</w:t>
      </w:r>
      <w:r>
        <w:rPr>
          <w:rFonts w:hint="eastAsia" w:eastAsia="宋体"/>
          <w:snapToGrid w:val="0"/>
          <w:color w:val="auto"/>
          <w:sz w:val="24"/>
          <w:highlight w:val="none"/>
        </w:rPr>
        <w:t>，未提供认证证书的视为</w:t>
      </w:r>
      <w:r>
        <w:rPr>
          <w:rFonts w:hint="eastAsia" w:eastAsia="宋体"/>
          <w:b/>
          <w:bCs/>
          <w:snapToGrid w:val="0"/>
          <w:color w:val="auto"/>
          <w:sz w:val="24"/>
          <w:highlight w:val="none"/>
          <w:lang w:val="en-US" w:eastAsia="zh-CN"/>
        </w:rPr>
        <w:t>投标</w:t>
      </w:r>
      <w:r>
        <w:rPr>
          <w:rFonts w:hint="eastAsia" w:eastAsia="宋体"/>
          <w:b/>
          <w:bCs/>
          <w:snapToGrid w:val="0"/>
          <w:color w:val="auto"/>
          <w:sz w:val="24"/>
          <w:highlight w:val="none"/>
        </w:rPr>
        <w:t>无效</w:t>
      </w:r>
      <w:r>
        <w:rPr>
          <w:rFonts w:hint="eastAsia" w:eastAsia="宋体"/>
          <w:snapToGrid w:val="0"/>
          <w:color w:val="auto"/>
          <w:sz w:val="24"/>
          <w:highlight w:val="none"/>
        </w:rPr>
        <w:t>。属于</w:t>
      </w:r>
      <w:r>
        <w:rPr>
          <w:rFonts w:hint="eastAsia" w:eastAsia="宋体"/>
          <w:snapToGrid w:val="0"/>
          <w:color w:val="auto"/>
          <w:sz w:val="24"/>
          <w:highlight w:val="none"/>
          <w:lang w:val="en-US" w:eastAsia="zh-CN"/>
        </w:rPr>
        <w:t>优先采购</w:t>
      </w:r>
      <w:r>
        <w:rPr>
          <w:rFonts w:hint="eastAsia" w:eastAsia="宋体"/>
          <w:snapToGrid w:val="0"/>
          <w:color w:val="auto"/>
          <w:sz w:val="24"/>
          <w:highlight w:val="none"/>
        </w:rPr>
        <w:t>节能产品政府采购品目清单、环境标志产品政府采购品目清单</w:t>
      </w:r>
      <w:r>
        <w:rPr>
          <w:rFonts w:hint="eastAsia" w:eastAsia="宋体"/>
          <w:snapToGrid w:val="0"/>
          <w:color w:val="auto"/>
          <w:sz w:val="24"/>
          <w:highlight w:val="none"/>
          <w:lang w:eastAsia="zh-CN"/>
        </w:rPr>
        <w:t>、</w:t>
      </w:r>
      <w:r>
        <w:rPr>
          <w:rFonts w:hint="eastAsia" w:eastAsia="宋体"/>
          <w:snapToGrid w:val="0"/>
          <w:color w:val="auto"/>
          <w:sz w:val="24"/>
          <w:highlight w:val="none"/>
          <w:lang w:val="en-US" w:eastAsia="zh-CN"/>
        </w:rPr>
        <w:t>创新产品</w:t>
      </w:r>
      <w:r>
        <w:rPr>
          <w:rFonts w:hint="eastAsia" w:eastAsia="宋体"/>
          <w:snapToGrid w:val="0"/>
          <w:color w:val="auto"/>
          <w:sz w:val="24"/>
          <w:highlight w:val="none"/>
        </w:rPr>
        <w:t>范围的，按照“</w:t>
      </w:r>
      <w:r>
        <w:rPr>
          <w:rFonts w:hint="eastAsia" w:eastAsia="宋体"/>
          <w:color w:val="auto"/>
          <w:sz w:val="24"/>
          <w:highlight w:val="none"/>
          <w:lang w:val="en-US" w:eastAsia="zh-CN"/>
        </w:rPr>
        <w:t>第五章 评标方法及标准</w:t>
      </w:r>
      <w:r>
        <w:rPr>
          <w:rFonts w:hint="eastAsia" w:eastAsia="宋体"/>
          <w:snapToGrid w:val="0"/>
          <w:color w:val="auto"/>
          <w:sz w:val="24"/>
          <w:highlight w:val="none"/>
        </w:rPr>
        <w:t>”中相关规定</w:t>
      </w:r>
      <w:r>
        <w:rPr>
          <w:rFonts w:hint="eastAsia" w:eastAsia="宋体"/>
          <w:color w:val="auto"/>
          <w:sz w:val="24"/>
          <w:highlight w:val="none"/>
          <w:lang w:val="en-US" w:eastAsia="zh-CN"/>
        </w:rPr>
        <w:t>在评审时给予价格评审优惠，具体详见</w:t>
      </w:r>
      <w:r>
        <w:rPr>
          <w:rFonts w:hint="eastAsia" w:eastAsia="宋体"/>
          <w:snapToGrid w:val="0"/>
          <w:color w:val="auto"/>
          <w:sz w:val="24"/>
          <w:highlight w:val="none"/>
          <w:lang w:val="en-US" w:eastAsia="zh-CN"/>
        </w:rPr>
        <w:t>“投标人须知前附表”及</w:t>
      </w:r>
      <w:r>
        <w:rPr>
          <w:rFonts w:hint="eastAsia" w:eastAsia="宋体"/>
          <w:color w:val="auto"/>
          <w:sz w:val="24"/>
          <w:highlight w:val="none"/>
          <w:lang w:val="en-US" w:eastAsia="zh-CN"/>
        </w:rPr>
        <w:t>“第五章 评标方法及标准”</w:t>
      </w:r>
      <w:r>
        <w:rPr>
          <w:rFonts w:hint="eastAsia" w:eastAsia="宋体"/>
          <w:color w:val="auto"/>
          <w:sz w:val="24"/>
          <w:highlight w:val="none"/>
        </w:rPr>
        <w:t>。</w:t>
      </w:r>
    </w:p>
    <w:p w14:paraId="5F04C72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450" w:name="_Toc14967"/>
      <w:bookmarkStart w:id="451" w:name="_Toc27051"/>
      <w:bookmarkStart w:id="452" w:name="_Toc27639"/>
      <w:bookmarkStart w:id="453" w:name="_Toc18587"/>
      <w:bookmarkStart w:id="454" w:name="_Toc163492879"/>
      <w:r>
        <w:rPr>
          <w:rFonts w:hint="eastAsia" w:ascii="宋体" w:hAnsi="宋体" w:eastAsia="宋体" w:cs="宋体"/>
          <w:b/>
          <w:bCs/>
          <w:color w:val="auto"/>
          <w:kern w:val="2"/>
          <w:sz w:val="24"/>
          <w:szCs w:val="28"/>
          <w:highlight w:val="none"/>
          <w:lang w:val="en-US" w:eastAsia="zh-CN" w:bidi="ar-SA"/>
        </w:rPr>
        <w:t>44.正版软件</w:t>
      </w:r>
      <w:bookmarkEnd w:id="450"/>
      <w:bookmarkEnd w:id="451"/>
      <w:bookmarkEnd w:id="452"/>
      <w:bookmarkEnd w:id="453"/>
      <w:r>
        <w:rPr>
          <w:rFonts w:hint="eastAsia" w:ascii="宋体" w:hAnsi="宋体" w:eastAsia="宋体" w:cs="宋体"/>
          <w:b/>
          <w:bCs/>
          <w:color w:val="auto"/>
          <w:kern w:val="2"/>
          <w:sz w:val="24"/>
          <w:szCs w:val="28"/>
          <w:highlight w:val="none"/>
          <w:lang w:val="en-US" w:eastAsia="zh-CN" w:bidi="ar-SA"/>
        </w:rPr>
        <w:t xml:space="preserve">  </w:t>
      </w:r>
    </w:p>
    <w:p w14:paraId="415973C1">
      <w:pPr>
        <w:pStyle w:val="36"/>
        <w:keepNext w:val="0"/>
        <w:keepLines w:val="0"/>
        <w:pageBreakBefore w:val="0"/>
        <w:widowControl w:val="0"/>
        <w:kinsoku/>
        <w:overflowPunct/>
        <w:topLinePunct w:val="0"/>
        <w:autoSpaceDE/>
        <w:autoSpaceDN/>
        <w:bidi w:val="0"/>
        <w:adjustRightInd/>
        <w:snapToGri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44.1 依据《财政部 国家发展改革委 信息产业部关于印发无线局域网产品政府采购实施意见的通知》（财库〔</w:t>
      </w:r>
      <w:r>
        <w:rPr>
          <w:rFonts w:hint="default" w:eastAsia="宋体"/>
          <w:snapToGrid w:val="0"/>
          <w:color w:val="auto"/>
          <w:sz w:val="24"/>
          <w:highlight w:val="none"/>
          <w:lang w:val="en-US" w:eastAsia="zh-CN"/>
        </w:rPr>
        <w:t>2005</w:t>
      </w:r>
      <w:r>
        <w:rPr>
          <w:rFonts w:hint="eastAsia" w:eastAsia="宋体"/>
          <w:snapToGrid w:val="0"/>
          <w:color w:val="auto"/>
          <w:sz w:val="24"/>
          <w:highlight w:val="none"/>
          <w:lang w:val="en-US" w:eastAsia="zh-CN"/>
        </w:rPr>
        <w:t>〕</w:t>
      </w:r>
      <w:r>
        <w:rPr>
          <w:rFonts w:hint="default" w:eastAsia="宋体"/>
          <w:snapToGrid w:val="0"/>
          <w:color w:val="auto"/>
          <w:sz w:val="24"/>
          <w:highlight w:val="none"/>
          <w:lang w:val="en-US" w:eastAsia="zh-CN"/>
        </w:rPr>
        <w:t xml:space="preserve">366 </w:t>
      </w:r>
      <w:r>
        <w:rPr>
          <w:rFonts w:hint="eastAsia" w:eastAsia="宋体"/>
          <w:snapToGrid w:val="0"/>
          <w:color w:val="auto"/>
          <w:sz w:val="24"/>
          <w:highlight w:val="none"/>
          <w:lang w:val="en-US" w:eastAsia="zh-CN"/>
        </w:rPr>
        <w:t>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eastAsia="宋体"/>
          <w:b/>
          <w:bCs/>
          <w:snapToGrid w:val="0"/>
          <w:color w:val="auto"/>
          <w:sz w:val="24"/>
          <w:highlight w:val="none"/>
          <w:lang w:val="en-US" w:eastAsia="zh-CN"/>
        </w:rPr>
        <w:t>投标无效</w:t>
      </w:r>
      <w:r>
        <w:rPr>
          <w:rFonts w:hint="eastAsia" w:eastAsia="宋体"/>
          <w:snapToGrid w:val="0"/>
          <w:color w:val="auto"/>
          <w:sz w:val="24"/>
          <w:highlight w:val="none"/>
          <w:lang w:val="en-US" w:eastAsia="zh-CN"/>
        </w:rPr>
        <w:t xml:space="preserve">。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 </w:t>
      </w:r>
    </w:p>
    <w:p w14:paraId="7504E407">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44.2 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号）、《国务院办公厅关于印发政府机关使用正版软件管理办法的通知》国办发〔2013〕88号。</w:t>
      </w:r>
    </w:p>
    <w:p w14:paraId="139B1CB1">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455" w:name="_Toc18124"/>
      <w:bookmarkStart w:id="456" w:name="_Toc5754"/>
      <w:bookmarkStart w:id="457" w:name="_Toc23823"/>
      <w:bookmarkStart w:id="458" w:name="_Toc9349"/>
      <w:r>
        <w:rPr>
          <w:rFonts w:hint="eastAsia" w:ascii="宋体" w:hAnsi="宋体" w:eastAsia="宋体" w:cs="宋体"/>
          <w:b/>
          <w:bCs/>
          <w:color w:val="auto"/>
          <w:kern w:val="2"/>
          <w:sz w:val="24"/>
          <w:szCs w:val="28"/>
          <w:highlight w:val="none"/>
          <w:lang w:val="en-US" w:eastAsia="zh-CN" w:bidi="ar-SA"/>
        </w:rPr>
        <w:t>45.网络安全专用产品</w:t>
      </w:r>
      <w:bookmarkEnd w:id="455"/>
      <w:bookmarkEnd w:id="456"/>
      <w:bookmarkEnd w:id="457"/>
      <w:bookmarkEnd w:id="458"/>
      <w:r>
        <w:rPr>
          <w:rFonts w:hint="eastAsia" w:ascii="宋体" w:hAnsi="宋体" w:eastAsia="宋体" w:cs="宋体"/>
          <w:b/>
          <w:bCs/>
          <w:color w:val="auto"/>
          <w:kern w:val="2"/>
          <w:sz w:val="24"/>
          <w:szCs w:val="28"/>
          <w:highlight w:val="none"/>
          <w:lang w:val="en-US" w:eastAsia="zh-CN" w:bidi="ar-SA"/>
        </w:rPr>
        <w:t xml:space="preserve">   </w:t>
      </w:r>
    </w:p>
    <w:p w14:paraId="13C08773">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45.1本项目中如涉及网络关键设备或网络安全专用产品的，应严格执行国家互联网信息办公室、工业和信息化部、公安部、财政部和国家认证认可监督管理委员会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采购人、中标(成交)人双方签订合同及验收环节，应包含上述网络安全要求的条款。</w:t>
      </w:r>
    </w:p>
    <w:p w14:paraId="575DAF11">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45.2本项目中如涉及国家强制性产品认证证书（CCC 认证证书）、电信设备进网许可证、无线电发射设备核准证等市场准入类资质的，应严格执行国家相关法律法规的要求。采购人、中标(成交)人双方签订合同及验收环节，应包含上述市场准入类资质要求的条款。 </w:t>
      </w:r>
    </w:p>
    <w:p w14:paraId="567E703D">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default" w:ascii="宋体" w:hAnsi="宋体" w:eastAsia="宋体" w:cs="宋体"/>
          <w:b/>
          <w:bCs/>
          <w:color w:val="auto"/>
          <w:kern w:val="2"/>
          <w:sz w:val="24"/>
          <w:szCs w:val="28"/>
          <w:highlight w:val="none"/>
          <w:lang w:val="en-US" w:eastAsia="zh-CN" w:bidi="ar-SA"/>
        </w:rPr>
      </w:pPr>
      <w:bookmarkStart w:id="459" w:name="_Toc4141"/>
      <w:bookmarkStart w:id="460" w:name="_Toc30425"/>
      <w:bookmarkStart w:id="461" w:name="_Toc26826"/>
      <w:bookmarkStart w:id="462" w:name="_Toc30358"/>
      <w:r>
        <w:rPr>
          <w:rFonts w:hint="eastAsia" w:ascii="宋体" w:hAnsi="宋体" w:eastAsia="宋体" w:cs="宋体"/>
          <w:b/>
          <w:bCs/>
          <w:color w:val="auto"/>
          <w:kern w:val="2"/>
          <w:sz w:val="24"/>
          <w:szCs w:val="28"/>
          <w:highlight w:val="none"/>
          <w:lang w:val="en-US" w:eastAsia="zh-CN" w:bidi="ar-SA"/>
        </w:rPr>
        <w:t>46.采购需求标准</w:t>
      </w:r>
      <w:bookmarkEnd w:id="459"/>
      <w:bookmarkEnd w:id="460"/>
      <w:bookmarkEnd w:id="461"/>
      <w:bookmarkEnd w:id="462"/>
      <w:r>
        <w:rPr>
          <w:rFonts w:hint="eastAsia" w:ascii="宋体" w:hAnsi="宋体" w:eastAsia="宋体" w:cs="宋体"/>
          <w:b/>
          <w:bCs/>
          <w:color w:val="auto"/>
          <w:kern w:val="2"/>
          <w:sz w:val="24"/>
          <w:szCs w:val="28"/>
          <w:highlight w:val="none"/>
          <w:lang w:val="en-US" w:eastAsia="zh-CN" w:bidi="ar-SA"/>
        </w:rPr>
        <w:t xml:space="preserve">   </w:t>
      </w:r>
    </w:p>
    <w:p w14:paraId="77C63652">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46.1 商品包装、快递包装政府采购需求标准（试行） </w:t>
      </w:r>
    </w:p>
    <w:p w14:paraId="3DA94789">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为助力打好污染防治攻坚战，推广使用绿色包装，根据财政部关于印发《商品包装政府采购需求标准（试行）》、《快递包装政府采购需求标准（试行）》的通知（财办库〔2020〕123 号），本项目如涉及商品包装和快递包装的，则其具体要求见第三章《采购需求》。 </w:t>
      </w:r>
    </w:p>
    <w:p w14:paraId="27B020C7">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46.2 绿色数据中心政府采购需求标准（试行） </w:t>
      </w:r>
    </w:p>
    <w:p w14:paraId="16173830">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 xml:space="preserve">为加快数据中心绿色转型，根据财政部 生态环境部 工业和信息化部关于印发《绿色数据中心政府采购需求标准（试行）》的通知（财库〔2023〕7 号），本项目如涉及绿色数据中心，则具体要求见第三章《采购需求》。 </w:t>
      </w:r>
    </w:p>
    <w:p w14:paraId="752FA939">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46.3台式计算机政府采购需求标准</w:t>
      </w:r>
    </w:p>
    <w:p w14:paraId="3830872B">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为提高台式计算机政府采购需求管理的科学化、规范化水平，进一步落实政府采购公平竞争原则，优化营商环境，营造良好的产业生态，财政部 工业和信息化部关于印发《台式计算机政府采购需求标准（2023年版）》的通知（财库〔2023〕29号），本项目如涉及台式计算机采购，则具体要求见第三章《采购需求》。</w:t>
      </w:r>
    </w:p>
    <w:p w14:paraId="3E8B3153">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46.4便携式计算机政府采购需求标准</w:t>
      </w:r>
    </w:p>
    <w:p w14:paraId="2DDABA79">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为提高便携式计算机政府采购需求管理的科学化、规范化水平，进一步落实政府采购公平竞争原则，优化营商环境，营造良好的产业生态，财政部 工业和信息化部关于印发《便携式计算机政府采购需求标准（2023年版）》的通知（财库〔2023〕30号），本项目如涉及便携式计算机采购，则具体要求见第三章《采购需求》。</w:t>
      </w:r>
    </w:p>
    <w:p w14:paraId="385FE90A">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46.5一体式计算机政府采购需求标准</w:t>
      </w:r>
    </w:p>
    <w:p w14:paraId="30E81396">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为提高一体式计算机政府采购需求管理的科学化、规范化水平，进一步落实政府采购公平竞争原则，优化营商环境，营造良好的产业生态，财政部 工业和信息化部关于印发《一体式计算机政府采购需求标准（2023年版）》的通知（财库〔2023〕31号），本项目如涉及一体式计算机采购，则具体要求见第三章《采购需求》。</w:t>
      </w:r>
    </w:p>
    <w:p w14:paraId="07FD3B31">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46.6工作站政府采购需求标准</w:t>
      </w:r>
    </w:p>
    <w:p w14:paraId="23F8A15A">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为提高工作站政府采购需求管理的科学化、规范化水平，进一步落实政府采购公平竞争原则，优化营商环境，营造良好的产业生态，财政部 工业和信息化部关于印发《工作站政府采购需求标准（2023年版）》的通知（财库〔2023〕32号），本项目如涉及工作站采购，则具体要求见第三章《采购需求》。</w:t>
      </w:r>
    </w:p>
    <w:p w14:paraId="6FE6E6D6">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46.7通用服务器政府采购需求标准</w:t>
      </w:r>
    </w:p>
    <w:p w14:paraId="2DC5EFFC">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为提高通用服务器政府采购需求管理的科学化、规范化水平，进一步落实政府采购公平竞争原则，优化营商环境，营造良好的产业生态，财政部 工业和信息化部关于印发《通用服务器政府采购需求标准（2023年版）》的通知（财库〔2023〕33号），本项目如涉及通用服务器采购，则具体要求见第三章《采购需求》。</w:t>
      </w:r>
    </w:p>
    <w:p w14:paraId="5822E475">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46.8操作系统政府采购需求标准</w:t>
      </w:r>
    </w:p>
    <w:p w14:paraId="0C0F87EE">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为提高操作系统政府采购需求管理的科学化、规范化水平，进一步落实政府采购公平竞争原则，优化营商环境，营造良好的产业生态，财政部 工业和信息化部关于印发《操作系统政府采购需求标准（2023年版）》的通知（财库〔2023〕34号），本项目如涉及操作系统采购，则具体要求见第三章《采购需求》。</w:t>
      </w:r>
    </w:p>
    <w:p w14:paraId="1177BDB0">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46.9数据库政府采购需求标准</w:t>
      </w:r>
    </w:p>
    <w:p w14:paraId="45BE4E61">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为提高数据库政府采购需求管理的科学化、规范化水平，进一步落实政府采购公平竞争原则，优化营商环境，营造良好的产业生态，财政部 工业和信息化部关于印发《数据库政府采购需求标准（2023年版）》的通知（财库〔2023〕35号），本项目如涉及数据库采购，则具体要求见第三章《采购需求》。</w:t>
      </w:r>
    </w:p>
    <w:p w14:paraId="116745F5">
      <w:pPr>
        <w:pStyle w:val="36"/>
        <w:keepNext w:val="0"/>
        <w:keepLines w:val="0"/>
        <w:pageBreakBefore w:val="0"/>
        <w:widowControl w:val="0"/>
        <w:kinsoku/>
        <w:overflowPunct/>
        <w:topLinePunct w:val="0"/>
        <w:autoSpaceDE/>
        <w:autoSpaceDN/>
        <w:bidi w:val="0"/>
        <w:adjustRightInd/>
        <w:textAlignment w:val="auto"/>
        <w:rPr>
          <w:rFonts w:hint="default" w:eastAsia="宋体"/>
          <w:snapToGrid w:val="0"/>
          <w:color w:val="auto"/>
          <w:sz w:val="24"/>
          <w:highlight w:val="none"/>
          <w:lang w:val="en-US" w:eastAsia="zh-CN"/>
        </w:rPr>
      </w:pPr>
      <w:r>
        <w:rPr>
          <w:rFonts w:hint="eastAsia" w:eastAsia="宋体"/>
          <w:snapToGrid w:val="0"/>
          <w:color w:val="auto"/>
          <w:sz w:val="24"/>
          <w:highlight w:val="none"/>
          <w:lang w:val="en-US" w:eastAsia="zh-CN"/>
        </w:rPr>
        <w:t>46.10物业管理服务政府采购需求标准（办公场所类）（试行）</w:t>
      </w:r>
    </w:p>
    <w:p w14:paraId="0169F247">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lang w:val="en-US" w:eastAsia="zh-CN"/>
        </w:rPr>
      </w:pPr>
      <w:r>
        <w:rPr>
          <w:rFonts w:hint="eastAsia" w:eastAsia="宋体"/>
          <w:snapToGrid w:val="0"/>
          <w:color w:val="auto"/>
          <w:sz w:val="24"/>
          <w:highlight w:val="none"/>
          <w:lang w:val="en-US" w:eastAsia="zh-CN"/>
        </w:rPr>
        <w:t>为贯彻落实中央全面深化改革委员会审议通过的《深化政府采购制度改革方案》有关要求，推动政府采购需求标准建设，财政部办公厅关于印发《物业管理服务政府采购需求标准（办公场所类）（试行）》的通知（财办库〔2024〕113号），本项目如涉及物业管理服务采购，则具体要求见第三章《采购需求》。</w:t>
      </w:r>
    </w:p>
    <w:p w14:paraId="07C1DA2C">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63" w:name="_Toc6544"/>
      <w:bookmarkStart w:id="464" w:name="_Toc13631"/>
      <w:bookmarkStart w:id="465" w:name="_Toc14503"/>
      <w:bookmarkStart w:id="466" w:name="_Toc7189"/>
      <w:r>
        <w:rPr>
          <w:rFonts w:hint="eastAsia" w:ascii="宋体" w:hAnsi="宋体" w:eastAsia="宋体" w:cstheme="minorBidi"/>
          <w:b/>
          <w:bCs/>
          <w:color w:val="auto"/>
          <w:kern w:val="2"/>
          <w:sz w:val="24"/>
          <w:szCs w:val="32"/>
          <w:highlight w:val="none"/>
          <w:lang w:val="en-US" w:eastAsia="zh-CN" w:bidi="ar-SA"/>
        </w:rPr>
        <w:t>（十四）政府采购合同融资政策</w:t>
      </w:r>
      <w:bookmarkEnd w:id="433"/>
      <w:bookmarkEnd w:id="434"/>
      <w:bookmarkEnd w:id="454"/>
      <w:bookmarkEnd w:id="463"/>
      <w:bookmarkEnd w:id="464"/>
      <w:bookmarkEnd w:id="465"/>
      <w:bookmarkEnd w:id="466"/>
    </w:p>
    <w:p w14:paraId="7CF32745">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67" w:name="_Toc19607"/>
      <w:bookmarkStart w:id="468" w:name="_Toc6885"/>
      <w:bookmarkStart w:id="469" w:name="_Toc31455"/>
      <w:bookmarkStart w:id="470" w:name="_Toc10536"/>
      <w:bookmarkStart w:id="471" w:name="_Toc163492880"/>
      <w:r>
        <w:rPr>
          <w:rFonts w:hint="eastAsia" w:ascii="宋体" w:hAnsi="宋体" w:eastAsia="宋体" w:cs="宋体"/>
          <w:b/>
          <w:bCs/>
          <w:color w:val="auto"/>
          <w:kern w:val="2"/>
          <w:sz w:val="24"/>
          <w:szCs w:val="28"/>
          <w:highlight w:val="none"/>
          <w:lang w:val="en-US" w:eastAsia="zh-CN" w:bidi="ar-SA"/>
        </w:rPr>
        <w:t>47.政府采购合同融资政策</w:t>
      </w:r>
      <w:bookmarkEnd w:id="467"/>
      <w:bookmarkEnd w:id="468"/>
      <w:bookmarkEnd w:id="469"/>
      <w:bookmarkEnd w:id="470"/>
      <w:bookmarkEnd w:id="471"/>
    </w:p>
    <w:p w14:paraId="2F908697">
      <w:pPr>
        <w:pStyle w:val="36"/>
        <w:keepNext w:val="0"/>
        <w:keepLines w:val="0"/>
        <w:pageBreakBefore w:val="0"/>
        <w:widowControl w:val="0"/>
        <w:kinsoku/>
        <w:overflowPunct/>
        <w:topLinePunct w:val="0"/>
        <w:autoSpaceDE/>
        <w:autoSpaceDN/>
        <w:bidi w:val="0"/>
        <w:adjustRightInd/>
        <w:textAlignment w:val="auto"/>
        <w:rPr>
          <w:rFonts w:hint="eastAsia" w:eastAsia="宋体"/>
          <w:color w:val="auto"/>
          <w:sz w:val="24"/>
          <w:highlight w:val="none"/>
        </w:rPr>
      </w:pPr>
      <w:r>
        <w:rPr>
          <w:rFonts w:hint="eastAsia" w:eastAsia="宋体"/>
          <w:color w:val="auto"/>
          <w:sz w:val="24"/>
          <w:highlight w:val="none"/>
        </w:rPr>
        <w:t>4</w:t>
      </w:r>
      <w:r>
        <w:rPr>
          <w:rFonts w:hint="eastAsia" w:eastAsia="宋体"/>
          <w:color w:val="auto"/>
          <w:sz w:val="24"/>
          <w:highlight w:val="none"/>
          <w:lang w:val="en-US" w:eastAsia="zh-CN"/>
        </w:rPr>
        <w:t>7</w:t>
      </w:r>
      <w:r>
        <w:rPr>
          <w:rFonts w:eastAsia="宋体"/>
          <w:color w:val="auto"/>
          <w:sz w:val="24"/>
          <w:highlight w:val="none"/>
        </w:rPr>
        <w:t>.</w:t>
      </w:r>
      <w:r>
        <w:rPr>
          <w:rFonts w:hint="eastAsia" w:eastAsia="宋体"/>
          <w:color w:val="auto"/>
          <w:sz w:val="24"/>
          <w:highlight w:val="none"/>
        </w:rPr>
        <w:t>1政府采购合同融资政策：见投标人须知前附表。</w:t>
      </w:r>
    </w:p>
    <w:p w14:paraId="198FC626">
      <w:pPr>
        <w:pStyle w:val="2"/>
        <w:keepNext w:val="0"/>
        <w:keepLines w:val="0"/>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ascii="宋体" w:hAnsi="宋体" w:eastAsia="宋体" w:cstheme="minorBidi"/>
          <w:b/>
          <w:bCs/>
          <w:color w:val="auto"/>
          <w:kern w:val="2"/>
          <w:sz w:val="24"/>
          <w:szCs w:val="32"/>
          <w:highlight w:val="none"/>
          <w:lang w:val="en-US" w:eastAsia="zh-CN" w:bidi="ar-SA"/>
        </w:rPr>
      </w:pPr>
      <w:bookmarkStart w:id="472" w:name="_Toc29894"/>
      <w:bookmarkStart w:id="473" w:name="_Toc163492881"/>
      <w:bookmarkStart w:id="474" w:name="_Toc28029"/>
      <w:bookmarkStart w:id="475" w:name="_Toc14730"/>
      <w:bookmarkStart w:id="476" w:name="_Toc2385"/>
      <w:r>
        <w:rPr>
          <w:rFonts w:hint="eastAsia" w:ascii="宋体" w:hAnsi="宋体" w:eastAsia="宋体" w:cstheme="minorBidi"/>
          <w:b/>
          <w:bCs/>
          <w:color w:val="auto"/>
          <w:kern w:val="2"/>
          <w:sz w:val="24"/>
          <w:szCs w:val="32"/>
          <w:highlight w:val="none"/>
          <w:lang w:val="en-US" w:eastAsia="zh-CN" w:bidi="ar-SA"/>
        </w:rPr>
        <w:t>（十五）其他</w:t>
      </w:r>
      <w:bookmarkEnd w:id="472"/>
      <w:bookmarkEnd w:id="473"/>
      <w:bookmarkEnd w:id="474"/>
      <w:bookmarkEnd w:id="475"/>
      <w:bookmarkEnd w:id="476"/>
    </w:p>
    <w:p w14:paraId="370F802C">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77" w:name="_Toc15832"/>
      <w:bookmarkStart w:id="478" w:name="_Toc163492882"/>
      <w:bookmarkStart w:id="479" w:name="_Toc7838"/>
      <w:bookmarkStart w:id="480" w:name="_Toc25907"/>
      <w:bookmarkStart w:id="481" w:name="_Toc4822"/>
      <w:r>
        <w:rPr>
          <w:rFonts w:hint="eastAsia" w:ascii="宋体" w:hAnsi="宋体" w:eastAsia="宋体" w:cs="宋体"/>
          <w:b/>
          <w:bCs/>
          <w:color w:val="auto"/>
          <w:kern w:val="2"/>
          <w:sz w:val="24"/>
          <w:szCs w:val="28"/>
          <w:highlight w:val="none"/>
          <w:lang w:val="en-US" w:eastAsia="zh-CN" w:bidi="ar-SA"/>
        </w:rPr>
        <w:t>48.需要补充的其他内容</w:t>
      </w:r>
      <w:bookmarkEnd w:id="477"/>
      <w:bookmarkEnd w:id="478"/>
      <w:bookmarkEnd w:id="479"/>
      <w:bookmarkEnd w:id="480"/>
      <w:bookmarkEnd w:id="481"/>
    </w:p>
    <w:p w14:paraId="32516407">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color w:val="auto"/>
          <w:sz w:val="24"/>
          <w:highlight w:val="none"/>
        </w:rPr>
        <w:t>4</w:t>
      </w:r>
      <w:r>
        <w:rPr>
          <w:rFonts w:hint="eastAsia" w:eastAsia="宋体"/>
          <w:color w:val="auto"/>
          <w:sz w:val="24"/>
          <w:highlight w:val="none"/>
          <w:lang w:val="en-US" w:eastAsia="zh-CN"/>
        </w:rPr>
        <w:t>8</w:t>
      </w:r>
      <w:r>
        <w:rPr>
          <w:rFonts w:eastAsia="宋体"/>
          <w:color w:val="auto"/>
          <w:sz w:val="24"/>
          <w:highlight w:val="none"/>
        </w:rPr>
        <w:t>.1</w:t>
      </w:r>
      <w:r>
        <w:rPr>
          <w:rFonts w:hint="eastAsia" w:eastAsia="宋体"/>
          <w:color w:val="auto"/>
          <w:sz w:val="24"/>
          <w:highlight w:val="none"/>
        </w:rPr>
        <w:t>需要补充的其他内容：见投标人须知前附表。</w:t>
      </w:r>
    </w:p>
    <w:p w14:paraId="1BD29CBA">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82" w:name="_Toc5587"/>
      <w:bookmarkStart w:id="483" w:name="_Toc155185886"/>
      <w:bookmarkStart w:id="484" w:name="_Toc5942"/>
      <w:bookmarkStart w:id="485" w:name="_Toc4492"/>
      <w:bookmarkStart w:id="486" w:name="_Toc140132810"/>
      <w:bookmarkStart w:id="487" w:name="_Toc163492883"/>
      <w:bookmarkStart w:id="488" w:name="_Toc16633"/>
      <w:r>
        <w:rPr>
          <w:rFonts w:hint="eastAsia" w:ascii="宋体" w:hAnsi="宋体" w:eastAsia="宋体" w:cs="宋体"/>
          <w:b/>
          <w:bCs/>
          <w:color w:val="auto"/>
          <w:kern w:val="2"/>
          <w:sz w:val="24"/>
          <w:szCs w:val="28"/>
          <w:highlight w:val="none"/>
          <w:lang w:val="en-US" w:eastAsia="zh-CN" w:bidi="ar-SA"/>
        </w:rPr>
        <w:t>49.适用法律</w:t>
      </w:r>
      <w:bookmarkEnd w:id="482"/>
      <w:bookmarkEnd w:id="483"/>
      <w:bookmarkEnd w:id="484"/>
      <w:bookmarkEnd w:id="485"/>
      <w:bookmarkEnd w:id="486"/>
      <w:bookmarkEnd w:id="487"/>
      <w:bookmarkEnd w:id="488"/>
    </w:p>
    <w:p w14:paraId="0953B8AD">
      <w:pPr>
        <w:pStyle w:val="36"/>
        <w:keepNext w:val="0"/>
        <w:keepLines w:val="0"/>
        <w:pageBreakBefore w:val="0"/>
        <w:widowControl w:val="0"/>
        <w:kinsoku/>
        <w:overflowPunct/>
        <w:topLinePunct w:val="0"/>
        <w:autoSpaceDE/>
        <w:autoSpaceDN/>
        <w:bidi w:val="0"/>
        <w:adjustRightInd/>
        <w:textAlignment w:val="auto"/>
        <w:rPr>
          <w:rFonts w:eastAsia="宋体"/>
          <w:snapToGrid w:val="0"/>
          <w:color w:val="auto"/>
          <w:sz w:val="24"/>
          <w:highlight w:val="none"/>
        </w:rPr>
      </w:pPr>
      <w:r>
        <w:rPr>
          <w:rFonts w:hint="eastAsia" w:eastAsia="宋体"/>
          <w:snapToGrid w:val="0"/>
          <w:color w:val="auto"/>
          <w:sz w:val="24"/>
          <w:highlight w:val="none"/>
          <w:lang w:val="en-US" w:eastAsia="zh-CN"/>
        </w:rPr>
        <w:t>49</w:t>
      </w:r>
      <w:r>
        <w:rPr>
          <w:rFonts w:eastAsia="宋体"/>
          <w:snapToGrid w:val="0"/>
          <w:color w:val="auto"/>
          <w:sz w:val="24"/>
          <w:highlight w:val="none"/>
        </w:rPr>
        <w:t>.1</w:t>
      </w:r>
      <w:r>
        <w:rPr>
          <w:rFonts w:hint="eastAsia" w:eastAsia="宋体"/>
          <w:snapToGrid w:val="0"/>
          <w:color w:val="auto"/>
          <w:sz w:val="24"/>
          <w:highlight w:val="none"/>
        </w:rPr>
        <w:t>采购人、采购代理机构及投标人的一切采购活动均适用《中华人民共和国政府采购法》、《中华人民共和国政府采购法实施条例》、《政府采购货物和服务招标投标管理办法》（财政部令第87号）及相关法律法规。</w:t>
      </w:r>
    </w:p>
    <w:p w14:paraId="6AD32247">
      <w:pPr>
        <w:pStyle w:val="36"/>
        <w:keepNext w:val="0"/>
        <w:keepLines w:val="0"/>
        <w:pageBreakBefore w:val="0"/>
        <w:widowControl w:val="0"/>
        <w:kinsoku/>
        <w:overflowPunct/>
        <w:topLinePunct w:val="0"/>
        <w:autoSpaceDE/>
        <w:autoSpaceDN/>
        <w:bidi w:val="0"/>
        <w:adjustRightInd/>
        <w:textAlignment w:val="auto"/>
        <w:rPr>
          <w:rFonts w:eastAsia="宋体"/>
          <w:color w:val="auto"/>
          <w:sz w:val="24"/>
          <w:highlight w:val="none"/>
        </w:rPr>
      </w:pPr>
      <w:r>
        <w:rPr>
          <w:rFonts w:hint="eastAsia" w:eastAsia="宋体"/>
          <w:snapToGrid w:val="0"/>
          <w:color w:val="auto"/>
          <w:sz w:val="24"/>
          <w:highlight w:val="none"/>
          <w:lang w:val="en-US" w:eastAsia="zh-CN"/>
        </w:rPr>
        <w:t>49</w:t>
      </w:r>
      <w:r>
        <w:rPr>
          <w:rFonts w:eastAsia="宋体"/>
          <w:snapToGrid w:val="0"/>
          <w:color w:val="auto"/>
          <w:sz w:val="24"/>
          <w:highlight w:val="none"/>
        </w:rPr>
        <w:t>.2</w:t>
      </w:r>
      <w:r>
        <w:rPr>
          <w:rFonts w:hint="eastAsia" w:eastAsia="宋体"/>
          <w:snapToGrid w:val="0"/>
          <w:color w:val="auto"/>
          <w:sz w:val="24"/>
          <w:highlight w:val="none"/>
        </w:rPr>
        <w:t>政府采购合同的履行、违约责任和解决争议的方法等适用《中华人民共和国民法典》。</w:t>
      </w:r>
    </w:p>
    <w:p w14:paraId="468836B9">
      <w:pPr>
        <w:pStyle w:val="5"/>
        <w:keepNext w:val="0"/>
        <w:keepLines w:val="0"/>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textAlignment w:val="auto"/>
        <w:rPr>
          <w:rFonts w:hint="eastAsia" w:ascii="宋体" w:hAnsi="宋体" w:eastAsia="宋体" w:cs="宋体"/>
          <w:b/>
          <w:bCs/>
          <w:color w:val="auto"/>
          <w:kern w:val="2"/>
          <w:sz w:val="24"/>
          <w:szCs w:val="28"/>
          <w:highlight w:val="none"/>
          <w:lang w:val="en-US" w:eastAsia="zh-CN" w:bidi="ar-SA"/>
        </w:rPr>
      </w:pPr>
      <w:bookmarkStart w:id="489" w:name="_Toc163492884"/>
      <w:bookmarkStart w:id="490" w:name="_Toc26968"/>
      <w:bookmarkStart w:id="491" w:name="_Toc155185887"/>
      <w:bookmarkStart w:id="492" w:name="_Toc18236"/>
      <w:bookmarkStart w:id="493" w:name="_Toc26457"/>
      <w:bookmarkStart w:id="494" w:name="_Toc12709"/>
      <w:r>
        <w:rPr>
          <w:rFonts w:hint="eastAsia" w:ascii="宋体" w:hAnsi="宋体" w:eastAsia="宋体" w:cs="宋体"/>
          <w:b/>
          <w:bCs/>
          <w:color w:val="auto"/>
          <w:kern w:val="2"/>
          <w:sz w:val="24"/>
          <w:szCs w:val="28"/>
          <w:highlight w:val="none"/>
          <w:lang w:val="en-US" w:eastAsia="zh-CN" w:bidi="ar-SA"/>
        </w:rPr>
        <w:t>50.解释权</w:t>
      </w:r>
      <w:bookmarkEnd w:id="489"/>
      <w:bookmarkEnd w:id="490"/>
      <w:bookmarkEnd w:id="491"/>
      <w:bookmarkEnd w:id="492"/>
      <w:bookmarkEnd w:id="493"/>
      <w:bookmarkEnd w:id="494"/>
    </w:p>
    <w:p w14:paraId="5C6D27F8">
      <w:pPr>
        <w:pStyle w:val="36"/>
        <w:keepNext w:val="0"/>
        <w:keepLines w:val="0"/>
        <w:pageBreakBefore w:val="0"/>
        <w:widowControl w:val="0"/>
        <w:kinsoku/>
        <w:overflowPunct/>
        <w:topLinePunct w:val="0"/>
        <w:autoSpaceDE/>
        <w:autoSpaceDN/>
        <w:bidi w:val="0"/>
        <w:adjustRightInd/>
        <w:textAlignment w:val="auto"/>
        <w:rPr>
          <w:rFonts w:hint="eastAsia" w:eastAsia="宋体"/>
          <w:snapToGrid w:val="0"/>
          <w:color w:val="auto"/>
          <w:sz w:val="24"/>
          <w:highlight w:val="none"/>
        </w:rPr>
      </w:pPr>
      <w:r>
        <w:rPr>
          <w:rFonts w:hint="eastAsia" w:eastAsia="宋体"/>
          <w:snapToGrid w:val="0"/>
          <w:color w:val="auto"/>
          <w:sz w:val="24"/>
          <w:highlight w:val="none"/>
          <w:lang w:val="en-US" w:eastAsia="zh-CN"/>
        </w:rPr>
        <w:t>50</w:t>
      </w:r>
      <w:r>
        <w:rPr>
          <w:rFonts w:eastAsia="宋体"/>
          <w:snapToGrid w:val="0"/>
          <w:color w:val="auto"/>
          <w:sz w:val="24"/>
          <w:highlight w:val="none"/>
        </w:rPr>
        <w:t>.</w:t>
      </w:r>
      <w:r>
        <w:rPr>
          <w:rFonts w:hint="eastAsia" w:eastAsia="宋体"/>
          <w:snapToGrid w:val="0"/>
          <w:color w:val="auto"/>
          <w:sz w:val="24"/>
          <w:highlight w:val="none"/>
        </w:rPr>
        <w:t>1本招标文件最终解释权归采购人或采购代理机构所有。</w:t>
      </w:r>
    </w:p>
    <w:p w14:paraId="70704BD1">
      <w:pPr>
        <w:pStyle w:val="3"/>
        <w:keepNext/>
        <w:keepLines/>
        <w:pageBreakBefore/>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495" w:name="_Toc18413"/>
      <w:bookmarkStart w:id="496" w:name="_Toc155185888"/>
      <w:r>
        <w:rPr>
          <w:rFonts w:hint="eastAsia" w:ascii="宋体" w:hAnsi="宋体" w:eastAsia="宋体" w:cs="宋体"/>
          <w:b/>
          <w:bCs/>
          <w:color w:val="auto"/>
          <w:kern w:val="44"/>
          <w:sz w:val="36"/>
          <w:szCs w:val="36"/>
          <w:highlight w:val="none"/>
          <w:lang w:val="en-US" w:eastAsia="zh-CN" w:bidi="ar-SA"/>
        </w:rPr>
        <w:t>第三章 采购需求</w:t>
      </w:r>
      <w:bookmarkEnd w:id="495"/>
      <w:bookmarkEnd w:id="496"/>
    </w:p>
    <w:tbl>
      <w:tblPr>
        <w:tblStyle w:val="29"/>
        <w:tblW w:w="89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9"/>
        <w:gridCol w:w="2247"/>
        <w:gridCol w:w="1928"/>
        <w:gridCol w:w="1714"/>
        <w:gridCol w:w="2352"/>
      </w:tblGrid>
      <w:tr w14:paraId="25325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970" w:type="dxa"/>
            <w:gridSpan w:val="5"/>
            <w:tcBorders>
              <w:top w:val="single" w:color="000000" w:sz="4" w:space="0"/>
              <w:left w:val="single" w:color="000000" w:sz="4" w:space="0"/>
              <w:bottom w:val="single" w:color="000000" w:sz="4" w:space="0"/>
              <w:right w:val="nil"/>
            </w:tcBorders>
            <w:shd w:val="clear" w:color="auto" w:fill="auto"/>
            <w:noWrap/>
            <w:vAlign w:val="center"/>
          </w:tcPr>
          <w:p w14:paraId="4651B7D2">
            <w:pPr>
              <w:jc w:val="center"/>
              <w:rPr>
                <w:rFonts w:hint="eastAsia" w:ascii="宋体" w:hAnsi="宋体" w:eastAsia="宋体" w:cs="宋体"/>
                <w:b/>
                <w:bCs/>
                <w:i w:val="0"/>
                <w:iCs w:val="0"/>
                <w:color w:val="000000"/>
                <w:sz w:val="36"/>
                <w:szCs w:val="36"/>
                <w:highlight w:val="none"/>
                <w:u w:val="none"/>
              </w:rPr>
            </w:pPr>
            <w:bookmarkStart w:id="497" w:name="_Toc140132812"/>
            <w:bookmarkStart w:id="498" w:name="_Toc155185889"/>
            <w:r>
              <w:rPr>
                <w:rFonts w:hint="eastAsia" w:ascii="宋体" w:hAnsi="宋体" w:eastAsia="宋体"/>
                <w:b/>
                <w:bCs/>
                <w:snapToGrid w:val="0"/>
                <w:color w:val="auto"/>
                <w:sz w:val="24"/>
                <w:szCs w:val="24"/>
                <w:highlight w:val="none"/>
                <w:lang w:val="en-US" w:eastAsia="zh-CN"/>
              </w:rPr>
              <w:br w:type="page"/>
            </w:r>
            <w:r>
              <w:rPr>
                <w:rFonts w:hint="eastAsia" w:ascii="宋体" w:hAnsi="宋体" w:eastAsia="宋体" w:cs="宋体"/>
                <w:b/>
                <w:bCs/>
                <w:i w:val="0"/>
                <w:iCs w:val="0"/>
                <w:color w:val="000000"/>
                <w:kern w:val="0"/>
                <w:sz w:val="36"/>
                <w:szCs w:val="36"/>
                <w:highlight w:val="none"/>
                <w:u w:val="none"/>
                <w:lang w:val="en-US" w:eastAsia="zh-CN" w:bidi="ar"/>
              </w:rPr>
              <w:t>家具家电招标清单</w:t>
            </w:r>
          </w:p>
        </w:tc>
      </w:tr>
      <w:tr w14:paraId="64AB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A3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AB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名称</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CA2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型号</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C86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单价</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786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419FD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999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55E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冰箱</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8C7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178L</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16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1450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05D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42545</wp:posOffset>
                  </wp:positionH>
                  <wp:positionV relativeFrom="paragraph">
                    <wp:posOffset>11430</wp:posOffset>
                  </wp:positionV>
                  <wp:extent cx="1015365" cy="742315"/>
                  <wp:effectExtent l="0" t="0" r="13335" b="635"/>
                  <wp:wrapNone/>
                  <wp:docPr id="14" name="图片_2"/>
                  <wp:cNvGraphicFramePr/>
                  <a:graphic xmlns:a="http://schemas.openxmlformats.org/drawingml/2006/main">
                    <a:graphicData uri="http://schemas.openxmlformats.org/drawingml/2006/picture">
                      <pic:pic xmlns:pic="http://schemas.openxmlformats.org/drawingml/2006/picture">
                        <pic:nvPicPr>
                          <pic:cNvPr id="14" name="图片_2"/>
                          <pic:cNvPicPr/>
                        </pic:nvPicPr>
                        <pic:blipFill>
                          <a:blip r:embed="rId12"/>
                          <a:stretch>
                            <a:fillRect/>
                          </a:stretch>
                        </pic:blipFill>
                        <pic:spPr>
                          <a:xfrm>
                            <a:off x="0" y="0"/>
                            <a:ext cx="1015365" cy="742315"/>
                          </a:xfrm>
                          <a:prstGeom prst="rect">
                            <a:avLst/>
                          </a:prstGeom>
                          <a:noFill/>
                          <a:ln>
                            <a:noFill/>
                          </a:ln>
                        </pic:spPr>
                      </pic:pic>
                    </a:graphicData>
                  </a:graphic>
                </wp:anchor>
              </w:drawing>
            </w:r>
          </w:p>
        </w:tc>
      </w:tr>
      <w:tr w14:paraId="3704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3CD3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C9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全自动洗衣机</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7C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8KG</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84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EEA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17145</wp:posOffset>
                  </wp:positionH>
                  <wp:positionV relativeFrom="paragraph">
                    <wp:posOffset>17145</wp:posOffset>
                  </wp:positionV>
                  <wp:extent cx="1036320" cy="726440"/>
                  <wp:effectExtent l="0" t="0" r="11430" b="16510"/>
                  <wp:wrapNone/>
                  <wp:docPr id="16" name="图片_33"/>
                  <wp:cNvGraphicFramePr/>
                  <a:graphic xmlns:a="http://schemas.openxmlformats.org/drawingml/2006/main">
                    <a:graphicData uri="http://schemas.openxmlformats.org/drawingml/2006/picture">
                      <pic:pic xmlns:pic="http://schemas.openxmlformats.org/drawingml/2006/picture">
                        <pic:nvPicPr>
                          <pic:cNvPr id="16" name="图片_33"/>
                          <pic:cNvPicPr/>
                        </pic:nvPicPr>
                        <pic:blipFill>
                          <a:blip r:embed="rId13"/>
                          <a:stretch>
                            <a:fillRect/>
                          </a:stretch>
                        </pic:blipFill>
                        <pic:spPr>
                          <a:xfrm>
                            <a:off x="0" y="0"/>
                            <a:ext cx="1036320" cy="726440"/>
                          </a:xfrm>
                          <a:prstGeom prst="rect">
                            <a:avLst/>
                          </a:prstGeom>
                          <a:noFill/>
                          <a:ln>
                            <a:noFill/>
                          </a:ln>
                        </pic:spPr>
                      </pic:pic>
                    </a:graphicData>
                  </a:graphic>
                </wp:anchor>
              </w:drawing>
            </w:r>
          </w:p>
        </w:tc>
      </w:tr>
      <w:tr w14:paraId="186B3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35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EDC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冷藏柜</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AD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400L</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3A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C86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18415</wp:posOffset>
                  </wp:positionV>
                  <wp:extent cx="1016000" cy="720725"/>
                  <wp:effectExtent l="0" t="0" r="12700" b="3175"/>
                  <wp:wrapNone/>
                  <wp:docPr id="13" name="图片_31"/>
                  <wp:cNvGraphicFramePr/>
                  <a:graphic xmlns:a="http://schemas.openxmlformats.org/drawingml/2006/main">
                    <a:graphicData uri="http://schemas.openxmlformats.org/drawingml/2006/picture">
                      <pic:pic xmlns:pic="http://schemas.openxmlformats.org/drawingml/2006/picture">
                        <pic:nvPicPr>
                          <pic:cNvPr id="13" name="图片_31"/>
                          <pic:cNvPicPr/>
                        </pic:nvPicPr>
                        <pic:blipFill>
                          <a:blip r:embed="rId14"/>
                          <a:stretch>
                            <a:fillRect/>
                          </a:stretch>
                        </pic:blipFill>
                        <pic:spPr>
                          <a:xfrm>
                            <a:off x="0" y="0"/>
                            <a:ext cx="1016000" cy="720725"/>
                          </a:xfrm>
                          <a:prstGeom prst="rect">
                            <a:avLst/>
                          </a:prstGeom>
                          <a:noFill/>
                          <a:ln>
                            <a:noFill/>
                          </a:ln>
                        </pic:spPr>
                      </pic:pic>
                    </a:graphicData>
                  </a:graphic>
                </wp:anchor>
              </w:drawing>
            </w:r>
          </w:p>
        </w:tc>
      </w:tr>
      <w:tr w14:paraId="5B20C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293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EE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空调（含安装）</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E4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1.5匹</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A2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B8B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029970" cy="741680"/>
                  <wp:effectExtent l="0" t="0" r="17780" b="1270"/>
                  <wp:wrapNone/>
                  <wp:docPr id="15" name="图片_3"/>
                  <wp:cNvGraphicFramePr/>
                  <a:graphic xmlns:a="http://schemas.openxmlformats.org/drawingml/2006/main">
                    <a:graphicData uri="http://schemas.openxmlformats.org/drawingml/2006/picture">
                      <pic:pic xmlns:pic="http://schemas.openxmlformats.org/drawingml/2006/picture">
                        <pic:nvPicPr>
                          <pic:cNvPr id="15" name="图片_3"/>
                          <pic:cNvPicPr/>
                        </pic:nvPicPr>
                        <pic:blipFill>
                          <a:blip r:embed="rId15"/>
                          <a:stretch>
                            <a:fillRect/>
                          </a:stretch>
                        </pic:blipFill>
                        <pic:spPr>
                          <a:xfrm>
                            <a:off x="0" y="0"/>
                            <a:ext cx="1029970" cy="741680"/>
                          </a:xfrm>
                          <a:prstGeom prst="rect">
                            <a:avLst/>
                          </a:prstGeom>
                          <a:noFill/>
                          <a:ln>
                            <a:noFill/>
                          </a:ln>
                        </pic:spPr>
                      </pic:pic>
                    </a:graphicData>
                  </a:graphic>
                </wp:anchor>
              </w:drawing>
            </w:r>
          </w:p>
        </w:tc>
      </w:tr>
      <w:tr w14:paraId="7C6BC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DD2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2E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空调（含安装）</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D49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3匹</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72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DBD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wp:posOffset>
                  </wp:positionH>
                  <wp:positionV relativeFrom="paragraph">
                    <wp:posOffset>10160</wp:posOffset>
                  </wp:positionV>
                  <wp:extent cx="1045845" cy="732155"/>
                  <wp:effectExtent l="0" t="0" r="1905" b="10795"/>
                  <wp:wrapNone/>
                  <wp:docPr id="12" name="图片_4"/>
                  <wp:cNvGraphicFramePr/>
                  <a:graphic xmlns:a="http://schemas.openxmlformats.org/drawingml/2006/main">
                    <a:graphicData uri="http://schemas.openxmlformats.org/drawingml/2006/picture">
                      <pic:pic xmlns:pic="http://schemas.openxmlformats.org/drawingml/2006/picture">
                        <pic:nvPicPr>
                          <pic:cNvPr id="12" name="图片_4"/>
                          <pic:cNvPicPr/>
                        </pic:nvPicPr>
                        <pic:blipFill>
                          <a:blip r:embed="rId16"/>
                          <a:stretch>
                            <a:fillRect/>
                          </a:stretch>
                        </pic:blipFill>
                        <pic:spPr>
                          <a:xfrm>
                            <a:off x="0" y="0"/>
                            <a:ext cx="1045845" cy="732155"/>
                          </a:xfrm>
                          <a:prstGeom prst="rect">
                            <a:avLst/>
                          </a:prstGeom>
                          <a:noFill/>
                          <a:ln>
                            <a:noFill/>
                          </a:ln>
                        </pic:spPr>
                      </pic:pic>
                    </a:graphicData>
                  </a:graphic>
                </wp:anchor>
              </w:drawing>
            </w:r>
          </w:p>
        </w:tc>
      </w:tr>
      <w:tr w14:paraId="7E58C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90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754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电热水器（含安装）</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10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60L</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4EB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0A3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24130</wp:posOffset>
                  </wp:positionV>
                  <wp:extent cx="1043940" cy="712470"/>
                  <wp:effectExtent l="0" t="0" r="3810" b="11430"/>
                  <wp:wrapNone/>
                  <wp:docPr id="7" name="图片_1"/>
                  <wp:cNvGraphicFramePr/>
                  <a:graphic xmlns:a="http://schemas.openxmlformats.org/drawingml/2006/main">
                    <a:graphicData uri="http://schemas.openxmlformats.org/drawingml/2006/picture">
                      <pic:pic xmlns:pic="http://schemas.openxmlformats.org/drawingml/2006/picture">
                        <pic:nvPicPr>
                          <pic:cNvPr id="7" name="图片_1"/>
                          <pic:cNvPicPr/>
                        </pic:nvPicPr>
                        <pic:blipFill>
                          <a:blip r:embed="rId17"/>
                          <a:stretch>
                            <a:fillRect/>
                          </a:stretch>
                        </pic:blipFill>
                        <pic:spPr>
                          <a:xfrm>
                            <a:off x="0" y="0"/>
                            <a:ext cx="1043940" cy="712470"/>
                          </a:xfrm>
                          <a:prstGeom prst="rect">
                            <a:avLst/>
                          </a:prstGeom>
                          <a:noFill/>
                          <a:ln>
                            <a:noFill/>
                          </a:ln>
                        </pic:spPr>
                      </pic:pic>
                    </a:graphicData>
                  </a:graphic>
                </wp:anchor>
              </w:drawing>
            </w:r>
          </w:p>
        </w:tc>
      </w:tr>
      <w:tr w14:paraId="1EB7C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833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86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风管机空调（含安装）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加长管线100元/米</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7DC0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3匹</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C7A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520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15875</wp:posOffset>
                  </wp:positionV>
                  <wp:extent cx="1057910" cy="746125"/>
                  <wp:effectExtent l="0" t="0" r="8890" b="15875"/>
                  <wp:wrapNone/>
                  <wp:docPr id="11" name="图片_32"/>
                  <wp:cNvGraphicFramePr/>
                  <a:graphic xmlns:a="http://schemas.openxmlformats.org/drawingml/2006/main">
                    <a:graphicData uri="http://schemas.openxmlformats.org/drawingml/2006/picture">
                      <pic:pic xmlns:pic="http://schemas.openxmlformats.org/drawingml/2006/picture">
                        <pic:nvPicPr>
                          <pic:cNvPr id="11" name="图片_32"/>
                          <pic:cNvPicPr/>
                        </pic:nvPicPr>
                        <pic:blipFill>
                          <a:blip r:embed="rId18"/>
                          <a:stretch>
                            <a:fillRect/>
                          </a:stretch>
                        </pic:blipFill>
                        <pic:spPr>
                          <a:xfrm>
                            <a:off x="0" y="0"/>
                            <a:ext cx="1057910" cy="746125"/>
                          </a:xfrm>
                          <a:prstGeom prst="rect">
                            <a:avLst/>
                          </a:prstGeom>
                          <a:noFill/>
                          <a:ln>
                            <a:noFill/>
                          </a:ln>
                        </pic:spPr>
                      </pic:pic>
                    </a:graphicData>
                  </a:graphic>
                </wp:anchor>
              </w:drawing>
            </w:r>
          </w:p>
        </w:tc>
      </w:tr>
      <w:tr w14:paraId="67417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BD4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68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风管机空调（含安装）</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加长管线100元/米</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E51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1.5匹</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71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56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15875</wp:posOffset>
                  </wp:positionV>
                  <wp:extent cx="1057910" cy="746125"/>
                  <wp:effectExtent l="0" t="0" r="8890" b="15875"/>
                  <wp:wrapNone/>
                  <wp:docPr id="8" name="图片_34"/>
                  <wp:cNvGraphicFramePr/>
                  <a:graphic xmlns:a="http://schemas.openxmlformats.org/drawingml/2006/main">
                    <a:graphicData uri="http://schemas.openxmlformats.org/drawingml/2006/picture">
                      <pic:pic xmlns:pic="http://schemas.openxmlformats.org/drawingml/2006/picture">
                        <pic:nvPicPr>
                          <pic:cNvPr id="8" name="图片_34"/>
                          <pic:cNvPicPr/>
                        </pic:nvPicPr>
                        <pic:blipFill>
                          <a:blip r:embed="rId18"/>
                          <a:stretch>
                            <a:fillRect/>
                          </a:stretch>
                        </pic:blipFill>
                        <pic:spPr>
                          <a:xfrm>
                            <a:off x="0" y="0"/>
                            <a:ext cx="1057910" cy="746125"/>
                          </a:xfrm>
                          <a:prstGeom prst="rect">
                            <a:avLst/>
                          </a:prstGeom>
                          <a:noFill/>
                          <a:ln>
                            <a:noFill/>
                          </a:ln>
                        </pic:spPr>
                      </pic:pic>
                    </a:graphicData>
                  </a:graphic>
                </wp:anchor>
              </w:drawing>
            </w:r>
          </w:p>
        </w:tc>
      </w:tr>
      <w:tr w14:paraId="4EBE5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833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4D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电烧水锅</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20B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42CM(60L圆)</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68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3F5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10160</wp:posOffset>
                  </wp:positionH>
                  <wp:positionV relativeFrom="paragraph">
                    <wp:posOffset>8890</wp:posOffset>
                  </wp:positionV>
                  <wp:extent cx="1034415" cy="730885"/>
                  <wp:effectExtent l="0" t="0" r="13335" b="12065"/>
                  <wp:wrapNone/>
                  <wp:docPr id="9" name="图片_5"/>
                  <wp:cNvGraphicFramePr/>
                  <a:graphic xmlns:a="http://schemas.openxmlformats.org/drawingml/2006/main">
                    <a:graphicData uri="http://schemas.openxmlformats.org/drawingml/2006/picture">
                      <pic:pic xmlns:pic="http://schemas.openxmlformats.org/drawingml/2006/picture">
                        <pic:nvPicPr>
                          <pic:cNvPr id="9" name="图片_5"/>
                          <pic:cNvPicPr/>
                        </pic:nvPicPr>
                        <pic:blipFill>
                          <a:blip r:embed="rId19"/>
                          <a:stretch>
                            <a:fillRect/>
                          </a:stretch>
                        </pic:blipFill>
                        <pic:spPr>
                          <a:xfrm>
                            <a:off x="0" y="0"/>
                            <a:ext cx="1034415" cy="730885"/>
                          </a:xfrm>
                          <a:prstGeom prst="rect">
                            <a:avLst/>
                          </a:prstGeom>
                          <a:noFill/>
                          <a:ln>
                            <a:noFill/>
                          </a:ln>
                        </pic:spPr>
                      </pic:pic>
                    </a:graphicData>
                  </a:graphic>
                </wp:anchor>
              </w:drawing>
            </w:r>
          </w:p>
        </w:tc>
      </w:tr>
      <w:tr w14:paraId="46EF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1C6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A0C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煮茶器</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5FC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30L</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4650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FED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19050</wp:posOffset>
                  </wp:positionV>
                  <wp:extent cx="1039495" cy="715010"/>
                  <wp:effectExtent l="0" t="0" r="8255" b="8890"/>
                  <wp:wrapNone/>
                  <wp:docPr id="10" name="图片_29"/>
                  <wp:cNvGraphicFramePr/>
                  <a:graphic xmlns:a="http://schemas.openxmlformats.org/drawingml/2006/main">
                    <a:graphicData uri="http://schemas.openxmlformats.org/drawingml/2006/picture">
                      <pic:pic xmlns:pic="http://schemas.openxmlformats.org/drawingml/2006/picture">
                        <pic:nvPicPr>
                          <pic:cNvPr id="10" name="图片_29"/>
                          <pic:cNvPicPr/>
                        </pic:nvPicPr>
                        <pic:blipFill>
                          <a:blip r:embed="rId20"/>
                          <a:stretch>
                            <a:fillRect/>
                          </a:stretch>
                        </pic:blipFill>
                        <pic:spPr>
                          <a:xfrm>
                            <a:off x="0" y="0"/>
                            <a:ext cx="1039495" cy="715010"/>
                          </a:xfrm>
                          <a:prstGeom prst="rect">
                            <a:avLst/>
                          </a:prstGeom>
                          <a:noFill/>
                          <a:ln>
                            <a:noFill/>
                          </a:ln>
                        </pic:spPr>
                      </pic:pic>
                    </a:graphicData>
                  </a:graphic>
                </wp:anchor>
              </w:drawing>
            </w:r>
          </w:p>
        </w:tc>
      </w:tr>
      <w:tr w14:paraId="775C1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FBE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2CE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饮水机（柜式）</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含安装</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94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30L</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9E0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90FE">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19050</wp:posOffset>
                  </wp:positionV>
                  <wp:extent cx="1056640" cy="733425"/>
                  <wp:effectExtent l="0" t="0" r="10160" b="9525"/>
                  <wp:wrapNone/>
                  <wp:docPr id="19" name="图片_6"/>
                  <wp:cNvGraphicFramePr/>
                  <a:graphic xmlns:a="http://schemas.openxmlformats.org/drawingml/2006/main">
                    <a:graphicData uri="http://schemas.openxmlformats.org/drawingml/2006/picture">
                      <pic:pic xmlns:pic="http://schemas.openxmlformats.org/drawingml/2006/picture">
                        <pic:nvPicPr>
                          <pic:cNvPr id="19" name="图片_6"/>
                          <pic:cNvPicPr/>
                        </pic:nvPicPr>
                        <pic:blipFill>
                          <a:blip r:embed="rId21"/>
                          <a:stretch>
                            <a:fillRect/>
                          </a:stretch>
                        </pic:blipFill>
                        <pic:spPr>
                          <a:xfrm>
                            <a:off x="0" y="0"/>
                            <a:ext cx="1056640" cy="733425"/>
                          </a:xfrm>
                          <a:prstGeom prst="rect">
                            <a:avLst/>
                          </a:prstGeom>
                          <a:noFill/>
                          <a:ln>
                            <a:noFill/>
                          </a:ln>
                        </pic:spPr>
                      </pic:pic>
                    </a:graphicData>
                  </a:graphic>
                </wp:anchor>
              </w:drawing>
            </w:r>
          </w:p>
        </w:tc>
      </w:tr>
      <w:tr w14:paraId="00C1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D78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F9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净水器（家用）</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含安装</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66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20L</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3B9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742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19685</wp:posOffset>
                  </wp:positionV>
                  <wp:extent cx="1034415" cy="723900"/>
                  <wp:effectExtent l="0" t="0" r="13335" b="0"/>
                  <wp:wrapNone/>
                  <wp:docPr id="21" name="图片_7"/>
                  <wp:cNvGraphicFramePr/>
                  <a:graphic xmlns:a="http://schemas.openxmlformats.org/drawingml/2006/main">
                    <a:graphicData uri="http://schemas.openxmlformats.org/drawingml/2006/picture">
                      <pic:pic xmlns:pic="http://schemas.openxmlformats.org/drawingml/2006/picture">
                        <pic:nvPicPr>
                          <pic:cNvPr id="21" name="图片_7"/>
                          <pic:cNvPicPr/>
                        </pic:nvPicPr>
                        <pic:blipFill>
                          <a:blip r:embed="rId22"/>
                          <a:stretch>
                            <a:fillRect/>
                          </a:stretch>
                        </pic:blipFill>
                        <pic:spPr>
                          <a:xfrm>
                            <a:off x="0" y="0"/>
                            <a:ext cx="1034415" cy="723900"/>
                          </a:xfrm>
                          <a:prstGeom prst="rect">
                            <a:avLst/>
                          </a:prstGeom>
                          <a:noFill/>
                          <a:ln>
                            <a:noFill/>
                          </a:ln>
                        </pic:spPr>
                      </pic:pic>
                    </a:graphicData>
                  </a:graphic>
                </wp:anchor>
              </w:drawing>
            </w:r>
          </w:p>
        </w:tc>
      </w:tr>
      <w:tr w14:paraId="7BC79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1C52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06C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液晶电视（含安装）</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FD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65寸</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893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802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27940</wp:posOffset>
                  </wp:positionV>
                  <wp:extent cx="1025525" cy="720725"/>
                  <wp:effectExtent l="0" t="0" r="3175" b="3175"/>
                  <wp:wrapNone/>
                  <wp:docPr id="20" name="图片_8"/>
                  <wp:cNvGraphicFramePr/>
                  <a:graphic xmlns:a="http://schemas.openxmlformats.org/drawingml/2006/main">
                    <a:graphicData uri="http://schemas.openxmlformats.org/drawingml/2006/picture">
                      <pic:pic xmlns:pic="http://schemas.openxmlformats.org/drawingml/2006/picture">
                        <pic:nvPicPr>
                          <pic:cNvPr id="20" name="图片_8"/>
                          <pic:cNvPicPr/>
                        </pic:nvPicPr>
                        <pic:blipFill>
                          <a:blip r:embed="rId23"/>
                          <a:stretch>
                            <a:fillRect/>
                          </a:stretch>
                        </pic:blipFill>
                        <pic:spPr>
                          <a:xfrm>
                            <a:off x="0" y="0"/>
                            <a:ext cx="1025525" cy="720725"/>
                          </a:xfrm>
                          <a:prstGeom prst="rect">
                            <a:avLst/>
                          </a:prstGeom>
                          <a:noFill/>
                          <a:ln>
                            <a:noFill/>
                          </a:ln>
                        </pic:spPr>
                      </pic:pic>
                    </a:graphicData>
                  </a:graphic>
                </wp:anchor>
              </w:drawing>
            </w:r>
          </w:p>
        </w:tc>
      </w:tr>
      <w:tr w14:paraId="57772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C07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5007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D8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140cm*60cm（贴木皮）</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A6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FE7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19050</wp:posOffset>
                  </wp:positionV>
                  <wp:extent cx="1057275" cy="718820"/>
                  <wp:effectExtent l="0" t="0" r="9525" b="5080"/>
                  <wp:wrapNone/>
                  <wp:docPr id="17" name="图片_9"/>
                  <wp:cNvGraphicFramePr/>
                  <a:graphic xmlns:a="http://schemas.openxmlformats.org/drawingml/2006/main">
                    <a:graphicData uri="http://schemas.openxmlformats.org/drawingml/2006/picture">
                      <pic:pic xmlns:pic="http://schemas.openxmlformats.org/drawingml/2006/picture">
                        <pic:nvPicPr>
                          <pic:cNvPr id="17" name="图片_9"/>
                          <pic:cNvPicPr/>
                        </pic:nvPicPr>
                        <pic:blipFill>
                          <a:blip r:embed="rId24"/>
                          <a:stretch>
                            <a:fillRect/>
                          </a:stretch>
                        </pic:blipFill>
                        <pic:spPr>
                          <a:xfrm>
                            <a:off x="0" y="0"/>
                            <a:ext cx="1057275" cy="718820"/>
                          </a:xfrm>
                          <a:prstGeom prst="rect">
                            <a:avLst/>
                          </a:prstGeom>
                          <a:noFill/>
                          <a:ln>
                            <a:noFill/>
                          </a:ln>
                        </pic:spPr>
                      </pic:pic>
                    </a:graphicData>
                  </a:graphic>
                </wp:anchor>
              </w:drawing>
            </w:r>
          </w:p>
        </w:tc>
      </w:tr>
      <w:tr w14:paraId="63CF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1D9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F70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办公桌</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3CE0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120cm*60cm（贴木皮）</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437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27A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28575</wp:posOffset>
                  </wp:positionV>
                  <wp:extent cx="1028700" cy="727075"/>
                  <wp:effectExtent l="0" t="0" r="0" b="15875"/>
                  <wp:wrapNone/>
                  <wp:docPr id="18" name="图片_10"/>
                  <wp:cNvGraphicFramePr/>
                  <a:graphic xmlns:a="http://schemas.openxmlformats.org/drawingml/2006/main">
                    <a:graphicData uri="http://schemas.openxmlformats.org/drawingml/2006/picture">
                      <pic:pic xmlns:pic="http://schemas.openxmlformats.org/drawingml/2006/picture">
                        <pic:nvPicPr>
                          <pic:cNvPr id="18" name="图片_10"/>
                          <pic:cNvPicPr/>
                        </pic:nvPicPr>
                        <pic:blipFill>
                          <a:blip r:embed="rId25"/>
                          <a:stretch>
                            <a:fillRect/>
                          </a:stretch>
                        </pic:blipFill>
                        <pic:spPr>
                          <a:xfrm>
                            <a:off x="0" y="0"/>
                            <a:ext cx="1028700" cy="727075"/>
                          </a:xfrm>
                          <a:prstGeom prst="rect">
                            <a:avLst/>
                          </a:prstGeom>
                          <a:noFill/>
                          <a:ln>
                            <a:noFill/>
                          </a:ln>
                        </pic:spPr>
                      </pic:pic>
                    </a:graphicData>
                  </a:graphic>
                </wp:anchor>
              </w:drawing>
            </w:r>
          </w:p>
        </w:tc>
      </w:tr>
      <w:tr w14:paraId="21AAC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1425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34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办公椅</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BAC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80*100转椅</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26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B4F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18415</wp:posOffset>
                  </wp:positionV>
                  <wp:extent cx="1022985" cy="711200"/>
                  <wp:effectExtent l="0" t="0" r="5715" b="12700"/>
                  <wp:wrapNone/>
                  <wp:docPr id="22" name="图片_12"/>
                  <wp:cNvGraphicFramePr/>
                  <a:graphic xmlns:a="http://schemas.openxmlformats.org/drawingml/2006/main">
                    <a:graphicData uri="http://schemas.openxmlformats.org/drawingml/2006/picture">
                      <pic:pic xmlns:pic="http://schemas.openxmlformats.org/drawingml/2006/picture">
                        <pic:nvPicPr>
                          <pic:cNvPr id="22" name="图片_12"/>
                          <pic:cNvPicPr/>
                        </pic:nvPicPr>
                        <pic:blipFill>
                          <a:blip r:embed="rId26"/>
                          <a:stretch>
                            <a:fillRect/>
                          </a:stretch>
                        </pic:blipFill>
                        <pic:spPr>
                          <a:xfrm>
                            <a:off x="0" y="0"/>
                            <a:ext cx="1022985" cy="711200"/>
                          </a:xfrm>
                          <a:prstGeom prst="rect">
                            <a:avLst/>
                          </a:prstGeom>
                          <a:noFill/>
                          <a:ln>
                            <a:noFill/>
                          </a:ln>
                        </pic:spPr>
                      </pic:pic>
                    </a:graphicData>
                  </a:graphic>
                </wp:anchor>
              </w:drawing>
            </w:r>
          </w:p>
        </w:tc>
      </w:tr>
      <w:tr w14:paraId="354F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E05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21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工字椅</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2A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80*100</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14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7101">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19050</wp:posOffset>
                  </wp:positionV>
                  <wp:extent cx="1022985" cy="710565"/>
                  <wp:effectExtent l="0" t="0" r="5715" b="13335"/>
                  <wp:wrapNone/>
                  <wp:docPr id="3" name="图片_11"/>
                  <wp:cNvGraphicFramePr/>
                  <a:graphic xmlns:a="http://schemas.openxmlformats.org/drawingml/2006/main">
                    <a:graphicData uri="http://schemas.openxmlformats.org/drawingml/2006/picture">
                      <pic:pic xmlns:pic="http://schemas.openxmlformats.org/drawingml/2006/picture">
                        <pic:nvPicPr>
                          <pic:cNvPr id="3" name="图片_11"/>
                          <pic:cNvPicPr/>
                        </pic:nvPicPr>
                        <pic:blipFill>
                          <a:blip r:embed="rId27"/>
                          <a:stretch>
                            <a:fillRect/>
                          </a:stretch>
                        </pic:blipFill>
                        <pic:spPr>
                          <a:xfrm>
                            <a:off x="0" y="0"/>
                            <a:ext cx="1022985" cy="710565"/>
                          </a:xfrm>
                          <a:prstGeom prst="rect">
                            <a:avLst/>
                          </a:prstGeom>
                          <a:noFill/>
                          <a:ln>
                            <a:noFill/>
                          </a:ln>
                        </pic:spPr>
                      </pic:pic>
                    </a:graphicData>
                  </a:graphic>
                </wp:anchor>
              </w:drawing>
            </w:r>
          </w:p>
        </w:tc>
      </w:tr>
      <w:tr w14:paraId="4665A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32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4A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高低床</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35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120cm*200cm（铁质）</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4FF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D39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18415</wp:posOffset>
                  </wp:positionV>
                  <wp:extent cx="1043940" cy="711200"/>
                  <wp:effectExtent l="0" t="0" r="3810" b="12700"/>
                  <wp:wrapNone/>
                  <wp:docPr id="6" name="图片_13"/>
                  <wp:cNvGraphicFramePr/>
                  <a:graphic xmlns:a="http://schemas.openxmlformats.org/drawingml/2006/main">
                    <a:graphicData uri="http://schemas.openxmlformats.org/drawingml/2006/picture">
                      <pic:pic xmlns:pic="http://schemas.openxmlformats.org/drawingml/2006/picture">
                        <pic:nvPicPr>
                          <pic:cNvPr id="6" name="图片_13"/>
                          <pic:cNvPicPr/>
                        </pic:nvPicPr>
                        <pic:blipFill>
                          <a:blip r:embed="rId28"/>
                          <a:stretch>
                            <a:fillRect/>
                          </a:stretch>
                        </pic:blipFill>
                        <pic:spPr>
                          <a:xfrm>
                            <a:off x="0" y="0"/>
                            <a:ext cx="1043940" cy="711200"/>
                          </a:xfrm>
                          <a:prstGeom prst="rect">
                            <a:avLst/>
                          </a:prstGeom>
                          <a:noFill/>
                          <a:ln>
                            <a:noFill/>
                          </a:ln>
                        </pic:spPr>
                      </pic:pic>
                    </a:graphicData>
                  </a:graphic>
                </wp:anchor>
              </w:drawing>
            </w:r>
          </w:p>
        </w:tc>
      </w:tr>
      <w:tr w14:paraId="059D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D5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30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单人床</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（含床垫）</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BC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1500cm*200cm（木质）</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B76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497B">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5080</wp:posOffset>
                  </wp:positionV>
                  <wp:extent cx="1029335" cy="737870"/>
                  <wp:effectExtent l="0" t="0" r="18415" b="5080"/>
                  <wp:wrapNone/>
                  <wp:docPr id="2" name="图片_14"/>
                  <wp:cNvGraphicFramePr/>
                  <a:graphic xmlns:a="http://schemas.openxmlformats.org/drawingml/2006/main">
                    <a:graphicData uri="http://schemas.openxmlformats.org/drawingml/2006/picture">
                      <pic:pic xmlns:pic="http://schemas.openxmlformats.org/drawingml/2006/picture">
                        <pic:nvPicPr>
                          <pic:cNvPr id="2" name="图片_14"/>
                          <pic:cNvPicPr/>
                        </pic:nvPicPr>
                        <pic:blipFill>
                          <a:blip r:embed="rId29"/>
                          <a:stretch>
                            <a:fillRect/>
                          </a:stretch>
                        </pic:blipFill>
                        <pic:spPr>
                          <a:xfrm>
                            <a:off x="0" y="0"/>
                            <a:ext cx="1029335" cy="737870"/>
                          </a:xfrm>
                          <a:prstGeom prst="rect">
                            <a:avLst/>
                          </a:prstGeom>
                          <a:noFill/>
                          <a:ln>
                            <a:noFill/>
                          </a:ln>
                        </pic:spPr>
                      </pic:pic>
                    </a:graphicData>
                  </a:graphic>
                </wp:anchor>
              </w:drawing>
            </w:r>
          </w:p>
        </w:tc>
      </w:tr>
      <w:tr w14:paraId="45E89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37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F2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办公沙发</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FA8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240cm*100cm（皮质）</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095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2F65">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29845</wp:posOffset>
                  </wp:positionH>
                  <wp:positionV relativeFrom="paragraph">
                    <wp:posOffset>28575</wp:posOffset>
                  </wp:positionV>
                  <wp:extent cx="1024255" cy="701040"/>
                  <wp:effectExtent l="0" t="0" r="4445" b="3810"/>
                  <wp:wrapNone/>
                  <wp:docPr id="30" name="图片_16"/>
                  <wp:cNvGraphicFramePr/>
                  <a:graphic xmlns:a="http://schemas.openxmlformats.org/drawingml/2006/main">
                    <a:graphicData uri="http://schemas.openxmlformats.org/drawingml/2006/picture">
                      <pic:pic xmlns:pic="http://schemas.openxmlformats.org/drawingml/2006/picture">
                        <pic:nvPicPr>
                          <pic:cNvPr id="30" name="图片_16"/>
                          <pic:cNvPicPr/>
                        </pic:nvPicPr>
                        <pic:blipFill>
                          <a:blip r:embed="rId30"/>
                          <a:stretch>
                            <a:fillRect/>
                          </a:stretch>
                        </pic:blipFill>
                        <pic:spPr>
                          <a:xfrm>
                            <a:off x="0" y="0"/>
                            <a:ext cx="1024255" cy="701040"/>
                          </a:xfrm>
                          <a:prstGeom prst="rect">
                            <a:avLst/>
                          </a:prstGeom>
                          <a:noFill/>
                          <a:ln>
                            <a:noFill/>
                          </a:ln>
                        </pic:spPr>
                      </pic:pic>
                    </a:graphicData>
                  </a:graphic>
                </wp:anchor>
              </w:drawing>
            </w:r>
          </w:p>
        </w:tc>
      </w:tr>
      <w:tr w14:paraId="0B51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14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5C0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茶几</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6F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120cm*60cm</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5F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90D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15240</wp:posOffset>
                  </wp:positionH>
                  <wp:positionV relativeFrom="paragraph">
                    <wp:posOffset>19050</wp:posOffset>
                  </wp:positionV>
                  <wp:extent cx="1039495" cy="705485"/>
                  <wp:effectExtent l="0" t="0" r="8255" b="18415"/>
                  <wp:wrapNone/>
                  <wp:docPr id="28" name="图片_15"/>
                  <wp:cNvGraphicFramePr/>
                  <a:graphic xmlns:a="http://schemas.openxmlformats.org/drawingml/2006/main">
                    <a:graphicData uri="http://schemas.openxmlformats.org/drawingml/2006/picture">
                      <pic:pic xmlns:pic="http://schemas.openxmlformats.org/drawingml/2006/picture">
                        <pic:nvPicPr>
                          <pic:cNvPr id="28" name="图片_15"/>
                          <pic:cNvPicPr/>
                        </pic:nvPicPr>
                        <pic:blipFill>
                          <a:blip r:embed="rId31"/>
                          <a:stretch>
                            <a:fillRect/>
                          </a:stretch>
                        </pic:blipFill>
                        <pic:spPr>
                          <a:xfrm>
                            <a:off x="0" y="0"/>
                            <a:ext cx="1039495" cy="705485"/>
                          </a:xfrm>
                          <a:prstGeom prst="rect">
                            <a:avLst/>
                          </a:prstGeom>
                          <a:noFill/>
                          <a:ln>
                            <a:noFill/>
                          </a:ln>
                        </pic:spPr>
                      </pic:pic>
                    </a:graphicData>
                  </a:graphic>
                </wp:anchor>
              </w:drawing>
            </w:r>
          </w:p>
        </w:tc>
      </w:tr>
      <w:tr w14:paraId="7024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C5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41F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文件柜</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3F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90*30*180CM（铁皮）</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79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220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9525</wp:posOffset>
                  </wp:positionV>
                  <wp:extent cx="1051560" cy="747395"/>
                  <wp:effectExtent l="0" t="0" r="15240" b="14605"/>
                  <wp:wrapNone/>
                  <wp:docPr id="26" name="图片_17"/>
                  <wp:cNvGraphicFramePr/>
                  <a:graphic xmlns:a="http://schemas.openxmlformats.org/drawingml/2006/main">
                    <a:graphicData uri="http://schemas.openxmlformats.org/drawingml/2006/picture">
                      <pic:pic xmlns:pic="http://schemas.openxmlformats.org/drawingml/2006/picture">
                        <pic:nvPicPr>
                          <pic:cNvPr id="26" name="图片_17"/>
                          <pic:cNvPicPr/>
                        </pic:nvPicPr>
                        <pic:blipFill>
                          <a:blip r:embed="rId32"/>
                          <a:stretch>
                            <a:fillRect/>
                          </a:stretch>
                        </pic:blipFill>
                        <pic:spPr>
                          <a:xfrm>
                            <a:off x="0" y="0"/>
                            <a:ext cx="1051560" cy="747395"/>
                          </a:xfrm>
                          <a:prstGeom prst="rect">
                            <a:avLst/>
                          </a:prstGeom>
                          <a:noFill/>
                          <a:ln>
                            <a:noFill/>
                          </a:ln>
                        </pic:spPr>
                      </pic:pic>
                    </a:graphicData>
                  </a:graphic>
                </wp:anchor>
              </w:drawing>
            </w:r>
          </w:p>
        </w:tc>
      </w:tr>
      <w:tr w14:paraId="08DF7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FB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EBF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玻璃门文件柜</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BE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90*30*180CM（铁皮）</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A66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5E7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27940</wp:posOffset>
                  </wp:positionV>
                  <wp:extent cx="1035050" cy="715010"/>
                  <wp:effectExtent l="0" t="0" r="12700" b="8890"/>
                  <wp:wrapNone/>
                  <wp:docPr id="31" name="图片_18"/>
                  <wp:cNvGraphicFramePr/>
                  <a:graphic xmlns:a="http://schemas.openxmlformats.org/drawingml/2006/main">
                    <a:graphicData uri="http://schemas.openxmlformats.org/drawingml/2006/picture">
                      <pic:pic xmlns:pic="http://schemas.openxmlformats.org/drawingml/2006/picture">
                        <pic:nvPicPr>
                          <pic:cNvPr id="31" name="图片_18"/>
                          <pic:cNvPicPr/>
                        </pic:nvPicPr>
                        <pic:blipFill>
                          <a:blip r:embed="rId33"/>
                          <a:stretch>
                            <a:fillRect/>
                          </a:stretch>
                        </pic:blipFill>
                        <pic:spPr>
                          <a:xfrm>
                            <a:off x="0" y="0"/>
                            <a:ext cx="1035050" cy="715010"/>
                          </a:xfrm>
                          <a:prstGeom prst="rect">
                            <a:avLst/>
                          </a:prstGeom>
                          <a:noFill/>
                          <a:ln>
                            <a:noFill/>
                          </a:ln>
                        </pic:spPr>
                      </pic:pic>
                    </a:graphicData>
                  </a:graphic>
                </wp:anchor>
              </w:drawing>
            </w:r>
          </w:p>
        </w:tc>
      </w:tr>
      <w:tr w14:paraId="1336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66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33E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三门、六门更衣柜</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574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90*30*180CM（铁皮）</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FD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E2C3">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20955</wp:posOffset>
                  </wp:positionH>
                  <wp:positionV relativeFrom="paragraph">
                    <wp:posOffset>25400</wp:posOffset>
                  </wp:positionV>
                  <wp:extent cx="1023620" cy="727075"/>
                  <wp:effectExtent l="0" t="0" r="5080" b="15875"/>
                  <wp:wrapNone/>
                  <wp:docPr id="23" name="图片_19"/>
                  <wp:cNvGraphicFramePr/>
                  <a:graphic xmlns:a="http://schemas.openxmlformats.org/drawingml/2006/main">
                    <a:graphicData uri="http://schemas.openxmlformats.org/drawingml/2006/picture">
                      <pic:pic xmlns:pic="http://schemas.openxmlformats.org/drawingml/2006/picture">
                        <pic:nvPicPr>
                          <pic:cNvPr id="23" name="图片_19"/>
                          <pic:cNvPicPr/>
                        </pic:nvPicPr>
                        <pic:blipFill>
                          <a:blip r:embed="rId34"/>
                          <a:stretch>
                            <a:fillRect/>
                          </a:stretch>
                        </pic:blipFill>
                        <pic:spPr>
                          <a:xfrm>
                            <a:off x="0" y="0"/>
                            <a:ext cx="1023620" cy="727075"/>
                          </a:xfrm>
                          <a:prstGeom prst="rect">
                            <a:avLst/>
                          </a:prstGeom>
                          <a:noFill/>
                          <a:ln>
                            <a:noFill/>
                          </a:ln>
                        </pic:spPr>
                      </pic:pic>
                    </a:graphicData>
                  </a:graphic>
                </wp:anchor>
              </w:drawing>
            </w:r>
          </w:p>
        </w:tc>
      </w:tr>
      <w:tr w14:paraId="6D7B0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EAC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12B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鞋柜</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A02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12门90*30*180（铁)</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879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7CF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32385</wp:posOffset>
                  </wp:positionV>
                  <wp:extent cx="1041400" cy="697865"/>
                  <wp:effectExtent l="0" t="0" r="6350" b="6985"/>
                  <wp:wrapNone/>
                  <wp:docPr id="37" name="图片_20"/>
                  <wp:cNvGraphicFramePr/>
                  <a:graphic xmlns:a="http://schemas.openxmlformats.org/drawingml/2006/main">
                    <a:graphicData uri="http://schemas.openxmlformats.org/drawingml/2006/picture">
                      <pic:pic xmlns:pic="http://schemas.openxmlformats.org/drawingml/2006/picture">
                        <pic:nvPicPr>
                          <pic:cNvPr id="37" name="图片_20"/>
                          <pic:cNvPicPr/>
                        </pic:nvPicPr>
                        <pic:blipFill>
                          <a:blip r:embed="rId35"/>
                          <a:stretch>
                            <a:fillRect/>
                          </a:stretch>
                        </pic:blipFill>
                        <pic:spPr>
                          <a:xfrm>
                            <a:off x="0" y="0"/>
                            <a:ext cx="1041400" cy="697865"/>
                          </a:xfrm>
                          <a:prstGeom prst="rect">
                            <a:avLst/>
                          </a:prstGeom>
                          <a:noFill/>
                          <a:ln>
                            <a:noFill/>
                          </a:ln>
                        </pic:spPr>
                      </pic:pic>
                    </a:graphicData>
                  </a:graphic>
                </wp:anchor>
              </w:drawing>
            </w:r>
          </w:p>
        </w:tc>
      </w:tr>
      <w:tr w14:paraId="1E32C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05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1D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餐桌椅（一套）</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70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120cm*60cm</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F08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A99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27940</wp:posOffset>
                  </wp:positionV>
                  <wp:extent cx="1035050" cy="702310"/>
                  <wp:effectExtent l="0" t="0" r="12700" b="2540"/>
                  <wp:wrapNone/>
                  <wp:docPr id="32" name="图片_21"/>
                  <wp:cNvGraphicFramePr/>
                  <a:graphic xmlns:a="http://schemas.openxmlformats.org/drawingml/2006/main">
                    <a:graphicData uri="http://schemas.openxmlformats.org/drawingml/2006/picture">
                      <pic:pic xmlns:pic="http://schemas.openxmlformats.org/drawingml/2006/picture">
                        <pic:nvPicPr>
                          <pic:cNvPr id="32" name="图片_21"/>
                          <pic:cNvPicPr/>
                        </pic:nvPicPr>
                        <pic:blipFill>
                          <a:blip r:embed="rId36"/>
                          <a:stretch>
                            <a:fillRect/>
                          </a:stretch>
                        </pic:blipFill>
                        <pic:spPr>
                          <a:xfrm>
                            <a:off x="0" y="0"/>
                            <a:ext cx="1035050" cy="702310"/>
                          </a:xfrm>
                          <a:prstGeom prst="rect">
                            <a:avLst/>
                          </a:prstGeom>
                          <a:noFill/>
                          <a:ln>
                            <a:noFill/>
                          </a:ln>
                        </pic:spPr>
                      </pic:pic>
                    </a:graphicData>
                  </a:graphic>
                </wp:anchor>
              </w:drawing>
            </w:r>
          </w:p>
        </w:tc>
      </w:tr>
      <w:tr w14:paraId="30B6F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1F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361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候诊区三人座椅</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6F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240CM*100CM（PVC）</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CD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650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0B17">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18415</wp:posOffset>
                  </wp:positionH>
                  <wp:positionV relativeFrom="paragraph">
                    <wp:posOffset>17145</wp:posOffset>
                  </wp:positionV>
                  <wp:extent cx="1041400" cy="734060"/>
                  <wp:effectExtent l="0" t="0" r="6350" b="8890"/>
                  <wp:wrapNone/>
                  <wp:docPr id="29" name="图片_22"/>
                  <wp:cNvGraphicFramePr/>
                  <a:graphic xmlns:a="http://schemas.openxmlformats.org/drawingml/2006/main">
                    <a:graphicData uri="http://schemas.openxmlformats.org/drawingml/2006/picture">
                      <pic:pic xmlns:pic="http://schemas.openxmlformats.org/drawingml/2006/picture">
                        <pic:nvPicPr>
                          <pic:cNvPr id="29" name="图片_22"/>
                          <pic:cNvPicPr/>
                        </pic:nvPicPr>
                        <pic:blipFill>
                          <a:blip r:embed="rId37"/>
                          <a:stretch>
                            <a:fillRect/>
                          </a:stretch>
                        </pic:blipFill>
                        <pic:spPr>
                          <a:xfrm>
                            <a:off x="0" y="0"/>
                            <a:ext cx="1041400" cy="734060"/>
                          </a:xfrm>
                          <a:prstGeom prst="rect">
                            <a:avLst/>
                          </a:prstGeom>
                          <a:noFill/>
                          <a:ln>
                            <a:noFill/>
                          </a:ln>
                        </pic:spPr>
                      </pic:pic>
                    </a:graphicData>
                  </a:graphic>
                </wp:anchor>
              </w:drawing>
            </w:r>
          </w:p>
        </w:tc>
      </w:tr>
      <w:tr w14:paraId="7E21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815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58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铁质圆凳（可旋转）</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584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直径：60CM</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AF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5FC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26670</wp:posOffset>
                  </wp:positionV>
                  <wp:extent cx="1050925" cy="726440"/>
                  <wp:effectExtent l="0" t="0" r="15875" b="16510"/>
                  <wp:wrapNone/>
                  <wp:docPr id="35" name="图片_23"/>
                  <wp:cNvGraphicFramePr/>
                  <a:graphic xmlns:a="http://schemas.openxmlformats.org/drawingml/2006/main">
                    <a:graphicData uri="http://schemas.openxmlformats.org/drawingml/2006/picture">
                      <pic:pic xmlns:pic="http://schemas.openxmlformats.org/drawingml/2006/picture">
                        <pic:nvPicPr>
                          <pic:cNvPr id="35" name="图片_23"/>
                          <pic:cNvPicPr/>
                        </pic:nvPicPr>
                        <pic:blipFill>
                          <a:blip r:embed="rId38"/>
                          <a:stretch>
                            <a:fillRect/>
                          </a:stretch>
                        </pic:blipFill>
                        <pic:spPr>
                          <a:xfrm>
                            <a:off x="0" y="0"/>
                            <a:ext cx="1050925" cy="726440"/>
                          </a:xfrm>
                          <a:prstGeom prst="rect">
                            <a:avLst/>
                          </a:prstGeom>
                          <a:noFill/>
                          <a:ln>
                            <a:noFill/>
                          </a:ln>
                        </pic:spPr>
                      </pic:pic>
                    </a:graphicData>
                  </a:graphic>
                </wp:anchor>
              </w:drawing>
            </w:r>
          </w:p>
        </w:tc>
      </w:tr>
      <w:tr w14:paraId="18969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1B1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6CB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四层货架</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9AA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60*200*200（铁质）</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48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859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9525</wp:posOffset>
                  </wp:positionV>
                  <wp:extent cx="1056640" cy="744855"/>
                  <wp:effectExtent l="0" t="0" r="10160" b="17145"/>
                  <wp:wrapNone/>
                  <wp:docPr id="27" name="图片_24"/>
                  <wp:cNvGraphicFramePr/>
                  <a:graphic xmlns:a="http://schemas.openxmlformats.org/drawingml/2006/main">
                    <a:graphicData uri="http://schemas.openxmlformats.org/drawingml/2006/picture">
                      <pic:pic xmlns:pic="http://schemas.openxmlformats.org/drawingml/2006/picture">
                        <pic:nvPicPr>
                          <pic:cNvPr id="27" name="图片_24"/>
                          <pic:cNvPicPr/>
                        </pic:nvPicPr>
                        <pic:blipFill>
                          <a:blip r:embed="rId39"/>
                          <a:stretch>
                            <a:fillRect/>
                          </a:stretch>
                        </pic:blipFill>
                        <pic:spPr>
                          <a:xfrm>
                            <a:off x="0" y="0"/>
                            <a:ext cx="1056640" cy="744855"/>
                          </a:xfrm>
                          <a:prstGeom prst="rect">
                            <a:avLst/>
                          </a:prstGeom>
                          <a:noFill/>
                          <a:ln>
                            <a:noFill/>
                          </a:ln>
                        </pic:spPr>
                      </pic:pic>
                    </a:graphicData>
                  </a:graphic>
                </wp:anchor>
              </w:drawing>
            </w:r>
          </w:p>
        </w:tc>
      </w:tr>
      <w:tr w14:paraId="04590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497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23C1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会议桌</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03C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120cm*200cm</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DA8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3C12">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27940</wp:posOffset>
                  </wp:positionV>
                  <wp:extent cx="1052830" cy="715010"/>
                  <wp:effectExtent l="0" t="0" r="13970" b="8890"/>
                  <wp:wrapNone/>
                  <wp:docPr id="33" name="图片_25"/>
                  <wp:cNvGraphicFramePr/>
                  <a:graphic xmlns:a="http://schemas.openxmlformats.org/drawingml/2006/main">
                    <a:graphicData uri="http://schemas.openxmlformats.org/drawingml/2006/picture">
                      <pic:pic xmlns:pic="http://schemas.openxmlformats.org/drawingml/2006/picture">
                        <pic:nvPicPr>
                          <pic:cNvPr id="33" name="图片_25"/>
                          <pic:cNvPicPr/>
                        </pic:nvPicPr>
                        <pic:blipFill>
                          <a:blip r:embed="rId40"/>
                          <a:stretch>
                            <a:fillRect/>
                          </a:stretch>
                        </pic:blipFill>
                        <pic:spPr>
                          <a:xfrm>
                            <a:off x="0" y="0"/>
                            <a:ext cx="1052830" cy="715010"/>
                          </a:xfrm>
                          <a:prstGeom prst="rect">
                            <a:avLst/>
                          </a:prstGeom>
                          <a:noFill/>
                          <a:ln>
                            <a:noFill/>
                          </a:ln>
                        </pic:spPr>
                      </pic:pic>
                    </a:graphicData>
                  </a:graphic>
                </wp:anchor>
              </w:drawing>
            </w:r>
          </w:p>
        </w:tc>
      </w:tr>
      <w:tr w14:paraId="252A9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667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D0E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高背椅</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15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60*100CM</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02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DF00">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8890</wp:posOffset>
                  </wp:positionH>
                  <wp:positionV relativeFrom="paragraph">
                    <wp:posOffset>0</wp:posOffset>
                  </wp:positionV>
                  <wp:extent cx="1043305" cy="735965"/>
                  <wp:effectExtent l="0" t="0" r="4445" b="6985"/>
                  <wp:wrapNone/>
                  <wp:docPr id="34" name="图片_26"/>
                  <wp:cNvGraphicFramePr/>
                  <a:graphic xmlns:a="http://schemas.openxmlformats.org/drawingml/2006/main">
                    <a:graphicData uri="http://schemas.openxmlformats.org/drawingml/2006/picture">
                      <pic:pic xmlns:pic="http://schemas.openxmlformats.org/drawingml/2006/picture">
                        <pic:nvPicPr>
                          <pic:cNvPr id="34" name="图片_26"/>
                          <pic:cNvPicPr/>
                        </pic:nvPicPr>
                        <pic:blipFill>
                          <a:blip r:embed="rId41"/>
                          <a:stretch>
                            <a:fillRect/>
                          </a:stretch>
                        </pic:blipFill>
                        <pic:spPr>
                          <a:xfrm>
                            <a:off x="0" y="0"/>
                            <a:ext cx="1043305" cy="73596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27940</wp:posOffset>
                  </wp:positionH>
                  <wp:positionV relativeFrom="paragraph">
                    <wp:posOffset>9525</wp:posOffset>
                  </wp:positionV>
                  <wp:extent cx="1017905" cy="732155"/>
                  <wp:effectExtent l="0" t="0" r="10795" b="10795"/>
                  <wp:wrapNone/>
                  <wp:docPr id="24" name="图片_27"/>
                  <wp:cNvGraphicFramePr/>
                  <a:graphic xmlns:a="http://schemas.openxmlformats.org/drawingml/2006/main">
                    <a:graphicData uri="http://schemas.openxmlformats.org/drawingml/2006/picture">
                      <pic:pic xmlns:pic="http://schemas.openxmlformats.org/drawingml/2006/picture">
                        <pic:nvPicPr>
                          <pic:cNvPr id="24" name="图片_27"/>
                          <pic:cNvPicPr/>
                        </pic:nvPicPr>
                        <pic:blipFill>
                          <a:blip r:embed="rId42"/>
                          <a:stretch>
                            <a:fillRect/>
                          </a:stretch>
                        </pic:blipFill>
                        <pic:spPr>
                          <a:xfrm>
                            <a:off x="0" y="0"/>
                            <a:ext cx="1017905" cy="732155"/>
                          </a:xfrm>
                          <a:prstGeom prst="rect">
                            <a:avLst/>
                          </a:prstGeom>
                          <a:noFill/>
                          <a:ln>
                            <a:noFill/>
                          </a:ln>
                        </pic:spPr>
                      </pic:pic>
                    </a:graphicData>
                  </a:graphic>
                </wp:anchor>
              </w:drawing>
            </w:r>
          </w:p>
        </w:tc>
      </w:tr>
      <w:tr w14:paraId="32E54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C6A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1DB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平板车</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2A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80cm*110cm</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D6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69DC">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31750</wp:posOffset>
                  </wp:positionH>
                  <wp:positionV relativeFrom="paragraph">
                    <wp:posOffset>26670</wp:posOffset>
                  </wp:positionV>
                  <wp:extent cx="1022985" cy="720725"/>
                  <wp:effectExtent l="0" t="0" r="5715" b="3175"/>
                  <wp:wrapNone/>
                  <wp:docPr id="25" name="图片_28"/>
                  <wp:cNvGraphicFramePr/>
                  <a:graphic xmlns:a="http://schemas.openxmlformats.org/drawingml/2006/main">
                    <a:graphicData uri="http://schemas.openxmlformats.org/drawingml/2006/picture">
                      <pic:pic xmlns:pic="http://schemas.openxmlformats.org/drawingml/2006/picture">
                        <pic:nvPicPr>
                          <pic:cNvPr id="25" name="图片_28"/>
                          <pic:cNvPicPr/>
                        </pic:nvPicPr>
                        <pic:blipFill>
                          <a:blip r:embed="rId43"/>
                          <a:stretch>
                            <a:fillRect/>
                          </a:stretch>
                        </pic:blipFill>
                        <pic:spPr>
                          <a:xfrm>
                            <a:off x="0" y="0"/>
                            <a:ext cx="1022985" cy="720725"/>
                          </a:xfrm>
                          <a:prstGeom prst="rect">
                            <a:avLst/>
                          </a:prstGeom>
                          <a:noFill/>
                          <a:ln>
                            <a:noFill/>
                          </a:ln>
                        </pic:spPr>
                      </pic:pic>
                    </a:graphicData>
                  </a:graphic>
                </wp:anchor>
              </w:drawing>
            </w:r>
          </w:p>
        </w:tc>
      </w:tr>
      <w:tr w14:paraId="665AB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7E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2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D83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不锈钢手推车</w:t>
            </w:r>
          </w:p>
        </w:tc>
        <w:tc>
          <w:tcPr>
            <w:tcW w:w="1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264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110CM*60CM*80CM</w:t>
            </w:r>
          </w:p>
        </w:tc>
        <w:tc>
          <w:tcPr>
            <w:tcW w:w="1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564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500</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25E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19685</wp:posOffset>
                  </wp:positionV>
                  <wp:extent cx="1032510" cy="718820"/>
                  <wp:effectExtent l="0" t="0" r="15240" b="5080"/>
                  <wp:wrapNone/>
                  <wp:docPr id="36" name="图片_30"/>
                  <wp:cNvGraphicFramePr/>
                  <a:graphic xmlns:a="http://schemas.openxmlformats.org/drawingml/2006/main">
                    <a:graphicData uri="http://schemas.openxmlformats.org/drawingml/2006/picture">
                      <pic:pic xmlns:pic="http://schemas.openxmlformats.org/drawingml/2006/picture">
                        <pic:nvPicPr>
                          <pic:cNvPr id="36" name="图片_30"/>
                          <pic:cNvPicPr/>
                        </pic:nvPicPr>
                        <pic:blipFill>
                          <a:blip r:embed="rId44"/>
                          <a:stretch>
                            <a:fillRect/>
                          </a:stretch>
                        </pic:blipFill>
                        <pic:spPr>
                          <a:xfrm>
                            <a:off x="0" y="0"/>
                            <a:ext cx="1032510" cy="718820"/>
                          </a:xfrm>
                          <a:prstGeom prst="rect">
                            <a:avLst/>
                          </a:prstGeom>
                          <a:noFill/>
                          <a:ln>
                            <a:noFill/>
                          </a:ln>
                        </pic:spPr>
                      </pic:pic>
                    </a:graphicData>
                  </a:graphic>
                </wp:anchor>
              </w:drawing>
            </w:r>
          </w:p>
        </w:tc>
      </w:tr>
    </w:tbl>
    <w:p w14:paraId="4AB0C977">
      <w:pPr>
        <w:rPr>
          <w:rFonts w:hint="eastAsia" w:ascii="宋体" w:hAnsi="宋体" w:eastAsia="宋体"/>
          <w:b/>
          <w:bCs/>
          <w:snapToGrid w:val="0"/>
          <w:color w:val="auto"/>
          <w:sz w:val="24"/>
          <w:szCs w:val="24"/>
          <w:highlight w:val="none"/>
          <w:lang w:val="en-US" w:eastAsia="zh-CN"/>
        </w:rPr>
      </w:pPr>
    </w:p>
    <w:bookmarkEnd w:id="497"/>
    <w:bookmarkEnd w:id="498"/>
    <w:p w14:paraId="11B227F7">
      <w:pPr>
        <w:pStyle w:val="3"/>
        <w:keepNext/>
        <w:keepLines/>
        <w:pageBreakBefore/>
        <w:widowControl w:val="0"/>
        <w:numPr>
          <w:ilvl w:val="0"/>
          <w:numId w:val="0"/>
        </w:numPr>
        <w:kinsoku/>
        <w:wordWrap/>
        <w:overflowPunct/>
        <w:topLinePunct w:val="0"/>
        <w:autoSpaceDE/>
        <w:autoSpaceDN/>
        <w:bidi w:val="0"/>
        <w:adjustRightInd/>
        <w:snapToGrid/>
        <w:spacing w:before="100" w:after="10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499" w:name="_Toc16160"/>
      <w:bookmarkStart w:id="500" w:name="_Toc155185895"/>
      <w:r>
        <w:rPr>
          <w:rFonts w:hint="eastAsia" w:ascii="宋体" w:hAnsi="宋体" w:eastAsia="宋体" w:cs="宋体"/>
          <w:b/>
          <w:bCs/>
          <w:color w:val="auto"/>
          <w:kern w:val="44"/>
          <w:sz w:val="36"/>
          <w:szCs w:val="36"/>
          <w:highlight w:val="none"/>
          <w:lang w:val="en-US" w:eastAsia="zh-CN" w:bidi="ar-SA"/>
        </w:rPr>
        <w:t>第四章 资格审查</w:t>
      </w:r>
      <w:bookmarkEnd w:id="499"/>
      <w:bookmarkEnd w:id="500"/>
    </w:p>
    <w:p w14:paraId="2133133E">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zh-CN" w:eastAsia="zh-CN"/>
        </w:rPr>
      </w:pPr>
      <w:bookmarkStart w:id="501" w:name="_Toc16612"/>
      <w:r>
        <w:rPr>
          <w:rFonts w:hint="eastAsia"/>
          <w:color w:val="auto"/>
          <w:sz w:val="28"/>
          <w:szCs w:val="28"/>
          <w:highlight w:val="none"/>
          <w:lang w:val="en-US" w:eastAsia="zh-CN"/>
        </w:rPr>
        <w:t>一、资格审查程序</w:t>
      </w:r>
      <w:bookmarkEnd w:id="501"/>
      <w:r>
        <w:rPr>
          <w:rFonts w:hint="eastAsia"/>
          <w:color w:val="auto"/>
          <w:sz w:val="28"/>
          <w:szCs w:val="28"/>
          <w:highlight w:val="none"/>
          <w:lang w:val="en-US" w:eastAsia="zh-CN"/>
        </w:rPr>
        <w:t xml:space="preserve"> </w:t>
      </w:r>
    </w:p>
    <w:p w14:paraId="4E4090D3">
      <w:pPr>
        <w:pStyle w:val="36"/>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 开标结束后，采购人或采购代理机构将根据《资格审查要求》中的规定，对投标人进行资格审查，并形成资格审查结果。 </w:t>
      </w:r>
    </w:p>
    <w:p w14:paraId="62799CDE">
      <w:pPr>
        <w:pStyle w:val="36"/>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 投标人《资格证明文件》有任何一项不符合《资格审查要求》的，资格审查不合格，其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 xml:space="preserve">。 </w:t>
      </w:r>
    </w:p>
    <w:p w14:paraId="37E914D8">
      <w:pPr>
        <w:pStyle w:val="36"/>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 资格审查合格的投标人不足 3 家的，不进行评标。 </w:t>
      </w:r>
    </w:p>
    <w:p w14:paraId="1720E868">
      <w:pPr>
        <w:pStyle w:val="4"/>
        <w:keepNext/>
        <w:keepLines/>
        <w:pageBreakBefore w:val="0"/>
        <w:widowControl w:val="0"/>
        <w:numPr>
          <w:ilvl w:val="0"/>
          <w:numId w:val="0"/>
        </w:numPr>
        <w:kinsoku/>
        <w:wordWrap/>
        <w:overflowPunct/>
        <w:topLinePunct w:val="0"/>
        <w:autoSpaceDE/>
        <w:autoSpaceDN/>
        <w:bidi w:val="0"/>
        <w:adjustRightInd/>
        <w:snapToGrid/>
        <w:spacing w:before="60" w:after="60" w:line="360" w:lineRule="auto"/>
        <w:ind w:left="420" w:leftChars="0" w:hanging="420" w:firstLineChars="0"/>
        <w:textAlignment w:val="auto"/>
        <w:rPr>
          <w:rFonts w:hint="eastAsia"/>
          <w:color w:val="auto"/>
          <w:sz w:val="28"/>
          <w:szCs w:val="28"/>
          <w:highlight w:val="none"/>
          <w:lang w:val="en-US" w:eastAsia="zh-CN"/>
        </w:rPr>
      </w:pPr>
      <w:bookmarkStart w:id="502" w:name="_Toc2211"/>
      <w:r>
        <w:rPr>
          <w:rFonts w:hint="eastAsia"/>
          <w:color w:val="auto"/>
          <w:sz w:val="28"/>
          <w:szCs w:val="28"/>
          <w:highlight w:val="none"/>
          <w:lang w:val="en-US" w:eastAsia="zh-CN"/>
        </w:rPr>
        <w:t>二、资格审查要求</w:t>
      </w:r>
      <w:bookmarkEnd w:id="502"/>
      <w:r>
        <w:rPr>
          <w:rFonts w:hint="eastAsia"/>
          <w:color w:val="auto"/>
          <w:sz w:val="28"/>
          <w:szCs w:val="28"/>
          <w:highlight w:val="none"/>
          <w:lang w:val="en-US" w:eastAsia="zh-CN"/>
        </w:rPr>
        <w:t xml:space="preserve"> </w:t>
      </w:r>
    </w:p>
    <w:tbl>
      <w:tblPr>
        <w:tblStyle w:val="29"/>
        <w:tblW w:w="54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20"/>
        <w:gridCol w:w="1866"/>
        <w:gridCol w:w="5155"/>
        <w:gridCol w:w="1496"/>
      </w:tblGrid>
      <w:tr w14:paraId="4C40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538" w:hRule="atLeast"/>
          <w:jc w:val="center"/>
        </w:trPr>
        <w:tc>
          <w:tcPr>
            <w:tcW w:w="439" w:type="pct"/>
            <w:shd w:val="clear" w:color="auto" w:fill="D8D8D8" w:themeFill="background1" w:themeFillShade="D9"/>
            <w:vAlign w:val="center"/>
          </w:tcPr>
          <w:p w14:paraId="31F150F3">
            <w:pPr>
              <w:pStyle w:val="48"/>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999" w:type="pct"/>
            <w:shd w:val="clear" w:color="auto" w:fill="D8D8D8" w:themeFill="background1" w:themeFillShade="D9"/>
            <w:vAlign w:val="center"/>
          </w:tcPr>
          <w:p w14:paraId="29694278">
            <w:pPr>
              <w:pStyle w:val="48"/>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审查因素</w:t>
            </w:r>
          </w:p>
        </w:tc>
        <w:tc>
          <w:tcPr>
            <w:tcW w:w="2760" w:type="pct"/>
            <w:shd w:val="clear" w:color="auto" w:fill="D8D8D8" w:themeFill="background1" w:themeFillShade="D9"/>
            <w:vAlign w:val="center"/>
          </w:tcPr>
          <w:p w14:paraId="635BC09B">
            <w:pPr>
              <w:pStyle w:val="48"/>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801" w:type="pct"/>
            <w:shd w:val="clear" w:color="auto" w:fill="D8D8D8" w:themeFill="background1" w:themeFillShade="D9"/>
            <w:vAlign w:val="center"/>
          </w:tcPr>
          <w:p w14:paraId="6075A15A">
            <w:pPr>
              <w:pStyle w:val="48"/>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格式要求</w:t>
            </w:r>
          </w:p>
        </w:tc>
      </w:tr>
      <w:tr w14:paraId="6969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636EB3B4">
            <w:pPr>
              <w:pStyle w:val="48"/>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p>
        </w:tc>
        <w:tc>
          <w:tcPr>
            <w:tcW w:w="999" w:type="pct"/>
            <w:shd w:val="clear" w:color="auto" w:fill="FFFFFF" w:themeFill="background1"/>
            <w:vAlign w:val="center"/>
          </w:tcPr>
          <w:p w14:paraId="267C1675">
            <w:pPr>
              <w:pStyle w:val="48"/>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满足《政府采购 </w:t>
            </w:r>
          </w:p>
          <w:p w14:paraId="58A237A7">
            <w:pPr>
              <w:pStyle w:val="48"/>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法》第二十二条 </w:t>
            </w:r>
          </w:p>
          <w:p w14:paraId="4DBD5590">
            <w:pPr>
              <w:pStyle w:val="48"/>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规定</w:t>
            </w:r>
          </w:p>
        </w:tc>
        <w:tc>
          <w:tcPr>
            <w:tcW w:w="2760" w:type="pct"/>
            <w:shd w:val="clear" w:color="auto" w:fill="FFFFFF" w:themeFill="background1"/>
            <w:vAlign w:val="center"/>
          </w:tcPr>
          <w:p w14:paraId="215E0855">
            <w:pPr>
              <w:pStyle w:val="48"/>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具体规定见“第一章 招标公告”</w:t>
            </w:r>
          </w:p>
        </w:tc>
        <w:tc>
          <w:tcPr>
            <w:tcW w:w="801" w:type="pct"/>
            <w:shd w:val="clear" w:color="auto" w:fill="FFFFFF" w:themeFill="background1"/>
            <w:vAlign w:val="center"/>
          </w:tcPr>
          <w:p w14:paraId="24AF5599">
            <w:pPr>
              <w:pStyle w:val="48"/>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p>
        </w:tc>
      </w:tr>
      <w:tr w14:paraId="26E76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977" w:hRule="atLeast"/>
          <w:jc w:val="center"/>
        </w:trPr>
        <w:tc>
          <w:tcPr>
            <w:tcW w:w="439" w:type="pct"/>
            <w:shd w:val="clear" w:color="auto" w:fill="FFFFFF" w:themeFill="background1"/>
            <w:vAlign w:val="center"/>
          </w:tcPr>
          <w:p w14:paraId="1AF8CF7F">
            <w:pPr>
              <w:pStyle w:val="48"/>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1-1</w:t>
            </w:r>
          </w:p>
        </w:tc>
        <w:tc>
          <w:tcPr>
            <w:tcW w:w="999" w:type="pct"/>
            <w:shd w:val="clear" w:color="auto" w:fill="FFFFFF" w:themeFill="background1"/>
            <w:vAlign w:val="center"/>
          </w:tcPr>
          <w:p w14:paraId="055CD5DC">
            <w:pPr>
              <w:pStyle w:val="48"/>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营业执照等证明文件</w:t>
            </w:r>
          </w:p>
        </w:tc>
        <w:tc>
          <w:tcPr>
            <w:tcW w:w="2760" w:type="pct"/>
            <w:shd w:val="clear" w:color="auto" w:fill="FFFFFF" w:themeFill="background1"/>
            <w:vAlign w:val="center"/>
          </w:tcPr>
          <w:p w14:paraId="7DB1C26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投标人为企业（包括合伙企业）的，应提供有效的“营业执照”； </w:t>
            </w:r>
          </w:p>
          <w:p w14:paraId="693E34B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投标人为事业单位的，应提供有效的“事业单位法人证书” ； </w:t>
            </w:r>
          </w:p>
          <w:p w14:paraId="0BB3751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投标人是非企业机构的，应提供有效的“执业许可证”、“登记证书”等证明文件； </w:t>
            </w:r>
          </w:p>
          <w:p w14:paraId="0667B6C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kern w:val="0"/>
                <w:sz w:val="24"/>
                <w:szCs w:val="24"/>
                <w:highlight w:val="none"/>
                <w:lang w:val="en-US" w:eastAsia="zh-CN" w:bidi="ar"/>
              </w:rPr>
              <w:t xml:space="preserve">投标人是个体工商户的，应提供有效的“个体工商户营业执照”； </w:t>
            </w:r>
          </w:p>
          <w:p w14:paraId="3CB603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11"/>
                <w:kern w:val="0"/>
                <w:sz w:val="24"/>
                <w:szCs w:val="24"/>
                <w:highlight w:val="none"/>
                <w:lang w:val="en-US" w:eastAsia="zh-CN" w:bidi="ar"/>
              </w:rPr>
              <w:t>投标人是自然人的，应提供有效的自然人身份证明。</w:t>
            </w:r>
          </w:p>
        </w:tc>
        <w:tc>
          <w:tcPr>
            <w:tcW w:w="801" w:type="pct"/>
            <w:shd w:val="clear" w:color="auto" w:fill="FFFFFF" w:themeFill="background1"/>
            <w:vAlign w:val="center"/>
          </w:tcPr>
          <w:p w14:paraId="60CD4B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提供证明文件的电子件或电子证照</w:t>
            </w:r>
          </w:p>
        </w:tc>
      </w:tr>
      <w:tr w14:paraId="5486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1B6B10C6">
            <w:pPr>
              <w:pStyle w:val="48"/>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1-2</w:t>
            </w:r>
          </w:p>
        </w:tc>
        <w:tc>
          <w:tcPr>
            <w:tcW w:w="999" w:type="pct"/>
            <w:shd w:val="clear" w:color="auto" w:fill="FFFFFF" w:themeFill="background1"/>
            <w:vAlign w:val="center"/>
          </w:tcPr>
          <w:p w14:paraId="1BD0E12D">
            <w:pPr>
              <w:pStyle w:val="48"/>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投标人信用承诺函</w:t>
            </w:r>
          </w:p>
        </w:tc>
        <w:tc>
          <w:tcPr>
            <w:tcW w:w="2760" w:type="pct"/>
            <w:shd w:val="clear" w:color="auto" w:fill="FFFFFF" w:themeFill="background1"/>
            <w:vAlign w:val="center"/>
          </w:tcPr>
          <w:p w14:paraId="041E784F">
            <w:pPr>
              <w:pStyle w:val="48"/>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提供了符合招标文件要求的《</w:t>
            </w:r>
            <w:r>
              <w:rPr>
                <w:rFonts w:hint="eastAsia" w:cs="宋体"/>
                <w:color w:val="auto"/>
                <w:sz w:val="24"/>
                <w:szCs w:val="24"/>
                <w:highlight w:val="none"/>
                <w:lang w:val="en-US" w:eastAsia="zh-CN"/>
              </w:rPr>
              <w:t>新疆政府采购</w:t>
            </w:r>
            <w:r>
              <w:rPr>
                <w:rFonts w:hint="eastAsia" w:ascii="宋体" w:hAnsi="宋体" w:eastAsia="宋体" w:cs="宋体"/>
                <w:color w:val="auto"/>
                <w:sz w:val="24"/>
                <w:szCs w:val="24"/>
                <w:highlight w:val="none"/>
                <w:lang w:val="en-US" w:eastAsia="zh-CN"/>
              </w:rPr>
              <w:t>供应商信用承诺函》。</w:t>
            </w:r>
          </w:p>
        </w:tc>
        <w:tc>
          <w:tcPr>
            <w:tcW w:w="801" w:type="pct"/>
            <w:shd w:val="clear" w:color="auto" w:fill="FFFFFF" w:themeFill="background1"/>
            <w:vAlign w:val="center"/>
          </w:tcPr>
          <w:p w14:paraId="1422A2B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格式</w:t>
            </w:r>
            <w:r>
              <w:rPr>
                <w:rFonts w:hint="eastAsia"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投标文件格式</w:t>
            </w:r>
          </w:p>
        </w:tc>
      </w:tr>
      <w:tr w14:paraId="0881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928" w:hRule="atLeast"/>
          <w:jc w:val="center"/>
        </w:trPr>
        <w:tc>
          <w:tcPr>
            <w:tcW w:w="439" w:type="pct"/>
            <w:shd w:val="clear" w:color="auto" w:fill="FFFFFF" w:themeFill="background1"/>
            <w:vAlign w:val="center"/>
          </w:tcPr>
          <w:p w14:paraId="0A4E48AD">
            <w:pPr>
              <w:pStyle w:val="48"/>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1-3</w:t>
            </w:r>
          </w:p>
        </w:tc>
        <w:tc>
          <w:tcPr>
            <w:tcW w:w="999" w:type="pct"/>
            <w:shd w:val="clear" w:color="auto" w:fill="FFFFFF" w:themeFill="background1"/>
            <w:vAlign w:val="center"/>
          </w:tcPr>
          <w:p w14:paraId="6F347850">
            <w:pPr>
              <w:pStyle w:val="48"/>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投标人信用记录</w:t>
            </w:r>
          </w:p>
        </w:tc>
        <w:tc>
          <w:tcPr>
            <w:tcW w:w="2760" w:type="pct"/>
            <w:shd w:val="clear" w:color="auto" w:fill="FFFFFF" w:themeFill="background1"/>
            <w:vAlign w:val="center"/>
          </w:tcPr>
          <w:p w14:paraId="747BCCCD">
            <w:pPr>
              <w:pStyle w:val="48"/>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 xml:space="preserve">查询渠道：信用中国网站和中国政府采购网（ </w:t>
            </w:r>
          </w:p>
          <w:p w14:paraId="4D80C076">
            <w:pPr>
              <w:pStyle w:val="48"/>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www.creditchina.gov.cn 、www.ccgp.gov.cn）；</w:t>
            </w:r>
            <w:r>
              <w:rPr>
                <w:rFonts w:hint="eastAsia" w:ascii="宋体" w:hAnsi="宋体" w:eastAsia="宋体" w:cs="宋体"/>
                <w:color w:val="auto"/>
                <w:sz w:val="24"/>
                <w:szCs w:val="24"/>
                <w:highlight w:val="none"/>
                <w:lang w:val="en-US" w:eastAsia="zh-CN"/>
              </w:rPr>
              <w:t xml:space="preserve"> </w:t>
            </w:r>
          </w:p>
          <w:p w14:paraId="496D1252">
            <w:pPr>
              <w:pStyle w:val="48"/>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截止时点：投标截止时间以后、资格审查阶段采购人或采购代理机构的实际查询时间； </w:t>
            </w:r>
          </w:p>
          <w:p w14:paraId="2F28F46E">
            <w:pPr>
              <w:pStyle w:val="48"/>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信用信息查询记录和证据留存具体方式：查询结果网页打印页作为查询记录和证据，与其他采购文件一并保存； </w:t>
            </w:r>
          </w:p>
          <w:p w14:paraId="1A0058F5">
            <w:pPr>
              <w:pStyle w:val="48"/>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6"/>
                <w:sz w:val="24"/>
                <w:szCs w:val="24"/>
                <w:highlight w:val="none"/>
                <w:lang w:val="en-US" w:eastAsia="zh-CN"/>
              </w:rPr>
              <w:t>信用信息的使用原则：经认定的被列入失信被执行人、重大税收违法失信主体、政府采购严重违法失信行为记录名单的投标人，其</w:t>
            </w:r>
            <w:r>
              <w:rPr>
                <w:rFonts w:hint="eastAsia" w:ascii="宋体" w:hAnsi="宋体" w:eastAsia="宋体" w:cs="宋体"/>
                <w:b/>
                <w:bCs/>
                <w:color w:val="auto"/>
                <w:spacing w:val="-6"/>
                <w:sz w:val="24"/>
                <w:szCs w:val="24"/>
                <w:highlight w:val="none"/>
                <w:lang w:val="en-US" w:eastAsia="zh-CN"/>
              </w:rPr>
              <w:t>投标无效</w:t>
            </w:r>
            <w:r>
              <w:rPr>
                <w:rFonts w:hint="eastAsia" w:ascii="宋体" w:hAnsi="宋体" w:eastAsia="宋体" w:cs="宋体"/>
                <w:color w:val="auto"/>
                <w:spacing w:val="-6"/>
                <w:sz w:val="24"/>
                <w:szCs w:val="24"/>
                <w:highlight w:val="none"/>
                <w:lang w:val="en-US" w:eastAsia="zh-CN"/>
              </w:rPr>
              <w:t>。联合体形式投标的，联合体成员存在不良信用记录，视同联合体存在不良信用记录。</w:t>
            </w:r>
          </w:p>
        </w:tc>
        <w:tc>
          <w:tcPr>
            <w:tcW w:w="801" w:type="pct"/>
            <w:shd w:val="clear" w:color="auto" w:fill="FFFFFF" w:themeFill="background1"/>
            <w:vAlign w:val="center"/>
          </w:tcPr>
          <w:p w14:paraId="0D14032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提供网页查询截图</w:t>
            </w:r>
          </w:p>
        </w:tc>
      </w:tr>
      <w:tr w14:paraId="7DDB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330FEA22">
            <w:pPr>
              <w:pStyle w:val="48"/>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1-4</w:t>
            </w:r>
          </w:p>
        </w:tc>
        <w:tc>
          <w:tcPr>
            <w:tcW w:w="999" w:type="pct"/>
            <w:shd w:val="clear" w:color="auto" w:fill="FFFFFF" w:themeFill="background1"/>
            <w:vAlign w:val="center"/>
          </w:tcPr>
          <w:p w14:paraId="60F45FA7">
            <w:pPr>
              <w:pStyle w:val="48"/>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法律、行政法规规定的其他条件</w:t>
            </w:r>
          </w:p>
        </w:tc>
        <w:tc>
          <w:tcPr>
            <w:tcW w:w="2760" w:type="pct"/>
            <w:shd w:val="clear" w:color="auto" w:fill="FFFFFF" w:themeFill="background1"/>
            <w:vAlign w:val="center"/>
          </w:tcPr>
          <w:p w14:paraId="2B64265B">
            <w:pPr>
              <w:pStyle w:val="48"/>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法律、行政法规规定的其他条件</w:t>
            </w:r>
          </w:p>
        </w:tc>
        <w:tc>
          <w:tcPr>
            <w:tcW w:w="801" w:type="pct"/>
            <w:shd w:val="clear" w:color="auto" w:fill="FFFFFF" w:themeFill="background1"/>
            <w:vAlign w:val="center"/>
          </w:tcPr>
          <w:p w14:paraId="0ACC3285">
            <w:pPr>
              <w:pStyle w:val="48"/>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p>
        </w:tc>
      </w:tr>
      <w:tr w14:paraId="5B37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76" w:hRule="atLeast"/>
          <w:jc w:val="center"/>
        </w:trPr>
        <w:tc>
          <w:tcPr>
            <w:tcW w:w="439" w:type="pct"/>
            <w:shd w:val="clear" w:color="auto" w:fill="FFFFFF" w:themeFill="background1"/>
            <w:vAlign w:val="center"/>
          </w:tcPr>
          <w:p w14:paraId="45F0574F">
            <w:pPr>
              <w:pStyle w:val="48"/>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w:t>
            </w:r>
          </w:p>
        </w:tc>
        <w:tc>
          <w:tcPr>
            <w:tcW w:w="999" w:type="pct"/>
            <w:shd w:val="clear" w:color="auto" w:fill="FFFFFF" w:themeFill="background1"/>
            <w:vAlign w:val="center"/>
          </w:tcPr>
          <w:p w14:paraId="004158CF">
            <w:pPr>
              <w:pStyle w:val="48"/>
              <w:keepNext w:val="0"/>
              <w:keepLines w:val="0"/>
              <w:pageBreakBefore w:val="0"/>
              <w:kinsoku/>
              <w:wordWrap/>
              <w:overflowPunct/>
              <w:topLinePunct w:val="0"/>
              <w:autoSpaceDE/>
              <w:autoSpaceDN/>
              <w:bidi w:val="0"/>
              <w:adjustRightInd/>
              <w:snapToGrid/>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落实政府采购政策需满足的资格要求</w:t>
            </w:r>
          </w:p>
        </w:tc>
        <w:tc>
          <w:tcPr>
            <w:tcW w:w="2760" w:type="pct"/>
            <w:shd w:val="clear" w:color="auto" w:fill="FFFFFF" w:themeFill="background1"/>
            <w:vAlign w:val="center"/>
          </w:tcPr>
          <w:p w14:paraId="3E10D772">
            <w:pPr>
              <w:pStyle w:val="48"/>
              <w:keepNext w:val="0"/>
              <w:keepLines w:val="0"/>
              <w:pageBreakBefore w:val="0"/>
              <w:kinsoku/>
              <w:wordWrap/>
              <w:overflowPunct/>
              <w:topLinePunct w:val="0"/>
              <w:autoSpaceDE/>
              <w:autoSpaceDN/>
              <w:bidi w:val="0"/>
              <w:adjustRightInd/>
              <w:snapToGrid/>
              <w:jc w:val="both"/>
              <w:textAlignment w:val="auto"/>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本项目不专门面向中小企业</w:t>
            </w:r>
          </w:p>
        </w:tc>
        <w:tc>
          <w:tcPr>
            <w:tcW w:w="801" w:type="pct"/>
            <w:shd w:val="clear" w:color="auto" w:fill="FFFFFF" w:themeFill="background1"/>
            <w:vAlign w:val="center"/>
          </w:tcPr>
          <w:p w14:paraId="0BFAF045">
            <w:pPr>
              <w:pStyle w:val="48"/>
              <w:keepNext w:val="0"/>
              <w:keepLines w:val="0"/>
              <w:pageBreakBefore w:val="0"/>
              <w:kinsoku/>
              <w:wordWrap/>
              <w:overflowPunct/>
              <w:topLinePunct w:val="0"/>
              <w:autoSpaceDE/>
              <w:autoSpaceDN/>
              <w:bidi w:val="0"/>
              <w:adjustRightInd/>
              <w:snapToGrid/>
              <w:jc w:val="center"/>
              <w:textAlignment w:val="auto"/>
              <w:rPr>
                <w:rFonts w:hint="eastAsia" w:ascii="宋体" w:hAnsi="宋体" w:eastAsia="宋体" w:cs="宋体"/>
                <w:b/>
                <w:bCs/>
                <w:color w:val="auto"/>
                <w:sz w:val="24"/>
                <w:szCs w:val="24"/>
                <w:highlight w:val="none"/>
              </w:rPr>
            </w:pPr>
          </w:p>
        </w:tc>
      </w:tr>
    </w:tbl>
    <w:p w14:paraId="21B53EAD">
      <w:pPr>
        <w:pStyle w:val="3"/>
        <w:keepNext/>
        <w:keepLines/>
        <w:pageBreakBefore/>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503" w:name="_Toc155185903"/>
      <w:bookmarkStart w:id="504" w:name="_Toc22582"/>
      <w:r>
        <w:rPr>
          <w:rFonts w:hint="eastAsia" w:ascii="宋体" w:hAnsi="宋体" w:eastAsia="宋体" w:cs="宋体"/>
          <w:b/>
          <w:bCs/>
          <w:color w:val="auto"/>
          <w:kern w:val="44"/>
          <w:sz w:val="36"/>
          <w:szCs w:val="36"/>
          <w:highlight w:val="none"/>
          <w:lang w:val="en-US" w:eastAsia="zh-CN" w:bidi="ar-SA"/>
        </w:rPr>
        <w:t>第五章 评标方法</w:t>
      </w:r>
      <w:bookmarkEnd w:id="503"/>
      <w:r>
        <w:rPr>
          <w:rFonts w:hint="eastAsia" w:ascii="宋体" w:hAnsi="宋体" w:eastAsia="宋体" w:cs="宋体"/>
          <w:b/>
          <w:bCs/>
          <w:color w:val="auto"/>
          <w:kern w:val="44"/>
          <w:sz w:val="36"/>
          <w:szCs w:val="36"/>
          <w:highlight w:val="none"/>
          <w:lang w:val="en-US" w:eastAsia="zh-CN" w:bidi="ar-SA"/>
        </w:rPr>
        <w:t>及标准(综合评分法)</w:t>
      </w:r>
      <w:bookmarkEnd w:id="504"/>
    </w:p>
    <w:p w14:paraId="2BB6F8A4">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根据《中华人民共和国政府采购法》及其实施条例、《政府采购货物和服务招标投标管理办法》</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相关法律法规确定以下评标</w:t>
      </w:r>
      <w:r>
        <w:rPr>
          <w:rFonts w:hint="eastAsia" w:ascii="宋体" w:hAnsi="宋体" w:eastAsia="宋体" w:cs="宋体"/>
          <w:color w:val="auto"/>
          <w:sz w:val="24"/>
          <w:szCs w:val="24"/>
          <w:highlight w:val="none"/>
          <w:lang w:val="en-US" w:eastAsia="zh-CN"/>
        </w:rPr>
        <w:t>方</w:t>
      </w:r>
      <w:r>
        <w:rPr>
          <w:rFonts w:hint="eastAsia" w:ascii="宋体" w:hAnsi="宋体" w:eastAsia="宋体" w:cs="宋体"/>
          <w:color w:val="auto"/>
          <w:sz w:val="24"/>
          <w:szCs w:val="24"/>
          <w:highlight w:val="none"/>
        </w:rPr>
        <w:t>法及标准。</w:t>
      </w:r>
    </w:p>
    <w:p w14:paraId="040C2DF7">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505" w:name="_Toc2878"/>
      <w:bookmarkStart w:id="506" w:name="_Toc140132826"/>
      <w:bookmarkStart w:id="507" w:name="_Toc109900322"/>
      <w:bookmarkStart w:id="508" w:name="_Toc61280402"/>
      <w:bookmarkStart w:id="509" w:name="_Toc109899903"/>
      <w:bookmarkStart w:id="510" w:name="_Toc155185905"/>
      <w:bookmarkStart w:id="511" w:name="_Toc272247709"/>
      <w:bookmarkStart w:id="512" w:name="_Toc109899484"/>
      <w:bookmarkStart w:id="513" w:name="_Toc511894518"/>
      <w:bookmarkStart w:id="514" w:name="_Toc278891606"/>
      <w:bookmarkStart w:id="515" w:name="_Toc494561962"/>
      <w:r>
        <w:rPr>
          <w:rFonts w:hint="eastAsia" w:ascii="宋体" w:hAnsi="宋体" w:eastAsia="宋体" w:cs="宋体"/>
          <w:color w:val="auto"/>
          <w:sz w:val="28"/>
          <w:szCs w:val="28"/>
          <w:highlight w:val="none"/>
          <w:lang w:val="zh-CN" w:eastAsia="zh-CN"/>
        </w:rPr>
        <w:t>一、评标</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lang w:val="zh-CN" w:eastAsia="zh-CN"/>
        </w:rPr>
        <w:t>法</w:t>
      </w:r>
      <w:bookmarkEnd w:id="505"/>
    </w:p>
    <w:p w14:paraId="40F9AE81">
      <w:pPr>
        <w:pStyle w:val="36"/>
        <w:rPr>
          <w:color w:val="auto"/>
          <w:highlight w:val="none"/>
        </w:rPr>
      </w:pPr>
      <w:r>
        <w:rPr>
          <w:rFonts w:hint="eastAsia"/>
          <w:color w:val="auto"/>
          <w:highlight w:val="none"/>
        </w:rPr>
        <w:t>1.</w:t>
      </w:r>
      <w:r>
        <w:rPr>
          <w:rFonts w:hint="eastAsia"/>
          <w:b/>
          <w:bCs/>
          <w:color w:val="auto"/>
          <w:highlight w:val="none"/>
        </w:rPr>
        <w:t>本项目采用综合评分法</w:t>
      </w:r>
      <w:r>
        <w:rPr>
          <w:rFonts w:hint="eastAsia"/>
          <w:color w:val="auto"/>
          <w:highlight w:val="none"/>
        </w:rPr>
        <w:t>。综合评分法，是指投标文件满足招标文件全部实质性要求，且按照评审因素的量化指标评审得分最高的投标人为中标候选人的评标方法。</w:t>
      </w:r>
    </w:p>
    <w:p w14:paraId="5EC2DCA1">
      <w:pPr>
        <w:pStyle w:val="4"/>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516" w:name="_Toc2644"/>
      <w:r>
        <w:rPr>
          <w:rFonts w:hint="eastAsia" w:ascii="宋体" w:hAnsi="宋体" w:eastAsia="宋体" w:cs="宋体"/>
          <w:color w:val="auto"/>
          <w:sz w:val="28"/>
          <w:szCs w:val="28"/>
          <w:highlight w:val="none"/>
          <w:lang w:val="en-US" w:eastAsia="zh-CN"/>
        </w:rPr>
        <w:t>二</w:t>
      </w:r>
      <w:r>
        <w:rPr>
          <w:rFonts w:hint="eastAsia" w:ascii="宋体" w:hAnsi="宋体" w:eastAsia="宋体" w:cs="宋体"/>
          <w:color w:val="auto"/>
          <w:sz w:val="28"/>
          <w:szCs w:val="28"/>
          <w:highlight w:val="none"/>
          <w:lang w:val="zh-CN" w:eastAsia="zh-CN"/>
        </w:rPr>
        <w:t>、评标程序</w:t>
      </w:r>
      <w:bookmarkEnd w:id="516"/>
    </w:p>
    <w:p w14:paraId="2CEA851A">
      <w:pPr>
        <w:pStyle w:val="2"/>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17" w:name="_Toc3127"/>
      <w:bookmarkStart w:id="518" w:name="_Toc9847"/>
      <w:r>
        <w:rPr>
          <w:rFonts w:hint="eastAsia" w:ascii="宋体" w:hAnsi="宋体" w:eastAsia="宋体" w:cs="宋体"/>
          <w:b/>
          <w:bCs/>
          <w:color w:val="auto"/>
          <w:kern w:val="2"/>
          <w:sz w:val="24"/>
          <w:szCs w:val="24"/>
          <w:highlight w:val="none"/>
          <w:lang w:val="zh-CN" w:eastAsia="zh-CN" w:bidi="ar-SA"/>
        </w:rPr>
        <w:t>（一）符合性审查</w:t>
      </w:r>
      <w:bookmarkEnd w:id="517"/>
      <w:bookmarkEnd w:id="518"/>
    </w:p>
    <w:p w14:paraId="0D55CFD2">
      <w:pPr>
        <w:pStyle w:val="3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评标委员会应当对</w:t>
      </w: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资格</w:t>
      </w:r>
      <w:r>
        <w:rPr>
          <w:rFonts w:hint="eastAsia" w:ascii="宋体" w:hAnsi="宋体" w:eastAsia="宋体" w:cs="宋体"/>
          <w:color w:val="auto"/>
          <w:sz w:val="24"/>
          <w:szCs w:val="24"/>
          <w:highlight w:val="none"/>
          <w:lang w:val="en-US" w:eastAsia="zh-CN"/>
        </w:rPr>
        <w:t>审查</w:t>
      </w:r>
      <w:r>
        <w:rPr>
          <w:rFonts w:hint="eastAsia" w:ascii="宋体" w:hAnsi="宋体" w:eastAsia="宋体" w:cs="宋体"/>
          <w:color w:val="auto"/>
          <w:sz w:val="24"/>
          <w:szCs w:val="24"/>
          <w:highlight w:val="none"/>
        </w:rPr>
        <w:t>的投标人的投标文件进行符合性审查，以确定其是否满足招标文件的实质性要求。投标人必须通过符合性审查的全部评审指标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不满足招标文件的实质性要求的，</w:t>
      </w:r>
      <w:r>
        <w:rPr>
          <w:rFonts w:hint="eastAsia" w:ascii="宋体" w:hAnsi="宋体" w:eastAsia="宋体" w:cs="宋体"/>
          <w:color w:val="auto"/>
          <w:sz w:val="24"/>
          <w:szCs w:val="24"/>
          <w:highlight w:val="none"/>
          <w:lang w:val="en-US" w:eastAsia="zh-CN"/>
        </w:rPr>
        <w:t>其</w:t>
      </w:r>
      <w:r>
        <w:rPr>
          <w:rFonts w:hint="eastAsia" w:ascii="宋体" w:hAnsi="宋体" w:eastAsia="宋体" w:cs="宋体"/>
          <w:b/>
          <w:bCs/>
          <w:color w:val="auto"/>
          <w:sz w:val="24"/>
          <w:szCs w:val="24"/>
          <w:highlight w:val="none"/>
        </w:rPr>
        <w:t>投标无效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具体内容详</w:t>
      </w:r>
      <w:r>
        <w:rPr>
          <w:rFonts w:hint="eastAsia" w:ascii="宋体" w:hAnsi="宋体" w:eastAsia="宋体" w:cs="宋体"/>
          <w:color w:val="auto"/>
          <w:sz w:val="24"/>
          <w:szCs w:val="24"/>
          <w:highlight w:val="none"/>
          <w:lang w:val="zh-CN"/>
        </w:rPr>
        <w:t>本章“</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lang w:val="zh-CN"/>
        </w:rPr>
        <w:t>、评标标准”中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val="zh-CN"/>
        </w:rPr>
        <w:t>“（一）符合性审查”。</w:t>
      </w:r>
    </w:p>
    <w:p w14:paraId="4E726315">
      <w:pPr>
        <w:pStyle w:val="36"/>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通过</w:t>
      </w:r>
      <w:r>
        <w:rPr>
          <w:rFonts w:hint="eastAsia" w:ascii="宋体" w:hAnsi="宋体" w:eastAsia="宋体" w:cs="宋体"/>
          <w:color w:val="auto"/>
          <w:sz w:val="24"/>
          <w:szCs w:val="24"/>
          <w:highlight w:val="none"/>
        </w:rPr>
        <w:t>符合性审查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不足3家的应当终止采购活动，发布项目终止公告并说明原因，重新开展采购活动。</w:t>
      </w:r>
    </w:p>
    <w:p w14:paraId="34580356">
      <w:pPr>
        <w:pStyle w:val="2"/>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19" w:name="_Toc102114946"/>
      <w:bookmarkStart w:id="520" w:name="_Toc102119879"/>
      <w:bookmarkStart w:id="521" w:name="_Toc102056244"/>
      <w:bookmarkStart w:id="522" w:name="_Toc102116048"/>
      <w:bookmarkStart w:id="523" w:name="_Toc102057744"/>
      <w:bookmarkStart w:id="524" w:name="_Toc155185907"/>
      <w:bookmarkStart w:id="525" w:name="_Toc102116178"/>
      <w:bookmarkStart w:id="526" w:name="_Toc163492903"/>
      <w:bookmarkStart w:id="527" w:name="_Toc29198"/>
      <w:bookmarkStart w:id="528" w:name="_Toc14312"/>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）投标文件澄清</w:t>
      </w:r>
      <w:bookmarkEnd w:id="519"/>
      <w:bookmarkEnd w:id="520"/>
      <w:bookmarkEnd w:id="521"/>
      <w:bookmarkEnd w:id="522"/>
      <w:bookmarkEnd w:id="523"/>
      <w:bookmarkEnd w:id="524"/>
      <w:bookmarkEnd w:id="525"/>
      <w:r>
        <w:rPr>
          <w:rFonts w:hint="eastAsia" w:ascii="宋体" w:hAnsi="宋体" w:eastAsia="宋体" w:cs="宋体"/>
          <w:b/>
          <w:bCs/>
          <w:color w:val="auto"/>
          <w:kern w:val="2"/>
          <w:sz w:val="24"/>
          <w:szCs w:val="24"/>
          <w:highlight w:val="none"/>
          <w:lang w:val="zh-CN" w:eastAsia="zh-CN" w:bidi="ar-SA"/>
        </w:rPr>
        <w:t>及修正</w:t>
      </w:r>
      <w:bookmarkEnd w:id="526"/>
      <w:bookmarkEnd w:id="527"/>
      <w:bookmarkEnd w:id="528"/>
    </w:p>
    <w:p w14:paraId="0EC9197C">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.评标期间，对于投标文件中含义不明确、同类问题表述不一致或者有明显文字和计算错误的内容需要投标人作出必要的澄清、说明或者补正的，评标委员会应当在</w:t>
      </w:r>
      <w:r>
        <w:rPr>
          <w:rFonts w:hint="eastAsia" w:ascii="宋体" w:hAnsi="宋体" w:eastAsia="宋体" w:cs="宋体"/>
          <w:color w:val="auto"/>
          <w:sz w:val="24"/>
          <w:szCs w:val="24"/>
          <w:highlight w:val="none"/>
          <w:lang w:val="en-US" w:eastAsia="zh-CN"/>
        </w:rPr>
        <w:t>政采云平台评标</w:t>
      </w:r>
      <w:r>
        <w:rPr>
          <w:rFonts w:hint="eastAsia" w:ascii="宋体" w:hAnsi="宋体" w:eastAsia="宋体" w:cs="宋体"/>
          <w:color w:val="auto"/>
          <w:sz w:val="24"/>
          <w:szCs w:val="24"/>
          <w:highlight w:val="none"/>
        </w:rPr>
        <w:t>系统中以书面形式要求投标人作出必要的澄清、说明或者补正。</w:t>
      </w:r>
    </w:p>
    <w:p w14:paraId="079329DA">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.投标人应按照评标委员会要求在规定时间内作出澄清、说明或者补正，澄清、说明或者补正不得超出投标文件的范围或者改变投标文件的实质性内容。</w:t>
      </w:r>
    </w:p>
    <w:p w14:paraId="591A6455">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.投标人的澄清、说明或者补正是其投标文件的有效组成部分，澄清、说明或者补正应当在</w:t>
      </w:r>
      <w:r>
        <w:rPr>
          <w:rFonts w:hint="eastAsia" w:ascii="宋体" w:hAnsi="宋体" w:eastAsia="宋体" w:cs="宋体"/>
          <w:color w:val="auto"/>
          <w:sz w:val="24"/>
          <w:szCs w:val="24"/>
          <w:highlight w:val="none"/>
          <w:lang w:val="en-US" w:eastAsia="zh-CN"/>
        </w:rPr>
        <w:t>政采云平台评标</w:t>
      </w:r>
      <w:r>
        <w:rPr>
          <w:rFonts w:hint="eastAsia" w:ascii="宋体" w:hAnsi="宋体" w:eastAsia="宋体" w:cs="宋体"/>
          <w:color w:val="auto"/>
          <w:sz w:val="24"/>
          <w:szCs w:val="24"/>
          <w:highlight w:val="none"/>
        </w:rPr>
        <w:t>系统中加盖电子印章后提交。</w:t>
      </w:r>
    </w:p>
    <w:p w14:paraId="3B466024">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.报价合理性说明：评标委员会认为投标人的报价明显低于其他通过符合性审查投标人的报价，有可能影响</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质量或者不能诚信履约的，</w:t>
      </w:r>
      <w:r>
        <w:rPr>
          <w:rFonts w:hint="eastAsia" w:ascii="宋体" w:hAnsi="宋体" w:eastAsia="宋体" w:cs="宋体"/>
          <w:color w:val="auto"/>
          <w:sz w:val="24"/>
          <w:szCs w:val="24"/>
          <w:highlight w:val="none"/>
          <w:lang w:val="en-US" w:eastAsia="zh-CN"/>
        </w:rPr>
        <w:t>应当</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该投标人</w:t>
      </w:r>
      <w:r>
        <w:rPr>
          <w:rFonts w:hint="eastAsia" w:ascii="宋体" w:hAnsi="宋体" w:eastAsia="宋体" w:cs="宋体"/>
          <w:color w:val="auto"/>
          <w:sz w:val="24"/>
          <w:szCs w:val="24"/>
          <w:highlight w:val="none"/>
        </w:rPr>
        <w:t>在合理的时间内提供说明，必要时提交相关证明材料；</w:t>
      </w:r>
      <w:r>
        <w:rPr>
          <w:rFonts w:hint="eastAsia" w:ascii="宋体" w:hAnsi="宋体" w:eastAsia="宋体" w:cs="宋体"/>
          <w:color w:val="auto"/>
          <w:sz w:val="24"/>
          <w:szCs w:val="24"/>
          <w:highlight w:val="none"/>
          <w:lang w:val="en-US" w:eastAsia="zh-CN"/>
        </w:rPr>
        <w:t>若</w:t>
      </w:r>
      <w:r>
        <w:rPr>
          <w:rFonts w:hint="eastAsia" w:ascii="宋体" w:hAnsi="宋体" w:eastAsia="宋体" w:cs="宋体"/>
          <w:color w:val="auto"/>
          <w:sz w:val="24"/>
          <w:szCs w:val="24"/>
          <w:highlight w:val="none"/>
        </w:rPr>
        <w:t>投标人不能证明其报价合理性的，评标委员</w:t>
      </w:r>
      <w:r>
        <w:rPr>
          <w:rFonts w:hint="eastAsia" w:ascii="宋体" w:hAnsi="宋体" w:eastAsia="宋体" w:cs="宋体"/>
          <w:color w:val="auto"/>
          <w:sz w:val="24"/>
          <w:szCs w:val="24"/>
          <w:highlight w:val="none"/>
          <w:lang w:val="en-US" w:eastAsia="zh-CN"/>
        </w:rPr>
        <w:t>会应当</w:t>
      </w:r>
      <w:r>
        <w:rPr>
          <w:rFonts w:hint="eastAsia" w:ascii="宋体" w:hAnsi="宋体" w:eastAsia="宋体" w:cs="宋体"/>
          <w:color w:val="auto"/>
          <w:sz w:val="24"/>
          <w:szCs w:val="24"/>
          <w:highlight w:val="none"/>
        </w:rPr>
        <w:t>将其作</w:t>
      </w:r>
      <w:r>
        <w:rPr>
          <w:rFonts w:hint="eastAsia" w:ascii="宋体" w:hAnsi="宋体" w:eastAsia="宋体" w:cs="宋体"/>
          <w:b/>
          <w:bCs/>
          <w:color w:val="auto"/>
          <w:sz w:val="24"/>
          <w:szCs w:val="24"/>
          <w:highlight w:val="none"/>
        </w:rPr>
        <w:t>无效投标</w:t>
      </w:r>
      <w:r>
        <w:rPr>
          <w:rFonts w:hint="eastAsia" w:ascii="宋体" w:hAnsi="宋体" w:eastAsia="宋体" w:cs="宋体"/>
          <w:color w:val="auto"/>
          <w:sz w:val="24"/>
          <w:szCs w:val="24"/>
          <w:highlight w:val="none"/>
        </w:rPr>
        <w:t>处理。</w:t>
      </w:r>
    </w:p>
    <w:p w14:paraId="4FD6345C">
      <w:pPr>
        <w:pStyle w:val="36"/>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015D7E7F">
      <w:pPr>
        <w:pStyle w:val="36"/>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8.投标文件报价出现前后不一致的，除招标文件另有规定外，按照下列规定修正：</w:t>
      </w:r>
    </w:p>
    <w:p w14:paraId="4D967018">
      <w:pPr>
        <w:pStyle w:val="36"/>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8.1投标文件中开标一览表（报价表）内容与投标文件中相应内容不一致的，以开标一览表（报价表）为准；</w:t>
      </w:r>
    </w:p>
    <w:p w14:paraId="657B9F51">
      <w:pPr>
        <w:pStyle w:val="36"/>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8.2大写金额和小写金额不一致的，以大写金额为准；</w:t>
      </w:r>
    </w:p>
    <w:p w14:paraId="628E9D79">
      <w:pPr>
        <w:pStyle w:val="36"/>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8.3单价金额小数点或者百分比有明显错位的，以开标一览表的总价为准，并修改单价；</w:t>
      </w:r>
    </w:p>
    <w:p w14:paraId="3D45997F">
      <w:pPr>
        <w:pStyle w:val="36"/>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8.4总价金额与按单价汇总金额不一致的，以单价金额计算结果为准。</w:t>
      </w:r>
    </w:p>
    <w:p w14:paraId="4E5FFFFF">
      <w:pPr>
        <w:pStyle w:val="36"/>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同时出现两种以上不一致的，按照8.1—8.4的顺序修正。修正后的报价采用书面形式，并加盖公章，或者由法定代表人或其授权的代表签字，经投标人确认后产生约束力，投标人不确认的，其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33748C4F">
      <w:pPr>
        <w:pStyle w:val="2"/>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29" w:name="_Toc826"/>
      <w:bookmarkStart w:id="530" w:name="_Toc2624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kern w:val="2"/>
          <w:sz w:val="24"/>
          <w:szCs w:val="24"/>
          <w:highlight w:val="none"/>
          <w:lang w:val="zh-CN" w:eastAsia="zh-CN" w:bidi="ar-SA"/>
        </w:rPr>
        <w:t>）比较与评价</w:t>
      </w:r>
      <w:bookmarkEnd w:id="529"/>
      <w:bookmarkEnd w:id="530"/>
    </w:p>
    <w:p w14:paraId="2BE6ECB2">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评标委员会应当按照招标文件中规定的评标方法和标准，对符合性审查合格的投标文件进行商务和技术评</w:t>
      </w:r>
      <w:r>
        <w:rPr>
          <w:rFonts w:hint="eastAsia" w:ascii="宋体" w:hAnsi="宋体" w:eastAsia="宋体" w:cs="宋体"/>
          <w:color w:val="auto"/>
          <w:sz w:val="24"/>
          <w:szCs w:val="24"/>
          <w:highlight w:val="none"/>
          <w:lang w:val="en-US" w:eastAsia="zh-CN"/>
        </w:rPr>
        <w:t>估</w:t>
      </w:r>
      <w:r>
        <w:rPr>
          <w:rFonts w:hint="eastAsia" w:ascii="宋体" w:hAnsi="宋体" w:eastAsia="宋体" w:cs="宋体"/>
          <w:color w:val="auto"/>
          <w:sz w:val="24"/>
          <w:szCs w:val="24"/>
          <w:highlight w:val="none"/>
        </w:rPr>
        <w:t>，综合比较与评价</w:t>
      </w:r>
      <w:r>
        <w:rPr>
          <w:rFonts w:hint="eastAsia" w:ascii="宋体" w:hAnsi="宋体" w:eastAsia="宋体" w:cs="宋体"/>
          <w:color w:val="auto"/>
          <w:sz w:val="24"/>
          <w:szCs w:val="24"/>
          <w:highlight w:val="none"/>
          <w:lang w:val="en-US" w:eastAsia="zh-CN"/>
        </w:rPr>
        <w:t>；未通过符合性审查的投标文件不得进入比较与评价</w:t>
      </w:r>
      <w:r>
        <w:rPr>
          <w:rFonts w:hint="eastAsia" w:ascii="宋体" w:hAnsi="宋体" w:eastAsia="宋体" w:cs="宋体"/>
          <w:color w:val="auto"/>
          <w:sz w:val="24"/>
          <w:szCs w:val="24"/>
          <w:highlight w:val="none"/>
        </w:rPr>
        <w:t>。评审因素包括投标报价、商务技术以及落实政府采购政策。评审因素及标准见本章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35A5086">
      <w:pPr>
        <w:pStyle w:val="36"/>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10.相同品牌处理原则</w:t>
      </w:r>
    </w:p>
    <w:p w14:paraId="7EDACD8A">
      <w:pPr>
        <w:pStyle w:val="36"/>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.1单一产品采购（或非单一产品采购中的核心产品），提供相同品牌产品且通过资格审查、符合性审查的不同投标人参加同一合同项下投标的，按一家投标人计算。</w:t>
      </w:r>
    </w:p>
    <w:p w14:paraId="6B4B1667">
      <w:pPr>
        <w:pStyle w:val="36"/>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.2非单一产品采购项目，采购人应当根据采购项目技术构成、产品价格比重等合理确定</w:t>
      </w:r>
      <w:r>
        <w:rPr>
          <w:rFonts w:hint="eastAsia" w:ascii="宋体" w:hAnsi="宋体" w:eastAsia="宋体" w:cs="宋体"/>
          <w:color w:val="auto"/>
          <w:sz w:val="24"/>
          <w:szCs w:val="24"/>
          <w:highlight w:val="none"/>
          <w:lang w:eastAsia="zh-CN"/>
        </w:rPr>
        <w:t>核心产品</w:t>
      </w:r>
      <w:r>
        <w:rPr>
          <w:rFonts w:hint="eastAsia" w:ascii="宋体" w:hAnsi="宋体" w:eastAsia="宋体" w:cs="宋体"/>
          <w:color w:val="auto"/>
          <w:sz w:val="24"/>
          <w:szCs w:val="24"/>
          <w:highlight w:val="none"/>
        </w:rPr>
        <w:t>（采购清单中作“与核心产品相同〈或同一〉品牌”实质性要求的产品，视为</w:t>
      </w:r>
      <w:r>
        <w:rPr>
          <w:rFonts w:hint="eastAsia" w:ascii="宋体" w:hAnsi="宋体" w:eastAsia="宋体" w:cs="宋体"/>
          <w:color w:val="auto"/>
          <w:sz w:val="24"/>
          <w:szCs w:val="24"/>
          <w:highlight w:val="none"/>
          <w:lang w:eastAsia="zh-CN"/>
        </w:rPr>
        <w:t>核心产品</w:t>
      </w:r>
      <w:r>
        <w:rPr>
          <w:rFonts w:hint="eastAsia" w:ascii="宋体" w:hAnsi="宋体" w:eastAsia="宋体" w:cs="宋体"/>
          <w:color w:val="auto"/>
          <w:sz w:val="24"/>
          <w:szCs w:val="24"/>
          <w:highlight w:val="none"/>
        </w:rPr>
        <w:t>），并以“核心产品”在“投标人须知前附表”中载明，评审时按前款规定处理。</w:t>
      </w:r>
    </w:p>
    <w:p w14:paraId="384D833B">
      <w:pPr>
        <w:pStyle w:val="36"/>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.3有效投标品牌不足3家的应按</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处理。</w:t>
      </w:r>
    </w:p>
    <w:p w14:paraId="7C54BD9F">
      <w:pPr>
        <w:pStyle w:val="2"/>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31" w:name="_Toc22424"/>
      <w:bookmarkStart w:id="532" w:name="_Toc14352"/>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zh-CN" w:eastAsia="zh-CN" w:bidi="ar-SA"/>
        </w:rPr>
        <w:t>）报价评审</w:t>
      </w:r>
      <w:bookmarkEnd w:id="531"/>
      <w:bookmarkEnd w:id="532"/>
    </w:p>
    <w:p w14:paraId="21874171">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投标报价评审</w:t>
      </w:r>
    </w:p>
    <w:p w14:paraId="266BD854">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货物项目的价格分值占总分值的比重不得低于30%。执行国家统一定价标准和采用固定价格采购的项目，其价格不列为评审因素。</w:t>
      </w:r>
      <w:r>
        <w:rPr>
          <w:rFonts w:hint="eastAsia" w:ascii="宋体" w:hAnsi="宋体" w:eastAsia="宋体" w:cs="宋体"/>
          <w:color w:val="auto"/>
          <w:sz w:val="24"/>
          <w:szCs w:val="24"/>
          <w:highlight w:val="none"/>
        </w:rPr>
        <w:t>价格分应当采用低价优先法计算，即满足招标文件要求且投标价格最低的投标报价为评标基准价，其价格分为满分。其他投标人的价格分统一按照下列公式计算：</w:t>
      </w:r>
    </w:p>
    <w:p w14:paraId="2D86B7AD">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投标报价得分=(评标基准价／投标报价)×价格分值</w:t>
      </w:r>
    </w:p>
    <w:p w14:paraId="0CCB2E48">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14E623B0">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2</w:t>
      </w:r>
      <w:r>
        <w:rPr>
          <w:rFonts w:hint="eastAsia" w:ascii="宋体" w:hAnsi="宋体" w:eastAsia="宋体" w:cs="宋体"/>
          <w:iCs/>
          <w:color w:val="auto"/>
          <w:spacing w:val="-6"/>
          <w:sz w:val="24"/>
          <w:szCs w:val="24"/>
          <w:highlight w:val="none"/>
        </w:rPr>
        <w:t>除算术修正和落实政府采购政策的价格扣除外，不对投标报价进行调整；</w:t>
      </w:r>
    </w:p>
    <w:p w14:paraId="6DDDADCE">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3价格</w:t>
      </w:r>
      <w:r>
        <w:rPr>
          <w:rFonts w:hint="eastAsia" w:ascii="宋体" w:hAnsi="宋体" w:eastAsia="宋体" w:cs="宋体"/>
          <w:color w:val="auto"/>
          <w:sz w:val="24"/>
          <w:szCs w:val="24"/>
          <w:highlight w:val="none"/>
          <w:lang w:eastAsia="zh-CN"/>
        </w:rPr>
        <w:t>分值</w:t>
      </w:r>
      <w:r>
        <w:rPr>
          <w:rFonts w:hint="eastAsia" w:ascii="宋体" w:hAnsi="宋体" w:eastAsia="宋体" w:cs="宋体"/>
          <w:color w:val="auto"/>
          <w:sz w:val="24"/>
          <w:szCs w:val="24"/>
          <w:highlight w:val="none"/>
        </w:rPr>
        <w:t>见本章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标</w:t>
      </w:r>
      <w:r>
        <w:rPr>
          <w:rFonts w:hint="eastAsia" w:ascii="宋体" w:hAnsi="宋体" w:eastAsia="宋体" w:cs="宋体"/>
          <w:color w:val="auto"/>
          <w:sz w:val="24"/>
          <w:szCs w:val="24"/>
          <w:highlight w:val="none"/>
        </w:rPr>
        <w:t>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0866637">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.政府采购政策评审</w:t>
      </w:r>
    </w:p>
    <w:p w14:paraId="7D57744F">
      <w:pPr>
        <w:pStyle w:val="36"/>
        <w:numPr>
          <w:ilvl w:val="0"/>
          <w:numId w:val="0"/>
        </w:num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.1非专门面向中小企业的采购项目或采购包，对符合规定的小微企业（</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rPr>
        <w:t>监狱企业、残疾人福利性单位、联合体各方均为小微企业的联合体、符合小微企业划分标准的个体工商户视同小微企业）报价按照本招标文件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投标人须知前附表”中的规定扣除，对小微企业中的监狱企业、残疾人福利性单位、采购产品纳入创新产品应用示范推荐目录内企业、采购产品获得节能产品或环境标志产品认证证书的企业报价按照本</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须知前附表”中的规定扣除，用扣除后的价格计算评审基准价</w:t>
      </w:r>
      <w:r>
        <w:rPr>
          <w:rFonts w:hint="eastAsia" w:ascii="宋体" w:hAnsi="宋体" w:eastAsia="宋体" w:cs="宋体"/>
          <w:color w:val="auto"/>
          <w:sz w:val="24"/>
          <w:szCs w:val="24"/>
          <w:highlight w:val="none"/>
          <w:lang w:eastAsia="zh-CN"/>
        </w:rPr>
        <w:t>。</w:t>
      </w:r>
    </w:p>
    <w:p w14:paraId="1E5F4E03">
      <w:pPr>
        <w:pStyle w:val="36"/>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rPr>
        <w:t>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w:t>
      </w:r>
      <w:r>
        <w:rPr>
          <w:rFonts w:hint="eastAsia" w:ascii="宋体" w:hAnsi="宋体" w:eastAsia="宋体" w:cs="宋体"/>
          <w:color w:val="auto"/>
          <w:sz w:val="24"/>
          <w:szCs w:val="24"/>
          <w:highlight w:val="none"/>
          <w:lang w:val="en-US" w:eastAsia="zh-CN"/>
        </w:rPr>
        <w:t>若供应商同时属于小型或微型企业、监狱企业、残疾人福利性单位 中的两种及以上，将不重复享受小微企业价格扣减的优惠政策。</w:t>
      </w:r>
    </w:p>
    <w:p w14:paraId="1A495953">
      <w:pPr>
        <w:pStyle w:val="36"/>
        <w:numPr>
          <w:ilvl w:val="0"/>
          <w:numId w:val="0"/>
        </w:numPr>
        <w:shd w:val="clear" w:color="auto" w:fill="FFFFFF" w:themeFill="background1"/>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组成联合体或者接受分包的小微企业与联合体内其他企业、分包企业之间存在直接控股、管理关系的，不享受价格扣除优惠政策。</w:t>
      </w:r>
    </w:p>
    <w:p w14:paraId="74F2F1A2">
      <w:pPr>
        <w:pStyle w:val="36"/>
        <w:numPr>
          <w:ilvl w:val="0"/>
          <w:numId w:val="0"/>
        </w:num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价格扣除比例对小型企业和微型企业同等对待，不作区分。</w:t>
      </w:r>
    </w:p>
    <w:p w14:paraId="71DD10A8">
      <w:pPr>
        <w:pStyle w:val="36"/>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12.</w:t>
      </w:r>
      <w:r>
        <w:rPr>
          <w:rFonts w:hint="eastAsia" w:ascii="宋体" w:hAnsi="宋体" w:eastAsia="宋体" w:cs="宋体"/>
          <w:iCs/>
          <w:color w:val="auto"/>
          <w:kern w:val="2"/>
          <w:sz w:val="24"/>
          <w:szCs w:val="24"/>
          <w:highlight w:val="none"/>
          <w:shd w:val="clear" w:fill="FFFFFF" w:themeFill="background1"/>
          <w:lang w:val="zh-CN" w:eastAsia="zh-CN" w:bidi="ar-SA"/>
        </w:rPr>
        <w:t>3</w:t>
      </w:r>
      <w:r>
        <w:rPr>
          <w:rFonts w:hint="eastAsia" w:ascii="宋体" w:hAnsi="宋体" w:eastAsia="宋体" w:cs="宋体"/>
          <w:color w:val="auto"/>
          <w:sz w:val="24"/>
          <w:szCs w:val="24"/>
          <w:highlight w:val="none"/>
        </w:rPr>
        <w:t>专门面向中小企业、预留部分采购份额面向中小企业采购的项目或采购包，评审时不再进行价格扣除。</w:t>
      </w:r>
    </w:p>
    <w:p w14:paraId="3874ED83">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12.4</w:t>
      </w:r>
      <w:r>
        <w:rPr>
          <w:rFonts w:hint="eastAsia" w:ascii="宋体" w:hAnsi="宋体" w:eastAsia="宋体" w:cs="宋体"/>
          <w:color w:val="auto"/>
          <w:sz w:val="24"/>
          <w:szCs w:val="24"/>
          <w:highlight w:val="none"/>
        </w:rPr>
        <w:t>对于未预留份额专门面向中小企业的政府采购项目，以及预留份额政府采购项目中的非预留部分标项，对小型和微型企业的投标报价给予10%-20%的扣除，用扣除后的价格参与评审。接受大中型企业与小微企业组成联合体或者允许大中型企业向一家或者多家小微企业分包的政府采购项目，对于联合</w:t>
      </w:r>
      <w:r>
        <w:rPr>
          <w:rFonts w:hint="eastAsia" w:ascii="宋体" w:hAnsi="宋体" w:eastAsia="宋体" w:cs="宋体"/>
          <w:color w:val="auto"/>
          <w:sz w:val="24"/>
          <w:szCs w:val="24"/>
          <w:highlight w:val="none"/>
          <w:lang w:val="en-US" w:eastAsia="zh-CN"/>
        </w:rPr>
        <w:t>体</w:t>
      </w:r>
      <w:r>
        <w:rPr>
          <w:rFonts w:hint="eastAsia" w:ascii="宋体" w:hAnsi="宋体" w:eastAsia="宋体" w:cs="宋体"/>
          <w:color w:val="auto"/>
          <w:sz w:val="24"/>
          <w:szCs w:val="24"/>
          <w:highlight w:val="none"/>
        </w:rPr>
        <w:t>协议</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或者分包意向协议</w:t>
      </w:r>
      <w:r>
        <w:rPr>
          <w:rFonts w:hint="eastAsia" w:ascii="宋体" w:hAnsi="宋体" w:eastAsia="宋体" w:cs="宋体"/>
          <w:color w:val="auto"/>
          <w:sz w:val="24"/>
          <w:szCs w:val="24"/>
          <w:highlight w:val="none"/>
          <w:lang w:val="en-US" w:eastAsia="zh-CN"/>
        </w:rPr>
        <w:t>书</w:t>
      </w:r>
      <w:r>
        <w:rPr>
          <w:rFonts w:hint="eastAsia" w:ascii="宋体" w:hAnsi="宋体" w:eastAsia="宋体" w:cs="宋体"/>
          <w:color w:val="auto"/>
          <w:sz w:val="24"/>
          <w:szCs w:val="24"/>
          <w:highlight w:val="none"/>
        </w:rPr>
        <w:t>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48FFFDB">
      <w:pPr>
        <w:pStyle w:val="2"/>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33" w:name="_Toc3883"/>
      <w:bookmarkStart w:id="534" w:name="_Toc23703"/>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五</w:t>
      </w:r>
      <w:r>
        <w:rPr>
          <w:rFonts w:hint="eastAsia" w:ascii="宋体" w:hAnsi="宋体" w:eastAsia="宋体" w:cs="宋体"/>
          <w:b/>
          <w:bCs/>
          <w:color w:val="auto"/>
          <w:kern w:val="2"/>
          <w:sz w:val="24"/>
          <w:szCs w:val="24"/>
          <w:highlight w:val="none"/>
          <w:lang w:val="zh-CN" w:eastAsia="zh-CN" w:bidi="ar-SA"/>
        </w:rPr>
        <w:t>）评标得分及复核</w:t>
      </w:r>
      <w:bookmarkEnd w:id="533"/>
      <w:bookmarkEnd w:id="534"/>
    </w:p>
    <w:p w14:paraId="073A56A5">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评标过程中，各项分值一般精确到小数点后两位，评标得分应为商务评分、技术评分、报价评分之和。评标委员会各成员应汇总每个投标人的得分。</w:t>
      </w:r>
    </w:p>
    <w:p w14:paraId="0BE80DC7">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iCs/>
          <w:color w:val="auto"/>
          <w:spacing w:val="-6"/>
          <w:sz w:val="24"/>
          <w:szCs w:val="24"/>
          <w:highlight w:val="none"/>
        </w:rPr>
        <w:t>评标结果汇总完成后，采购代理机构应对评标结果进行复核。经复核发现存在以下情形之一的，评标委员会应当当场修改评标结果，并在评标报告中记载：</w:t>
      </w:r>
    </w:p>
    <w:p w14:paraId="427128F3">
      <w:pPr>
        <w:pStyle w:val="36"/>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14.1</w:t>
      </w:r>
      <w:r>
        <w:rPr>
          <w:rFonts w:hint="eastAsia" w:ascii="宋体" w:hAnsi="宋体" w:eastAsia="宋体" w:cs="宋体"/>
          <w:color w:val="auto"/>
          <w:sz w:val="24"/>
          <w:szCs w:val="24"/>
          <w:highlight w:val="none"/>
        </w:rPr>
        <w:t>分值汇总计算错误的；</w:t>
      </w:r>
    </w:p>
    <w:p w14:paraId="4404F7B4">
      <w:pPr>
        <w:pStyle w:val="36"/>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14.2</w:t>
      </w:r>
      <w:r>
        <w:rPr>
          <w:rFonts w:hint="eastAsia" w:ascii="宋体" w:hAnsi="宋体" w:eastAsia="宋体" w:cs="宋体"/>
          <w:color w:val="auto"/>
          <w:sz w:val="24"/>
          <w:szCs w:val="24"/>
          <w:highlight w:val="none"/>
        </w:rPr>
        <w:t>分项评分超出评分标准范围的；</w:t>
      </w:r>
    </w:p>
    <w:p w14:paraId="18150CA8">
      <w:pPr>
        <w:pStyle w:val="36"/>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14.3</w:t>
      </w:r>
      <w:r>
        <w:rPr>
          <w:rFonts w:hint="eastAsia" w:ascii="宋体" w:hAnsi="宋体" w:eastAsia="宋体" w:cs="宋体"/>
          <w:color w:val="auto"/>
          <w:sz w:val="24"/>
          <w:szCs w:val="24"/>
          <w:highlight w:val="none"/>
        </w:rPr>
        <w:t>评标委员会成员对客观评审因素评分不一致的；</w:t>
      </w:r>
    </w:p>
    <w:p w14:paraId="6BFAB3DA">
      <w:pPr>
        <w:pStyle w:val="36"/>
        <w:numPr>
          <w:ilvl w:val="0"/>
          <w:numId w:val="0"/>
        </w:numPr>
        <w:ind w:left="900" w:leftChars="0" w:hanging="420" w:firstLineChars="0"/>
        <w:rPr>
          <w:rFonts w:hint="eastAsia" w:ascii="宋体" w:hAnsi="宋体" w:eastAsia="宋体" w:cs="宋体"/>
          <w:color w:val="auto"/>
          <w:sz w:val="24"/>
          <w:szCs w:val="24"/>
          <w:highlight w:val="none"/>
        </w:rPr>
      </w:pPr>
      <w:r>
        <w:rPr>
          <w:rFonts w:hint="eastAsia" w:ascii="宋体" w:hAnsi="宋体" w:eastAsia="宋体" w:cs="宋体"/>
          <w:iCs/>
          <w:color w:val="auto"/>
          <w:kern w:val="2"/>
          <w:sz w:val="24"/>
          <w:szCs w:val="24"/>
          <w:highlight w:val="none"/>
          <w:shd w:val="clear" w:fill="FFFFFF" w:themeFill="background1"/>
          <w:lang w:val="en-US" w:eastAsia="zh-CN" w:bidi="ar-SA"/>
        </w:rPr>
        <w:t>14.4</w:t>
      </w:r>
      <w:r>
        <w:rPr>
          <w:rFonts w:hint="eastAsia" w:ascii="宋体" w:hAnsi="宋体" w:eastAsia="宋体" w:cs="宋体"/>
          <w:color w:val="auto"/>
          <w:sz w:val="24"/>
          <w:szCs w:val="24"/>
          <w:highlight w:val="none"/>
        </w:rPr>
        <w:t>经评标委员会认定评分畸高、畸低的。</w:t>
      </w:r>
    </w:p>
    <w:p w14:paraId="0FD26D1C">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各投标人的最终得分为评标委员会所有成员对各投标人评标得分汇总后的算术平均值。</w:t>
      </w:r>
    </w:p>
    <w:p w14:paraId="1FD846A7">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15.1除资格性检查认定错误、分值汇总计算错误、分项评分超出评分标准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动，并同时书面报告本级财政部门。</w:t>
      </w:r>
    </w:p>
    <w:p w14:paraId="125C5D08">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15.2采购人或者采购代理机构不得通过对样品进行检测、对投标人进行考察等方式改变评审结果。</w:t>
      </w:r>
    </w:p>
    <w:p w14:paraId="5AB9E04E">
      <w:pPr>
        <w:pStyle w:val="2"/>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35" w:name="_Toc23798"/>
      <w:bookmarkStart w:id="536" w:name="_Toc6168"/>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kern w:val="2"/>
          <w:sz w:val="24"/>
          <w:szCs w:val="24"/>
          <w:highlight w:val="none"/>
          <w:lang w:val="zh-CN" w:eastAsia="zh-CN" w:bidi="ar-SA"/>
        </w:rPr>
        <w:t>）排序与推荐</w:t>
      </w:r>
      <w:bookmarkEnd w:id="535"/>
      <w:bookmarkEnd w:id="536"/>
    </w:p>
    <w:p w14:paraId="514ADBD8">
      <w:pPr>
        <w:pStyle w:val="36"/>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按技术指标优劣顺序排列。</w:t>
      </w:r>
    </w:p>
    <w:p w14:paraId="7B12FA4F">
      <w:pPr>
        <w:pStyle w:val="36"/>
        <w:keepNext w:val="0"/>
        <w:keepLines w:val="0"/>
        <w:pageBreakBefore w:val="0"/>
        <w:widowControl w:val="0"/>
        <w:kinsoku/>
        <w:overflowPunct/>
        <w:topLinePunct w:val="0"/>
        <w:autoSpaceDE/>
        <w:autoSpaceDN/>
        <w:bidi w:val="0"/>
        <w:adjustRightInd/>
        <w:snapToGrid/>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招标文件未规定的采取随机抽取方式确定，其他同品牌投标人不作为中标候选人。</w:t>
      </w:r>
    </w:p>
    <w:p w14:paraId="3B1F6C1A">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18.中标候选人推荐家数详见“投标人须知前附表”。</w:t>
      </w:r>
    </w:p>
    <w:p w14:paraId="1F98E10E">
      <w:pPr>
        <w:pStyle w:val="2"/>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37" w:name="_Toc7794"/>
      <w:bookmarkStart w:id="538" w:name="_Toc19594"/>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七</w:t>
      </w:r>
      <w:r>
        <w:rPr>
          <w:rFonts w:hint="eastAsia" w:ascii="宋体" w:hAnsi="宋体" w:eastAsia="宋体" w:cs="宋体"/>
          <w:b/>
          <w:bCs/>
          <w:color w:val="auto"/>
          <w:kern w:val="2"/>
          <w:sz w:val="24"/>
          <w:szCs w:val="24"/>
          <w:highlight w:val="none"/>
          <w:lang w:val="zh-CN" w:eastAsia="zh-CN" w:bidi="ar-SA"/>
        </w:rPr>
        <w:t>）编写评标报告</w:t>
      </w:r>
      <w:bookmarkEnd w:id="537"/>
      <w:bookmarkEnd w:id="538"/>
    </w:p>
    <w:p w14:paraId="3576CABA">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评标委员会根据全体评标成员签字的原始评标记录和评标结果编写评标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明理由，否则视为同意评标报告。</w:t>
      </w:r>
    </w:p>
    <w:p w14:paraId="29512443">
      <w:pPr>
        <w:pStyle w:val="2"/>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39" w:name="_Toc102056217"/>
      <w:bookmarkStart w:id="540" w:name="_Toc26377"/>
      <w:bookmarkStart w:id="541" w:name="_Toc163492906"/>
      <w:bookmarkStart w:id="542" w:name="_Toc102116151"/>
      <w:bookmarkStart w:id="543" w:name="_Toc11477"/>
      <w:bookmarkStart w:id="544" w:name="_Toc102114919"/>
      <w:bookmarkStart w:id="545" w:name="_Toc155185913"/>
      <w:bookmarkStart w:id="546" w:name="_Toc102116021"/>
      <w:bookmarkStart w:id="547" w:name="_Toc102057717"/>
      <w:bookmarkStart w:id="548" w:name="_Toc102119852"/>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八</w:t>
      </w:r>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投标无效及</w:t>
      </w:r>
      <w:r>
        <w:rPr>
          <w:rFonts w:hint="eastAsia" w:ascii="宋体" w:hAnsi="宋体" w:eastAsia="宋体" w:cs="宋体"/>
          <w:b/>
          <w:bCs/>
          <w:color w:val="auto"/>
          <w:kern w:val="2"/>
          <w:sz w:val="24"/>
          <w:szCs w:val="24"/>
          <w:highlight w:val="none"/>
          <w:lang w:val="zh-CN" w:eastAsia="zh-CN" w:bidi="ar-SA"/>
        </w:rPr>
        <w:t>应予废标的情形</w:t>
      </w:r>
      <w:bookmarkEnd w:id="539"/>
      <w:bookmarkEnd w:id="540"/>
      <w:bookmarkEnd w:id="541"/>
      <w:bookmarkEnd w:id="542"/>
      <w:bookmarkEnd w:id="543"/>
      <w:bookmarkEnd w:id="544"/>
      <w:bookmarkEnd w:id="545"/>
      <w:bookmarkEnd w:id="546"/>
      <w:bookmarkEnd w:id="547"/>
      <w:bookmarkEnd w:id="548"/>
    </w:p>
    <w:p w14:paraId="38B935D1">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20.投标人存在下列情形之一的，</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5C1B2C98">
      <w:pPr>
        <w:pStyle w:val="36"/>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不具备《中华人民共和国政府采购法》第二十二条规定条件</w:t>
      </w:r>
      <w:r>
        <w:rPr>
          <w:rFonts w:hint="eastAsia" w:ascii="宋体" w:hAnsi="宋体" w:eastAsia="宋体" w:cs="宋体"/>
          <w:color w:val="auto"/>
          <w:sz w:val="24"/>
          <w:szCs w:val="24"/>
          <w:highlight w:val="none"/>
          <w:lang w:val="en-US" w:eastAsia="zh-CN"/>
        </w:rPr>
        <w:t>；</w:t>
      </w:r>
    </w:p>
    <w:p w14:paraId="15C939E8">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rPr>
        <w:t>投标文件未按招标文件要求签署、盖章的</w:t>
      </w:r>
      <w:r>
        <w:rPr>
          <w:rFonts w:hint="eastAsia" w:ascii="宋体" w:hAnsi="宋体" w:eastAsia="宋体" w:cs="宋体"/>
          <w:color w:val="auto"/>
          <w:sz w:val="24"/>
          <w:szCs w:val="24"/>
          <w:highlight w:val="none"/>
          <w:lang w:val="en-US" w:eastAsia="zh-CN"/>
        </w:rPr>
        <w:t>；</w:t>
      </w:r>
    </w:p>
    <w:p w14:paraId="0A936FC6">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3</w:t>
      </w:r>
      <w:r>
        <w:rPr>
          <w:rFonts w:hint="eastAsia" w:ascii="宋体" w:hAnsi="宋体" w:eastAsia="宋体" w:cs="宋体"/>
          <w:color w:val="auto"/>
          <w:sz w:val="24"/>
          <w:szCs w:val="24"/>
          <w:highlight w:val="none"/>
          <w:lang w:val="en-US" w:eastAsia="zh-CN"/>
        </w:rPr>
        <w:t>不具备招标文件中规定的资格要求的（投标人未提供有效资格文件的，视为投标人不具备招标文件中规定的资格要求）；</w:t>
      </w:r>
    </w:p>
    <w:p w14:paraId="0C68E355">
      <w:pPr>
        <w:pStyle w:val="36"/>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4</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文件提供虚假材料的</w:t>
      </w:r>
      <w:r>
        <w:rPr>
          <w:rFonts w:hint="eastAsia" w:ascii="宋体" w:hAnsi="宋体" w:eastAsia="宋体" w:cs="宋体"/>
          <w:color w:val="auto"/>
          <w:sz w:val="24"/>
          <w:szCs w:val="24"/>
          <w:highlight w:val="none"/>
          <w:lang w:val="en-US" w:eastAsia="zh-CN"/>
        </w:rPr>
        <w:t>；</w:t>
      </w:r>
    </w:p>
    <w:p w14:paraId="3FDAE166">
      <w:pPr>
        <w:pStyle w:val="36"/>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文件不满足</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文件中标注“★”号的实质性条款（或指标）要求的</w:t>
      </w:r>
      <w:r>
        <w:rPr>
          <w:rFonts w:hint="eastAsia" w:ascii="宋体" w:hAnsi="宋体" w:eastAsia="宋体" w:cs="宋体"/>
          <w:color w:val="auto"/>
          <w:sz w:val="24"/>
          <w:szCs w:val="24"/>
          <w:highlight w:val="none"/>
          <w:lang w:val="en-US" w:eastAsia="zh-CN"/>
        </w:rPr>
        <w:t>；</w:t>
      </w:r>
    </w:p>
    <w:p w14:paraId="2C5FC304">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6</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报价超过招标文件中规定的最高限价或者预算金额的</w:t>
      </w:r>
      <w:r>
        <w:rPr>
          <w:rFonts w:hint="eastAsia" w:ascii="宋体" w:hAnsi="宋体" w:eastAsia="宋体" w:cs="宋体"/>
          <w:color w:val="auto"/>
          <w:sz w:val="24"/>
          <w:szCs w:val="24"/>
          <w:highlight w:val="none"/>
          <w:lang w:val="en-US" w:eastAsia="zh-CN"/>
        </w:rPr>
        <w:t>；</w:t>
      </w:r>
    </w:p>
    <w:p w14:paraId="6FC2A54F">
      <w:pPr>
        <w:pStyle w:val="36"/>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7联合体的供应商未提交各方共同签署的</w:t>
      </w:r>
      <w:r>
        <w:rPr>
          <w:rFonts w:hint="eastAsia" w:ascii="宋体" w:hAnsi="宋体" w:eastAsia="宋体" w:cs="宋体"/>
          <w:color w:val="auto"/>
          <w:sz w:val="24"/>
          <w:szCs w:val="24"/>
          <w:highlight w:val="none"/>
          <w:lang w:val="en-US" w:eastAsia="zh-CN"/>
        </w:rPr>
        <w:t>联合体</w:t>
      </w:r>
      <w:r>
        <w:rPr>
          <w:rFonts w:hint="eastAsia" w:ascii="宋体" w:hAnsi="宋体" w:eastAsia="宋体" w:cs="宋体"/>
          <w:color w:val="auto"/>
          <w:sz w:val="24"/>
          <w:szCs w:val="24"/>
          <w:highlight w:val="none"/>
          <w:lang w:val="zh-CN" w:eastAsia="zh-CN"/>
        </w:rPr>
        <w:t>协议</w:t>
      </w:r>
      <w:r>
        <w:rPr>
          <w:rFonts w:hint="eastAsia" w:ascii="宋体" w:hAnsi="宋体" w:eastAsia="宋体" w:cs="宋体"/>
          <w:color w:val="auto"/>
          <w:sz w:val="24"/>
          <w:szCs w:val="24"/>
          <w:highlight w:val="none"/>
          <w:lang w:val="en-US" w:eastAsia="zh-CN"/>
        </w:rPr>
        <w:t>的；</w:t>
      </w:r>
    </w:p>
    <w:p w14:paraId="4D1E7850">
      <w:pPr>
        <w:pStyle w:val="36"/>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8</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未按</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lang w:val="zh-CN" w:eastAsia="zh-CN"/>
        </w:rPr>
        <w:t>文件</w:t>
      </w:r>
      <w:r>
        <w:rPr>
          <w:rFonts w:hint="eastAsia" w:ascii="宋体" w:hAnsi="宋体" w:eastAsia="宋体" w:cs="宋体"/>
          <w:color w:val="auto"/>
          <w:sz w:val="24"/>
          <w:szCs w:val="24"/>
          <w:highlight w:val="none"/>
          <w:lang w:val="en-US" w:eastAsia="zh-CN"/>
        </w:rPr>
        <w:t>的规定</w:t>
      </w:r>
      <w:r>
        <w:rPr>
          <w:rFonts w:hint="eastAsia" w:ascii="宋体" w:hAnsi="宋体" w:eastAsia="宋体" w:cs="宋体"/>
          <w:color w:val="auto"/>
          <w:sz w:val="24"/>
          <w:szCs w:val="24"/>
          <w:highlight w:val="none"/>
          <w:lang w:val="zh-CN" w:eastAsia="zh-CN"/>
        </w:rPr>
        <w:t>交纳投标保证金</w:t>
      </w:r>
      <w:r>
        <w:rPr>
          <w:rFonts w:hint="eastAsia" w:ascii="宋体" w:hAnsi="宋体" w:eastAsia="宋体" w:cs="宋体"/>
          <w:color w:val="auto"/>
          <w:sz w:val="24"/>
          <w:szCs w:val="24"/>
          <w:highlight w:val="none"/>
          <w:lang w:val="en-US" w:eastAsia="zh-CN"/>
        </w:rPr>
        <w:t>的；</w:t>
      </w:r>
    </w:p>
    <w:p w14:paraId="149A35CB">
      <w:pPr>
        <w:pStyle w:val="36"/>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9评审期间,</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没有按评标委员会的要求提交经授权代表签字的澄清、说明、补正或改变了</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文件的实质性内容</w:t>
      </w:r>
      <w:r>
        <w:rPr>
          <w:rFonts w:hint="eastAsia" w:ascii="宋体" w:hAnsi="宋体" w:eastAsia="宋体" w:cs="宋体"/>
          <w:color w:val="auto"/>
          <w:sz w:val="24"/>
          <w:szCs w:val="24"/>
          <w:highlight w:val="none"/>
          <w:lang w:val="en-US" w:eastAsia="zh-CN"/>
        </w:rPr>
        <w:t>的；</w:t>
      </w:r>
    </w:p>
    <w:p w14:paraId="19EFB935">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10</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zh-CN" w:eastAsia="zh-CN"/>
        </w:rPr>
        <w:t>对采购人、采购代理机构、评标委员会及其工作人员施加影响,有碍公平、公正</w:t>
      </w:r>
      <w:r>
        <w:rPr>
          <w:rFonts w:hint="eastAsia" w:ascii="宋体" w:hAnsi="宋体" w:eastAsia="宋体" w:cs="宋体"/>
          <w:color w:val="auto"/>
          <w:sz w:val="24"/>
          <w:szCs w:val="24"/>
          <w:highlight w:val="none"/>
          <w:lang w:val="en-US" w:eastAsia="zh-CN"/>
        </w:rPr>
        <w:t>的；</w:t>
      </w:r>
    </w:p>
    <w:p w14:paraId="3A6B2386">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20.11投标文件含有采购人不能接受的附加条件的；</w:t>
      </w:r>
    </w:p>
    <w:p w14:paraId="3764E979">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法律、法规、规章规定属于</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val="zh-CN" w:eastAsia="zh-CN"/>
        </w:rPr>
        <w:t>无效的其他情形。</w:t>
      </w:r>
    </w:p>
    <w:p w14:paraId="601D7976">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21.有下列情形之一的，视为投标人串通投标，其</w:t>
      </w:r>
      <w:r>
        <w:rPr>
          <w:rFonts w:hint="eastAsia" w:ascii="宋体" w:hAnsi="宋体" w:eastAsia="宋体" w:cs="宋体"/>
          <w:b/>
          <w:bCs/>
          <w:color w:val="auto"/>
          <w:sz w:val="24"/>
          <w:szCs w:val="24"/>
          <w:highlight w:val="none"/>
          <w:lang w:val="en-US" w:eastAsia="zh-CN"/>
        </w:rPr>
        <w:t>投标无效</w:t>
      </w:r>
      <w:r>
        <w:rPr>
          <w:rFonts w:hint="eastAsia" w:ascii="宋体" w:hAnsi="宋体" w:eastAsia="宋体" w:cs="宋体"/>
          <w:color w:val="auto"/>
          <w:sz w:val="24"/>
          <w:szCs w:val="24"/>
          <w:highlight w:val="none"/>
          <w:lang w:val="en-US" w:eastAsia="zh-CN"/>
        </w:rPr>
        <w:t>：</w:t>
      </w:r>
    </w:p>
    <w:p w14:paraId="0BD50610">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21.1不同投标人的投标文件由同一单位或者个人编制；</w:t>
      </w:r>
    </w:p>
    <w:p w14:paraId="31815558">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21.2不同投标人委托同一单位或者个人办理投标事宜；</w:t>
      </w:r>
    </w:p>
    <w:p w14:paraId="3AD20378">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21.3不同投标人的投标文件载明的项目管理成员或者联系人员为同一人；</w:t>
      </w:r>
    </w:p>
    <w:p w14:paraId="3F168EA2">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21.4不同投标人的投标文件异常一致或者投标报价呈规律性差异；</w:t>
      </w:r>
    </w:p>
    <w:p w14:paraId="634E7939">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21.5不同投标人的投标文件相互混装；</w:t>
      </w:r>
    </w:p>
    <w:p w14:paraId="3B078CE3">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21.6不同投标人的投标保证金从同一单位或者个人的账户转出；</w:t>
      </w:r>
    </w:p>
    <w:p w14:paraId="749F838F">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21.7</w:t>
      </w:r>
      <w:r>
        <w:rPr>
          <w:rFonts w:hint="eastAsia" w:ascii="宋体" w:hAnsi="宋体" w:eastAsia="宋体" w:cs="宋体"/>
          <w:color w:val="auto"/>
          <w:sz w:val="24"/>
          <w:szCs w:val="24"/>
          <w:highlight w:val="none"/>
          <w:lang w:val="zh-CN" w:eastAsia="zh-CN"/>
        </w:rPr>
        <w:t>不同投标人使用同一电脑（机器特征值一致：如MAC地址等）或使用同一电子密钥，编制或上传电子投标文件</w:t>
      </w:r>
      <w:r>
        <w:rPr>
          <w:rFonts w:hint="eastAsia" w:ascii="宋体" w:hAnsi="宋体" w:eastAsia="宋体" w:cs="宋体"/>
          <w:color w:val="auto"/>
          <w:sz w:val="24"/>
          <w:szCs w:val="24"/>
          <w:highlight w:val="none"/>
          <w:lang w:val="en-US" w:eastAsia="zh-CN"/>
        </w:rPr>
        <w:t>；</w:t>
      </w:r>
    </w:p>
    <w:p w14:paraId="2A1BC50E">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21.8法律、法规、规章规定属于投标人串通投标的其他情形</w:t>
      </w:r>
      <w:r>
        <w:rPr>
          <w:rFonts w:hint="eastAsia" w:ascii="宋体" w:hAnsi="宋体" w:eastAsia="宋体" w:cs="宋体"/>
          <w:color w:val="auto"/>
          <w:sz w:val="24"/>
          <w:szCs w:val="24"/>
          <w:highlight w:val="none"/>
          <w:lang w:val="zh-CN" w:eastAsia="zh-CN"/>
        </w:rPr>
        <w:t>。</w:t>
      </w:r>
    </w:p>
    <w:p w14:paraId="737FAF06">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.根据《中华人民共和国政府采购法》第三十六条之规定，在招标采购过程中，出现下列情形之一的，应予</w:t>
      </w:r>
      <w:r>
        <w:rPr>
          <w:rFonts w:hint="eastAsia" w:ascii="宋体" w:hAnsi="宋体" w:eastAsia="宋体" w:cs="宋体"/>
          <w:b/>
          <w:bCs/>
          <w:color w:val="auto"/>
          <w:sz w:val="24"/>
          <w:szCs w:val="24"/>
          <w:highlight w:val="none"/>
        </w:rPr>
        <w:t>废标</w:t>
      </w:r>
      <w:r>
        <w:rPr>
          <w:rFonts w:hint="eastAsia" w:ascii="宋体" w:hAnsi="宋体" w:eastAsia="宋体" w:cs="宋体"/>
          <w:color w:val="auto"/>
          <w:sz w:val="24"/>
          <w:szCs w:val="24"/>
          <w:highlight w:val="none"/>
        </w:rPr>
        <w:t>：</w:t>
      </w:r>
    </w:p>
    <w:p w14:paraId="2C92042A">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.1符合专业条件的供应商或者对招标文件作实质响应的供应商不足3家的；</w:t>
      </w:r>
    </w:p>
    <w:p w14:paraId="34ECD7A2">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.2出现影响采购公正的违法、违规行为的；</w:t>
      </w:r>
    </w:p>
    <w:p w14:paraId="55223AA1">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.3投标人的报价均超过了采购预算，采购人不能支付的；</w:t>
      </w:r>
    </w:p>
    <w:p w14:paraId="7E486B60">
      <w:pPr>
        <w:pStyle w:val="3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.4因重大变故，采购任务取消的</w:t>
      </w:r>
      <w:r>
        <w:rPr>
          <w:rFonts w:hint="eastAsia" w:ascii="宋体" w:hAnsi="宋体" w:eastAsia="宋体" w:cs="宋体"/>
          <w:color w:val="auto"/>
          <w:sz w:val="24"/>
          <w:szCs w:val="24"/>
          <w:highlight w:val="none"/>
          <w:lang w:val="en-US" w:eastAsia="zh-CN"/>
        </w:rPr>
        <w:t>；</w:t>
      </w:r>
    </w:p>
    <w:p w14:paraId="42948BC7">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22.5 </w:t>
      </w:r>
      <w:r>
        <w:rPr>
          <w:rFonts w:hint="eastAsia" w:ascii="宋体" w:hAnsi="宋体" w:eastAsia="宋体" w:cs="宋体"/>
          <w:color w:val="auto"/>
          <w:sz w:val="24"/>
          <w:szCs w:val="24"/>
          <w:highlight w:val="none"/>
        </w:rPr>
        <w:t>法律、法规、规章规定属于</w:t>
      </w:r>
      <w:r>
        <w:rPr>
          <w:rFonts w:hint="eastAsia" w:ascii="宋体" w:hAnsi="宋体" w:eastAsia="宋体" w:cs="宋体"/>
          <w:color w:val="auto"/>
          <w:sz w:val="24"/>
          <w:szCs w:val="24"/>
          <w:highlight w:val="none"/>
          <w:lang w:val="en-US" w:eastAsia="zh-CN"/>
        </w:rPr>
        <w:t>废标</w:t>
      </w:r>
      <w:r>
        <w:rPr>
          <w:rFonts w:hint="eastAsia" w:ascii="宋体" w:hAnsi="宋体" w:eastAsia="宋体" w:cs="宋体"/>
          <w:color w:val="auto"/>
          <w:sz w:val="24"/>
          <w:szCs w:val="24"/>
          <w:highlight w:val="none"/>
        </w:rPr>
        <w:t>的其他情形。</w:t>
      </w:r>
    </w:p>
    <w:p w14:paraId="3EE39131">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rPr>
        <w:t>废标后，采购人应当将废标理由通知所有投标人。</w:t>
      </w:r>
    </w:p>
    <w:p w14:paraId="05AB6DCD">
      <w:pPr>
        <w:pStyle w:val="2"/>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49" w:name="_Toc102119853"/>
      <w:bookmarkStart w:id="550" w:name="_Toc102116152"/>
      <w:bookmarkStart w:id="551" w:name="_Toc27130"/>
      <w:bookmarkStart w:id="552" w:name="_Toc102114920"/>
      <w:bookmarkStart w:id="553" w:name="_Toc102056218"/>
      <w:bookmarkStart w:id="554" w:name="_Toc102116022"/>
      <w:bookmarkStart w:id="555" w:name="_Toc163492907"/>
      <w:bookmarkStart w:id="556" w:name="_Toc20186"/>
      <w:bookmarkStart w:id="557" w:name="_Toc155185914"/>
      <w:bookmarkStart w:id="558" w:name="_Toc102057718"/>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九</w:t>
      </w:r>
      <w:r>
        <w:rPr>
          <w:rFonts w:hint="eastAsia" w:ascii="宋体" w:hAnsi="宋体" w:eastAsia="宋体" w:cs="宋体"/>
          <w:b/>
          <w:bCs/>
          <w:color w:val="auto"/>
          <w:kern w:val="2"/>
          <w:sz w:val="24"/>
          <w:szCs w:val="24"/>
          <w:highlight w:val="none"/>
          <w:lang w:val="zh-CN" w:eastAsia="zh-CN" w:bidi="ar-SA"/>
        </w:rPr>
        <w:t>）停止评标的情形</w:t>
      </w:r>
      <w:bookmarkEnd w:id="549"/>
      <w:bookmarkEnd w:id="550"/>
      <w:bookmarkEnd w:id="551"/>
      <w:bookmarkEnd w:id="552"/>
      <w:bookmarkEnd w:id="553"/>
      <w:bookmarkEnd w:id="554"/>
      <w:bookmarkEnd w:id="555"/>
      <w:bookmarkEnd w:id="556"/>
      <w:bookmarkEnd w:id="557"/>
      <w:bookmarkEnd w:id="558"/>
    </w:p>
    <w:p w14:paraId="190044DE">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CDB1955">
      <w:pPr>
        <w:pStyle w:val="2"/>
        <w:keepNext/>
        <w:keepLines/>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59" w:name="_Toc15371"/>
      <w:bookmarkStart w:id="560" w:name="_Toc28717"/>
      <w:r>
        <w:rPr>
          <w:rFonts w:hint="eastAsia" w:ascii="宋体" w:hAnsi="宋体" w:eastAsia="宋体" w:cs="宋体"/>
          <w:b/>
          <w:bCs/>
          <w:color w:val="auto"/>
          <w:kern w:val="2"/>
          <w:sz w:val="24"/>
          <w:szCs w:val="24"/>
          <w:highlight w:val="none"/>
          <w:lang w:val="zh-CN" w:eastAsia="zh-CN" w:bidi="ar-SA"/>
        </w:rPr>
        <w:t>（</w:t>
      </w:r>
      <w:r>
        <w:rPr>
          <w:rFonts w:hint="eastAsia" w:ascii="宋体" w:hAnsi="宋体" w:eastAsia="宋体" w:cs="宋体"/>
          <w:b/>
          <w:bCs/>
          <w:color w:val="auto"/>
          <w:kern w:val="2"/>
          <w:sz w:val="24"/>
          <w:szCs w:val="24"/>
          <w:highlight w:val="none"/>
          <w:lang w:val="en-US" w:eastAsia="zh-CN" w:bidi="ar-SA"/>
        </w:rPr>
        <w:t>十</w:t>
      </w:r>
      <w:r>
        <w:rPr>
          <w:rFonts w:hint="eastAsia" w:ascii="宋体" w:hAnsi="宋体" w:eastAsia="宋体" w:cs="宋体"/>
          <w:b/>
          <w:bCs/>
          <w:color w:val="auto"/>
          <w:kern w:val="2"/>
          <w:sz w:val="24"/>
          <w:szCs w:val="24"/>
          <w:highlight w:val="none"/>
          <w:lang w:val="zh-CN" w:eastAsia="zh-CN" w:bidi="ar-SA"/>
        </w:rPr>
        <w:t>）重新开展采购</w:t>
      </w:r>
      <w:bookmarkEnd w:id="559"/>
      <w:bookmarkEnd w:id="560"/>
    </w:p>
    <w:p w14:paraId="461B653A">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第七十一条、第七十二条规定的违法行为之一，影响或者可能影响中标结果的，依照下列规定处理：</w:t>
      </w:r>
    </w:p>
    <w:p w14:paraId="7AA5C7C3">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.1未确定中标供应商的，终止本次政府采购活动，重新开展政府采购活动。</w:t>
      </w:r>
    </w:p>
    <w:p w14:paraId="3A794890">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.2已确定中标供应商但尚未签订政府采购合同的，中标结果无效，从合格的中标候选人中另行确定中标供应商；没有合格的中标候选人的，重新开展政府采购活动。</w:t>
      </w:r>
    </w:p>
    <w:p w14:paraId="595100CC">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.3政府采购合同已签订但尚未履行的，撤销合同，从合格的中标候选人中另行确定中标供应商；没有合格的中标候选人的，重新开展政府采购活动。</w:t>
      </w:r>
    </w:p>
    <w:p w14:paraId="45E078B1">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.4政府采购合同已经履行，给采购人、供应商造成损失的，由责任人承担赔偿责任。</w:t>
      </w:r>
    </w:p>
    <w:p w14:paraId="43A428E9">
      <w:pPr>
        <w:pStyle w:val="3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.5政府采购当事人有其他违反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或者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中华人民共和国政府采购法实施条例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等法律法规规定的行为，经改正后仍然影响或者可能影响中标结果或者依法被认定为中标无效的，依照</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.4规定处理。</w:t>
      </w:r>
    </w:p>
    <w:bookmarkEnd w:id="506"/>
    <w:bookmarkEnd w:id="507"/>
    <w:bookmarkEnd w:id="508"/>
    <w:bookmarkEnd w:id="509"/>
    <w:bookmarkEnd w:id="510"/>
    <w:bookmarkEnd w:id="511"/>
    <w:bookmarkEnd w:id="512"/>
    <w:bookmarkEnd w:id="513"/>
    <w:bookmarkEnd w:id="514"/>
    <w:bookmarkEnd w:id="515"/>
    <w:p w14:paraId="32B5EED4">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bookmarkStart w:id="561" w:name="_Toc155185915"/>
    </w:p>
    <w:p w14:paraId="2D5D2532">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p>
    <w:p w14:paraId="42E9B2C3">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p>
    <w:p w14:paraId="0EA4DBB5">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en-US" w:eastAsia="zh-CN"/>
        </w:rPr>
      </w:pPr>
    </w:p>
    <w:p w14:paraId="4D3415E5">
      <w:pPr>
        <w:pStyle w:val="4"/>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color w:val="auto"/>
          <w:sz w:val="28"/>
          <w:szCs w:val="28"/>
          <w:highlight w:val="none"/>
          <w:lang w:val="zh-CN" w:eastAsia="zh-CN"/>
        </w:rPr>
      </w:pPr>
      <w:bookmarkStart w:id="562" w:name="_Toc19817"/>
      <w:r>
        <w:rPr>
          <w:rFonts w:hint="eastAsia" w:ascii="宋体" w:hAnsi="宋体" w:cs="宋体"/>
          <w:color w:val="auto"/>
          <w:sz w:val="28"/>
          <w:szCs w:val="28"/>
          <w:highlight w:val="none"/>
          <w:lang w:val="en-US" w:eastAsia="zh-CN"/>
        </w:rPr>
        <w:t>三</w:t>
      </w:r>
      <w:r>
        <w:rPr>
          <w:rFonts w:hint="eastAsia" w:ascii="宋体" w:hAnsi="宋体" w:eastAsia="宋体" w:cs="宋体"/>
          <w:color w:val="auto"/>
          <w:sz w:val="28"/>
          <w:szCs w:val="28"/>
          <w:highlight w:val="none"/>
          <w:lang w:val="zh-CN" w:eastAsia="zh-CN"/>
        </w:rPr>
        <w:t>、评标标准</w:t>
      </w:r>
      <w:bookmarkEnd w:id="561"/>
      <w:bookmarkEnd w:id="562"/>
    </w:p>
    <w:p w14:paraId="6FC1DEBE">
      <w:pPr>
        <w:pStyle w:val="2"/>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63" w:name="_Toc163492909"/>
      <w:bookmarkStart w:id="564" w:name="_Toc1043"/>
      <w:bookmarkStart w:id="565" w:name="_Toc16256"/>
      <w:r>
        <w:rPr>
          <w:rFonts w:hint="eastAsia" w:ascii="宋体" w:hAnsi="宋体" w:eastAsia="宋体" w:cs="宋体"/>
          <w:b/>
          <w:bCs/>
          <w:color w:val="auto"/>
          <w:kern w:val="2"/>
          <w:sz w:val="24"/>
          <w:szCs w:val="24"/>
          <w:highlight w:val="none"/>
          <w:lang w:val="zh-CN" w:eastAsia="zh-CN" w:bidi="ar-SA"/>
        </w:rPr>
        <w:t>（一）符合性审查表</w:t>
      </w:r>
      <w:bookmarkEnd w:id="563"/>
      <w:bookmarkEnd w:id="564"/>
      <w:bookmarkEnd w:id="565"/>
    </w:p>
    <w:tbl>
      <w:tblPr>
        <w:tblStyle w:val="29"/>
        <w:tblW w:w="5512" w:type="pct"/>
        <w:tblInd w:w="-3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1"/>
        <w:gridCol w:w="1579"/>
        <w:gridCol w:w="5679"/>
        <w:gridCol w:w="727"/>
        <w:gridCol w:w="919"/>
      </w:tblGrid>
      <w:tr w14:paraId="6867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261" w:type="pct"/>
            <w:vMerge w:val="restart"/>
            <w:shd w:val="clear" w:color="auto" w:fill="D8D8D8" w:themeFill="background1" w:themeFillShade="D9"/>
            <w:vAlign w:val="center"/>
          </w:tcPr>
          <w:p w14:paraId="3B188FC3">
            <w:pPr>
              <w:pStyle w:val="48"/>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序号</w:t>
            </w:r>
          </w:p>
        </w:tc>
        <w:tc>
          <w:tcPr>
            <w:tcW w:w="840" w:type="pct"/>
            <w:vMerge w:val="restart"/>
            <w:shd w:val="clear" w:color="auto" w:fill="D8D8D8" w:themeFill="background1" w:themeFillShade="D9"/>
            <w:vAlign w:val="center"/>
          </w:tcPr>
          <w:p w14:paraId="316B5F87">
            <w:pPr>
              <w:pStyle w:val="48"/>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审查项名称</w:t>
            </w:r>
          </w:p>
        </w:tc>
        <w:tc>
          <w:tcPr>
            <w:tcW w:w="3021" w:type="pct"/>
            <w:vMerge w:val="restart"/>
            <w:shd w:val="clear" w:color="auto" w:fill="D8D8D8" w:themeFill="background1" w:themeFillShade="D9"/>
            <w:vAlign w:val="center"/>
          </w:tcPr>
          <w:p w14:paraId="44B32FDC">
            <w:pPr>
              <w:pStyle w:val="48"/>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审查内容</w:t>
            </w:r>
          </w:p>
        </w:tc>
        <w:tc>
          <w:tcPr>
            <w:tcW w:w="876" w:type="pct"/>
            <w:gridSpan w:val="2"/>
            <w:shd w:val="clear" w:color="auto" w:fill="D8D8D8" w:themeFill="background1" w:themeFillShade="D9"/>
            <w:vAlign w:val="center"/>
          </w:tcPr>
          <w:p w14:paraId="2724C461">
            <w:pPr>
              <w:pStyle w:val="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审查结果</w:t>
            </w:r>
          </w:p>
        </w:tc>
      </w:tr>
      <w:tr w14:paraId="6963B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61" w:type="pct"/>
            <w:vMerge w:val="continue"/>
            <w:shd w:val="clear" w:color="auto" w:fill="D8D8D8" w:themeFill="background1" w:themeFillShade="D9"/>
            <w:vAlign w:val="center"/>
          </w:tcPr>
          <w:p w14:paraId="1859AA86">
            <w:pPr>
              <w:pStyle w:val="48"/>
              <w:jc w:val="center"/>
              <w:rPr>
                <w:rFonts w:hint="eastAsia" w:ascii="宋体" w:hAnsi="宋体" w:eastAsia="宋体" w:cs="宋体"/>
                <w:b/>
                <w:bCs/>
                <w:color w:val="auto"/>
                <w:sz w:val="21"/>
                <w:szCs w:val="21"/>
                <w:highlight w:val="none"/>
                <w:lang w:val="zh-CN"/>
              </w:rPr>
            </w:pPr>
          </w:p>
        </w:tc>
        <w:tc>
          <w:tcPr>
            <w:tcW w:w="840" w:type="pct"/>
            <w:vMerge w:val="continue"/>
            <w:shd w:val="clear" w:color="auto" w:fill="D8D8D8" w:themeFill="background1" w:themeFillShade="D9"/>
            <w:vAlign w:val="center"/>
          </w:tcPr>
          <w:p w14:paraId="51EF0565">
            <w:pPr>
              <w:pStyle w:val="48"/>
              <w:jc w:val="center"/>
              <w:rPr>
                <w:rFonts w:hint="eastAsia" w:ascii="宋体" w:hAnsi="宋体" w:eastAsia="宋体" w:cs="宋体"/>
                <w:b/>
                <w:bCs/>
                <w:color w:val="auto"/>
                <w:sz w:val="21"/>
                <w:szCs w:val="21"/>
                <w:highlight w:val="none"/>
                <w:lang w:val="zh-CN"/>
              </w:rPr>
            </w:pPr>
          </w:p>
        </w:tc>
        <w:tc>
          <w:tcPr>
            <w:tcW w:w="3021" w:type="pct"/>
            <w:vMerge w:val="continue"/>
            <w:shd w:val="clear" w:color="auto" w:fill="D8D8D8" w:themeFill="background1" w:themeFillShade="D9"/>
            <w:vAlign w:val="center"/>
          </w:tcPr>
          <w:p w14:paraId="2128C077">
            <w:pPr>
              <w:pStyle w:val="48"/>
              <w:jc w:val="center"/>
              <w:rPr>
                <w:rFonts w:hint="eastAsia" w:ascii="宋体" w:hAnsi="宋体" w:eastAsia="宋体" w:cs="宋体"/>
                <w:b/>
                <w:bCs/>
                <w:color w:val="auto"/>
                <w:sz w:val="21"/>
                <w:szCs w:val="21"/>
                <w:highlight w:val="none"/>
                <w:lang w:val="zh-CN"/>
              </w:rPr>
            </w:pPr>
          </w:p>
        </w:tc>
        <w:tc>
          <w:tcPr>
            <w:tcW w:w="387" w:type="pct"/>
            <w:shd w:val="clear" w:color="auto" w:fill="D8D8D8" w:themeFill="background1" w:themeFillShade="D9"/>
            <w:vAlign w:val="center"/>
          </w:tcPr>
          <w:p w14:paraId="0CAA21D7">
            <w:pPr>
              <w:pStyle w:val="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符合</w:t>
            </w:r>
          </w:p>
        </w:tc>
        <w:tc>
          <w:tcPr>
            <w:tcW w:w="489" w:type="pct"/>
            <w:shd w:val="clear" w:color="auto" w:fill="D8D8D8" w:themeFill="background1" w:themeFillShade="D9"/>
            <w:vAlign w:val="center"/>
          </w:tcPr>
          <w:p w14:paraId="15D1F439">
            <w:pPr>
              <w:pStyle w:val="48"/>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不符合</w:t>
            </w:r>
          </w:p>
        </w:tc>
      </w:tr>
      <w:tr w14:paraId="233AF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261" w:type="pct"/>
            <w:shd w:val="clear" w:color="auto" w:fill="auto"/>
            <w:vAlign w:val="center"/>
          </w:tcPr>
          <w:p w14:paraId="4A515C07">
            <w:pPr>
              <w:pStyle w:val="48"/>
              <w:numPr>
                <w:ilvl w:val="0"/>
                <w:numId w:val="0"/>
              </w:numPr>
              <w:ind w:left="420" w:leftChars="0" w:hanging="420" w:firstLineChars="0"/>
              <w:jc w:val="center"/>
              <w:rPr>
                <w:rFonts w:hint="eastAsia" w:ascii="宋体" w:hAnsi="宋体" w:eastAsia="宋体" w:cs="宋体"/>
                <w:color w:val="auto"/>
                <w:sz w:val="21"/>
                <w:szCs w:val="21"/>
                <w:highlight w:val="none"/>
                <w:lang w:val="zh-CN"/>
              </w:rPr>
            </w:pPr>
            <w:r>
              <w:rPr>
                <w:rFonts w:hint="eastAsia" w:ascii="宋体" w:hAnsi="宋体" w:eastAsia="宋体" w:cs="宋体"/>
                <w:color w:val="auto"/>
                <w:kern w:val="2"/>
                <w:sz w:val="21"/>
                <w:szCs w:val="21"/>
                <w:highlight w:val="none"/>
                <w:lang w:val="zh-CN" w:eastAsia="zh-CN" w:bidi="ar-SA"/>
              </w:rPr>
              <w:t>1</w:t>
            </w:r>
          </w:p>
        </w:tc>
        <w:tc>
          <w:tcPr>
            <w:tcW w:w="840" w:type="pct"/>
            <w:vAlign w:val="center"/>
          </w:tcPr>
          <w:p w14:paraId="5E0E3062">
            <w:pPr>
              <w:pStyle w:val="4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投标文件</w:t>
            </w:r>
            <w:r>
              <w:rPr>
                <w:rFonts w:hint="eastAsia" w:ascii="宋体" w:hAnsi="宋体" w:eastAsia="宋体" w:cs="宋体"/>
                <w:color w:val="auto"/>
                <w:sz w:val="21"/>
                <w:szCs w:val="21"/>
                <w:highlight w:val="none"/>
              </w:rPr>
              <w:t>签署</w:t>
            </w:r>
          </w:p>
        </w:tc>
        <w:tc>
          <w:tcPr>
            <w:tcW w:w="3021" w:type="pct"/>
            <w:shd w:val="clear" w:color="auto" w:fill="auto"/>
            <w:vAlign w:val="center"/>
          </w:tcPr>
          <w:p w14:paraId="0FA4ED80">
            <w:pPr>
              <w:pStyle w:val="48"/>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投标文件按招标文件要求签署、盖章的</w:t>
            </w:r>
          </w:p>
        </w:tc>
        <w:tc>
          <w:tcPr>
            <w:tcW w:w="387" w:type="pct"/>
            <w:shd w:val="clear" w:color="auto" w:fill="auto"/>
            <w:vAlign w:val="center"/>
          </w:tcPr>
          <w:p w14:paraId="1E1F1EB1">
            <w:pPr>
              <w:pStyle w:val="48"/>
              <w:rPr>
                <w:rFonts w:hint="eastAsia" w:ascii="宋体" w:hAnsi="宋体" w:eastAsia="宋体" w:cs="宋体"/>
                <w:color w:val="auto"/>
                <w:sz w:val="21"/>
                <w:szCs w:val="21"/>
                <w:highlight w:val="none"/>
                <w:lang w:val="zh-CN"/>
              </w:rPr>
            </w:pPr>
          </w:p>
        </w:tc>
        <w:tc>
          <w:tcPr>
            <w:tcW w:w="489" w:type="pct"/>
            <w:shd w:val="clear" w:color="auto" w:fill="auto"/>
            <w:vAlign w:val="center"/>
          </w:tcPr>
          <w:p w14:paraId="35325BAA">
            <w:pPr>
              <w:pStyle w:val="48"/>
              <w:rPr>
                <w:rFonts w:hint="eastAsia" w:ascii="宋体" w:hAnsi="宋体" w:eastAsia="宋体" w:cs="宋体"/>
                <w:color w:val="auto"/>
                <w:sz w:val="21"/>
                <w:szCs w:val="21"/>
                <w:highlight w:val="none"/>
                <w:lang w:val="zh-CN"/>
              </w:rPr>
            </w:pPr>
          </w:p>
        </w:tc>
      </w:tr>
      <w:tr w14:paraId="3F170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4" w:hRule="atLeast"/>
        </w:trPr>
        <w:tc>
          <w:tcPr>
            <w:tcW w:w="261" w:type="pct"/>
            <w:shd w:val="clear" w:color="auto" w:fill="auto"/>
            <w:vAlign w:val="center"/>
          </w:tcPr>
          <w:p w14:paraId="5B53A43D">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2</w:t>
            </w:r>
          </w:p>
        </w:tc>
        <w:tc>
          <w:tcPr>
            <w:tcW w:w="840" w:type="pct"/>
            <w:shd w:val="clear" w:color="auto" w:fill="auto"/>
            <w:vAlign w:val="center"/>
          </w:tcPr>
          <w:p w14:paraId="54DD2E09">
            <w:pPr>
              <w:pStyle w:val="48"/>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实质性要求</w:t>
            </w:r>
          </w:p>
        </w:tc>
        <w:tc>
          <w:tcPr>
            <w:tcW w:w="3021" w:type="pct"/>
            <w:shd w:val="clear" w:color="auto" w:fill="auto"/>
            <w:vAlign w:val="center"/>
          </w:tcPr>
          <w:p w14:paraId="3A663F07">
            <w:pPr>
              <w:pStyle w:val="48"/>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文件满足</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eastAsia="zh-CN"/>
              </w:rPr>
              <w:t>文件中的实质性条款（或指标）要求的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具体详见</w:t>
            </w:r>
            <w:r>
              <w:rPr>
                <w:rFonts w:hint="eastAsia" w:ascii="宋体" w:hAnsi="宋体" w:eastAsia="宋体" w:cs="宋体"/>
                <w:color w:val="auto"/>
                <w:sz w:val="21"/>
                <w:szCs w:val="21"/>
                <w:highlight w:val="none"/>
                <w:lang w:val="zh-CN"/>
              </w:rPr>
              <w:t>“实质性响应一览表”</w:t>
            </w:r>
          </w:p>
        </w:tc>
        <w:tc>
          <w:tcPr>
            <w:tcW w:w="387" w:type="pct"/>
            <w:shd w:val="clear" w:color="auto" w:fill="auto"/>
            <w:vAlign w:val="center"/>
          </w:tcPr>
          <w:p w14:paraId="3F83CD9C">
            <w:pPr>
              <w:pStyle w:val="48"/>
              <w:rPr>
                <w:rFonts w:hint="eastAsia" w:ascii="宋体" w:hAnsi="宋体" w:eastAsia="宋体" w:cs="宋体"/>
                <w:color w:val="auto"/>
                <w:sz w:val="21"/>
                <w:szCs w:val="21"/>
                <w:highlight w:val="none"/>
                <w:lang w:val="zh-CN"/>
              </w:rPr>
            </w:pPr>
          </w:p>
        </w:tc>
        <w:tc>
          <w:tcPr>
            <w:tcW w:w="489" w:type="pct"/>
            <w:shd w:val="clear" w:color="auto" w:fill="auto"/>
            <w:vAlign w:val="center"/>
          </w:tcPr>
          <w:p w14:paraId="53C654A1">
            <w:pPr>
              <w:pStyle w:val="48"/>
              <w:rPr>
                <w:rFonts w:hint="eastAsia" w:ascii="宋体" w:hAnsi="宋体" w:eastAsia="宋体" w:cs="宋体"/>
                <w:color w:val="auto"/>
                <w:sz w:val="21"/>
                <w:szCs w:val="21"/>
                <w:highlight w:val="none"/>
                <w:lang w:val="zh-CN"/>
              </w:rPr>
            </w:pPr>
          </w:p>
        </w:tc>
      </w:tr>
      <w:tr w14:paraId="49890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261" w:type="pct"/>
            <w:shd w:val="clear" w:color="auto" w:fill="auto"/>
            <w:vAlign w:val="center"/>
          </w:tcPr>
          <w:p w14:paraId="122BA4D1">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3</w:t>
            </w:r>
          </w:p>
        </w:tc>
        <w:tc>
          <w:tcPr>
            <w:tcW w:w="840" w:type="pct"/>
            <w:vAlign w:val="center"/>
          </w:tcPr>
          <w:p w14:paraId="0ABAB0FD">
            <w:pPr>
              <w:pStyle w:val="4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投标报价</w:t>
            </w:r>
          </w:p>
        </w:tc>
        <w:tc>
          <w:tcPr>
            <w:tcW w:w="3021" w:type="pct"/>
            <w:shd w:val="clear" w:color="auto" w:fill="auto"/>
            <w:vAlign w:val="center"/>
          </w:tcPr>
          <w:p w14:paraId="3039222D">
            <w:pPr>
              <w:pStyle w:val="48"/>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投标人报价未超过招标文件中规定的最高限价或者预算金额的</w:t>
            </w:r>
          </w:p>
        </w:tc>
        <w:tc>
          <w:tcPr>
            <w:tcW w:w="387" w:type="pct"/>
            <w:shd w:val="clear" w:color="auto" w:fill="auto"/>
            <w:vAlign w:val="center"/>
          </w:tcPr>
          <w:p w14:paraId="45596CE1">
            <w:pPr>
              <w:pStyle w:val="48"/>
              <w:rPr>
                <w:rFonts w:hint="eastAsia" w:ascii="宋体" w:hAnsi="宋体" w:eastAsia="宋体" w:cs="宋体"/>
                <w:color w:val="auto"/>
                <w:sz w:val="21"/>
                <w:szCs w:val="21"/>
                <w:highlight w:val="none"/>
                <w:lang w:val="zh-CN"/>
              </w:rPr>
            </w:pPr>
          </w:p>
        </w:tc>
        <w:tc>
          <w:tcPr>
            <w:tcW w:w="489" w:type="pct"/>
            <w:shd w:val="clear" w:color="auto" w:fill="auto"/>
            <w:vAlign w:val="center"/>
          </w:tcPr>
          <w:p w14:paraId="11E76B6F">
            <w:pPr>
              <w:pStyle w:val="48"/>
              <w:rPr>
                <w:rFonts w:hint="eastAsia" w:ascii="宋体" w:hAnsi="宋体" w:eastAsia="宋体" w:cs="宋体"/>
                <w:color w:val="auto"/>
                <w:sz w:val="21"/>
                <w:szCs w:val="21"/>
                <w:highlight w:val="none"/>
                <w:lang w:val="zh-CN"/>
              </w:rPr>
            </w:pPr>
          </w:p>
        </w:tc>
      </w:tr>
      <w:tr w14:paraId="63842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261" w:type="pct"/>
            <w:shd w:val="clear" w:color="auto" w:fill="auto"/>
            <w:vAlign w:val="center"/>
          </w:tcPr>
          <w:p w14:paraId="1C0BF26C">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4</w:t>
            </w:r>
          </w:p>
        </w:tc>
        <w:tc>
          <w:tcPr>
            <w:tcW w:w="840" w:type="pct"/>
            <w:vAlign w:val="center"/>
          </w:tcPr>
          <w:p w14:paraId="49C30112">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虚假材料</w:t>
            </w:r>
          </w:p>
        </w:tc>
        <w:tc>
          <w:tcPr>
            <w:tcW w:w="3021" w:type="pct"/>
            <w:shd w:val="clear" w:color="auto" w:fill="auto"/>
            <w:vAlign w:val="center"/>
          </w:tcPr>
          <w:p w14:paraId="150A9DA0">
            <w:pPr>
              <w:pStyle w:val="48"/>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提供虚假材料的</w:t>
            </w:r>
          </w:p>
        </w:tc>
        <w:tc>
          <w:tcPr>
            <w:tcW w:w="387" w:type="pct"/>
            <w:shd w:val="clear" w:color="auto" w:fill="auto"/>
            <w:vAlign w:val="center"/>
          </w:tcPr>
          <w:p w14:paraId="36B10A12">
            <w:pPr>
              <w:pStyle w:val="48"/>
              <w:rPr>
                <w:rFonts w:hint="eastAsia" w:ascii="宋体" w:hAnsi="宋体" w:eastAsia="宋体" w:cs="宋体"/>
                <w:color w:val="auto"/>
                <w:sz w:val="21"/>
                <w:szCs w:val="21"/>
                <w:highlight w:val="none"/>
                <w:lang w:val="zh-CN"/>
              </w:rPr>
            </w:pPr>
          </w:p>
        </w:tc>
        <w:tc>
          <w:tcPr>
            <w:tcW w:w="489" w:type="pct"/>
            <w:shd w:val="clear" w:color="auto" w:fill="auto"/>
            <w:vAlign w:val="center"/>
          </w:tcPr>
          <w:p w14:paraId="5008BBC1">
            <w:pPr>
              <w:pStyle w:val="48"/>
              <w:rPr>
                <w:rFonts w:hint="eastAsia" w:ascii="宋体" w:hAnsi="宋体" w:eastAsia="宋体" w:cs="宋体"/>
                <w:color w:val="auto"/>
                <w:sz w:val="21"/>
                <w:szCs w:val="21"/>
                <w:highlight w:val="none"/>
                <w:lang w:val="zh-CN"/>
              </w:rPr>
            </w:pPr>
          </w:p>
        </w:tc>
      </w:tr>
      <w:tr w14:paraId="7A54D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atLeast"/>
        </w:trPr>
        <w:tc>
          <w:tcPr>
            <w:tcW w:w="261" w:type="pct"/>
            <w:shd w:val="clear" w:color="auto" w:fill="auto"/>
            <w:vAlign w:val="center"/>
          </w:tcPr>
          <w:p w14:paraId="5DF7405B">
            <w:pPr>
              <w:pStyle w:val="48"/>
              <w:numPr>
                <w:ilvl w:val="0"/>
                <w:numId w:val="0"/>
              </w:numPr>
              <w:ind w:left="420" w:leftChars="0" w:hanging="420" w:firstLineChars="0"/>
              <w:jc w:val="center"/>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5</w:t>
            </w:r>
          </w:p>
        </w:tc>
        <w:tc>
          <w:tcPr>
            <w:tcW w:w="840" w:type="pct"/>
            <w:vAlign w:val="center"/>
          </w:tcPr>
          <w:p w14:paraId="3CB15A1D">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w:t>
            </w:r>
          </w:p>
        </w:tc>
        <w:tc>
          <w:tcPr>
            <w:tcW w:w="3021" w:type="pct"/>
            <w:shd w:val="clear" w:color="auto" w:fill="auto"/>
            <w:vAlign w:val="center"/>
          </w:tcPr>
          <w:p w14:paraId="0EF49674">
            <w:pPr>
              <w:pStyle w:val="48"/>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投标人按招标文件的规定交纳投标保证金的</w:t>
            </w:r>
          </w:p>
        </w:tc>
        <w:tc>
          <w:tcPr>
            <w:tcW w:w="387" w:type="pct"/>
            <w:shd w:val="clear" w:color="auto" w:fill="auto"/>
            <w:vAlign w:val="center"/>
          </w:tcPr>
          <w:p w14:paraId="37F2653A">
            <w:pPr>
              <w:pStyle w:val="48"/>
              <w:rPr>
                <w:rFonts w:hint="eastAsia" w:ascii="宋体" w:hAnsi="宋体" w:eastAsia="宋体" w:cs="宋体"/>
                <w:color w:val="auto"/>
                <w:sz w:val="21"/>
                <w:szCs w:val="21"/>
                <w:highlight w:val="none"/>
                <w:lang w:val="zh-CN"/>
              </w:rPr>
            </w:pPr>
          </w:p>
        </w:tc>
        <w:tc>
          <w:tcPr>
            <w:tcW w:w="489" w:type="pct"/>
            <w:shd w:val="clear" w:color="auto" w:fill="auto"/>
            <w:vAlign w:val="center"/>
          </w:tcPr>
          <w:p w14:paraId="1E4AED58">
            <w:pPr>
              <w:pStyle w:val="48"/>
              <w:rPr>
                <w:rFonts w:hint="eastAsia" w:ascii="宋体" w:hAnsi="宋体" w:eastAsia="宋体" w:cs="宋体"/>
                <w:color w:val="auto"/>
                <w:sz w:val="21"/>
                <w:szCs w:val="21"/>
                <w:highlight w:val="none"/>
                <w:lang w:val="zh-CN"/>
              </w:rPr>
            </w:pPr>
          </w:p>
        </w:tc>
      </w:tr>
      <w:tr w14:paraId="7044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261" w:type="pct"/>
            <w:shd w:val="clear" w:color="auto" w:fill="auto"/>
            <w:vAlign w:val="center"/>
          </w:tcPr>
          <w:p w14:paraId="115CB80E">
            <w:pPr>
              <w:pStyle w:val="48"/>
              <w:numPr>
                <w:ilvl w:val="0"/>
                <w:numId w:val="0"/>
              </w:numPr>
              <w:ind w:left="0" w:leftChars="0" w:firstLine="0" w:firstLineChars="0"/>
              <w:jc w:val="center"/>
              <w:rPr>
                <w:rFonts w:hint="eastAsia" w:ascii="宋体" w:hAnsi="宋体" w:eastAsia="宋体" w:cs="宋体"/>
                <w:color w:val="auto"/>
                <w:kern w:val="2"/>
                <w:sz w:val="21"/>
                <w:szCs w:val="21"/>
                <w:highlight w:val="none"/>
                <w:lang w:val="zh-CN" w:eastAsia="zh-CN" w:bidi="ar-SA"/>
              </w:rPr>
            </w:pPr>
            <w:r>
              <w:rPr>
                <w:rFonts w:hint="eastAsia" w:cs="宋体"/>
                <w:color w:val="auto"/>
                <w:sz w:val="21"/>
                <w:szCs w:val="21"/>
                <w:highlight w:val="none"/>
                <w:lang w:val="en-US" w:eastAsia="zh-CN"/>
              </w:rPr>
              <w:t>6</w:t>
            </w:r>
          </w:p>
        </w:tc>
        <w:tc>
          <w:tcPr>
            <w:tcW w:w="840" w:type="pct"/>
            <w:vAlign w:val="center"/>
          </w:tcPr>
          <w:p w14:paraId="5E0526C0">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投标文件的澄清、说明、补正</w:t>
            </w:r>
          </w:p>
        </w:tc>
        <w:tc>
          <w:tcPr>
            <w:tcW w:w="3021" w:type="pct"/>
            <w:shd w:val="clear" w:color="auto" w:fill="auto"/>
            <w:vAlign w:val="center"/>
          </w:tcPr>
          <w:p w14:paraId="69951688">
            <w:pPr>
              <w:pStyle w:val="48"/>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eastAsia="zh-CN"/>
              </w:rPr>
              <w:t>评审期间,</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按评标委员会的要求提交经授权代表签字的澄清、说明、补正或</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改变</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文件的实质性内容</w:t>
            </w:r>
          </w:p>
        </w:tc>
        <w:tc>
          <w:tcPr>
            <w:tcW w:w="387" w:type="pct"/>
            <w:shd w:val="clear" w:color="auto" w:fill="auto"/>
            <w:vAlign w:val="center"/>
          </w:tcPr>
          <w:p w14:paraId="17DF499B">
            <w:pPr>
              <w:pStyle w:val="48"/>
              <w:rPr>
                <w:rFonts w:hint="eastAsia" w:ascii="宋体" w:hAnsi="宋体" w:eastAsia="宋体" w:cs="宋体"/>
                <w:color w:val="auto"/>
                <w:sz w:val="21"/>
                <w:szCs w:val="21"/>
                <w:highlight w:val="none"/>
                <w:lang w:val="zh-CN"/>
              </w:rPr>
            </w:pPr>
          </w:p>
        </w:tc>
        <w:tc>
          <w:tcPr>
            <w:tcW w:w="489" w:type="pct"/>
            <w:shd w:val="clear" w:color="auto" w:fill="auto"/>
            <w:vAlign w:val="center"/>
          </w:tcPr>
          <w:p w14:paraId="7B15EF49">
            <w:pPr>
              <w:pStyle w:val="48"/>
              <w:rPr>
                <w:rFonts w:hint="eastAsia" w:ascii="宋体" w:hAnsi="宋体" w:eastAsia="宋体" w:cs="宋体"/>
                <w:color w:val="auto"/>
                <w:sz w:val="21"/>
                <w:szCs w:val="21"/>
                <w:highlight w:val="none"/>
                <w:lang w:val="zh-CN"/>
              </w:rPr>
            </w:pPr>
          </w:p>
        </w:tc>
      </w:tr>
      <w:tr w14:paraId="5AEED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2" w:hRule="atLeast"/>
        </w:trPr>
        <w:tc>
          <w:tcPr>
            <w:tcW w:w="261" w:type="pct"/>
            <w:shd w:val="clear" w:color="auto" w:fill="auto"/>
            <w:vAlign w:val="center"/>
          </w:tcPr>
          <w:p w14:paraId="54575570">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zh-CN" w:eastAsia="zh-CN" w:bidi="ar-SA"/>
              </w:rPr>
            </w:pPr>
            <w:r>
              <w:rPr>
                <w:rFonts w:hint="eastAsia" w:cs="宋体"/>
                <w:color w:val="auto"/>
                <w:kern w:val="2"/>
                <w:sz w:val="21"/>
                <w:szCs w:val="21"/>
                <w:highlight w:val="none"/>
                <w:lang w:val="en-US" w:eastAsia="zh-CN" w:bidi="ar-SA"/>
              </w:rPr>
              <w:t>7</w:t>
            </w:r>
          </w:p>
        </w:tc>
        <w:tc>
          <w:tcPr>
            <w:tcW w:w="840" w:type="pct"/>
            <w:vAlign w:val="center"/>
          </w:tcPr>
          <w:p w14:paraId="7CFE2454">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投标人影响评标</w:t>
            </w:r>
          </w:p>
        </w:tc>
        <w:tc>
          <w:tcPr>
            <w:tcW w:w="3021" w:type="pct"/>
            <w:shd w:val="clear" w:color="auto" w:fill="auto"/>
            <w:vAlign w:val="center"/>
          </w:tcPr>
          <w:p w14:paraId="1AFF6E69">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lang w:val="zh-CN" w:eastAsia="zh-CN"/>
              </w:rPr>
              <w:t>对采购人、采购代理机构、评标委员会及其工作人员</w:t>
            </w:r>
            <w:r>
              <w:rPr>
                <w:rFonts w:hint="eastAsia" w:ascii="宋体" w:hAnsi="宋体" w:eastAsia="宋体" w:cs="宋体"/>
                <w:color w:val="auto"/>
                <w:sz w:val="21"/>
                <w:szCs w:val="21"/>
                <w:highlight w:val="none"/>
                <w:lang w:val="en-US" w:eastAsia="zh-CN"/>
              </w:rPr>
              <w:t>未</w:t>
            </w:r>
            <w:r>
              <w:rPr>
                <w:rFonts w:hint="eastAsia" w:ascii="宋体" w:hAnsi="宋体" w:eastAsia="宋体" w:cs="宋体"/>
                <w:color w:val="auto"/>
                <w:sz w:val="21"/>
                <w:szCs w:val="21"/>
                <w:highlight w:val="none"/>
                <w:lang w:val="zh-CN" w:eastAsia="zh-CN"/>
              </w:rPr>
              <w:t>施加影响,</w:t>
            </w:r>
            <w:r>
              <w:rPr>
                <w:rFonts w:hint="eastAsia" w:ascii="宋体" w:hAnsi="宋体" w:eastAsia="宋体" w:cs="宋体"/>
                <w:color w:val="auto"/>
                <w:sz w:val="21"/>
                <w:szCs w:val="21"/>
                <w:highlight w:val="none"/>
                <w:lang w:val="en-US" w:eastAsia="zh-CN"/>
              </w:rPr>
              <w:t>无</w:t>
            </w:r>
            <w:r>
              <w:rPr>
                <w:rFonts w:hint="eastAsia" w:ascii="宋体" w:hAnsi="宋体" w:eastAsia="宋体" w:cs="宋体"/>
                <w:color w:val="auto"/>
                <w:sz w:val="21"/>
                <w:szCs w:val="21"/>
                <w:highlight w:val="none"/>
                <w:lang w:val="zh-CN" w:eastAsia="zh-CN"/>
              </w:rPr>
              <w:t>有碍公平、公正</w:t>
            </w:r>
            <w:r>
              <w:rPr>
                <w:rFonts w:hint="eastAsia" w:ascii="宋体" w:hAnsi="宋体" w:eastAsia="宋体" w:cs="宋体"/>
                <w:color w:val="auto"/>
                <w:sz w:val="21"/>
                <w:szCs w:val="21"/>
                <w:highlight w:val="none"/>
                <w:lang w:val="en-US" w:eastAsia="zh-CN"/>
              </w:rPr>
              <w:t>的</w:t>
            </w:r>
          </w:p>
        </w:tc>
        <w:tc>
          <w:tcPr>
            <w:tcW w:w="387" w:type="pct"/>
            <w:shd w:val="clear" w:color="auto" w:fill="auto"/>
            <w:vAlign w:val="center"/>
          </w:tcPr>
          <w:p w14:paraId="6E7B9E6F">
            <w:pPr>
              <w:pStyle w:val="48"/>
              <w:rPr>
                <w:rFonts w:hint="eastAsia" w:ascii="宋体" w:hAnsi="宋体" w:eastAsia="宋体" w:cs="宋体"/>
                <w:color w:val="auto"/>
                <w:sz w:val="21"/>
                <w:szCs w:val="21"/>
                <w:highlight w:val="none"/>
                <w:lang w:val="zh-CN"/>
              </w:rPr>
            </w:pPr>
          </w:p>
        </w:tc>
        <w:tc>
          <w:tcPr>
            <w:tcW w:w="489" w:type="pct"/>
            <w:shd w:val="clear" w:color="auto" w:fill="auto"/>
            <w:vAlign w:val="center"/>
          </w:tcPr>
          <w:p w14:paraId="5E9FCB3A">
            <w:pPr>
              <w:pStyle w:val="48"/>
              <w:rPr>
                <w:rFonts w:hint="eastAsia" w:ascii="宋体" w:hAnsi="宋体" w:eastAsia="宋体" w:cs="宋体"/>
                <w:color w:val="auto"/>
                <w:sz w:val="21"/>
                <w:szCs w:val="21"/>
                <w:highlight w:val="none"/>
                <w:lang w:val="zh-CN"/>
              </w:rPr>
            </w:pPr>
          </w:p>
        </w:tc>
      </w:tr>
      <w:tr w14:paraId="0F96D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261" w:type="pct"/>
            <w:shd w:val="clear" w:color="auto" w:fill="auto"/>
            <w:vAlign w:val="center"/>
          </w:tcPr>
          <w:p w14:paraId="6F2212DB">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8</w:t>
            </w:r>
          </w:p>
        </w:tc>
        <w:tc>
          <w:tcPr>
            <w:tcW w:w="840" w:type="pct"/>
            <w:vAlign w:val="center"/>
          </w:tcPr>
          <w:p w14:paraId="5065E06D">
            <w:pPr>
              <w:pStyle w:val="4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围标串标情形</w:t>
            </w:r>
          </w:p>
        </w:tc>
        <w:tc>
          <w:tcPr>
            <w:tcW w:w="3021" w:type="pct"/>
            <w:shd w:val="clear" w:color="auto" w:fill="auto"/>
            <w:vAlign w:val="center"/>
          </w:tcPr>
          <w:p w14:paraId="77FBE461">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val="zh-CN" w:eastAsia="zh-CN"/>
              </w:rPr>
              <w:t>“第五章 评标方法及标准”</w:t>
            </w:r>
            <w:r>
              <w:rPr>
                <w:rFonts w:hint="eastAsia" w:ascii="宋体" w:hAnsi="宋体" w:eastAsia="宋体" w:cs="宋体"/>
                <w:color w:val="auto"/>
                <w:sz w:val="21"/>
                <w:szCs w:val="21"/>
                <w:highlight w:val="none"/>
                <w:lang w:val="en-US" w:eastAsia="zh-CN"/>
              </w:rPr>
              <w:t>第21条情形之一的</w:t>
            </w:r>
          </w:p>
        </w:tc>
        <w:tc>
          <w:tcPr>
            <w:tcW w:w="387" w:type="pct"/>
            <w:shd w:val="clear" w:color="auto" w:fill="auto"/>
            <w:vAlign w:val="center"/>
          </w:tcPr>
          <w:p w14:paraId="79393C8F">
            <w:pPr>
              <w:pStyle w:val="48"/>
              <w:rPr>
                <w:rFonts w:hint="eastAsia" w:ascii="宋体" w:hAnsi="宋体" w:eastAsia="宋体" w:cs="宋体"/>
                <w:color w:val="auto"/>
                <w:sz w:val="21"/>
                <w:szCs w:val="21"/>
                <w:highlight w:val="none"/>
                <w:lang w:val="zh-CN"/>
              </w:rPr>
            </w:pPr>
          </w:p>
        </w:tc>
        <w:tc>
          <w:tcPr>
            <w:tcW w:w="489" w:type="pct"/>
            <w:shd w:val="clear" w:color="auto" w:fill="auto"/>
            <w:vAlign w:val="center"/>
          </w:tcPr>
          <w:p w14:paraId="77FEE600">
            <w:pPr>
              <w:pStyle w:val="48"/>
              <w:rPr>
                <w:rFonts w:hint="eastAsia" w:ascii="宋体" w:hAnsi="宋体" w:eastAsia="宋体" w:cs="宋体"/>
                <w:color w:val="auto"/>
                <w:sz w:val="21"/>
                <w:szCs w:val="21"/>
                <w:highlight w:val="none"/>
                <w:lang w:val="zh-CN"/>
              </w:rPr>
            </w:pPr>
          </w:p>
        </w:tc>
      </w:tr>
      <w:tr w14:paraId="35AAC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261" w:type="pct"/>
            <w:shd w:val="clear" w:color="auto" w:fill="auto"/>
            <w:vAlign w:val="center"/>
          </w:tcPr>
          <w:p w14:paraId="332BD4A6">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9</w:t>
            </w:r>
          </w:p>
        </w:tc>
        <w:tc>
          <w:tcPr>
            <w:tcW w:w="840" w:type="pct"/>
            <w:vAlign w:val="center"/>
          </w:tcPr>
          <w:p w14:paraId="56EEFE7E">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附加条件</w:t>
            </w:r>
          </w:p>
        </w:tc>
        <w:tc>
          <w:tcPr>
            <w:tcW w:w="3021" w:type="pct"/>
            <w:shd w:val="clear" w:color="auto" w:fill="auto"/>
            <w:vAlign w:val="center"/>
          </w:tcPr>
          <w:p w14:paraId="618DB2FB">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投标文件没有采购人不能接受的附加条件的</w:t>
            </w:r>
          </w:p>
        </w:tc>
        <w:tc>
          <w:tcPr>
            <w:tcW w:w="387" w:type="pct"/>
            <w:shd w:val="clear" w:color="auto" w:fill="auto"/>
            <w:vAlign w:val="center"/>
          </w:tcPr>
          <w:p w14:paraId="36C2A679">
            <w:pPr>
              <w:pStyle w:val="48"/>
              <w:rPr>
                <w:rFonts w:hint="eastAsia" w:ascii="宋体" w:hAnsi="宋体" w:eastAsia="宋体" w:cs="宋体"/>
                <w:color w:val="auto"/>
                <w:sz w:val="21"/>
                <w:szCs w:val="21"/>
                <w:highlight w:val="none"/>
                <w:lang w:val="zh-CN"/>
              </w:rPr>
            </w:pPr>
          </w:p>
        </w:tc>
        <w:tc>
          <w:tcPr>
            <w:tcW w:w="489" w:type="pct"/>
            <w:shd w:val="clear" w:color="auto" w:fill="auto"/>
            <w:vAlign w:val="center"/>
          </w:tcPr>
          <w:p w14:paraId="73E4201A">
            <w:pPr>
              <w:pStyle w:val="48"/>
              <w:rPr>
                <w:rFonts w:hint="eastAsia" w:ascii="宋体" w:hAnsi="宋体" w:eastAsia="宋体" w:cs="宋体"/>
                <w:color w:val="auto"/>
                <w:sz w:val="21"/>
                <w:szCs w:val="21"/>
                <w:highlight w:val="none"/>
                <w:lang w:val="zh-CN"/>
              </w:rPr>
            </w:pPr>
          </w:p>
        </w:tc>
      </w:tr>
      <w:tr w14:paraId="16675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261" w:type="pct"/>
            <w:shd w:val="clear" w:color="auto" w:fill="auto"/>
            <w:vAlign w:val="center"/>
          </w:tcPr>
          <w:p w14:paraId="33CCA145">
            <w:pPr>
              <w:pStyle w:val="48"/>
              <w:numPr>
                <w:ilvl w:val="0"/>
                <w:numId w:val="0"/>
              </w:numPr>
              <w:ind w:left="420" w:leftChars="0" w:hanging="42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r>
              <w:rPr>
                <w:rFonts w:hint="eastAsia" w:cs="宋体"/>
                <w:color w:val="auto"/>
                <w:kern w:val="2"/>
                <w:sz w:val="21"/>
                <w:szCs w:val="21"/>
                <w:highlight w:val="none"/>
                <w:lang w:val="en-US" w:eastAsia="zh-CN" w:bidi="ar-SA"/>
              </w:rPr>
              <w:t>0</w:t>
            </w:r>
          </w:p>
        </w:tc>
        <w:tc>
          <w:tcPr>
            <w:tcW w:w="840" w:type="pct"/>
            <w:vAlign w:val="center"/>
          </w:tcPr>
          <w:p w14:paraId="56857957">
            <w:pPr>
              <w:pStyle w:val="4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其他无效情形</w:t>
            </w:r>
          </w:p>
        </w:tc>
        <w:tc>
          <w:tcPr>
            <w:tcW w:w="3021" w:type="pct"/>
            <w:shd w:val="clear" w:color="auto" w:fill="auto"/>
            <w:vAlign w:val="center"/>
          </w:tcPr>
          <w:p w14:paraId="2D4FAC27">
            <w:pPr>
              <w:pStyle w:val="48"/>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没有</w:t>
            </w:r>
            <w:r>
              <w:rPr>
                <w:rFonts w:hint="eastAsia" w:ascii="宋体" w:hAnsi="宋体" w:eastAsia="宋体" w:cs="宋体"/>
                <w:color w:val="auto"/>
                <w:sz w:val="21"/>
                <w:szCs w:val="21"/>
                <w:highlight w:val="none"/>
                <w:lang w:val="zh-CN" w:eastAsia="zh-CN"/>
              </w:rPr>
              <w:t>法律、法规、规章规定属于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lang w:val="zh-CN" w:eastAsia="zh-CN"/>
              </w:rPr>
              <w:t>无效的其他情形。</w:t>
            </w:r>
          </w:p>
        </w:tc>
        <w:tc>
          <w:tcPr>
            <w:tcW w:w="387" w:type="pct"/>
            <w:shd w:val="clear" w:color="auto" w:fill="auto"/>
            <w:vAlign w:val="center"/>
          </w:tcPr>
          <w:p w14:paraId="1AF34C22">
            <w:pPr>
              <w:pStyle w:val="48"/>
              <w:rPr>
                <w:rFonts w:hint="eastAsia" w:ascii="宋体" w:hAnsi="宋体" w:eastAsia="宋体" w:cs="宋体"/>
                <w:color w:val="auto"/>
                <w:sz w:val="21"/>
                <w:szCs w:val="21"/>
                <w:highlight w:val="none"/>
                <w:lang w:val="zh-CN"/>
              </w:rPr>
            </w:pPr>
          </w:p>
        </w:tc>
        <w:tc>
          <w:tcPr>
            <w:tcW w:w="489" w:type="pct"/>
            <w:shd w:val="clear" w:color="auto" w:fill="auto"/>
            <w:vAlign w:val="center"/>
          </w:tcPr>
          <w:p w14:paraId="1DBF61E6">
            <w:pPr>
              <w:pStyle w:val="48"/>
              <w:rPr>
                <w:rFonts w:hint="eastAsia" w:ascii="宋体" w:hAnsi="宋体" w:eastAsia="宋体" w:cs="宋体"/>
                <w:color w:val="auto"/>
                <w:sz w:val="21"/>
                <w:szCs w:val="21"/>
                <w:highlight w:val="none"/>
                <w:lang w:val="zh-CN"/>
              </w:rPr>
            </w:pPr>
          </w:p>
        </w:tc>
      </w:tr>
    </w:tbl>
    <w:p w14:paraId="1E0763ED">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5E219564">
      <w:pPr>
        <w:pStyle w:val="14"/>
        <w:rPr>
          <w:rFonts w:hint="eastAsia" w:ascii="宋体" w:hAnsi="宋体" w:cs="宋体"/>
          <w:b/>
          <w:color w:val="auto"/>
          <w:sz w:val="24"/>
          <w:highlight w:val="none"/>
        </w:rPr>
      </w:pPr>
    </w:p>
    <w:p w14:paraId="73E7C8F7">
      <w:pPr>
        <w:rPr>
          <w:rFonts w:hint="eastAsia" w:ascii="宋体" w:hAnsi="宋体" w:cs="宋体"/>
          <w:b/>
          <w:color w:val="auto"/>
          <w:sz w:val="24"/>
          <w:highlight w:val="none"/>
        </w:rPr>
      </w:pPr>
    </w:p>
    <w:p w14:paraId="2C633FA4">
      <w:pPr>
        <w:pStyle w:val="14"/>
        <w:rPr>
          <w:rFonts w:hint="eastAsia"/>
          <w:highlight w:val="none"/>
        </w:rPr>
      </w:pPr>
    </w:p>
    <w:p w14:paraId="01436FB4">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229FF1AF">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highlight w:val="none"/>
        </w:rPr>
      </w:pPr>
    </w:p>
    <w:p w14:paraId="565A14AF">
      <w:pPr>
        <w:shd w:val="clear" w:color="auto" w:fill="FFFFFF"/>
        <w:tabs>
          <w:tab w:val="left" w:pos="3045"/>
        </w:tabs>
        <w:autoSpaceDE w:val="0"/>
        <w:autoSpaceDN w:val="0"/>
        <w:adjustRightInd w:val="0"/>
        <w:snapToGrid w:val="0"/>
        <w:spacing w:line="360" w:lineRule="exact"/>
        <w:rPr>
          <w:rFonts w:hint="eastAsia" w:ascii="宋体" w:hAnsi="宋体" w:cs="宋体"/>
          <w:b/>
          <w:color w:val="auto"/>
          <w:sz w:val="24"/>
          <w:szCs w:val="24"/>
          <w:highlight w:val="none"/>
        </w:rPr>
      </w:pPr>
    </w:p>
    <w:p w14:paraId="3DB6FBF5">
      <w:pPr>
        <w:shd w:val="clear" w:color="auto" w:fill="FFFFFF"/>
        <w:tabs>
          <w:tab w:val="left" w:pos="3045"/>
        </w:tabs>
        <w:autoSpaceDE w:val="0"/>
        <w:autoSpaceDN w:val="0"/>
        <w:adjustRightInd w:val="0"/>
        <w:snapToGrid w:val="0"/>
        <w:spacing w:line="360" w:lineRule="exact"/>
        <w:rPr>
          <w:rFonts w:hint="eastAsia"/>
          <w:color w:val="auto"/>
          <w:sz w:val="24"/>
          <w:szCs w:val="24"/>
          <w:highlight w:val="none"/>
        </w:rPr>
      </w:pPr>
      <w:r>
        <w:rPr>
          <w:rFonts w:hint="eastAsia" w:ascii="宋体" w:hAnsi="宋体" w:cs="宋体"/>
          <w:b/>
          <w:color w:val="auto"/>
          <w:sz w:val="24"/>
          <w:szCs w:val="24"/>
          <w:highlight w:val="none"/>
        </w:rPr>
        <w:t>符合</w:t>
      </w:r>
      <w:r>
        <w:rPr>
          <w:rFonts w:hint="eastAsia" w:ascii="宋体" w:hAnsi="宋体" w:cs="宋体"/>
          <w:b/>
          <w:color w:val="auto"/>
          <w:sz w:val="24"/>
          <w:szCs w:val="24"/>
          <w:highlight w:val="none"/>
          <w:lang w:eastAsia="zh-CN"/>
        </w:rPr>
        <w:t>性</w:t>
      </w:r>
      <w:r>
        <w:rPr>
          <w:rFonts w:hint="eastAsia" w:cs="宋体"/>
          <w:b/>
          <w:color w:val="auto"/>
          <w:sz w:val="24"/>
          <w:szCs w:val="24"/>
          <w:highlight w:val="none"/>
          <w:lang w:val="en-US" w:eastAsia="zh-CN"/>
        </w:rPr>
        <w:t>审查表-</w:t>
      </w:r>
      <w:r>
        <w:rPr>
          <w:rFonts w:hint="eastAsia" w:ascii="宋体" w:hAnsi="宋体" w:cs="宋体"/>
          <w:b/>
          <w:color w:val="auto"/>
          <w:sz w:val="24"/>
          <w:szCs w:val="24"/>
          <w:highlight w:val="none"/>
        </w:rPr>
        <w:t>附表</w:t>
      </w:r>
    </w:p>
    <w:p w14:paraId="70584E38">
      <w:pPr>
        <w:pStyle w:val="2"/>
        <w:keepNext/>
        <w:keepLines/>
        <w:pageBreakBefore w:val="0"/>
        <w:widowControl w:val="0"/>
        <w:numPr>
          <w:ilvl w:val="0"/>
          <w:numId w:val="0"/>
        </w:numPr>
        <w:kinsoku/>
        <w:wordWrap/>
        <w:overflowPunct/>
        <w:topLinePunct w:val="0"/>
        <w:autoSpaceDE/>
        <w:autoSpaceDN/>
        <w:bidi w:val="0"/>
        <w:adjustRightInd/>
        <w:snapToGrid/>
        <w:spacing w:before="80" w:after="80" w:line="240" w:lineRule="auto"/>
        <w:ind w:left="420" w:leftChars="0" w:hanging="420" w:firstLineChars="0"/>
        <w:jc w:val="center"/>
        <w:textAlignment w:val="auto"/>
        <w:rPr>
          <w:rFonts w:hint="eastAsia" w:ascii="宋体" w:hAnsi="宋体" w:eastAsia="宋体" w:cstheme="minorBidi"/>
          <w:b/>
          <w:bCs/>
          <w:color w:val="auto"/>
          <w:kern w:val="2"/>
          <w:sz w:val="28"/>
          <w:szCs w:val="28"/>
          <w:highlight w:val="none"/>
          <w:lang w:val="zh-CN" w:eastAsia="zh-CN" w:bidi="ar-SA"/>
        </w:rPr>
      </w:pPr>
      <w:bookmarkStart w:id="566" w:name="_Toc3959"/>
      <w:bookmarkStart w:id="567" w:name="_Toc10068"/>
      <w:r>
        <w:rPr>
          <w:rFonts w:hint="eastAsia" w:ascii="宋体" w:hAnsi="宋体" w:eastAsia="宋体" w:cstheme="minorBidi"/>
          <w:b/>
          <w:bCs/>
          <w:color w:val="auto"/>
          <w:kern w:val="2"/>
          <w:sz w:val="28"/>
          <w:szCs w:val="28"/>
          <w:highlight w:val="none"/>
          <w:lang w:val="zh-CN" w:eastAsia="zh-CN" w:bidi="ar-SA"/>
        </w:rPr>
        <w:t>实质性响应一览表</w:t>
      </w:r>
      <w:bookmarkEnd w:id="566"/>
      <w:bookmarkEnd w:id="567"/>
    </w:p>
    <w:p w14:paraId="7DFD9111">
      <w:pPr>
        <w:shd w:val="clear" w:color="auto" w:fill="FFFFFF"/>
        <w:tabs>
          <w:tab w:val="left" w:pos="3045"/>
        </w:tabs>
        <w:autoSpaceDE w:val="0"/>
        <w:autoSpaceDN w:val="0"/>
        <w:adjustRightInd w:val="0"/>
        <w:snapToGrid w:val="0"/>
        <w:spacing w:line="360" w:lineRule="exact"/>
        <w:jc w:val="center"/>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w:t>
      </w:r>
      <w:r>
        <w:rPr>
          <w:rFonts w:hint="eastAsia" w:cs="宋体"/>
          <w:b w:val="0"/>
          <w:bCs/>
          <w:color w:val="auto"/>
          <w:sz w:val="24"/>
          <w:szCs w:val="24"/>
          <w:highlight w:val="none"/>
          <w:lang w:val="en-US" w:eastAsia="zh-CN"/>
        </w:rPr>
        <w:t>投标人</w:t>
      </w:r>
      <w:r>
        <w:rPr>
          <w:rFonts w:hint="eastAsia" w:ascii="宋体" w:hAnsi="宋体" w:cs="宋体"/>
          <w:b w:val="0"/>
          <w:bCs/>
          <w:color w:val="auto"/>
          <w:sz w:val="24"/>
          <w:szCs w:val="24"/>
          <w:highlight w:val="none"/>
        </w:rPr>
        <w:t>须对本附表所有内容逐条响应且无负偏离，否则</w:t>
      </w:r>
      <w:r>
        <w:rPr>
          <w:rFonts w:hint="eastAsia" w:cs="宋体"/>
          <w:b w:val="0"/>
          <w:bCs/>
          <w:color w:val="auto"/>
          <w:sz w:val="24"/>
          <w:szCs w:val="24"/>
          <w:highlight w:val="none"/>
          <w:lang w:val="en-US" w:eastAsia="zh-CN"/>
        </w:rPr>
        <w:t>其</w:t>
      </w:r>
      <w:r>
        <w:rPr>
          <w:rFonts w:hint="eastAsia" w:ascii="宋体" w:hAnsi="宋体" w:cs="宋体"/>
          <w:b/>
          <w:bCs w:val="0"/>
          <w:color w:val="auto"/>
          <w:sz w:val="24"/>
          <w:szCs w:val="24"/>
          <w:highlight w:val="none"/>
        </w:rPr>
        <w:t>投标无效</w:t>
      </w:r>
      <w:r>
        <w:rPr>
          <w:rFonts w:hint="eastAsia" w:ascii="宋体" w:hAnsi="宋体" w:cs="宋体"/>
          <w:b w:val="0"/>
          <w:bCs/>
          <w:color w:val="auto"/>
          <w:sz w:val="24"/>
          <w:szCs w:val="24"/>
          <w:highlight w:val="none"/>
        </w:rPr>
        <w:t>）</w:t>
      </w:r>
    </w:p>
    <w:p w14:paraId="212CF784">
      <w:pPr>
        <w:pStyle w:val="23"/>
        <w:rPr>
          <w:rFonts w:hint="eastAsia" w:ascii="宋体" w:hAnsi="宋体" w:cs="宋体"/>
          <w:color w:val="auto"/>
          <w:sz w:val="24"/>
          <w:szCs w:val="24"/>
          <w:highlight w:val="none"/>
        </w:rPr>
      </w:pPr>
    </w:p>
    <w:tbl>
      <w:tblPr>
        <w:tblStyle w:val="29"/>
        <w:tblW w:w="5435"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2"/>
        <w:gridCol w:w="4259"/>
        <w:gridCol w:w="1873"/>
        <w:gridCol w:w="732"/>
      </w:tblGrid>
      <w:tr w14:paraId="098C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0" w:type="pct"/>
            <w:vMerge w:val="restart"/>
            <w:noWrap w:val="0"/>
            <w:vAlign w:val="center"/>
          </w:tcPr>
          <w:p w14:paraId="7CE32AA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3373" w:type="pct"/>
            <w:gridSpan w:val="2"/>
            <w:noWrap w:val="0"/>
            <w:vAlign w:val="center"/>
          </w:tcPr>
          <w:p w14:paraId="01AF850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招标文件要求的实质性响应内容</w:t>
            </w:r>
          </w:p>
        </w:tc>
        <w:tc>
          <w:tcPr>
            <w:tcW w:w="1010" w:type="pct"/>
            <w:vMerge w:val="restart"/>
            <w:noWrap w:val="0"/>
            <w:vAlign w:val="center"/>
          </w:tcPr>
          <w:p w14:paraId="2428BDFD">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投标文件响应</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具体内容</w:t>
            </w:r>
          </w:p>
        </w:tc>
        <w:tc>
          <w:tcPr>
            <w:tcW w:w="395" w:type="pct"/>
            <w:vMerge w:val="restart"/>
            <w:noWrap w:val="0"/>
            <w:vAlign w:val="center"/>
          </w:tcPr>
          <w:p w14:paraId="2BD3180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F69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0" w:type="pct"/>
            <w:vMerge w:val="continue"/>
            <w:noWrap w:val="0"/>
            <w:vAlign w:val="center"/>
          </w:tcPr>
          <w:p w14:paraId="03EF4065">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1075" w:type="pct"/>
            <w:shd w:val="clear" w:color="auto" w:fill="auto"/>
            <w:noWrap w:val="0"/>
            <w:vAlign w:val="center"/>
          </w:tcPr>
          <w:p w14:paraId="5FC570A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实质性要求</w:t>
            </w:r>
          </w:p>
        </w:tc>
        <w:tc>
          <w:tcPr>
            <w:tcW w:w="2298" w:type="pct"/>
            <w:shd w:val="clear" w:color="auto" w:fill="auto"/>
            <w:noWrap w:val="0"/>
            <w:vAlign w:val="center"/>
          </w:tcPr>
          <w:p w14:paraId="19DBCA5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招标文件中的规定</w:t>
            </w:r>
          </w:p>
        </w:tc>
        <w:tc>
          <w:tcPr>
            <w:tcW w:w="1010" w:type="pct"/>
            <w:vMerge w:val="continue"/>
            <w:noWrap w:val="0"/>
            <w:vAlign w:val="center"/>
          </w:tcPr>
          <w:p w14:paraId="6263BFD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c>
          <w:tcPr>
            <w:tcW w:w="395" w:type="pct"/>
            <w:vMerge w:val="continue"/>
            <w:noWrap w:val="0"/>
            <w:vAlign w:val="center"/>
          </w:tcPr>
          <w:p w14:paraId="1B79935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p>
        </w:tc>
      </w:tr>
      <w:tr w14:paraId="0E72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220" w:type="pct"/>
            <w:noWrap w:val="0"/>
            <w:vAlign w:val="center"/>
          </w:tcPr>
          <w:p w14:paraId="7ECA803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75" w:type="pct"/>
            <w:shd w:val="clear" w:color="auto" w:fill="auto"/>
            <w:noWrap w:val="0"/>
            <w:vAlign w:val="center"/>
          </w:tcPr>
          <w:p w14:paraId="6264251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投标有效期</w:t>
            </w:r>
          </w:p>
        </w:tc>
        <w:tc>
          <w:tcPr>
            <w:tcW w:w="2298" w:type="pct"/>
            <w:shd w:val="clear" w:color="auto" w:fill="auto"/>
            <w:noWrap w:val="0"/>
            <w:vAlign w:val="center"/>
          </w:tcPr>
          <w:p w14:paraId="3517C392">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招标文件“第二章投标须知”关于投标有效期的规定</w:t>
            </w:r>
          </w:p>
        </w:tc>
        <w:tc>
          <w:tcPr>
            <w:tcW w:w="1010" w:type="pct"/>
            <w:noWrap w:val="0"/>
            <w:vAlign w:val="center"/>
          </w:tcPr>
          <w:p w14:paraId="3F7DA8E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投标人在</w:t>
            </w:r>
            <w:r>
              <w:rPr>
                <w:rFonts w:hint="eastAsia" w:ascii="宋体" w:hAnsi="宋体" w:eastAsia="宋体" w:cs="宋体"/>
                <w:color w:val="auto"/>
                <w:sz w:val="21"/>
                <w:szCs w:val="21"/>
                <w:highlight w:val="none"/>
              </w:rPr>
              <w:t>此处填写</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文件的相关内容</w:t>
            </w:r>
            <w:r>
              <w:rPr>
                <w:rFonts w:hint="eastAsia" w:ascii="宋体" w:hAnsi="宋体" w:eastAsia="宋体" w:cs="宋体"/>
                <w:color w:val="auto"/>
                <w:sz w:val="21"/>
                <w:szCs w:val="21"/>
                <w:highlight w:val="none"/>
                <w:lang w:eastAsia="zh-CN"/>
              </w:rPr>
              <w:t>】</w:t>
            </w:r>
          </w:p>
        </w:tc>
        <w:tc>
          <w:tcPr>
            <w:tcW w:w="395" w:type="pct"/>
            <w:noWrap w:val="0"/>
            <w:vAlign w:val="center"/>
          </w:tcPr>
          <w:p w14:paraId="729A312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671C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20" w:type="pct"/>
            <w:noWrap w:val="0"/>
            <w:vAlign w:val="center"/>
          </w:tcPr>
          <w:p w14:paraId="7956169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75" w:type="pct"/>
            <w:shd w:val="clear" w:color="auto" w:fill="auto"/>
            <w:noWrap w:val="0"/>
            <w:vAlign w:val="center"/>
          </w:tcPr>
          <w:p w14:paraId="7FB35A2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i w:val="0"/>
                <w:iCs w:val="0"/>
                <w:color w:val="auto"/>
                <w:kern w:val="2"/>
                <w:sz w:val="21"/>
                <w:szCs w:val="21"/>
                <w:highlight w:val="none"/>
                <w:lang w:val="en-US" w:eastAsia="zh-CN" w:bidi="ar-SA"/>
              </w:rPr>
            </w:pPr>
            <w:r>
              <w:rPr>
                <w:rFonts w:hint="eastAsia" w:cs="宋体"/>
                <w:i w:val="0"/>
                <w:iCs w:val="0"/>
                <w:color w:val="auto"/>
                <w:sz w:val="21"/>
                <w:szCs w:val="21"/>
                <w:highlight w:val="none"/>
                <w:lang w:val="en-US" w:eastAsia="zh-CN"/>
              </w:rPr>
              <w:t>供货期</w:t>
            </w:r>
          </w:p>
        </w:tc>
        <w:tc>
          <w:tcPr>
            <w:tcW w:w="2298" w:type="pct"/>
            <w:shd w:val="clear" w:color="auto" w:fill="auto"/>
            <w:noWrap w:val="0"/>
            <w:vAlign w:val="center"/>
          </w:tcPr>
          <w:p w14:paraId="119C002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招标文件“第二章投标须知”关于</w:t>
            </w:r>
            <w:r>
              <w:rPr>
                <w:rFonts w:hint="eastAsia" w:cs="宋体"/>
                <w:i w:val="0"/>
                <w:iCs w:val="0"/>
                <w:color w:val="auto"/>
                <w:sz w:val="21"/>
                <w:szCs w:val="21"/>
                <w:highlight w:val="none"/>
                <w:lang w:val="en-US" w:eastAsia="zh-CN"/>
              </w:rPr>
              <w:t>供货期</w:t>
            </w:r>
            <w:r>
              <w:rPr>
                <w:rFonts w:hint="eastAsia" w:ascii="宋体" w:hAnsi="宋体" w:eastAsia="宋体" w:cs="宋体"/>
                <w:color w:val="auto"/>
                <w:sz w:val="21"/>
                <w:szCs w:val="21"/>
                <w:highlight w:val="none"/>
                <w:lang w:val="en-US" w:eastAsia="zh-CN"/>
              </w:rPr>
              <w:t>的规定</w:t>
            </w:r>
          </w:p>
        </w:tc>
        <w:tc>
          <w:tcPr>
            <w:tcW w:w="1010" w:type="pct"/>
            <w:noWrap w:val="0"/>
            <w:vAlign w:val="center"/>
          </w:tcPr>
          <w:p w14:paraId="5BB89004">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投标人在</w:t>
            </w:r>
            <w:r>
              <w:rPr>
                <w:rFonts w:hint="eastAsia" w:ascii="宋体" w:hAnsi="宋体" w:eastAsia="宋体" w:cs="宋体"/>
                <w:color w:val="auto"/>
                <w:sz w:val="21"/>
                <w:szCs w:val="21"/>
                <w:highlight w:val="none"/>
              </w:rPr>
              <w:t>此处填写</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文件的相关内容</w:t>
            </w:r>
            <w:r>
              <w:rPr>
                <w:rFonts w:hint="eastAsia" w:ascii="宋体" w:hAnsi="宋体" w:eastAsia="宋体" w:cs="宋体"/>
                <w:color w:val="auto"/>
                <w:sz w:val="21"/>
                <w:szCs w:val="21"/>
                <w:highlight w:val="none"/>
                <w:lang w:eastAsia="zh-CN"/>
              </w:rPr>
              <w:t>】</w:t>
            </w:r>
          </w:p>
        </w:tc>
        <w:tc>
          <w:tcPr>
            <w:tcW w:w="395" w:type="pct"/>
            <w:noWrap w:val="0"/>
            <w:vAlign w:val="center"/>
          </w:tcPr>
          <w:p w14:paraId="0E4E117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3505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20" w:type="pct"/>
            <w:shd w:val="clear" w:color="auto" w:fill="auto"/>
            <w:noWrap w:val="0"/>
            <w:vAlign w:val="center"/>
          </w:tcPr>
          <w:p w14:paraId="7D5DC93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1075" w:type="pct"/>
            <w:shd w:val="clear" w:color="auto" w:fill="auto"/>
            <w:noWrap w:val="0"/>
            <w:vAlign w:val="center"/>
          </w:tcPr>
          <w:p w14:paraId="505EE26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sz w:val="21"/>
                <w:szCs w:val="21"/>
                <w:highlight w:val="none"/>
                <w:lang w:val="en-US" w:eastAsia="zh-CN"/>
              </w:rPr>
              <w:t>质保期</w:t>
            </w:r>
          </w:p>
        </w:tc>
        <w:tc>
          <w:tcPr>
            <w:tcW w:w="2298" w:type="pct"/>
            <w:shd w:val="clear" w:color="auto" w:fill="auto"/>
            <w:noWrap w:val="0"/>
            <w:vAlign w:val="center"/>
          </w:tcPr>
          <w:p w14:paraId="324EF1FF">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招标文件“第二章投标须知”关于</w:t>
            </w:r>
            <w:r>
              <w:rPr>
                <w:rFonts w:hint="eastAsia" w:cs="宋体"/>
                <w:color w:val="auto"/>
                <w:sz w:val="21"/>
                <w:szCs w:val="21"/>
                <w:highlight w:val="none"/>
                <w:lang w:val="en-US" w:eastAsia="zh-CN"/>
              </w:rPr>
              <w:t>质保期</w:t>
            </w:r>
            <w:r>
              <w:rPr>
                <w:rFonts w:hint="eastAsia" w:ascii="宋体" w:hAnsi="宋体" w:eastAsia="宋体" w:cs="宋体"/>
                <w:color w:val="auto"/>
                <w:sz w:val="21"/>
                <w:szCs w:val="21"/>
                <w:highlight w:val="none"/>
                <w:lang w:val="en-US" w:eastAsia="zh-CN"/>
              </w:rPr>
              <w:t>的规定</w:t>
            </w:r>
          </w:p>
        </w:tc>
        <w:tc>
          <w:tcPr>
            <w:tcW w:w="1010" w:type="pct"/>
            <w:noWrap w:val="0"/>
            <w:vAlign w:val="center"/>
          </w:tcPr>
          <w:p w14:paraId="042BD64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投标人在</w:t>
            </w:r>
            <w:r>
              <w:rPr>
                <w:rFonts w:hint="eastAsia" w:ascii="宋体" w:hAnsi="宋体" w:eastAsia="宋体" w:cs="宋体"/>
                <w:color w:val="auto"/>
                <w:sz w:val="21"/>
                <w:szCs w:val="21"/>
                <w:highlight w:val="none"/>
              </w:rPr>
              <w:t>此处填写</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文件的相关内容</w:t>
            </w:r>
            <w:r>
              <w:rPr>
                <w:rFonts w:hint="eastAsia" w:ascii="宋体" w:hAnsi="宋体" w:eastAsia="宋体" w:cs="宋体"/>
                <w:color w:val="auto"/>
                <w:sz w:val="21"/>
                <w:szCs w:val="21"/>
                <w:highlight w:val="none"/>
                <w:lang w:eastAsia="zh-CN"/>
              </w:rPr>
              <w:t>】</w:t>
            </w:r>
          </w:p>
        </w:tc>
        <w:tc>
          <w:tcPr>
            <w:tcW w:w="395" w:type="pct"/>
            <w:noWrap w:val="0"/>
            <w:vAlign w:val="center"/>
          </w:tcPr>
          <w:p w14:paraId="458E18A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0126A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0" w:type="pct"/>
            <w:shd w:val="clear" w:color="auto" w:fill="auto"/>
            <w:noWrap w:val="0"/>
            <w:vAlign w:val="center"/>
          </w:tcPr>
          <w:p w14:paraId="24A010C1">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c>
          <w:tcPr>
            <w:tcW w:w="1075" w:type="pct"/>
            <w:shd w:val="clear" w:color="auto" w:fill="auto"/>
            <w:noWrap w:val="0"/>
            <w:vAlign w:val="center"/>
          </w:tcPr>
          <w:p w14:paraId="127FA675">
            <w:pPr>
              <w:keepNext w:val="0"/>
              <w:keepLines w:val="0"/>
              <w:pageBreakBefore w:val="0"/>
              <w:widowControl w:val="0"/>
              <w:kinsoku/>
              <w:wordWrap/>
              <w:overflowPunct/>
              <w:topLinePunct w:val="0"/>
              <w:bidi w:val="0"/>
              <w:adjustRightInd/>
              <w:snapToGrid/>
              <w:spacing w:line="360" w:lineRule="exact"/>
              <w:textAlignment w:val="auto"/>
              <w:rPr>
                <w:rFonts w:hint="default"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投标保证金</w:t>
            </w:r>
          </w:p>
        </w:tc>
        <w:tc>
          <w:tcPr>
            <w:tcW w:w="2298" w:type="pct"/>
            <w:shd w:val="clear" w:color="auto" w:fill="auto"/>
            <w:noWrap w:val="0"/>
            <w:vAlign w:val="center"/>
          </w:tcPr>
          <w:p w14:paraId="723D0D7F">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招标文件“第二章投标须知”关于</w:t>
            </w:r>
            <w:r>
              <w:rPr>
                <w:rFonts w:hint="eastAsia" w:cs="宋体"/>
                <w:color w:val="auto"/>
                <w:kern w:val="2"/>
                <w:sz w:val="21"/>
                <w:szCs w:val="21"/>
                <w:highlight w:val="none"/>
                <w:lang w:val="en-US" w:eastAsia="zh-CN" w:bidi="ar-SA"/>
              </w:rPr>
              <w:t>投标保证金</w:t>
            </w:r>
            <w:r>
              <w:rPr>
                <w:rFonts w:hint="eastAsia" w:ascii="宋体" w:hAnsi="宋体" w:eastAsia="宋体" w:cs="宋体"/>
                <w:color w:val="auto"/>
                <w:sz w:val="21"/>
                <w:szCs w:val="21"/>
                <w:highlight w:val="none"/>
                <w:lang w:val="en-US" w:eastAsia="zh-CN"/>
              </w:rPr>
              <w:t>的规定</w:t>
            </w:r>
          </w:p>
        </w:tc>
        <w:tc>
          <w:tcPr>
            <w:tcW w:w="1010" w:type="pct"/>
            <w:noWrap w:val="0"/>
            <w:vAlign w:val="center"/>
          </w:tcPr>
          <w:p w14:paraId="6E29F27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投标人在</w:t>
            </w:r>
            <w:r>
              <w:rPr>
                <w:rFonts w:hint="eastAsia" w:ascii="宋体" w:hAnsi="宋体" w:eastAsia="宋体" w:cs="宋体"/>
                <w:color w:val="auto"/>
                <w:sz w:val="21"/>
                <w:szCs w:val="21"/>
                <w:highlight w:val="none"/>
              </w:rPr>
              <w:t>此处填写</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lang w:val="en-US" w:eastAsia="zh-CN"/>
              </w:rPr>
              <w:t>文件的相关内容</w:t>
            </w:r>
            <w:r>
              <w:rPr>
                <w:rFonts w:hint="eastAsia" w:ascii="宋体" w:hAnsi="宋体" w:eastAsia="宋体" w:cs="宋体"/>
                <w:color w:val="auto"/>
                <w:sz w:val="21"/>
                <w:szCs w:val="21"/>
                <w:highlight w:val="none"/>
                <w:lang w:eastAsia="zh-CN"/>
              </w:rPr>
              <w:t>】</w:t>
            </w:r>
          </w:p>
        </w:tc>
        <w:tc>
          <w:tcPr>
            <w:tcW w:w="395" w:type="pct"/>
            <w:noWrap w:val="0"/>
            <w:vAlign w:val="center"/>
          </w:tcPr>
          <w:p w14:paraId="63A4B6F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188F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20" w:type="pct"/>
            <w:shd w:val="clear" w:color="auto" w:fill="auto"/>
            <w:noWrap w:val="0"/>
            <w:vAlign w:val="center"/>
          </w:tcPr>
          <w:p w14:paraId="7D889D64">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1075" w:type="pct"/>
            <w:noWrap w:val="0"/>
            <w:vAlign w:val="center"/>
          </w:tcPr>
          <w:p w14:paraId="1BACABE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val="en-US" w:eastAsia="zh-CN"/>
              </w:rPr>
            </w:pPr>
          </w:p>
        </w:tc>
        <w:tc>
          <w:tcPr>
            <w:tcW w:w="2298" w:type="pct"/>
            <w:noWrap w:val="0"/>
            <w:vAlign w:val="center"/>
          </w:tcPr>
          <w:p w14:paraId="6AF4E488">
            <w:pPr>
              <w:pStyle w:val="73"/>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color w:val="auto"/>
                <w:kern w:val="0"/>
                <w:sz w:val="21"/>
                <w:szCs w:val="21"/>
                <w:highlight w:val="none"/>
                <w:lang w:val="en-US" w:eastAsia="zh-CN" w:bidi="ar-SA"/>
              </w:rPr>
            </w:pPr>
          </w:p>
        </w:tc>
        <w:tc>
          <w:tcPr>
            <w:tcW w:w="1010" w:type="pct"/>
            <w:noWrap w:val="0"/>
            <w:vAlign w:val="center"/>
          </w:tcPr>
          <w:p w14:paraId="5791DDF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c>
          <w:tcPr>
            <w:tcW w:w="395" w:type="pct"/>
            <w:noWrap w:val="0"/>
            <w:vAlign w:val="center"/>
          </w:tcPr>
          <w:p w14:paraId="4FAB139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7D82C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0" w:type="pct"/>
            <w:shd w:val="clear" w:color="auto" w:fill="auto"/>
            <w:noWrap w:val="0"/>
            <w:vAlign w:val="center"/>
          </w:tcPr>
          <w:p w14:paraId="1D658F7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1075" w:type="pct"/>
            <w:noWrap w:val="0"/>
            <w:vAlign w:val="center"/>
          </w:tcPr>
          <w:p w14:paraId="76B2B25F">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val="en-US" w:eastAsia="zh-CN"/>
              </w:rPr>
            </w:pPr>
          </w:p>
        </w:tc>
        <w:tc>
          <w:tcPr>
            <w:tcW w:w="2298" w:type="pct"/>
            <w:noWrap w:val="0"/>
            <w:vAlign w:val="center"/>
          </w:tcPr>
          <w:p w14:paraId="080CF7F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1"/>
                <w:szCs w:val="21"/>
                <w:highlight w:val="none"/>
                <w:lang w:val="en-US" w:eastAsia="zh-CN" w:bidi="ar-SA"/>
              </w:rPr>
            </w:pPr>
          </w:p>
        </w:tc>
        <w:tc>
          <w:tcPr>
            <w:tcW w:w="1010" w:type="pct"/>
            <w:noWrap w:val="0"/>
            <w:vAlign w:val="center"/>
          </w:tcPr>
          <w:p w14:paraId="404E91E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c>
          <w:tcPr>
            <w:tcW w:w="395" w:type="pct"/>
            <w:noWrap w:val="0"/>
            <w:vAlign w:val="center"/>
          </w:tcPr>
          <w:p w14:paraId="4B03ECB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581E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220" w:type="pct"/>
            <w:shd w:val="clear" w:color="auto" w:fill="auto"/>
            <w:noWrap w:val="0"/>
            <w:vAlign w:val="center"/>
          </w:tcPr>
          <w:p w14:paraId="2A12EC9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7</w:t>
            </w:r>
          </w:p>
        </w:tc>
        <w:tc>
          <w:tcPr>
            <w:tcW w:w="1075" w:type="pct"/>
            <w:noWrap w:val="0"/>
            <w:vAlign w:val="center"/>
          </w:tcPr>
          <w:p w14:paraId="0BFE6DF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val="en-US" w:eastAsia="zh-CN"/>
              </w:rPr>
            </w:pPr>
          </w:p>
        </w:tc>
        <w:tc>
          <w:tcPr>
            <w:tcW w:w="2298" w:type="pct"/>
            <w:noWrap w:val="0"/>
            <w:vAlign w:val="center"/>
          </w:tcPr>
          <w:p w14:paraId="70263471">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1"/>
                <w:szCs w:val="21"/>
                <w:highlight w:val="none"/>
                <w:lang w:val="en-US" w:eastAsia="zh-CN"/>
              </w:rPr>
            </w:pPr>
          </w:p>
        </w:tc>
        <w:tc>
          <w:tcPr>
            <w:tcW w:w="1010" w:type="pct"/>
            <w:noWrap w:val="0"/>
            <w:vAlign w:val="center"/>
          </w:tcPr>
          <w:p w14:paraId="7D8F15D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c>
          <w:tcPr>
            <w:tcW w:w="395" w:type="pct"/>
            <w:noWrap w:val="0"/>
            <w:vAlign w:val="center"/>
          </w:tcPr>
          <w:p w14:paraId="4F0FDAA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r w14:paraId="409E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20" w:type="pct"/>
            <w:noWrap w:val="0"/>
            <w:vAlign w:val="center"/>
          </w:tcPr>
          <w:p w14:paraId="225EEE9F">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1"/>
                <w:szCs w:val="21"/>
                <w:highlight w:val="none"/>
                <w:lang w:val="en-US" w:eastAsia="zh-CN"/>
              </w:rPr>
            </w:pPr>
          </w:p>
        </w:tc>
        <w:tc>
          <w:tcPr>
            <w:tcW w:w="1075" w:type="pct"/>
            <w:shd w:val="clear" w:color="auto" w:fill="auto"/>
            <w:noWrap w:val="0"/>
            <w:vAlign w:val="center"/>
          </w:tcPr>
          <w:p w14:paraId="4AA8125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lang w:val="zh-CN" w:eastAsia="zh-CN"/>
              </w:rPr>
            </w:pPr>
          </w:p>
        </w:tc>
        <w:tc>
          <w:tcPr>
            <w:tcW w:w="2298" w:type="pct"/>
            <w:noWrap w:val="0"/>
            <w:vAlign w:val="center"/>
          </w:tcPr>
          <w:p w14:paraId="5D3B3A0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lang w:eastAsia="zh-CN"/>
              </w:rPr>
            </w:pPr>
          </w:p>
        </w:tc>
        <w:tc>
          <w:tcPr>
            <w:tcW w:w="1010" w:type="pct"/>
            <w:noWrap w:val="0"/>
            <w:vAlign w:val="center"/>
          </w:tcPr>
          <w:p w14:paraId="22A79CB5">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c>
          <w:tcPr>
            <w:tcW w:w="395" w:type="pct"/>
            <w:noWrap w:val="0"/>
            <w:vAlign w:val="center"/>
          </w:tcPr>
          <w:p w14:paraId="1D5F24C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1"/>
                <w:szCs w:val="21"/>
                <w:highlight w:val="none"/>
              </w:rPr>
            </w:pPr>
          </w:p>
        </w:tc>
      </w:tr>
    </w:tbl>
    <w:p w14:paraId="6BF21A77">
      <w:pPr>
        <w:rPr>
          <w:rFonts w:hint="eastAsia"/>
          <w:b/>
          <w:bCs/>
          <w:color w:val="auto"/>
          <w:highlight w:val="none"/>
          <w:lang w:val="en-US" w:eastAsia="zh-CN"/>
        </w:rPr>
      </w:pPr>
    </w:p>
    <w:p w14:paraId="73C7580B">
      <w:pPr>
        <w:rPr>
          <w:rFonts w:hint="default" w:eastAsia="宋体"/>
          <w:b/>
          <w:bCs/>
          <w:color w:val="auto"/>
          <w:sz w:val="21"/>
          <w:szCs w:val="21"/>
          <w:highlight w:val="none"/>
          <w:lang w:val="en-US" w:eastAsia="zh-CN"/>
        </w:rPr>
      </w:pPr>
      <w:r>
        <w:rPr>
          <w:rFonts w:hint="eastAsia"/>
          <w:b/>
          <w:bCs/>
          <w:color w:val="auto"/>
          <w:sz w:val="21"/>
          <w:szCs w:val="21"/>
          <w:highlight w:val="none"/>
          <w:lang w:val="en-US" w:eastAsia="zh-CN"/>
        </w:rPr>
        <w:t>注：“实质性响应一览表”中的内容为参考，可根据项目情况自行设置。</w:t>
      </w:r>
    </w:p>
    <w:p w14:paraId="48517D6B">
      <w:pPr>
        <w:shd w:val="clear" w:color="auto" w:fill="FFFFFF"/>
        <w:tabs>
          <w:tab w:val="left" w:pos="3045"/>
        </w:tabs>
        <w:autoSpaceDE w:val="0"/>
        <w:autoSpaceDN w:val="0"/>
        <w:adjustRightInd w:val="0"/>
        <w:snapToGrid w:val="0"/>
        <w:spacing w:line="360" w:lineRule="exact"/>
        <w:rPr>
          <w:rFonts w:hint="eastAsia" w:ascii="宋体" w:hAnsi="宋体" w:eastAsia="宋体" w:cstheme="minorBidi"/>
          <w:b/>
          <w:bCs/>
          <w:color w:val="auto"/>
          <w:kern w:val="2"/>
          <w:sz w:val="30"/>
          <w:szCs w:val="32"/>
          <w:highlight w:val="none"/>
          <w:lang w:val="zh-CN" w:eastAsia="zh-CN" w:bidi="ar-SA"/>
        </w:rPr>
      </w:pPr>
      <w:bookmarkStart w:id="568" w:name="_Toc155185917"/>
      <w:bookmarkStart w:id="569" w:name="_Toc163492910"/>
      <w:r>
        <w:rPr>
          <w:rFonts w:hint="eastAsia" w:ascii="宋体" w:hAnsi="宋体" w:eastAsia="宋体" w:cstheme="minorBidi"/>
          <w:b/>
          <w:bCs/>
          <w:color w:val="auto"/>
          <w:kern w:val="2"/>
          <w:sz w:val="30"/>
          <w:szCs w:val="32"/>
          <w:highlight w:val="none"/>
          <w:lang w:val="zh-CN" w:eastAsia="zh-CN" w:bidi="ar-SA"/>
        </w:rPr>
        <w:br w:type="page"/>
      </w:r>
    </w:p>
    <w:p w14:paraId="3FE0903E">
      <w:pPr>
        <w:pStyle w:val="2"/>
        <w:keepNext w:val="0"/>
        <w:keepLines w:val="0"/>
        <w:pageBreakBefore w:val="0"/>
        <w:widowControl w:val="0"/>
        <w:numPr>
          <w:ilvl w:val="0"/>
          <w:numId w:val="0"/>
        </w:numPr>
        <w:kinsoku/>
        <w:wordWrap/>
        <w:overflowPunct/>
        <w:topLinePunct w:val="0"/>
        <w:autoSpaceDE/>
        <w:autoSpaceDN/>
        <w:bidi w:val="0"/>
        <w:adjustRightInd/>
        <w:snapToGrid/>
        <w:spacing w:before="160" w:after="160" w:line="360" w:lineRule="auto"/>
        <w:ind w:left="420" w:leftChars="0" w:hanging="420" w:firstLineChars="0"/>
        <w:textAlignment w:val="auto"/>
        <w:rPr>
          <w:rFonts w:hint="eastAsia" w:ascii="宋体" w:hAnsi="宋体" w:eastAsia="宋体" w:cs="宋体"/>
          <w:b/>
          <w:bCs/>
          <w:color w:val="auto"/>
          <w:kern w:val="2"/>
          <w:sz w:val="24"/>
          <w:szCs w:val="24"/>
          <w:highlight w:val="none"/>
          <w:lang w:val="zh-CN" w:eastAsia="zh-CN" w:bidi="ar-SA"/>
        </w:rPr>
      </w:pPr>
      <w:bookmarkStart w:id="570" w:name="_Toc21870"/>
      <w:bookmarkStart w:id="571" w:name="_Toc10178"/>
      <w:r>
        <w:rPr>
          <w:rFonts w:hint="eastAsia" w:ascii="宋体" w:hAnsi="宋体" w:eastAsia="宋体" w:cs="宋体"/>
          <w:b/>
          <w:bCs/>
          <w:color w:val="auto"/>
          <w:kern w:val="2"/>
          <w:sz w:val="24"/>
          <w:szCs w:val="24"/>
          <w:highlight w:val="none"/>
          <w:lang w:val="zh-CN" w:eastAsia="zh-CN" w:bidi="ar-SA"/>
        </w:rPr>
        <w:t>（二）评分标准</w:t>
      </w:r>
      <w:bookmarkEnd w:id="568"/>
      <w:bookmarkEnd w:id="569"/>
      <w:bookmarkEnd w:id="570"/>
      <w:bookmarkEnd w:id="571"/>
    </w:p>
    <w:p w14:paraId="06EEC6BD">
      <w:pPr>
        <w:rPr>
          <w:rFonts w:hint="default"/>
          <w:b/>
          <w:bCs/>
          <w:color w:val="auto"/>
          <w:sz w:val="21"/>
          <w:szCs w:val="21"/>
          <w:highlight w:val="none"/>
          <w:lang w:val="en-US" w:eastAsia="zh-CN"/>
        </w:rPr>
      </w:pPr>
      <w:r>
        <w:rPr>
          <w:rFonts w:hint="eastAsia"/>
          <w:b/>
          <w:bCs/>
          <w:color w:val="auto"/>
          <w:sz w:val="21"/>
          <w:szCs w:val="21"/>
          <w:highlight w:val="none"/>
          <w:lang w:val="en-US" w:eastAsia="zh-CN"/>
        </w:rPr>
        <w:t>注：以下评标分项根据项目实际情况可自行设置。</w:t>
      </w:r>
    </w:p>
    <w:tbl>
      <w:tblPr>
        <w:tblStyle w:val="29"/>
        <w:tblW w:w="55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576"/>
        <w:gridCol w:w="1000"/>
        <w:gridCol w:w="6037"/>
      </w:tblGrid>
      <w:tr w14:paraId="5175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15" w:type="pct"/>
            <w:shd w:val="clear" w:color="auto" w:fill="D8D8D8" w:themeFill="background1" w:themeFillShade="D9"/>
            <w:vAlign w:val="center"/>
          </w:tcPr>
          <w:p w14:paraId="4924CA4E">
            <w:pPr>
              <w:pStyle w:val="4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评标项目</w:t>
            </w:r>
          </w:p>
        </w:tc>
        <w:tc>
          <w:tcPr>
            <w:tcW w:w="838" w:type="pct"/>
            <w:shd w:val="clear" w:color="auto" w:fill="D8D8D8" w:themeFill="background1" w:themeFillShade="D9"/>
            <w:vAlign w:val="center"/>
          </w:tcPr>
          <w:p w14:paraId="7A3DCB70">
            <w:pPr>
              <w:pStyle w:val="4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评标分项</w:t>
            </w:r>
          </w:p>
        </w:tc>
        <w:tc>
          <w:tcPr>
            <w:tcW w:w="532" w:type="pct"/>
            <w:shd w:val="clear" w:color="auto" w:fill="D8D8D8" w:themeFill="background1" w:themeFillShade="D9"/>
            <w:vAlign w:val="center"/>
          </w:tcPr>
          <w:p w14:paraId="65B86E0D">
            <w:pPr>
              <w:pStyle w:val="4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213" w:type="pct"/>
            <w:shd w:val="clear" w:color="auto" w:fill="D8D8D8" w:themeFill="background1" w:themeFillShade="D9"/>
            <w:vAlign w:val="center"/>
          </w:tcPr>
          <w:p w14:paraId="467A385D">
            <w:pPr>
              <w:pStyle w:val="48"/>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子项目及分值</w:t>
            </w:r>
          </w:p>
        </w:tc>
      </w:tr>
      <w:tr w14:paraId="497D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jc w:val="center"/>
        </w:trPr>
        <w:tc>
          <w:tcPr>
            <w:tcW w:w="415" w:type="pct"/>
            <w:vAlign w:val="center"/>
          </w:tcPr>
          <w:p w14:paraId="3C48038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w:t>
            </w:r>
          </w:p>
          <w:p w14:paraId="375F38A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838" w:type="pct"/>
            <w:tcBorders>
              <w:bottom w:val="single" w:color="auto" w:sz="4" w:space="0"/>
            </w:tcBorders>
            <w:vAlign w:val="center"/>
          </w:tcPr>
          <w:p w14:paraId="4D31CF3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32" w:type="pct"/>
            <w:vAlign w:val="center"/>
          </w:tcPr>
          <w:p w14:paraId="318A84CC">
            <w:pPr>
              <w:pStyle w:val="4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30分</w:t>
            </w:r>
          </w:p>
        </w:tc>
        <w:tc>
          <w:tcPr>
            <w:tcW w:w="3213" w:type="pct"/>
            <w:vAlign w:val="center"/>
          </w:tcPr>
          <w:p w14:paraId="76A28B05">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满足招标文件要求且投标价格最低的投标报价为评标基准价，其价格分为满分。其他投标人的价格分统一按照下列公式计算：</w:t>
            </w:r>
          </w:p>
          <w:p w14:paraId="62C0AA09">
            <w:pPr>
              <w:pStyle w:val="48"/>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投标报价得分=（评标基准价／投标报价)×</w:t>
            </w:r>
            <w:r>
              <w:rPr>
                <w:rFonts w:hint="eastAsia" w:cs="宋体"/>
                <w:color w:val="auto"/>
                <w:sz w:val="21"/>
                <w:szCs w:val="21"/>
                <w:highlight w:val="none"/>
                <w:lang w:val="en-US" w:eastAsia="zh-CN"/>
              </w:rPr>
              <w:t>30</w:t>
            </w:r>
          </w:p>
          <w:p w14:paraId="2D3A1974">
            <w:pPr>
              <w:pStyle w:val="48"/>
              <w:rPr>
                <w:rFonts w:hint="eastAsia" w:ascii="宋体" w:hAnsi="宋体" w:eastAsia="宋体" w:cs="宋体"/>
                <w:b/>
                <w:bCs/>
                <w:color w:val="auto"/>
                <w:sz w:val="21"/>
                <w:szCs w:val="21"/>
                <w:highlight w:val="none"/>
              </w:rPr>
            </w:pPr>
          </w:p>
          <w:p w14:paraId="201E7F07">
            <w:pPr>
              <w:pStyle w:val="48"/>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备注</w:t>
            </w: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投标人须知</w:t>
            </w:r>
            <w:r>
              <w:rPr>
                <w:rFonts w:hint="eastAsia" w:ascii="宋体" w:hAnsi="宋体" w:eastAsia="宋体" w:cs="宋体"/>
                <w:color w:val="auto"/>
                <w:sz w:val="21"/>
                <w:szCs w:val="21"/>
                <w:highlight w:val="none"/>
                <w:lang w:val="en-US" w:eastAsia="zh-CN"/>
              </w:rPr>
              <w:t>前附表”</w:t>
            </w:r>
            <w:r>
              <w:rPr>
                <w:rFonts w:hint="eastAsia" w:ascii="宋体" w:hAnsi="宋体" w:eastAsia="宋体" w:cs="宋体"/>
                <w:color w:val="auto"/>
                <w:sz w:val="21"/>
                <w:szCs w:val="21"/>
                <w:highlight w:val="none"/>
              </w:rPr>
              <w:t>中价格扣除规定的，在评审时予以价格扣除，用扣除后的价格参与评审。</w:t>
            </w:r>
          </w:p>
        </w:tc>
      </w:tr>
      <w:tr w14:paraId="1F71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415" w:type="pct"/>
            <w:vMerge w:val="restart"/>
            <w:vAlign w:val="center"/>
          </w:tcPr>
          <w:p w14:paraId="0EA62830">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p>
          <w:p w14:paraId="6C0619A6">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18</w:t>
            </w:r>
            <w:r>
              <w:rPr>
                <w:rFonts w:hint="eastAsia" w:ascii="宋体" w:hAnsi="宋体" w:eastAsia="宋体" w:cs="宋体"/>
                <w:color w:val="auto"/>
                <w:sz w:val="21"/>
                <w:szCs w:val="21"/>
                <w:highlight w:val="none"/>
              </w:rPr>
              <w:t>分）</w:t>
            </w:r>
          </w:p>
        </w:tc>
        <w:tc>
          <w:tcPr>
            <w:tcW w:w="838" w:type="pct"/>
            <w:tcBorders>
              <w:top w:val="single" w:color="auto" w:sz="4" w:space="0"/>
            </w:tcBorders>
            <w:vAlign w:val="center"/>
          </w:tcPr>
          <w:p w14:paraId="5418DF8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tc>
        <w:tc>
          <w:tcPr>
            <w:tcW w:w="532" w:type="pct"/>
            <w:vAlign w:val="center"/>
          </w:tcPr>
          <w:p w14:paraId="0B29F8D0">
            <w:pPr>
              <w:pStyle w:val="48"/>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p>
        </w:tc>
        <w:tc>
          <w:tcPr>
            <w:tcW w:w="3213" w:type="pct"/>
            <w:vAlign w:val="center"/>
          </w:tcPr>
          <w:p w14:paraId="1B1BFF7F">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供应商自202</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年1月1日-至今类似业绩，每提供1个业绩得</w:t>
            </w:r>
            <w:r>
              <w:rPr>
                <w:rFonts w:hint="eastAsia" w:cs="宋体"/>
                <w:color w:val="auto"/>
                <w:sz w:val="21"/>
                <w:szCs w:val="21"/>
                <w:highlight w:val="none"/>
                <w:lang w:val="en-US" w:eastAsia="zh-CN"/>
              </w:rPr>
              <w:t>2.5</w:t>
            </w:r>
            <w:r>
              <w:rPr>
                <w:rFonts w:hint="eastAsia" w:ascii="宋体" w:hAnsi="宋体" w:eastAsia="宋体" w:cs="宋体"/>
                <w:color w:val="auto"/>
                <w:sz w:val="21"/>
                <w:szCs w:val="21"/>
                <w:highlight w:val="none"/>
              </w:rPr>
              <w:t>分，最多得</w:t>
            </w:r>
            <w:r>
              <w:rPr>
                <w:rFonts w:hint="eastAsia" w:cs="宋体"/>
                <w:color w:val="auto"/>
                <w:sz w:val="21"/>
                <w:szCs w:val="21"/>
                <w:highlight w:val="none"/>
                <w:lang w:val="en-US" w:eastAsia="zh-CN"/>
              </w:rPr>
              <w:t>10</w:t>
            </w:r>
            <w:r>
              <w:rPr>
                <w:rFonts w:hint="eastAsia" w:ascii="宋体" w:hAnsi="宋体" w:eastAsia="宋体" w:cs="宋体"/>
                <w:color w:val="auto"/>
                <w:sz w:val="21"/>
                <w:szCs w:val="21"/>
                <w:highlight w:val="none"/>
              </w:rPr>
              <w:t>分。（提供中标通知书或合同（原件扫描件），做为业绩证明资料，未按要求提供证明资料的不计分）。</w:t>
            </w:r>
          </w:p>
        </w:tc>
      </w:tr>
      <w:tr w14:paraId="05A3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5" w:type="pct"/>
            <w:vMerge w:val="continue"/>
            <w:vAlign w:val="center"/>
          </w:tcPr>
          <w:p w14:paraId="3BD7C09E">
            <w:pPr>
              <w:pStyle w:val="48"/>
              <w:jc w:val="center"/>
              <w:rPr>
                <w:rFonts w:hint="eastAsia" w:ascii="宋体" w:hAnsi="宋体" w:eastAsia="宋体" w:cs="宋体"/>
                <w:color w:val="auto"/>
                <w:sz w:val="21"/>
                <w:szCs w:val="21"/>
                <w:highlight w:val="none"/>
              </w:rPr>
            </w:pPr>
          </w:p>
        </w:tc>
        <w:tc>
          <w:tcPr>
            <w:tcW w:w="838" w:type="pct"/>
            <w:tcBorders>
              <w:top w:val="single" w:color="auto" w:sz="4" w:space="0"/>
            </w:tcBorders>
            <w:vAlign w:val="center"/>
          </w:tcPr>
          <w:p w14:paraId="6B9EB51E">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项目参与人员</w:t>
            </w:r>
          </w:p>
        </w:tc>
        <w:tc>
          <w:tcPr>
            <w:tcW w:w="532" w:type="pct"/>
            <w:vAlign w:val="center"/>
          </w:tcPr>
          <w:p w14:paraId="5CC6F5C7">
            <w:pPr>
              <w:pStyle w:val="48"/>
              <w:jc w:val="center"/>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tc>
        <w:tc>
          <w:tcPr>
            <w:tcW w:w="3213" w:type="pct"/>
            <w:vAlign w:val="center"/>
          </w:tcPr>
          <w:p w14:paraId="423C2D10">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供应商具有专业配送服务人员，每提供一人得1分，本项最多得</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分。提供员工的在职证明和身份证加盖供应商公章。</w:t>
            </w:r>
          </w:p>
        </w:tc>
      </w:tr>
      <w:tr w14:paraId="1E7CC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15" w:type="pct"/>
            <w:vMerge w:val="continue"/>
            <w:vAlign w:val="center"/>
          </w:tcPr>
          <w:p w14:paraId="62336E52">
            <w:pPr>
              <w:pStyle w:val="48"/>
              <w:jc w:val="center"/>
              <w:rPr>
                <w:rFonts w:hint="eastAsia" w:ascii="宋体" w:hAnsi="宋体" w:eastAsia="宋体" w:cs="宋体"/>
                <w:color w:val="auto"/>
                <w:sz w:val="21"/>
                <w:szCs w:val="21"/>
                <w:highlight w:val="none"/>
              </w:rPr>
            </w:pPr>
          </w:p>
        </w:tc>
        <w:tc>
          <w:tcPr>
            <w:tcW w:w="838" w:type="pct"/>
            <w:tcBorders>
              <w:top w:val="single" w:color="auto" w:sz="4" w:space="0"/>
            </w:tcBorders>
            <w:vAlign w:val="center"/>
          </w:tcPr>
          <w:p w14:paraId="16595CC7">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质保期</w:t>
            </w:r>
          </w:p>
        </w:tc>
        <w:tc>
          <w:tcPr>
            <w:tcW w:w="532" w:type="pct"/>
            <w:vAlign w:val="center"/>
          </w:tcPr>
          <w:p w14:paraId="48AA2DE0">
            <w:pPr>
              <w:pStyle w:val="48"/>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tc>
        <w:tc>
          <w:tcPr>
            <w:tcW w:w="3213" w:type="pct"/>
            <w:vAlign w:val="center"/>
          </w:tcPr>
          <w:p w14:paraId="36694946">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质保期每超过一年加</w:t>
            </w:r>
            <w:r>
              <w:rPr>
                <w:rFonts w:hint="eastAsia"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分，最多不超过2分。供应商提供质保期承诺函</w:t>
            </w:r>
          </w:p>
        </w:tc>
      </w:tr>
      <w:tr w14:paraId="0956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15" w:type="pct"/>
            <w:vMerge w:val="continue"/>
            <w:vAlign w:val="center"/>
          </w:tcPr>
          <w:p w14:paraId="271BA664">
            <w:pPr>
              <w:pStyle w:val="48"/>
              <w:jc w:val="center"/>
              <w:rPr>
                <w:rFonts w:hint="eastAsia" w:ascii="宋体" w:hAnsi="宋体" w:eastAsia="宋体" w:cs="宋体"/>
                <w:color w:val="auto"/>
                <w:sz w:val="21"/>
                <w:szCs w:val="21"/>
                <w:highlight w:val="none"/>
              </w:rPr>
            </w:pPr>
          </w:p>
        </w:tc>
        <w:tc>
          <w:tcPr>
            <w:tcW w:w="838" w:type="pct"/>
            <w:tcBorders>
              <w:top w:val="single" w:color="auto" w:sz="4" w:space="0"/>
            </w:tcBorders>
            <w:vAlign w:val="center"/>
          </w:tcPr>
          <w:p w14:paraId="23875990">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备品备件</w:t>
            </w:r>
          </w:p>
        </w:tc>
        <w:tc>
          <w:tcPr>
            <w:tcW w:w="532" w:type="pct"/>
            <w:vAlign w:val="center"/>
          </w:tcPr>
          <w:p w14:paraId="057CBCEF">
            <w:pPr>
              <w:pStyle w:val="48"/>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2分</w:t>
            </w:r>
          </w:p>
        </w:tc>
        <w:tc>
          <w:tcPr>
            <w:tcW w:w="3213" w:type="pct"/>
            <w:vAlign w:val="center"/>
          </w:tcPr>
          <w:p w14:paraId="001C1B46">
            <w:pPr>
              <w:pStyle w:val="4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有固定、长期的备品备件库，提供备品备件种类丰富、价格实惠等可行的售后服务及承诺函得</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分，提供备品备件种类较少、价格等可行的售后服务及承诺函得1分。未提供得0分。（提供相关证明材料）</w:t>
            </w:r>
          </w:p>
        </w:tc>
      </w:tr>
      <w:tr w14:paraId="105D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415" w:type="pct"/>
            <w:vMerge w:val="restart"/>
            <w:vAlign w:val="center"/>
          </w:tcPr>
          <w:p w14:paraId="009533A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p>
          <w:p w14:paraId="3C5A6CF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52</w:t>
            </w:r>
            <w:r>
              <w:rPr>
                <w:rFonts w:hint="eastAsia" w:ascii="宋体" w:hAnsi="宋体" w:eastAsia="宋体" w:cs="宋体"/>
                <w:color w:val="auto"/>
                <w:sz w:val="21"/>
                <w:szCs w:val="21"/>
                <w:highlight w:val="none"/>
              </w:rPr>
              <w:t>分）</w:t>
            </w:r>
          </w:p>
        </w:tc>
        <w:tc>
          <w:tcPr>
            <w:tcW w:w="838" w:type="pct"/>
            <w:tcBorders>
              <w:top w:val="single" w:color="auto" w:sz="4" w:space="0"/>
            </w:tcBorders>
            <w:vAlign w:val="center"/>
          </w:tcPr>
          <w:p w14:paraId="1ECFDBB7">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实施方案</w:t>
            </w:r>
          </w:p>
        </w:tc>
        <w:tc>
          <w:tcPr>
            <w:tcW w:w="532" w:type="pct"/>
            <w:vAlign w:val="center"/>
          </w:tcPr>
          <w:p w14:paraId="35C961A9">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20分</w:t>
            </w:r>
          </w:p>
        </w:tc>
        <w:tc>
          <w:tcPr>
            <w:tcW w:w="3213" w:type="pct"/>
            <w:vAlign w:val="center"/>
          </w:tcPr>
          <w:p w14:paraId="5050357A">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提供针对本项目制定的项目实施方案进行综合评分，内容包括但不限于:①产品配送方案（产品配送方案有符合项目要求的配送人员及配送车辆安排、完善的配送交接流程）；②质量保证措施（产品质量保障措施有符合项目要求的质量管理制度和质量保障目标、质量关键控制点、质量检测检验流程）;③交货和安装调试计划（符合项目的备货计划、有明确的周期安排、安装调试验收计划有具体的流程安排;④应急预案（有符合采购产品的运输过程中的应急处理措施、产品质量问题应急预案、遇突发事件 应急预案）。以上内容每缺一项扣5分内容不够完整每项扣1.5分，</w:t>
            </w:r>
            <w:r>
              <w:rPr>
                <w:rFonts w:hint="eastAsia" w:ascii="宋体" w:hAnsi="宋体" w:eastAsia="宋体" w:cs="宋体"/>
                <w:color w:val="auto"/>
                <w:sz w:val="21"/>
                <w:szCs w:val="21"/>
                <w:highlight w:val="none"/>
                <w:lang w:val="en-US" w:eastAsia="zh-CN"/>
              </w:rPr>
              <w:t>扣完为止。</w:t>
            </w:r>
          </w:p>
        </w:tc>
      </w:tr>
      <w:tr w14:paraId="1811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15" w:type="pct"/>
            <w:vMerge w:val="continue"/>
            <w:vAlign w:val="center"/>
          </w:tcPr>
          <w:p w14:paraId="24E10105">
            <w:pPr>
              <w:pStyle w:val="48"/>
              <w:jc w:val="center"/>
              <w:rPr>
                <w:rFonts w:hint="eastAsia" w:ascii="宋体" w:hAnsi="宋体" w:eastAsia="宋体" w:cs="宋体"/>
                <w:color w:val="auto"/>
                <w:sz w:val="21"/>
                <w:szCs w:val="21"/>
                <w:highlight w:val="none"/>
              </w:rPr>
            </w:pPr>
          </w:p>
        </w:tc>
        <w:tc>
          <w:tcPr>
            <w:tcW w:w="838" w:type="pct"/>
            <w:shd w:val="clear" w:color="auto" w:fill="auto"/>
            <w:vAlign w:val="center"/>
          </w:tcPr>
          <w:p w14:paraId="69144E03">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w:t>
            </w:r>
          </w:p>
        </w:tc>
        <w:tc>
          <w:tcPr>
            <w:tcW w:w="532" w:type="pct"/>
            <w:shd w:val="clear" w:color="auto" w:fill="auto"/>
            <w:vAlign w:val="center"/>
          </w:tcPr>
          <w:p w14:paraId="7922AA03">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20分</w:t>
            </w:r>
          </w:p>
        </w:tc>
        <w:tc>
          <w:tcPr>
            <w:tcW w:w="3213" w:type="pct"/>
            <w:shd w:val="clear" w:color="auto" w:fill="auto"/>
            <w:vAlign w:val="center"/>
          </w:tcPr>
          <w:p w14:paraId="08F1C419">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方案”包含①售后服务措施（售后服务措施有符合项目的售后回访计划、培训计划）②售后服务体系（售后服务体系有健全的售后管控制度、完善的退换货流程）③售后响应时间④售后服务团队配置（售后服务团队配置有符合项目要求的售后人员和售后团队机构图，售后人员职责分工明确，有售后人员联系方式）以上内容每缺一项扣5分内容不够完整每项扣1.5分，</w:t>
            </w:r>
            <w:r>
              <w:rPr>
                <w:rFonts w:hint="eastAsia" w:ascii="宋体" w:hAnsi="宋体" w:eastAsia="宋体" w:cs="宋体"/>
                <w:color w:val="auto"/>
                <w:sz w:val="21"/>
                <w:szCs w:val="21"/>
                <w:highlight w:val="none"/>
                <w:lang w:val="en-US" w:eastAsia="zh-CN"/>
              </w:rPr>
              <w:t>扣完为止。</w:t>
            </w:r>
          </w:p>
        </w:tc>
      </w:tr>
      <w:tr w14:paraId="58C0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415" w:type="pct"/>
            <w:vMerge w:val="continue"/>
            <w:vAlign w:val="center"/>
          </w:tcPr>
          <w:p w14:paraId="6BC81CA5">
            <w:pPr>
              <w:pStyle w:val="48"/>
              <w:jc w:val="center"/>
              <w:rPr>
                <w:rFonts w:hint="eastAsia" w:ascii="宋体" w:hAnsi="宋体" w:eastAsia="宋体" w:cs="宋体"/>
                <w:color w:val="auto"/>
                <w:sz w:val="21"/>
                <w:szCs w:val="21"/>
                <w:highlight w:val="none"/>
              </w:rPr>
            </w:pPr>
          </w:p>
        </w:tc>
        <w:tc>
          <w:tcPr>
            <w:tcW w:w="838" w:type="pct"/>
            <w:vAlign w:val="center"/>
          </w:tcPr>
          <w:p w14:paraId="4FF5A0D7">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培训方案</w:t>
            </w:r>
          </w:p>
        </w:tc>
        <w:tc>
          <w:tcPr>
            <w:tcW w:w="532" w:type="pct"/>
            <w:vAlign w:val="center"/>
          </w:tcPr>
          <w:p w14:paraId="124035BA">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12分 </w:t>
            </w:r>
          </w:p>
        </w:tc>
        <w:tc>
          <w:tcPr>
            <w:tcW w:w="3213" w:type="pct"/>
            <w:vAlign w:val="center"/>
          </w:tcPr>
          <w:p w14:paraId="012BAC0B">
            <w:pPr>
              <w:pStyle w:val="4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详细合理的培训方案，培训资料包含本项目所有内容，供应商可以派出专业培训人员授课，课程安排能满足采购人的需求，方案（包含：①培训时间、地点方式、课时、培训的专业人员②培训产品基本原理③培训设备操作使用和维修保养④培训设备简单故障应对措施及应急预案）以上内容每缺一项扣5分内容不够完整每项扣1.5分，扣完为止。</w:t>
            </w:r>
          </w:p>
        </w:tc>
      </w:tr>
      <w:tr w14:paraId="10782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254" w:type="pct"/>
            <w:gridSpan w:val="2"/>
            <w:vAlign w:val="center"/>
          </w:tcPr>
          <w:p w14:paraId="1F1436F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532" w:type="pct"/>
            <w:tcBorders>
              <w:bottom w:val="single" w:color="auto" w:sz="4" w:space="0"/>
            </w:tcBorders>
            <w:vAlign w:val="center"/>
          </w:tcPr>
          <w:p w14:paraId="2C7F1184">
            <w:pPr>
              <w:pStyle w:val="4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=SUM(ABOVE)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分</w:t>
            </w:r>
          </w:p>
        </w:tc>
        <w:tc>
          <w:tcPr>
            <w:tcW w:w="3213" w:type="pct"/>
            <w:tcBorders>
              <w:bottom w:val="single" w:color="auto" w:sz="4" w:space="0"/>
            </w:tcBorders>
            <w:vAlign w:val="center"/>
          </w:tcPr>
          <w:p w14:paraId="7EBD69F8">
            <w:pPr>
              <w:pStyle w:val="48"/>
              <w:rPr>
                <w:rFonts w:hint="eastAsia" w:ascii="宋体" w:hAnsi="宋体" w:eastAsia="宋体" w:cs="宋体"/>
                <w:color w:val="auto"/>
                <w:sz w:val="21"/>
                <w:szCs w:val="21"/>
                <w:highlight w:val="none"/>
              </w:rPr>
            </w:pPr>
          </w:p>
        </w:tc>
      </w:tr>
    </w:tbl>
    <w:p w14:paraId="1B633C1D">
      <w:pPr>
        <w:pStyle w:val="36"/>
        <w:rPr>
          <w:rFonts w:hint="eastAsia"/>
          <w:color w:val="auto"/>
          <w:highlight w:val="none"/>
        </w:rPr>
      </w:pPr>
    </w:p>
    <w:p w14:paraId="1F09558C">
      <w:pPr>
        <w:pStyle w:val="36"/>
        <w:rPr>
          <w:rFonts w:hint="eastAsia"/>
          <w:color w:val="auto"/>
          <w:highlight w:val="none"/>
        </w:rPr>
      </w:pPr>
    </w:p>
    <w:p w14:paraId="57C0DA27">
      <w:pPr>
        <w:pStyle w:val="36"/>
        <w:rPr>
          <w:rFonts w:hint="eastAsia"/>
          <w:color w:val="auto"/>
          <w:highlight w:val="none"/>
        </w:rPr>
      </w:pPr>
    </w:p>
    <w:p w14:paraId="7E1FEFF0">
      <w:pPr>
        <w:rPr>
          <w:color w:val="auto"/>
          <w:highlight w:val="none"/>
          <w:lang w:val="zh-CN"/>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4C87150">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zh-CN" w:eastAsia="zh-CN" w:bidi="ar-SA"/>
        </w:rPr>
      </w:pPr>
      <w:bookmarkStart w:id="572" w:name="_Toc155185918"/>
      <w:bookmarkStart w:id="573" w:name="_Toc24636"/>
      <w:r>
        <w:rPr>
          <w:rFonts w:hint="eastAsia" w:ascii="宋体" w:hAnsi="宋体" w:eastAsia="宋体" w:cs="宋体"/>
          <w:b/>
          <w:bCs/>
          <w:color w:val="auto"/>
          <w:kern w:val="44"/>
          <w:sz w:val="36"/>
          <w:szCs w:val="36"/>
          <w:highlight w:val="none"/>
          <w:lang w:val="zh-CN" w:eastAsia="zh-CN" w:bidi="ar-SA"/>
        </w:rPr>
        <w:t>第六章 合同</w:t>
      </w:r>
      <w:bookmarkEnd w:id="572"/>
      <w:bookmarkEnd w:id="573"/>
    </w:p>
    <w:p w14:paraId="24C5BD98">
      <w:pPr>
        <w:keepNext w:val="0"/>
        <w:keepLines w:val="0"/>
        <w:widowControl w:val="0"/>
        <w:kinsoku/>
        <w:wordWrap/>
        <w:overflowPunct/>
        <w:topLinePunct w:val="0"/>
        <w:bidi w:val="0"/>
        <w:spacing w:line="360" w:lineRule="auto"/>
        <w:ind w:firstLine="800" w:firstLineChars="200"/>
        <w:jc w:val="center"/>
        <w:textAlignment w:val="auto"/>
        <w:rPr>
          <w:rFonts w:hint="eastAsia" w:ascii="宋体" w:hAnsi="宋体" w:eastAsia="宋体" w:cs="宋体"/>
          <w:b w:val="0"/>
          <w:bCs/>
          <w:sz w:val="40"/>
          <w:szCs w:val="40"/>
          <w:highlight w:val="none"/>
        </w:rPr>
      </w:pPr>
      <w:r>
        <w:rPr>
          <w:rFonts w:hint="eastAsia" w:ascii="宋体" w:hAnsi="宋体" w:eastAsia="宋体" w:cs="宋体"/>
          <w:b w:val="0"/>
          <w:bCs/>
          <w:sz w:val="40"/>
          <w:szCs w:val="40"/>
          <w:highlight w:val="none"/>
        </w:rPr>
        <w:t xml:space="preserve">销 </w:t>
      </w:r>
      <w:r>
        <w:rPr>
          <w:rFonts w:hint="eastAsia" w:ascii="宋体" w:hAnsi="宋体" w:eastAsia="宋体" w:cs="宋体"/>
          <w:b w:val="0"/>
          <w:bCs/>
          <w:sz w:val="40"/>
          <w:szCs w:val="40"/>
          <w:highlight w:val="none"/>
          <w:lang w:val="en-US"/>
        </w:rPr>
        <w:t xml:space="preserve"> </w:t>
      </w:r>
      <w:r>
        <w:rPr>
          <w:rFonts w:hint="eastAsia" w:ascii="宋体" w:hAnsi="宋体" w:eastAsia="宋体" w:cs="宋体"/>
          <w:b w:val="0"/>
          <w:bCs/>
          <w:sz w:val="40"/>
          <w:szCs w:val="40"/>
          <w:highlight w:val="none"/>
        </w:rPr>
        <w:t xml:space="preserve">售 </w:t>
      </w:r>
      <w:r>
        <w:rPr>
          <w:rFonts w:hint="eastAsia" w:ascii="宋体" w:hAnsi="宋体" w:eastAsia="宋体" w:cs="宋体"/>
          <w:b w:val="0"/>
          <w:bCs/>
          <w:sz w:val="40"/>
          <w:szCs w:val="40"/>
          <w:highlight w:val="none"/>
          <w:lang w:val="en-US"/>
        </w:rPr>
        <w:t xml:space="preserve"> </w:t>
      </w:r>
      <w:r>
        <w:rPr>
          <w:rFonts w:hint="eastAsia" w:ascii="宋体" w:hAnsi="宋体" w:eastAsia="宋体" w:cs="宋体"/>
          <w:b w:val="0"/>
          <w:bCs/>
          <w:sz w:val="40"/>
          <w:szCs w:val="40"/>
          <w:highlight w:val="none"/>
        </w:rPr>
        <w:t xml:space="preserve">合 </w:t>
      </w:r>
      <w:r>
        <w:rPr>
          <w:rFonts w:hint="eastAsia" w:ascii="宋体" w:hAnsi="宋体" w:eastAsia="宋体" w:cs="宋体"/>
          <w:b w:val="0"/>
          <w:bCs/>
          <w:sz w:val="40"/>
          <w:szCs w:val="40"/>
          <w:highlight w:val="none"/>
          <w:lang w:val="en-US"/>
        </w:rPr>
        <w:t xml:space="preserve"> </w:t>
      </w:r>
      <w:r>
        <w:rPr>
          <w:rFonts w:hint="eastAsia" w:ascii="宋体" w:hAnsi="宋体" w:eastAsia="宋体" w:cs="宋体"/>
          <w:b w:val="0"/>
          <w:bCs/>
          <w:sz w:val="40"/>
          <w:szCs w:val="40"/>
          <w:highlight w:val="none"/>
        </w:rPr>
        <w:t>同</w:t>
      </w:r>
    </w:p>
    <w:p w14:paraId="27053036">
      <w:pPr>
        <w:keepNext w:val="0"/>
        <w:keepLines w:val="0"/>
        <w:widowControl w:val="0"/>
        <w:kinsoku/>
        <w:wordWrap/>
        <w:overflowPunct/>
        <w:topLinePunct w:val="0"/>
        <w:bidi w:val="0"/>
        <w:spacing w:line="360" w:lineRule="auto"/>
        <w:ind w:firstLine="442" w:firstLineChars="20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甲方：</w:t>
      </w:r>
      <w:bookmarkStart w:id="574" w:name="OLE_LINK2"/>
      <w:r>
        <w:rPr>
          <w:rFonts w:hint="eastAsia" w:ascii="宋体" w:hAnsi="宋体" w:eastAsia="宋体" w:cs="宋体"/>
          <w:b/>
          <w:bCs w:val="0"/>
          <w:sz w:val="22"/>
          <w:szCs w:val="22"/>
          <w:highlight w:val="none"/>
          <w:lang w:eastAsia="zh-CN"/>
        </w:rPr>
        <w:t>乌鲁木齐市米东区中医医院</w:t>
      </w:r>
    </w:p>
    <w:bookmarkEnd w:id="574"/>
    <w:p w14:paraId="178E349A">
      <w:pPr>
        <w:keepNext w:val="0"/>
        <w:keepLines w:val="0"/>
        <w:widowControl w:val="0"/>
        <w:kinsoku/>
        <w:wordWrap/>
        <w:overflowPunct/>
        <w:topLinePunct w:val="0"/>
        <w:bidi w:val="0"/>
        <w:spacing w:line="360" w:lineRule="auto"/>
        <w:ind w:firstLine="442" w:firstLineChars="200"/>
        <w:jc w:val="left"/>
        <w:textAlignment w:val="auto"/>
        <w:rPr>
          <w:rFonts w:hint="eastAsia" w:ascii="宋体" w:hAnsi="宋体" w:eastAsia="宋体" w:cs="宋体"/>
          <w:b w:val="0"/>
          <w:bCs/>
          <w:sz w:val="22"/>
          <w:szCs w:val="22"/>
          <w:highlight w:val="none"/>
        </w:rPr>
      </w:pPr>
      <w:r>
        <w:rPr>
          <w:rFonts w:hint="eastAsia" w:ascii="宋体" w:hAnsi="宋体" w:eastAsia="宋体" w:cs="宋体"/>
          <w:b/>
          <w:bCs w:val="0"/>
          <w:sz w:val="22"/>
          <w:szCs w:val="22"/>
          <w:highlight w:val="none"/>
        </w:rPr>
        <w:t>乙方：</w:t>
      </w:r>
    </w:p>
    <w:p w14:paraId="7F313760">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甲乙双方根据《中华人民共和国政府采购法》、《中华人民共和国民法典》、《中华人民共和国产品质量法》及其他相关法律法规的规定，本着平等互利、协商一致、等价有偿的原则，就甲方购买乙方的</w:t>
      </w:r>
      <w:r>
        <w:rPr>
          <w:rFonts w:hint="eastAsia" w:ascii="宋体" w:hAnsi="宋体" w:eastAsia="宋体" w:cs="宋体"/>
          <w:b w:val="0"/>
          <w:bCs/>
          <w:sz w:val="22"/>
          <w:szCs w:val="22"/>
          <w:highlight w:val="none"/>
          <w:u w:val="single"/>
        </w:rPr>
        <w:t xml:space="preserve"> </w:t>
      </w:r>
      <w:r>
        <w:rPr>
          <w:rFonts w:hint="eastAsia" w:ascii="宋体" w:hAnsi="宋体" w:eastAsia="宋体" w:cs="宋体"/>
          <w:b w:val="0"/>
          <w:bCs/>
          <w:sz w:val="22"/>
          <w:szCs w:val="22"/>
          <w:highlight w:val="none"/>
          <w:u w:val="single"/>
          <w:lang w:val="en-US" w:eastAsia="zh-CN"/>
        </w:rPr>
        <w:t xml:space="preserve">            </w:t>
      </w:r>
      <w:r>
        <w:rPr>
          <w:rFonts w:hint="eastAsia" w:ascii="宋体" w:hAnsi="宋体" w:eastAsia="宋体" w:cs="宋体"/>
          <w:b w:val="0"/>
          <w:bCs/>
          <w:sz w:val="22"/>
          <w:szCs w:val="22"/>
          <w:highlight w:val="none"/>
        </w:rPr>
        <w:t>设备并由乙方提供相关服务事宜，达成一致，协议如下：</w:t>
      </w:r>
    </w:p>
    <w:p w14:paraId="38D3D4F2">
      <w:pPr>
        <w:spacing w:line="44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第一条：合同标的</w:t>
      </w:r>
    </w:p>
    <w:p w14:paraId="032F53C8">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乙方根据甲方需求提供下列货物：</w:t>
      </w:r>
    </w:p>
    <w:tbl>
      <w:tblPr>
        <w:tblStyle w:val="29"/>
        <w:tblW w:w="9240" w:type="dxa"/>
        <w:tblInd w:w="118" w:type="dxa"/>
        <w:tblLayout w:type="fixed"/>
        <w:tblCellMar>
          <w:top w:w="0" w:type="dxa"/>
          <w:left w:w="108" w:type="dxa"/>
          <w:bottom w:w="0" w:type="dxa"/>
          <w:right w:w="108" w:type="dxa"/>
        </w:tblCellMar>
      </w:tblPr>
      <w:tblGrid>
        <w:gridCol w:w="962"/>
        <w:gridCol w:w="3142"/>
        <w:gridCol w:w="2036"/>
        <w:gridCol w:w="1540"/>
        <w:gridCol w:w="1560"/>
      </w:tblGrid>
      <w:tr w14:paraId="238E2F52">
        <w:tblPrEx>
          <w:tblCellMar>
            <w:top w:w="0" w:type="dxa"/>
            <w:left w:w="108" w:type="dxa"/>
            <w:bottom w:w="0" w:type="dxa"/>
            <w:right w:w="108" w:type="dxa"/>
          </w:tblCellMar>
        </w:tblPrEx>
        <w:trPr>
          <w:trHeight w:val="733" w:hRule="atLeast"/>
        </w:trPr>
        <w:tc>
          <w:tcPr>
            <w:tcW w:w="962" w:type="dxa"/>
            <w:tcBorders>
              <w:top w:val="single" w:color="auto" w:sz="8" w:space="0"/>
              <w:left w:val="single" w:color="auto" w:sz="8" w:space="0"/>
              <w:bottom w:val="single" w:color="auto" w:sz="4" w:space="0"/>
              <w:right w:val="single" w:color="auto" w:sz="4" w:space="0"/>
            </w:tcBorders>
            <w:shd w:val="clear" w:color="000000" w:fill="FFFFFF"/>
            <w:noWrap w:val="0"/>
            <w:vAlign w:val="center"/>
          </w:tcPr>
          <w:p w14:paraId="6154D3A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序号</w:t>
            </w:r>
          </w:p>
        </w:tc>
        <w:tc>
          <w:tcPr>
            <w:tcW w:w="3142" w:type="dxa"/>
            <w:tcBorders>
              <w:top w:val="single" w:color="auto" w:sz="8" w:space="0"/>
              <w:left w:val="nil"/>
              <w:bottom w:val="single" w:color="auto" w:sz="4" w:space="0"/>
              <w:right w:val="single" w:color="auto" w:sz="4" w:space="0"/>
            </w:tcBorders>
            <w:shd w:val="clear" w:color="000000" w:fill="FFFFFF"/>
            <w:noWrap w:val="0"/>
            <w:vAlign w:val="center"/>
          </w:tcPr>
          <w:p w14:paraId="1AF62A74">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产品名称</w:t>
            </w:r>
          </w:p>
        </w:tc>
        <w:tc>
          <w:tcPr>
            <w:tcW w:w="2036" w:type="dxa"/>
            <w:tcBorders>
              <w:top w:val="single" w:color="auto" w:sz="8" w:space="0"/>
              <w:left w:val="nil"/>
              <w:bottom w:val="single" w:color="auto" w:sz="4" w:space="0"/>
              <w:right w:val="single" w:color="auto" w:sz="4" w:space="0"/>
            </w:tcBorders>
            <w:shd w:val="clear" w:color="000000" w:fill="FFFFFF"/>
            <w:noWrap w:val="0"/>
            <w:vAlign w:val="center"/>
          </w:tcPr>
          <w:p w14:paraId="1E5EB0AC">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规格型号</w:t>
            </w:r>
          </w:p>
        </w:tc>
        <w:tc>
          <w:tcPr>
            <w:tcW w:w="1540" w:type="dxa"/>
            <w:tcBorders>
              <w:top w:val="single" w:color="auto" w:sz="8" w:space="0"/>
              <w:left w:val="nil"/>
              <w:bottom w:val="single" w:color="auto" w:sz="4" w:space="0"/>
              <w:right w:val="single" w:color="auto" w:sz="4" w:space="0"/>
            </w:tcBorders>
            <w:shd w:val="clear" w:color="000000" w:fill="FFFFFF"/>
            <w:noWrap w:val="0"/>
            <w:vAlign w:val="center"/>
          </w:tcPr>
          <w:p w14:paraId="12B6B057">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品牌及产地</w:t>
            </w:r>
          </w:p>
        </w:tc>
        <w:tc>
          <w:tcPr>
            <w:tcW w:w="1560" w:type="dxa"/>
            <w:tcBorders>
              <w:top w:val="single" w:color="auto" w:sz="8" w:space="0"/>
              <w:left w:val="nil"/>
              <w:bottom w:val="single" w:color="auto" w:sz="4" w:space="0"/>
              <w:right w:val="single" w:color="auto" w:sz="4" w:space="0"/>
            </w:tcBorders>
            <w:shd w:val="clear" w:color="000000" w:fill="FFFFFF"/>
            <w:noWrap w:val="0"/>
            <w:vAlign w:val="center"/>
          </w:tcPr>
          <w:p w14:paraId="35C07698">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中标单价(元)</w:t>
            </w:r>
          </w:p>
        </w:tc>
      </w:tr>
      <w:tr w14:paraId="29CBB006">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32221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3142" w:type="dxa"/>
            <w:tcBorders>
              <w:top w:val="nil"/>
              <w:left w:val="nil"/>
              <w:bottom w:val="single" w:color="auto" w:sz="4" w:space="0"/>
              <w:right w:val="single" w:color="auto" w:sz="4" w:space="0"/>
            </w:tcBorders>
            <w:shd w:val="clear" w:color="000000" w:fill="FFFFFF"/>
            <w:noWrap w:val="0"/>
            <w:vAlign w:val="center"/>
          </w:tcPr>
          <w:p w14:paraId="323786A0">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37E2199">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4354B6E5">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449C669E">
            <w:pPr>
              <w:widowControl/>
              <w:jc w:val="center"/>
              <w:rPr>
                <w:rFonts w:hint="eastAsia" w:ascii="宋体" w:hAnsi="宋体" w:eastAsia="宋体" w:cs="宋体"/>
                <w:kern w:val="0"/>
                <w:sz w:val="24"/>
                <w:szCs w:val="24"/>
                <w:highlight w:val="none"/>
              </w:rPr>
            </w:pPr>
          </w:p>
        </w:tc>
      </w:tr>
      <w:tr w14:paraId="1FB7F90E">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702535DF">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3142" w:type="dxa"/>
            <w:tcBorders>
              <w:top w:val="nil"/>
              <w:left w:val="nil"/>
              <w:bottom w:val="single" w:color="auto" w:sz="4" w:space="0"/>
              <w:right w:val="single" w:color="auto" w:sz="4" w:space="0"/>
            </w:tcBorders>
            <w:shd w:val="clear" w:color="000000" w:fill="FFFFFF"/>
            <w:noWrap w:val="0"/>
            <w:vAlign w:val="center"/>
          </w:tcPr>
          <w:p w14:paraId="1F6C808F">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5054765">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582477ED">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552137AB">
            <w:pPr>
              <w:widowControl/>
              <w:jc w:val="center"/>
              <w:rPr>
                <w:rFonts w:hint="eastAsia" w:ascii="宋体" w:hAnsi="宋体" w:eastAsia="宋体" w:cs="宋体"/>
                <w:kern w:val="0"/>
                <w:sz w:val="24"/>
                <w:szCs w:val="24"/>
                <w:highlight w:val="none"/>
              </w:rPr>
            </w:pPr>
          </w:p>
        </w:tc>
      </w:tr>
      <w:tr w14:paraId="0E2E9842">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3760D61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3142" w:type="dxa"/>
            <w:tcBorders>
              <w:top w:val="nil"/>
              <w:left w:val="nil"/>
              <w:bottom w:val="single" w:color="auto" w:sz="4" w:space="0"/>
              <w:right w:val="single" w:color="auto" w:sz="4" w:space="0"/>
            </w:tcBorders>
            <w:shd w:val="clear" w:color="000000" w:fill="FFFFFF"/>
            <w:noWrap w:val="0"/>
            <w:vAlign w:val="center"/>
          </w:tcPr>
          <w:p w14:paraId="49E515E6">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FB07D12">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1E3F0BB1">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2E636D89">
            <w:pPr>
              <w:widowControl/>
              <w:jc w:val="center"/>
              <w:rPr>
                <w:rFonts w:hint="eastAsia" w:ascii="宋体" w:hAnsi="宋体" w:eastAsia="宋体" w:cs="宋体"/>
                <w:kern w:val="0"/>
                <w:sz w:val="24"/>
                <w:szCs w:val="24"/>
                <w:highlight w:val="none"/>
              </w:rPr>
            </w:pPr>
          </w:p>
        </w:tc>
      </w:tr>
      <w:tr w14:paraId="50AF1429">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540E8B25">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4</w:t>
            </w:r>
          </w:p>
        </w:tc>
        <w:tc>
          <w:tcPr>
            <w:tcW w:w="3142" w:type="dxa"/>
            <w:tcBorders>
              <w:top w:val="nil"/>
              <w:left w:val="nil"/>
              <w:bottom w:val="single" w:color="auto" w:sz="4" w:space="0"/>
              <w:right w:val="single" w:color="auto" w:sz="4" w:space="0"/>
            </w:tcBorders>
            <w:shd w:val="clear" w:color="000000" w:fill="FFFFFF"/>
            <w:noWrap w:val="0"/>
            <w:vAlign w:val="center"/>
          </w:tcPr>
          <w:p w14:paraId="0A7654BF">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5D94585A">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4D1DD02B">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26E3D75E">
            <w:pPr>
              <w:widowControl/>
              <w:jc w:val="center"/>
              <w:rPr>
                <w:rFonts w:hint="eastAsia" w:ascii="宋体" w:hAnsi="宋体" w:eastAsia="宋体" w:cs="宋体"/>
                <w:kern w:val="0"/>
                <w:sz w:val="24"/>
                <w:szCs w:val="24"/>
                <w:highlight w:val="none"/>
              </w:rPr>
            </w:pPr>
          </w:p>
        </w:tc>
      </w:tr>
      <w:tr w14:paraId="2765A357">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931F13E">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5</w:t>
            </w:r>
          </w:p>
        </w:tc>
        <w:tc>
          <w:tcPr>
            <w:tcW w:w="3142" w:type="dxa"/>
            <w:tcBorders>
              <w:top w:val="nil"/>
              <w:left w:val="nil"/>
              <w:bottom w:val="single" w:color="auto" w:sz="4" w:space="0"/>
              <w:right w:val="single" w:color="auto" w:sz="4" w:space="0"/>
            </w:tcBorders>
            <w:shd w:val="clear" w:color="000000" w:fill="FFFFFF"/>
            <w:noWrap w:val="0"/>
            <w:vAlign w:val="center"/>
          </w:tcPr>
          <w:p w14:paraId="2D321F76">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1CF74BE4">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74F06B9C">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062464D2">
            <w:pPr>
              <w:widowControl/>
              <w:jc w:val="center"/>
              <w:rPr>
                <w:rFonts w:hint="eastAsia" w:ascii="宋体" w:hAnsi="宋体" w:eastAsia="宋体" w:cs="宋体"/>
                <w:kern w:val="0"/>
                <w:sz w:val="24"/>
                <w:szCs w:val="24"/>
                <w:highlight w:val="none"/>
              </w:rPr>
            </w:pPr>
          </w:p>
        </w:tc>
      </w:tr>
      <w:tr w14:paraId="03E4490D">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67AC309A">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6</w:t>
            </w:r>
          </w:p>
        </w:tc>
        <w:tc>
          <w:tcPr>
            <w:tcW w:w="3142" w:type="dxa"/>
            <w:tcBorders>
              <w:top w:val="nil"/>
              <w:left w:val="nil"/>
              <w:bottom w:val="single" w:color="auto" w:sz="4" w:space="0"/>
              <w:right w:val="single" w:color="auto" w:sz="4" w:space="0"/>
            </w:tcBorders>
            <w:shd w:val="clear" w:color="000000" w:fill="FFFFFF"/>
            <w:noWrap w:val="0"/>
            <w:vAlign w:val="center"/>
          </w:tcPr>
          <w:p w14:paraId="5D318538">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2406B31B">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75444B5A">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4CEE108E">
            <w:pPr>
              <w:widowControl/>
              <w:jc w:val="center"/>
              <w:rPr>
                <w:rFonts w:hint="eastAsia" w:ascii="宋体" w:hAnsi="宋体" w:eastAsia="宋体" w:cs="宋体"/>
                <w:kern w:val="0"/>
                <w:sz w:val="24"/>
                <w:szCs w:val="24"/>
                <w:highlight w:val="none"/>
              </w:rPr>
            </w:pPr>
          </w:p>
        </w:tc>
      </w:tr>
      <w:tr w14:paraId="585BF6FA">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1EA0C5F9">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7</w:t>
            </w:r>
          </w:p>
        </w:tc>
        <w:tc>
          <w:tcPr>
            <w:tcW w:w="3142" w:type="dxa"/>
            <w:tcBorders>
              <w:top w:val="nil"/>
              <w:left w:val="nil"/>
              <w:bottom w:val="single" w:color="auto" w:sz="4" w:space="0"/>
              <w:right w:val="single" w:color="auto" w:sz="4" w:space="0"/>
            </w:tcBorders>
            <w:shd w:val="clear" w:color="000000" w:fill="FFFFFF"/>
            <w:noWrap w:val="0"/>
            <w:vAlign w:val="center"/>
          </w:tcPr>
          <w:p w14:paraId="6B1A1A8F">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420B15BB">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6B47A260">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719B7BCB">
            <w:pPr>
              <w:widowControl/>
              <w:jc w:val="center"/>
              <w:rPr>
                <w:rFonts w:hint="eastAsia" w:ascii="宋体" w:hAnsi="宋体" w:eastAsia="宋体" w:cs="宋体"/>
                <w:kern w:val="0"/>
                <w:sz w:val="24"/>
                <w:szCs w:val="24"/>
                <w:highlight w:val="none"/>
              </w:rPr>
            </w:pPr>
          </w:p>
        </w:tc>
      </w:tr>
      <w:tr w14:paraId="08338B6B">
        <w:tblPrEx>
          <w:tblCellMar>
            <w:top w:w="0" w:type="dxa"/>
            <w:left w:w="108" w:type="dxa"/>
            <w:bottom w:w="0" w:type="dxa"/>
            <w:right w:w="108" w:type="dxa"/>
          </w:tblCellMar>
        </w:tblPrEx>
        <w:trPr>
          <w:trHeight w:val="255"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572631F">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3142" w:type="dxa"/>
            <w:tcBorders>
              <w:top w:val="nil"/>
              <w:left w:val="nil"/>
              <w:bottom w:val="single" w:color="auto" w:sz="4" w:space="0"/>
              <w:right w:val="single" w:color="auto" w:sz="4" w:space="0"/>
            </w:tcBorders>
            <w:shd w:val="clear" w:color="000000" w:fill="FFFFFF"/>
            <w:noWrap w:val="0"/>
            <w:vAlign w:val="center"/>
          </w:tcPr>
          <w:p w14:paraId="09D013BA">
            <w:pPr>
              <w:widowControl/>
              <w:jc w:val="left"/>
              <w:rPr>
                <w:rFonts w:hint="eastAsia" w:ascii="宋体" w:hAnsi="宋体" w:eastAsia="宋体" w:cs="宋体"/>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03FE97DD">
            <w:pPr>
              <w:widowControl/>
              <w:jc w:val="left"/>
              <w:rPr>
                <w:rFonts w:hint="eastAsia" w:ascii="宋体" w:hAnsi="宋体" w:eastAsia="宋体" w:cs="宋体"/>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41940BA9">
            <w:pPr>
              <w:widowControl/>
              <w:jc w:val="left"/>
              <w:rPr>
                <w:rFonts w:hint="eastAsia" w:ascii="宋体" w:hAnsi="宋体" w:eastAsia="宋体" w:cs="宋体"/>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0E78D24A">
            <w:pPr>
              <w:widowControl/>
              <w:jc w:val="center"/>
              <w:rPr>
                <w:rFonts w:hint="eastAsia" w:ascii="宋体" w:hAnsi="宋体" w:eastAsia="宋体" w:cs="宋体"/>
                <w:kern w:val="0"/>
                <w:sz w:val="24"/>
                <w:szCs w:val="24"/>
                <w:highlight w:val="none"/>
              </w:rPr>
            </w:pPr>
          </w:p>
        </w:tc>
      </w:tr>
      <w:tr w14:paraId="2D73D0CE">
        <w:tblPrEx>
          <w:tblCellMar>
            <w:top w:w="0" w:type="dxa"/>
            <w:left w:w="108" w:type="dxa"/>
            <w:bottom w:w="0" w:type="dxa"/>
            <w:right w:w="108" w:type="dxa"/>
          </w:tblCellMar>
        </w:tblPrEx>
        <w:trPr>
          <w:trHeight w:val="510" w:hRule="atLeast"/>
        </w:trPr>
        <w:tc>
          <w:tcPr>
            <w:tcW w:w="962" w:type="dxa"/>
            <w:tcBorders>
              <w:top w:val="nil"/>
              <w:left w:val="single" w:color="auto" w:sz="8" w:space="0"/>
              <w:bottom w:val="single" w:color="auto" w:sz="4" w:space="0"/>
              <w:right w:val="single" w:color="auto" w:sz="4" w:space="0"/>
            </w:tcBorders>
            <w:shd w:val="clear" w:color="000000" w:fill="FFFFFF"/>
            <w:noWrap w:val="0"/>
            <w:vAlign w:val="center"/>
          </w:tcPr>
          <w:p w14:paraId="487F3D72">
            <w:pPr>
              <w:widowControl/>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9</w:t>
            </w:r>
          </w:p>
        </w:tc>
        <w:tc>
          <w:tcPr>
            <w:tcW w:w="3142" w:type="dxa"/>
            <w:tcBorders>
              <w:top w:val="nil"/>
              <w:left w:val="nil"/>
              <w:bottom w:val="single" w:color="auto" w:sz="4" w:space="0"/>
              <w:right w:val="single" w:color="auto" w:sz="4" w:space="0"/>
            </w:tcBorders>
            <w:shd w:val="clear" w:color="000000" w:fill="FFFFFF"/>
            <w:noWrap w:val="0"/>
            <w:vAlign w:val="center"/>
          </w:tcPr>
          <w:p w14:paraId="282F7A49">
            <w:pPr>
              <w:widowControl/>
              <w:jc w:val="left"/>
              <w:rPr>
                <w:rFonts w:hint="eastAsia" w:ascii="宋体" w:hAnsi="宋体" w:eastAsia="宋体" w:cs="宋体"/>
                <w:color w:val="000000"/>
                <w:kern w:val="0"/>
                <w:sz w:val="24"/>
                <w:szCs w:val="24"/>
                <w:highlight w:val="none"/>
              </w:rPr>
            </w:pPr>
          </w:p>
        </w:tc>
        <w:tc>
          <w:tcPr>
            <w:tcW w:w="2036" w:type="dxa"/>
            <w:tcBorders>
              <w:top w:val="nil"/>
              <w:left w:val="nil"/>
              <w:bottom w:val="single" w:color="auto" w:sz="4" w:space="0"/>
              <w:right w:val="single" w:color="auto" w:sz="4" w:space="0"/>
            </w:tcBorders>
            <w:shd w:val="clear" w:color="000000" w:fill="FFFFFF"/>
            <w:noWrap w:val="0"/>
            <w:vAlign w:val="center"/>
          </w:tcPr>
          <w:p w14:paraId="78C1785E">
            <w:pPr>
              <w:widowControl/>
              <w:jc w:val="left"/>
              <w:rPr>
                <w:rFonts w:hint="eastAsia" w:ascii="宋体" w:hAnsi="宋体" w:eastAsia="宋体" w:cs="宋体"/>
                <w:color w:val="000000"/>
                <w:kern w:val="0"/>
                <w:sz w:val="24"/>
                <w:szCs w:val="24"/>
                <w:highlight w:val="none"/>
              </w:rPr>
            </w:pPr>
          </w:p>
        </w:tc>
        <w:tc>
          <w:tcPr>
            <w:tcW w:w="1540" w:type="dxa"/>
            <w:tcBorders>
              <w:top w:val="nil"/>
              <w:left w:val="nil"/>
              <w:bottom w:val="single" w:color="auto" w:sz="4" w:space="0"/>
              <w:right w:val="single" w:color="auto" w:sz="4" w:space="0"/>
            </w:tcBorders>
            <w:shd w:val="clear" w:color="000000" w:fill="FFFFFF"/>
            <w:noWrap w:val="0"/>
            <w:vAlign w:val="bottom"/>
          </w:tcPr>
          <w:p w14:paraId="68A30FB0">
            <w:pPr>
              <w:widowControl/>
              <w:jc w:val="left"/>
              <w:rPr>
                <w:rFonts w:hint="eastAsia" w:ascii="宋体" w:hAnsi="宋体" w:eastAsia="宋体" w:cs="宋体"/>
                <w:color w:val="000000"/>
                <w:kern w:val="0"/>
                <w:sz w:val="24"/>
                <w:szCs w:val="24"/>
                <w:highlight w:val="none"/>
              </w:rPr>
            </w:pPr>
          </w:p>
        </w:tc>
        <w:tc>
          <w:tcPr>
            <w:tcW w:w="1560" w:type="dxa"/>
            <w:tcBorders>
              <w:top w:val="nil"/>
              <w:left w:val="nil"/>
              <w:bottom w:val="single" w:color="auto" w:sz="4" w:space="0"/>
              <w:right w:val="single" w:color="auto" w:sz="4" w:space="0"/>
            </w:tcBorders>
            <w:shd w:val="clear" w:color="000000" w:fill="FFFFFF"/>
            <w:noWrap w:val="0"/>
            <w:vAlign w:val="center"/>
          </w:tcPr>
          <w:p w14:paraId="220A4731">
            <w:pPr>
              <w:widowControl/>
              <w:jc w:val="center"/>
              <w:rPr>
                <w:rFonts w:hint="eastAsia" w:ascii="宋体" w:hAnsi="宋体" w:eastAsia="宋体" w:cs="宋体"/>
                <w:kern w:val="0"/>
                <w:sz w:val="24"/>
                <w:szCs w:val="24"/>
                <w:highlight w:val="none"/>
              </w:rPr>
            </w:pPr>
          </w:p>
        </w:tc>
      </w:tr>
    </w:tbl>
    <w:p w14:paraId="5CBFD9A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本合同为</w:t>
      </w:r>
      <w:r>
        <w:rPr>
          <w:rFonts w:hint="eastAsia" w:ascii="宋体" w:hAnsi="宋体" w:eastAsia="宋体" w:cs="宋体"/>
          <w:b w:val="0"/>
          <w:bCs/>
          <w:sz w:val="22"/>
          <w:szCs w:val="22"/>
          <w:highlight w:val="none"/>
          <w:u w:val="single"/>
        </w:rPr>
        <w:t>固定总价/固定单价</w:t>
      </w:r>
      <w:r>
        <w:rPr>
          <w:rFonts w:hint="eastAsia" w:ascii="宋体" w:hAnsi="宋体" w:eastAsia="宋体" w:cs="宋体"/>
          <w:b w:val="0"/>
          <w:bCs/>
          <w:sz w:val="22"/>
          <w:szCs w:val="22"/>
          <w:highlight w:val="none"/>
        </w:rPr>
        <w:t xml:space="preserve">，上述合同价格包括但不限于以下全部项目：货物供给、货物包装、运输费、装卸费、安装调试费、税金、相关手续费、保修费和保险等的全部费用。乙方应保证甲方除支付合同约定货款之外无需再行支付其他任何费用和款项。 </w:t>
      </w:r>
    </w:p>
    <w:p w14:paraId="3AFF884A">
      <w:pPr>
        <w:keepNext w:val="0"/>
        <w:keepLines w:val="0"/>
        <w:widowControl w:val="0"/>
        <w:kinsoku/>
        <w:wordWrap/>
        <w:overflowPunct/>
        <w:topLinePunct w:val="0"/>
        <w:bidi w:val="0"/>
        <w:spacing w:line="360" w:lineRule="auto"/>
        <w:ind w:firstLine="440" w:firstLineChars="200"/>
        <w:textAlignment w:val="auto"/>
        <w:rPr>
          <w:rStyle w:val="34"/>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二、制造商及原产地</w:t>
      </w:r>
    </w:p>
    <w:p w14:paraId="197EEAC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    制造商：</w:t>
      </w:r>
      <w:r>
        <w:rPr>
          <w:rFonts w:hint="eastAsia" w:ascii="宋体" w:hAnsi="宋体" w:eastAsia="宋体" w:cs="宋体"/>
          <w:b w:val="0"/>
          <w:bCs/>
          <w:sz w:val="22"/>
          <w:szCs w:val="22"/>
          <w:highlight w:val="none"/>
          <w:lang w:val="en-US" w:eastAsia="zh-CN"/>
        </w:rPr>
        <w:t xml:space="preserve"> </w:t>
      </w:r>
      <w:r>
        <w:rPr>
          <w:rFonts w:hint="eastAsia" w:ascii="宋体" w:hAnsi="宋体" w:eastAsia="宋体" w:cs="宋体"/>
          <w:b w:val="0"/>
          <w:bCs/>
          <w:sz w:val="22"/>
          <w:szCs w:val="22"/>
          <w:highlight w:val="none"/>
        </w:rPr>
        <w:t xml:space="preserve">           </w:t>
      </w:r>
    </w:p>
    <w:p w14:paraId="4B3C60D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 xml:space="preserve">    原产地：</w:t>
      </w:r>
      <w:r>
        <w:rPr>
          <w:rFonts w:hint="eastAsia" w:ascii="宋体" w:hAnsi="宋体" w:eastAsia="宋体" w:cs="宋体"/>
          <w:b w:val="0"/>
          <w:bCs/>
          <w:sz w:val="22"/>
          <w:szCs w:val="22"/>
          <w:highlight w:val="none"/>
          <w:lang w:val="en-US" w:eastAsia="zh-CN"/>
        </w:rPr>
        <w:t xml:space="preserve"> </w:t>
      </w:r>
    </w:p>
    <w:p w14:paraId="2276D1A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u w:val="single"/>
          <w:lang w:val="en-US" w:eastAsia="zh-CN"/>
        </w:rPr>
      </w:pPr>
      <w:r>
        <w:rPr>
          <w:rFonts w:hint="eastAsia" w:ascii="宋体" w:hAnsi="宋体" w:eastAsia="宋体" w:cs="宋体"/>
          <w:b w:val="0"/>
          <w:bCs/>
          <w:sz w:val="22"/>
          <w:szCs w:val="22"/>
          <w:highlight w:val="none"/>
        </w:rPr>
        <w:t>三、系统配置：</w:t>
      </w:r>
      <w:r>
        <w:rPr>
          <w:rFonts w:hint="eastAsia" w:ascii="宋体" w:hAnsi="宋体" w:eastAsia="宋体" w:cs="宋体"/>
          <w:b w:val="0"/>
          <w:bCs/>
          <w:sz w:val="22"/>
          <w:szCs w:val="22"/>
          <w:highlight w:val="none"/>
          <w:u w:val="single"/>
          <w:lang w:val="en-US" w:eastAsia="zh-CN"/>
        </w:rPr>
        <w:t xml:space="preserve">             </w:t>
      </w:r>
    </w:p>
    <w:p w14:paraId="34286E8C">
      <w:pPr>
        <w:keepNext w:val="0"/>
        <w:keepLines w:val="0"/>
        <w:widowControl w:val="0"/>
        <w:kinsoku/>
        <w:wordWrap/>
        <w:overflowPunct/>
        <w:topLinePunct w:val="0"/>
        <w:bidi w:val="0"/>
        <w:spacing w:line="360" w:lineRule="auto"/>
        <w:ind w:left="422"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四、随机的必备品、配件、工具及其数量：乙方应按产品说明书和装箱单及出厂要求配备必须的备品、配件和专用工具。</w:t>
      </w:r>
    </w:p>
    <w:p w14:paraId="08400FE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五、</w:t>
      </w:r>
      <w:r>
        <w:rPr>
          <w:rFonts w:hint="eastAsia" w:ascii="宋体" w:hAnsi="宋体" w:eastAsia="宋体" w:cs="宋体"/>
          <w:b w:val="0"/>
          <w:bCs/>
          <w:sz w:val="22"/>
          <w:szCs w:val="22"/>
          <w:highlight w:val="none"/>
          <w:lang w:val="en-US" w:eastAsia="zh-CN"/>
        </w:rPr>
        <w:t>供货服务期、交货地点、质保期</w:t>
      </w:r>
      <w:r>
        <w:rPr>
          <w:rFonts w:hint="eastAsia" w:ascii="宋体" w:hAnsi="宋体" w:eastAsia="宋体" w:cs="宋体"/>
          <w:b w:val="0"/>
          <w:bCs/>
          <w:sz w:val="22"/>
          <w:szCs w:val="22"/>
          <w:highlight w:val="none"/>
        </w:rPr>
        <w:t>：</w:t>
      </w:r>
    </w:p>
    <w:p w14:paraId="63C283F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a）</w:t>
      </w:r>
      <w:r>
        <w:rPr>
          <w:rFonts w:hint="eastAsia" w:ascii="宋体" w:hAnsi="宋体" w:eastAsia="宋体" w:cs="宋体"/>
          <w:b w:val="0"/>
          <w:bCs/>
          <w:sz w:val="22"/>
          <w:szCs w:val="22"/>
          <w:highlight w:val="none"/>
          <w:lang w:val="en-US" w:eastAsia="zh-CN"/>
        </w:rPr>
        <w:t>供货服务期</w:t>
      </w:r>
      <w:r>
        <w:rPr>
          <w:rFonts w:hint="eastAsia" w:ascii="宋体" w:hAnsi="宋体" w:eastAsia="宋体" w:cs="宋体"/>
          <w:b w:val="0"/>
          <w:bCs/>
          <w:sz w:val="22"/>
          <w:szCs w:val="22"/>
          <w:highlight w:val="none"/>
        </w:rPr>
        <w:t>：供应期限</w:t>
      </w:r>
      <w:r>
        <w:rPr>
          <w:rFonts w:hint="eastAsia" w:ascii="宋体" w:hAnsi="宋体" w:eastAsia="宋体" w:cs="宋体"/>
          <w:b w:val="0"/>
          <w:bCs/>
          <w:sz w:val="22"/>
          <w:szCs w:val="22"/>
          <w:highlight w:val="none"/>
          <w:u w:val="single"/>
          <w:lang w:val="en-US" w:eastAsia="zh-CN"/>
        </w:rPr>
        <w:t xml:space="preserve">      </w:t>
      </w:r>
      <w:r>
        <w:rPr>
          <w:rFonts w:hint="eastAsia" w:ascii="宋体" w:hAnsi="宋体" w:eastAsia="宋体" w:cs="宋体"/>
          <w:b w:val="0"/>
          <w:bCs/>
          <w:sz w:val="22"/>
          <w:szCs w:val="22"/>
          <w:highlight w:val="none"/>
        </w:rPr>
        <w:t>年，中标方需具备相关产品的经营资质并提供证明材料。</w:t>
      </w:r>
    </w:p>
    <w:p w14:paraId="09C81D2F">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b）交货地点：甲方指定。</w:t>
      </w:r>
    </w:p>
    <w:p w14:paraId="383209E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c）交货时间：每周一次，特殊情况当日送货，按院方要求供货12个月。</w:t>
      </w:r>
    </w:p>
    <w:p w14:paraId="365B5CD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d</w:t>
      </w:r>
      <w:r>
        <w:rPr>
          <w:rFonts w:hint="eastAsia" w:ascii="宋体" w:hAnsi="宋体" w:eastAsia="宋体" w:cs="宋体"/>
          <w:b w:val="0"/>
          <w:bCs/>
          <w:sz w:val="22"/>
          <w:szCs w:val="22"/>
          <w:highlight w:val="none"/>
        </w:rPr>
        <w:t>）</w:t>
      </w:r>
      <w:r>
        <w:rPr>
          <w:rFonts w:hint="eastAsia" w:ascii="宋体" w:hAnsi="宋体" w:eastAsia="宋体" w:cs="宋体"/>
          <w:b w:val="0"/>
          <w:bCs/>
          <w:sz w:val="22"/>
          <w:szCs w:val="22"/>
          <w:highlight w:val="none"/>
          <w:lang w:val="en-US" w:eastAsia="zh-CN"/>
        </w:rPr>
        <w:t>质保期</w:t>
      </w:r>
      <w:r>
        <w:rPr>
          <w:rFonts w:hint="eastAsia" w:ascii="宋体" w:hAnsi="宋体" w:eastAsia="宋体" w:cs="宋体"/>
          <w:b w:val="0"/>
          <w:bCs/>
          <w:sz w:val="22"/>
          <w:szCs w:val="22"/>
          <w:highlight w:val="none"/>
        </w:rPr>
        <w:t>：提供的医用耗材资质齐全，内外包装上均需注明有效期,有效期与投标文件中规定的有效期相一致且不得少于</w:t>
      </w:r>
      <w:r>
        <w:rPr>
          <w:rFonts w:hint="eastAsia" w:ascii="宋体" w:hAnsi="宋体" w:eastAsia="宋体" w:cs="宋体"/>
          <w:b w:val="0"/>
          <w:bCs/>
          <w:sz w:val="22"/>
          <w:szCs w:val="22"/>
          <w:highlight w:val="none"/>
          <w:lang w:val="en-US"/>
        </w:rPr>
        <w:t>6</w:t>
      </w:r>
      <w:r>
        <w:rPr>
          <w:rFonts w:hint="eastAsia" w:ascii="宋体" w:hAnsi="宋体" w:eastAsia="宋体" w:cs="宋体"/>
          <w:b w:val="0"/>
          <w:bCs/>
          <w:sz w:val="22"/>
          <w:szCs w:val="22"/>
          <w:highlight w:val="none"/>
        </w:rPr>
        <w:t>个月（效期不足6个月视为近效期），包装符合国家、行业标准规定的保护措施。送货至使用方的库存物品接近效期的，中标方有责任进行无条件调换或退货。。</w:t>
      </w:r>
    </w:p>
    <w:p w14:paraId="06D6451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u w:val="single"/>
          <w:lang w:val="en-US" w:eastAsia="zh-CN"/>
        </w:rPr>
      </w:pPr>
      <w:r>
        <w:rPr>
          <w:rFonts w:hint="eastAsia" w:ascii="宋体" w:hAnsi="宋体" w:eastAsia="宋体" w:cs="宋体"/>
          <w:b w:val="0"/>
          <w:bCs/>
          <w:sz w:val="22"/>
          <w:szCs w:val="22"/>
          <w:highlight w:val="none"/>
        </w:rPr>
        <w:t>六、售后服务：</w:t>
      </w:r>
      <w:r>
        <w:rPr>
          <w:rFonts w:hint="eastAsia" w:ascii="宋体" w:hAnsi="宋体" w:eastAsia="宋体" w:cs="宋体"/>
          <w:b w:val="0"/>
          <w:bCs/>
          <w:sz w:val="22"/>
          <w:szCs w:val="22"/>
          <w:highlight w:val="none"/>
          <w:u w:val="single"/>
          <w:lang w:val="en-US" w:eastAsia="zh-CN"/>
        </w:rPr>
        <w:t xml:space="preserve">                                  。</w:t>
      </w:r>
    </w:p>
    <w:p w14:paraId="1CBDB6D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七、付款方式：</w:t>
      </w:r>
    </w:p>
    <w:p w14:paraId="1D51AEA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甲方应当按照实际使用量，与乙方办理结算付款。具体结算付款流程为:甲乙双方每月对实际使用的数量进行书面确认，该书面确认单作为每结算周期内确认实际供货数量的依据;乙方接受乙方供应的产品按照甲方财务结算制度确定结算付款周期为:(月/季度/半年/年);每一结算周期届满后7个工作日内，甲乙双方依据上一结算周期内双方无异议的实际供货数量(书面确认单)结合合同约定单价确认上一周期货款数额，并于货款数额确认后</w:t>
      </w:r>
      <w:r>
        <w:rPr>
          <w:rFonts w:hint="eastAsia" w:ascii="宋体" w:hAnsi="宋体" w:eastAsia="宋体" w:cs="宋体"/>
          <w:b w:val="0"/>
          <w:bCs/>
          <w:sz w:val="22"/>
          <w:szCs w:val="22"/>
          <w:highlight w:val="none"/>
          <w:lang w:val="en-US"/>
        </w:rPr>
        <w:t>60</w:t>
      </w:r>
      <w:r>
        <w:rPr>
          <w:rFonts w:hint="eastAsia" w:ascii="宋体" w:hAnsi="宋体" w:eastAsia="宋体" w:cs="宋体"/>
          <w:b w:val="0"/>
          <w:bCs/>
          <w:sz w:val="22"/>
          <w:szCs w:val="22"/>
          <w:highlight w:val="none"/>
        </w:rPr>
        <w:t xml:space="preserve">个工作日内支付至乙方指定账户。 </w:t>
      </w:r>
    </w:p>
    <w:p w14:paraId="423C1FAC">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4、乙方银行账户信息：</w:t>
      </w:r>
    </w:p>
    <w:p w14:paraId="51EA664E">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开户行：                                </w:t>
      </w:r>
    </w:p>
    <w:p w14:paraId="03FD54FF">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账户名称：</w:t>
      </w:r>
      <w:r>
        <w:rPr>
          <w:rFonts w:hint="eastAsia" w:ascii="宋体" w:hAnsi="宋体" w:eastAsia="宋体" w:cs="宋体"/>
          <w:b w:val="0"/>
          <w:bCs/>
          <w:sz w:val="22"/>
          <w:szCs w:val="22"/>
          <w:highlight w:val="none"/>
          <w:lang w:val="en-US" w:eastAsia="zh-CN"/>
        </w:rPr>
        <w:t xml:space="preserve"> </w:t>
      </w:r>
      <w:r>
        <w:rPr>
          <w:rFonts w:hint="eastAsia" w:ascii="宋体" w:hAnsi="宋体" w:eastAsia="宋体" w:cs="宋体"/>
          <w:b w:val="0"/>
          <w:bCs/>
          <w:sz w:val="22"/>
          <w:szCs w:val="22"/>
          <w:highlight w:val="none"/>
        </w:rPr>
        <w:t xml:space="preserve">                                              </w:t>
      </w:r>
    </w:p>
    <w:p w14:paraId="27557C3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银行账号：</w:t>
      </w:r>
      <w:r>
        <w:rPr>
          <w:rFonts w:hint="eastAsia" w:ascii="宋体" w:hAnsi="宋体" w:eastAsia="宋体" w:cs="宋体"/>
          <w:b w:val="0"/>
          <w:bCs/>
          <w:sz w:val="22"/>
          <w:szCs w:val="22"/>
          <w:highlight w:val="none"/>
          <w:lang w:val="en-US" w:eastAsia="zh-CN"/>
        </w:rPr>
        <w:t xml:space="preserve"> </w:t>
      </w:r>
      <w:r>
        <w:rPr>
          <w:rFonts w:hint="eastAsia" w:ascii="宋体" w:hAnsi="宋体" w:eastAsia="宋体" w:cs="宋体"/>
          <w:b w:val="0"/>
          <w:bCs/>
          <w:sz w:val="22"/>
          <w:szCs w:val="22"/>
          <w:highlight w:val="none"/>
        </w:rPr>
        <w:t xml:space="preserve">                                                     </w:t>
      </w:r>
    </w:p>
    <w:p w14:paraId="07BB0D6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甲方向以上账户付款，即为完成本合同项下对乙方相应的付款义务。乙方对上述账户信息的准确性和可用性承担全部责任。若上述账户状态或信息发生任何变更，乙方应提前7个工作日使甲方获悉，否则甲方不对乙方迟延收到或未能收到任何款项承担责任。  </w:t>
      </w:r>
    </w:p>
    <w:p w14:paraId="4445BBB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八、包装标准：</w:t>
      </w:r>
    </w:p>
    <w:p w14:paraId="4FBE599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1、乙方提供的全部标的物须采用相应标准的保护措施进行包装。这种包装应适于航空、海运和内陆运输，并有良好的防潮、防震、防锈和防野蛮装卸的保护措施，以确保标的物安全运抵交货地点。</w:t>
      </w:r>
    </w:p>
    <w:p w14:paraId="079E228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2、由于乙方包装或其防护措施不妥而引起标的物锈蚀、损坏和丢失的任何损失的责任或费用由乙方承担。</w:t>
      </w:r>
    </w:p>
    <w:p w14:paraId="3018ED6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3、除双方特殊约定以外，乙方提供的包装物费用包括在本合同总价中。</w:t>
      </w:r>
    </w:p>
    <w:p w14:paraId="2FEB026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4、乙方负责将送至甲方指定地点的设备包装物从甲方工作场所中清除出去，不得给甲方工作人员或环境造成影响，否则将承担相应的责任，赔偿甲方的损失。</w:t>
      </w:r>
    </w:p>
    <w:p w14:paraId="5CD8898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5、标的物在运输途中的安全问题均由乙方负责，在交货过程中，发生意外事故和故障损失，如撞、刮、裂、损等均由乙方承担责任；</w:t>
      </w:r>
    </w:p>
    <w:p w14:paraId="381CD96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九、技术参数：乙方负责提供标的物详细的中文版说明书、使用手册、维修手册及电路原理图等一切与该标的物的安装、维修、保养有关的技术图纸及文字资料。否则，甲方有权不予付款且不承担违约责任。乙方应同时提供该标的物彩页资料和公司、产品资质，并承担由此发生的全部费用。</w:t>
      </w:r>
    </w:p>
    <w:p w14:paraId="0B33065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十、安装调试：</w:t>
      </w:r>
    </w:p>
    <w:p w14:paraId="4D3F834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1、乙方必须在合同签订后</w:t>
      </w:r>
      <w:r>
        <w:rPr>
          <w:rFonts w:hint="eastAsia" w:ascii="宋体" w:hAnsi="宋体" w:eastAsia="宋体" w:cs="宋体"/>
          <w:b w:val="0"/>
          <w:bCs/>
          <w:sz w:val="22"/>
          <w:szCs w:val="22"/>
          <w:highlight w:val="none"/>
          <w:u w:val="single"/>
          <w:lang w:val="en-US" w:eastAsia="zh-CN"/>
        </w:rPr>
        <w:t xml:space="preserve">    </w:t>
      </w:r>
      <w:r>
        <w:rPr>
          <w:rFonts w:hint="eastAsia" w:ascii="宋体" w:hAnsi="宋体" w:eastAsia="宋体" w:cs="宋体"/>
          <w:b w:val="0"/>
          <w:bCs/>
          <w:sz w:val="22"/>
          <w:szCs w:val="22"/>
          <w:highlight w:val="none"/>
        </w:rPr>
        <w:t>周内将所有的安装调试条件、需甲方配合的事项以书面方式通知甲方；</w:t>
      </w:r>
    </w:p>
    <w:p w14:paraId="651D65D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 xml:space="preserve">2、乙方负责标的物的运送、安装、调试、技术协助、校准、培训以及其他类似等工作，直至该标的物可以正常使用。 </w:t>
      </w:r>
    </w:p>
    <w:p w14:paraId="2A7754CC">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乙方应指派专业的技术人员对甲方的设备维修人员及使用人员进行免费培训，确保维修人员能对设备进行日常维护和一般性故障的查找及故障的排除，确保使用人员能够熟练掌握设备的各项功能和操作，且上述费用已包含在合同总价中，甲方不再另行支付。</w:t>
      </w:r>
    </w:p>
    <w:p w14:paraId="07B4859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bidi="ar"/>
        </w:rPr>
      </w:pPr>
      <w:r>
        <w:rPr>
          <w:rFonts w:hint="eastAsia" w:ascii="宋体" w:hAnsi="宋体" w:eastAsia="宋体" w:cs="宋体"/>
          <w:b w:val="0"/>
          <w:bCs/>
          <w:sz w:val="22"/>
          <w:szCs w:val="22"/>
          <w:highlight w:val="none"/>
          <w:lang w:bidi="ar"/>
        </w:rPr>
        <w:t>4、在安装调试期间，</w:t>
      </w:r>
      <w:r>
        <w:rPr>
          <w:rFonts w:hint="eastAsia" w:ascii="宋体" w:hAnsi="宋体" w:eastAsia="宋体" w:cs="宋体"/>
          <w:b w:val="0"/>
          <w:bCs/>
          <w:sz w:val="22"/>
          <w:szCs w:val="22"/>
          <w:highlight w:val="none"/>
          <w:lang w:val="en-US" w:eastAsia="zh-Hans" w:bidi="ar"/>
        </w:rPr>
        <w:t>因物件本身以及安装操作造成的安全事故</w:t>
      </w:r>
      <w:r>
        <w:rPr>
          <w:rFonts w:hint="eastAsia" w:ascii="宋体" w:hAnsi="宋体" w:eastAsia="宋体" w:cs="宋体"/>
          <w:b w:val="0"/>
          <w:bCs/>
          <w:sz w:val="22"/>
          <w:szCs w:val="22"/>
          <w:highlight w:val="none"/>
          <w:lang w:bidi="ar"/>
        </w:rPr>
        <w:t>及造成任何人身伤亡，由乙方承担全部责任责任。</w:t>
      </w:r>
    </w:p>
    <w:p w14:paraId="09E78D8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十一、验收标准：</w:t>
      </w:r>
    </w:p>
    <w:p w14:paraId="5C3C438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1、单证齐全：应有产品合格证（或质量证明）、使用说明、保修证明、发票和其他应具有的单证。同时由乙方提供该套标的物的商检证，需计量鉴定的，还需提供初次计量鉴定证书。</w:t>
      </w:r>
    </w:p>
    <w:p w14:paraId="61439C54">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2、质量符合现行国家法律法规规定的标准、招标文件和</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的要求。其中有关标的物名称、制造商、数量等信息须符合</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和配置清单</w:t>
      </w:r>
    </w:p>
    <w:p w14:paraId="67884E02">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3、标的物到达用户所在地后，由甲、乙双方负责对标的物进行数量、包装及品质的验收。确定与合同规定相符后，乙方工程师须</w:t>
      </w:r>
      <w:r>
        <w:rPr>
          <w:rFonts w:hint="eastAsia" w:ascii="宋体" w:hAnsi="宋体" w:eastAsia="宋体" w:cs="宋体"/>
          <w:b w:val="0"/>
          <w:bCs/>
          <w:sz w:val="22"/>
          <w:szCs w:val="22"/>
          <w:highlight w:val="none"/>
          <w:u w:val="single"/>
        </w:rPr>
        <w:t>7</w:t>
      </w:r>
      <w:r>
        <w:rPr>
          <w:rFonts w:hint="eastAsia" w:ascii="宋体" w:hAnsi="宋体" w:eastAsia="宋体" w:cs="宋体"/>
          <w:b w:val="0"/>
          <w:bCs/>
          <w:sz w:val="22"/>
          <w:szCs w:val="22"/>
          <w:highlight w:val="none"/>
        </w:rPr>
        <w:t>天内负责对标的物进行安装调试。因乙方原因造成不能按时完成安装调试工作，乙方应承担甲方由此所受的损失。</w:t>
      </w:r>
    </w:p>
    <w:p w14:paraId="66F1619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4、甲方标的物使用科室最终签发相关的安装验收合格报告，并且甲方有权委托中国有资质的单位对仪器进行精度校核，所发生的费用由乙方承担且乙方同意授权甲方从应付货款中直接扣除。</w:t>
      </w:r>
    </w:p>
    <w:p w14:paraId="5070D9F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甲方最终验收合格后进入售后服务期。若验收不合格的，应及时向乙方提出书面异议，乙方应在接到异议及检测报告后及时进行更换或重新安装调试，直至验收合格，如果因乙方供货质量原因造成的甲方受到的损失，乙方还应承担相应违约责任并承担相应赔偿。</w:t>
      </w:r>
    </w:p>
    <w:p w14:paraId="527B506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6、根据《中华人民共和国强制检定的工作计量器具目录》及招标文件要求，属于计量器具需要进行计量检定、校准的设备，由乙方承担首次技术监督局的检定、校准费用，并提供承诺函。</w:t>
      </w:r>
    </w:p>
    <w:p w14:paraId="7319411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十二、质量技术标准及损害赔偿：</w:t>
      </w:r>
    </w:p>
    <w:p w14:paraId="5211AFE0">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1、产品质量标准：标的物的质量技术标准按国家法律法规规定的标准、招标文件和乙方</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所要求的技术标准执行。同时应符合中华人民共和国国家质量及国家安全环保标准，上述标准不一致的，按照高标准执行。</w:t>
      </w:r>
    </w:p>
    <w:p w14:paraId="4327447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2、乙方应保证其提供的标的物是原产地的原装产品，是全新的、未使用过的，</w:t>
      </w:r>
      <w:r>
        <w:rPr>
          <w:rFonts w:hint="eastAsia" w:ascii="宋体" w:hAnsi="宋体" w:eastAsia="宋体" w:cs="宋体"/>
          <w:sz w:val="22"/>
          <w:szCs w:val="22"/>
          <w:highlight w:val="none"/>
        </w:rPr>
        <w:t>依据国家中医药管理局制订的中医体质量表</w:t>
      </w:r>
      <w:r>
        <w:rPr>
          <w:rFonts w:hint="eastAsia" w:ascii="宋体" w:hAnsi="宋体" w:eastAsia="宋体" w:cs="宋体"/>
          <w:sz w:val="22"/>
          <w:szCs w:val="22"/>
          <w:highlight w:val="none"/>
          <w:lang w:eastAsia="zh-CN"/>
        </w:rPr>
        <w:t>，应引用医疗器械国家标准（如YY/T 0287）或具体行业</w:t>
      </w:r>
      <w:r>
        <w:rPr>
          <w:rFonts w:hint="eastAsia" w:ascii="宋体" w:hAnsi="宋体" w:eastAsia="宋体" w:cs="宋体"/>
          <w:sz w:val="22"/>
          <w:szCs w:val="22"/>
          <w:highlight w:val="none"/>
        </w:rPr>
        <w:t>标准。</w:t>
      </w:r>
      <w:r>
        <w:rPr>
          <w:rFonts w:hint="eastAsia" w:ascii="宋体" w:hAnsi="宋体" w:eastAsia="宋体" w:cs="宋体"/>
          <w:b w:val="0"/>
          <w:bCs/>
          <w:sz w:val="22"/>
          <w:szCs w:val="22"/>
          <w:highlight w:val="none"/>
        </w:rPr>
        <w:t>并在各个方面符合合同规定的质量、规格和性能要求。否则按退货处理。</w:t>
      </w:r>
    </w:p>
    <w:p w14:paraId="763AC946">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乙方应保证其标的物经过正确安装、合理操作和维护保养，在标的物寿命期内运转良好。在规定的质量保证期内乙方应对由于设计、工艺或材料的缺陷造成的任何缺陷或故障，负责维修、调换直至符合甲方要求。否则按乙方构成违约责任处理。</w:t>
      </w:r>
    </w:p>
    <w:p w14:paraId="00AB2020">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4、标的物在售后服务期内，如出现三次以上（含三次）因质量问题引起的故障，乙方负责更换同类新的货物，以达到合同规定的规格、质量和性能，并从更换之日起重新计算被更换标的物的售后服务期，由此产生的一切费用由乙方承担。</w:t>
      </w:r>
      <w:r>
        <w:rPr>
          <w:rFonts w:hint="eastAsia" w:ascii="宋体" w:hAnsi="宋体" w:eastAsia="宋体" w:cs="宋体"/>
          <w:b w:val="0"/>
          <w:bCs/>
          <w:sz w:val="22"/>
          <w:szCs w:val="22"/>
          <w:highlight w:val="none"/>
          <w:lang w:val="en-US" w:eastAsia="zh-CN"/>
        </w:rPr>
        <w:t>如</w:t>
      </w:r>
      <w:r>
        <w:rPr>
          <w:rFonts w:hint="eastAsia" w:ascii="宋体" w:hAnsi="宋体" w:eastAsia="宋体" w:cs="宋体"/>
          <w:b w:val="0"/>
          <w:bCs/>
          <w:sz w:val="22"/>
          <w:szCs w:val="22"/>
          <w:highlight w:val="none"/>
        </w:rPr>
        <w:t>更换同类新的货物</w:t>
      </w:r>
      <w:r>
        <w:rPr>
          <w:rFonts w:hint="eastAsia" w:ascii="宋体" w:hAnsi="宋体" w:eastAsia="宋体" w:cs="宋体"/>
          <w:b w:val="0"/>
          <w:bCs/>
          <w:sz w:val="22"/>
          <w:szCs w:val="22"/>
          <w:highlight w:val="none"/>
          <w:lang w:val="en-US" w:eastAsia="zh-CN"/>
        </w:rPr>
        <w:t>之后仍未达到甲方要求的，甲方可要求退货，情节严重的直接解除合同，由此产生的损失全部由乙方承担。</w:t>
      </w:r>
    </w:p>
    <w:p w14:paraId="33680A2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5、如因为乙方标的物质量原因，导致甲方损失，</w:t>
      </w:r>
      <w:r>
        <w:rPr>
          <w:rFonts w:hint="eastAsia" w:ascii="宋体" w:hAnsi="宋体" w:eastAsia="宋体" w:cs="宋体"/>
          <w:b w:val="0"/>
          <w:bCs/>
          <w:sz w:val="22"/>
          <w:szCs w:val="22"/>
          <w:highlight w:val="none"/>
          <w:lang w:bidi="ar"/>
        </w:rPr>
        <w:t>由乙方承担全部责任并赔偿甲方所有损失。如因乙方提供的设备发生医疗器械不良事件，乙方应承担全部责任和所有费用</w:t>
      </w:r>
      <w:r>
        <w:rPr>
          <w:rFonts w:hint="eastAsia" w:ascii="宋体" w:hAnsi="宋体" w:eastAsia="宋体" w:cs="宋体"/>
          <w:b w:val="0"/>
          <w:bCs/>
          <w:sz w:val="22"/>
          <w:szCs w:val="22"/>
          <w:highlight w:val="none"/>
        </w:rPr>
        <w:t>。</w:t>
      </w:r>
    </w:p>
    <w:p w14:paraId="11B9DEA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十三、合同修改、变更、转让及专利权：</w:t>
      </w:r>
    </w:p>
    <w:p w14:paraId="187BB9DC">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w:t>
      </w:r>
      <w:bookmarkStart w:id="575" w:name="OLE_LINK13"/>
      <w:r>
        <w:rPr>
          <w:rFonts w:hint="eastAsia" w:ascii="宋体" w:hAnsi="宋体" w:eastAsia="宋体" w:cs="宋体"/>
          <w:b w:val="0"/>
          <w:bCs/>
          <w:sz w:val="22"/>
          <w:szCs w:val="22"/>
          <w:highlight w:val="none"/>
        </w:rPr>
        <w:t>未经甲方书面同意，乙方不得对合同条款及服务内容进行任何修改、变更。并</w:t>
      </w:r>
      <w:bookmarkEnd w:id="575"/>
      <w:r>
        <w:rPr>
          <w:rFonts w:hint="eastAsia" w:ascii="宋体" w:hAnsi="宋体" w:eastAsia="宋体" w:cs="宋体"/>
          <w:b w:val="0"/>
          <w:bCs/>
          <w:sz w:val="22"/>
          <w:szCs w:val="22"/>
          <w:highlight w:val="none"/>
        </w:rPr>
        <w:t>且不得转让其应履行的义务。否则，甲方有权终止合同，所发生的损失由乙方全部承担。</w:t>
      </w:r>
    </w:p>
    <w:p w14:paraId="1135293F">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2、乙方须保障甲方在使用其标的物、服务及其任何部分不受到第三方关于侵犯专利权、商标权或工业设计权的指控。任何第三方提出侵权指控，乙方须与第三方交涉并承担由此而引起的一切法律责任和费用。</w:t>
      </w:r>
    </w:p>
    <w:p w14:paraId="6B3FA7DB">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十四、</w:t>
      </w:r>
      <w:bookmarkStart w:id="576" w:name="OLE_LINK14"/>
      <w:r>
        <w:rPr>
          <w:rFonts w:hint="eastAsia" w:ascii="宋体" w:hAnsi="宋体" w:eastAsia="宋体" w:cs="宋体"/>
          <w:b w:val="0"/>
          <w:bCs/>
          <w:sz w:val="22"/>
          <w:szCs w:val="22"/>
          <w:highlight w:val="none"/>
        </w:rPr>
        <w:t>不</w:t>
      </w:r>
      <w:bookmarkEnd w:id="576"/>
      <w:r>
        <w:rPr>
          <w:rFonts w:hint="eastAsia" w:ascii="宋体" w:hAnsi="宋体" w:eastAsia="宋体" w:cs="宋体"/>
          <w:b w:val="0"/>
          <w:bCs/>
          <w:sz w:val="22"/>
          <w:szCs w:val="22"/>
          <w:highlight w:val="none"/>
        </w:rPr>
        <w:t>可抗力：任何一方由于不可抗力（如地震、战争等）原因无法履行合同时，应在不可抗力时间结束后尽快向对方通报，以减轻可能给对方造成的损失；在取得有关机构的不可抗力证明或者双方谅解确认后，允许延期履行或修订合同，并视情况免于承担部分或全部的违约责任。</w:t>
      </w:r>
    </w:p>
    <w:p w14:paraId="12E047C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十五、违约责任：</w:t>
      </w:r>
    </w:p>
    <w:p w14:paraId="4C487C1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1、乙方交付标的物的品种、规格、质量不符合国家标准或合同规定的，由乙方全权负责换货。换货必须全新并符合本合同约定的质量标准和验收标准，因此而产生的一切费用和甲方遭受的一切直接损失由乙方无条件承担，乙方不能修理或者不能调换、安装的，甲方有权</w:t>
      </w:r>
      <w:r>
        <w:rPr>
          <w:rFonts w:hint="eastAsia" w:ascii="宋体" w:hAnsi="宋体" w:eastAsia="宋体" w:cs="宋体"/>
          <w:b w:val="0"/>
          <w:bCs/>
          <w:sz w:val="22"/>
          <w:szCs w:val="22"/>
          <w:highlight w:val="none"/>
          <w:lang w:val="en-US" w:eastAsia="zh-Hans"/>
        </w:rPr>
        <w:t>解除合同及要求</w:t>
      </w:r>
      <w:r>
        <w:rPr>
          <w:rFonts w:hint="eastAsia" w:ascii="宋体" w:hAnsi="宋体" w:eastAsia="宋体" w:cs="宋体"/>
          <w:b w:val="0"/>
          <w:bCs/>
          <w:sz w:val="22"/>
          <w:szCs w:val="22"/>
          <w:highlight w:val="none"/>
        </w:rPr>
        <w:t>退货，</w:t>
      </w:r>
      <w:r>
        <w:rPr>
          <w:rFonts w:hint="eastAsia" w:ascii="宋体" w:hAnsi="宋体" w:eastAsia="宋体" w:cs="宋体"/>
          <w:b w:val="0"/>
          <w:bCs/>
          <w:sz w:val="22"/>
          <w:szCs w:val="22"/>
          <w:highlight w:val="none"/>
          <w:lang w:val="en-US" w:eastAsia="zh-Hans"/>
        </w:rPr>
        <w:t>并要求乙方</w:t>
      </w:r>
      <w:r>
        <w:rPr>
          <w:rFonts w:hint="eastAsia" w:ascii="宋体" w:hAnsi="宋体" w:eastAsia="宋体" w:cs="宋体"/>
          <w:b w:val="0"/>
          <w:bCs/>
          <w:sz w:val="22"/>
          <w:szCs w:val="22"/>
          <w:highlight w:val="none"/>
        </w:rPr>
        <w:t>按合同总额的</w:t>
      </w:r>
      <w:r>
        <w:rPr>
          <w:rFonts w:hint="eastAsia" w:ascii="宋体" w:hAnsi="宋体" w:eastAsia="宋体" w:cs="宋体"/>
          <w:b w:val="0"/>
          <w:bCs/>
          <w:sz w:val="22"/>
          <w:szCs w:val="22"/>
          <w:highlight w:val="none"/>
          <w:lang w:val="en-US"/>
        </w:rPr>
        <w:t>10</w:t>
      </w:r>
      <w:r>
        <w:rPr>
          <w:rFonts w:hint="eastAsia" w:ascii="宋体" w:hAnsi="宋体" w:eastAsia="宋体" w:cs="宋体"/>
          <w:b w:val="0"/>
          <w:bCs/>
          <w:sz w:val="22"/>
          <w:szCs w:val="22"/>
          <w:highlight w:val="none"/>
        </w:rPr>
        <w:t>%承担违约金。乙方应承担因退货而发生的一切直接损失和费用并按照本合同总金额</w:t>
      </w:r>
      <w:r>
        <w:rPr>
          <w:rFonts w:hint="eastAsia" w:ascii="宋体" w:hAnsi="宋体" w:eastAsia="宋体" w:cs="宋体"/>
          <w:b w:val="0"/>
          <w:bCs/>
          <w:sz w:val="22"/>
          <w:szCs w:val="22"/>
          <w:highlight w:val="none"/>
          <w:lang w:val="en-US"/>
        </w:rPr>
        <w:t>10</w:t>
      </w:r>
      <w:r>
        <w:rPr>
          <w:rFonts w:hint="eastAsia" w:ascii="宋体" w:hAnsi="宋体" w:eastAsia="宋体" w:cs="宋体"/>
          <w:b w:val="0"/>
          <w:bCs/>
          <w:sz w:val="22"/>
          <w:szCs w:val="22"/>
          <w:highlight w:val="none"/>
        </w:rPr>
        <w:t>%向甲方支付违约金。</w:t>
      </w:r>
      <w:r>
        <w:rPr>
          <w:rFonts w:hint="eastAsia" w:ascii="宋体" w:hAnsi="宋体" w:eastAsia="宋体" w:cs="宋体"/>
          <w:b w:val="0"/>
          <w:bCs/>
          <w:sz w:val="22"/>
          <w:szCs w:val="22"/>
          <w:highlight w:val="none"/>
          <w:lang w:val="en-US" w:eastAsia="zh-CN"/>
        </w:rPr>
        <w:t xml:space="preserve">  </w:t>
      </w:r>
    </w:p>
    <w:p w14:paraId="58BB4A6E">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eastAsia="zh-CN"/>
        </w:rPr>
      </w:pPr>
      <w:r>
        <w:rPr>
          <w:rFonts w:hint="eastAsia" w:ascii="宋体" w:hAnsi="宋体" w:eastAsia="宋体" w:cs="宋体"/>
          <w:b w:val="0"/>
          <w:bCs/>
          <w:sz w:val="22"/>
          <w:szCs w:val="22"/>
          <w:highlight w:val="none"/>
        </w:rPr>
        <w:t>2、乙方逾期交货的，按逾期交货部分货款计算，乙方向甲方偿付每日千分之五的违约金。逾期至</w:t>
      </w:r>
      <w:r>
        <w:rPr>
          <w:rFonts w:hint="eastAsia" w:ascii="宋体" w:hAnsi="宋体" w:eastAsia="宋体" w:cs="宋体"/>
          <w:b w:val="0"/>
          <w:bCs/>
          <w:sz w:val="22"/>
          <w:szCs w:val="22"/>
          <w:highlight w:val="none"/>
          <w:lang w:val="en-US" w:eastAsia="zh-CN"/>
        </w:rPr>
        <w:t>5</w:t>
      </w:r>
      <w:r>
        <w:rPr>
          <w:rFonts w:hint="eastAsia" w:ascii="宋体" w:hAnsi="宋体" w:eastAsia="宋体" w:cs="宋体"/>
          <w:b w:val="0"/>
          <w:bCs/>
          <w:sz w:val="22"/>
          <w:szCs w:val="22"/>
          <w:highlight w:val="none"/>
        </w:rPr>
        <w:t>日</w:t>
      </w:r>
      <w:r>
        <w:rPr>
          <w:rFonts w:hint="eastAsia" w:ascii="宋体" w:hAnsi="宋体" w:eastAsia="宋体" w:cs="宋体"/>
          <w:b w:val="0"/>
          <w:bCs/>
          <w:sz w:val="22"/>
          <w:szCs w:val="22"/>
          <w:highlight w:val="none"/>
          <w:lang w:val="en-US" w:eastAsia="zh-CN"/>
        </w:rPr>
        <w:t>以上</w:t>
      </w:r>
      <w:r>
        <w:rPr>
          <w:rFonts w:hint="eastAsia" w:ascii="宋体" w:hAnsi="宋体" w:eastAsia="宋体" w:cs="宋体"/>
          <w:b w:val="0"/>
          <w:bCs/>
          <w:sz w:val="22"/>
          <w:szCs w:val="22"/>
          <w:highlight w:val="none"/>
        </w:rPr>
        <w:t>仍未交付，甲方有权解除合同，并要求乙方继续承担合同金额</w:t>
      </w:r>
      <w:r>
        <w:rPr>
          <w:rFonts w:hint="eastAsia" w:ascii="宋体" w:hAnsi="宋体" w:eastAsia="宋体" w:cs="宋体"/>
          <w:b w:val="0"/>
          <w:bCs/>
          <w:sz w:val="22"/>
          <w:szCs w:val="22"/>
          <w:highlight w:val="none"/>
          <w:lang w:val="en-US"/>
        </w:rPr>
        <w:t>5</w:t>
      </w:r>
      <w:r>
        <w:rPr>
          <w:rFonts w:hint="eastAsia" w:ascii="宋体" w:hAnsi="宋体" w:eastAsia="宋体" w:cs="宋体"/>
          <w:b w:val="0"/>
          <w:bCs/>
          <w:sz w:val="22"/>
          <w:szCs w:val="22"/>
          <w:highlight w:val="none"/>
        </w:rPr>
        <w:t>%的违约金</w:t>
      </w:r>
      <w:r>
        <w:rPr>
          <w:rFonts w:hint="eastAsia" w:ascii="宋体" w:hAnsi="宋体" w:eastAsia="宋体" w:cs="宋体"/>
          <w:b w:val="0"/>
          <w:bCs/>
          <w:sz w:val="22"/>
          <w:szCs w:val="22"/>
          <w:highlight w:val="none"/>
          <w:lang w:eastAsia="zh-CN"/>
        </w:rPr>
        <w:t>。</w:t>
      </w:r>
    </w:p>
    <w:p w14:paraId="6FC57AC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3</w:t>
      </w:r>
      <w:r>
        <w:rPr>
          <w:rFonts w:hint="eastAsia" w:ascii="宋体" w:hAnsi="宋体" w:eastAsia="宋体" w:cs="宋体"/>
          <w:b w:val="0"/>
          <w:bCs/>
          <w:sz w:val="22"/>
          <w:szCs w:val="22"/>
          <w:highlight w:val="none"/>
        </w:rPr>
        <w:t>、</w:t>
      </w:r>
      <w:bookmarkStart w:id="577" w:name="OLE_LINK12"/>
      <w:r>
        <w:rPr>
          <w:rFonts w:hint="eastAsia" w:ascii="宋体" w:hAnsi="宋体" w:eastAsia="宋体" w:cs="宋体"/>
          <w:b w:val="0"/>
          <w:bCs/>
          <w:sz w:val="22"/>
          <w:szCs w:val="22"/>
          <w:highlight w:val="none"/>
        </w:rPr>
        <w:t>乙方不得以任何形式在任何情况下对甲方工作人员进行</w:t>
      </w:r>
      <w:bookmarkEnd w:id="577"/>
      <w:r>
        <w:rPr>
          <w:rFonts w:hint="eastAsia" w:ascii="宋体" w:hAnsi="宋体" w:eastAsia="宋体" w:cs="宋体"/>
          <w:b w:val="0"/>
          <w:bCs/>
          <w:sz w:val="22"/>
          <w:szCs w:val="22"/>
          <w:highlight w:val="none"/>
        </w:rPr>
        <w:t>商业贿赂活动，否则甲方有权单方解除合同，同时乙方需按照本合同总金额20%向甲方支付违约金并承担相应的法律责任。</w:t>
      </w:r>
    </w:p>
    <w:p w14:paraId="2C7022EA">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4</w:t>
      </w:r>
      <w:r>
        <w:rPr>
          <w:rFonts w:hint="eastAsia" w:ascii="宋体" w:hAnsi="宋体" w:eastAsia="宋体" w:cs="宋体"/>
          <w:b w:val="0"/>
          <w:bCs/>
          <w:sz w:val="22"/>
          <w:szCs w:val="22"/>
          <w:highlight w:val="none"/>
        </w:rPr>
        <w:t>、在履行合同过程中，如果乙方遇到妨碍按时交货和提供服务的情况时，应及时以书面形式将拖延的事实，可能拖延的时间和原因通知甲方。甲方在收到乙方通知后，应尽快对情况进行评价，并于7日内确定是否同意延长交货时间。乙方延期交货应通过签订补充协议的方式经甲方盖章确认。</w:t>
      </w:r>
    </w:p>
    <w:p w14:paraId="44BF5F3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lang w:val="en-US" w:eastAsia="zh-CN"/>
        </w:rPr>
        <w:t>5</w:t>
      </w:r>
      <w:r>
        <w:rPr>
          <w:rFonts w:hint="eastAsia" w:ascii="宋体" w:hAnsi="宋体" w:eastAsia="宋体" w:cs="宋体"/>
          <w:b w:val="0"/>
          <w:bCs/>
          <w:sz w:val="22"/>
          <w:szCs w:val="22"/>
          <w:highlight w:val="none"/>
        </w:rPr>
        <w:t>、本合同签订后，乙方不得以货物市场价格上涨等各种理由断货、中止供货或要求甲方调价，否则，甲方有权解除合同并拒绝支付任何合同款项，乙方向甲方支付合同总价20%的违约金。</w:t>
      </w:r>
    </w:p>
    <w:p w14:paraId="370D6AE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十六、赔偿、追索权：</w:t>
      </w:r>
    </w:p>
    <w:p w14:paraId="5BD12097">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1、本合同中所涉及到的乙方应支付甲方的损害赔偿、违约金等，在质保期内，甲方有权从合同总金额</w:t>
      </w:r>
      <w:r>
        <w:rPr>
          <w:rFonts w:hint="eastAsia" w:ascii="宋体" w:hAnsi="宋体" w:eastAsia="宋体" w:cs="宋体"/>
          <w:b w:val="0"/>
          <w:bCs/>
          <w:sz w:val="22"/>
          <w:szCs w:val="22"/>
          <w:highlight w:val="none"/>
          <w:lang w:val="en-US" w:eastAsia="zh-CN"/>
        </w:rPr>
        <w:t>3</w:t>
      </w:r>
      <w:r>
        <w:rPr>
          <w:rFonts w:hint="eastAsia" w:ascii="宋体" w:hAnsi="宋体" w:eastAsia="宋体" w:cs="宋体"/>
          <w:b w:val="0"/>
          <w:bCs/>
          <w:sz w:val="22"/>
          <w:szCs w:val="22"/>
          <w:highlight w:val="none"/>
        </w:rPr>
        <w:t>%中直接扣除，对不足以抵偿的部分，甲方保留追索权；设备质保期以外，甲方保留追索的权利，包括从甲、乙双方所签署的其他合同乙方的权利中，追偿上述经济损失及违约金。</w:t>
      </w:r>
    </w:p>
    <w:p w14:paraId="1A8BECC4">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2、本合同所有条款约定的违约金、赔偿金等均应以人民币的方式支付，双方明确按照第一次购汇当日的银行汇卖价，即购汇凭单上的购汇汇率，作为今后违约金、赔偿金等结算支付的汇率。</w:t>
      </w:r>
    </w:p>
    <w:p w14:paraId="3467F275">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十七、解决合同纠纷的方式：</w:t>
      </w:r>
    </w:p>
    <w:p w14:paraId="301C780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rPr>
        <w:t>1、合同双方本着诚实、公平合理的原则协商解决，协商仍不能达成共识，可向甲方所在地人民法院提起诉讼</w:t>
      </w:r>
      <w:r>
        <w:rPr>
          <w:rFonts w:hint="eastAsia" w:ascii="宋体" w:hAnsi="宋体" w:eastAsia="宋体" w:cs="宋体"/>
          <w:b w:val="0"/>
          <w:bCs/>
          <w:sz w:val="22"/>
          <w:szCs w:val="22"/>
          <w:highlight w:val="none"/>
          <w:lang w:eastAsia="zh-CN"/>
        </w:rPr>
        <w:t>，</w:t>
      </w:r>
      <w:r>
        <w:rPr>
          <w:rFonts w:hint="eastAsia" w:ascii="宋体" w:hAnsi="宋体" w:eastAsia="宋体" w:cs="宋体"/>
          <w:b w:val="0"/>
          <w:bCs/>
          <w:sz w:val="22"/>
          <w:szCs w:val="22"/>
          <w:highlight w:val="none"/>
          <w:lang w:val="en-US" w:eastAsia="zh-CN"/>
        </w:rPr>
        <w:t>由此产生的</w:t>
      </w:r>
      <w:r>
        <w:rPr>
          <w:rFonts w:hint="eastAsia" w:ascii="宋体" w:hAnsi="宋体" w:eastAsia="宋体" w:cs="宋体"/>
          <w:b w:val="0"/>
          <w:bCs/>
          <w:sz w:val="22"/>
          <w:szCs w:val="22"/>
          <w:highlight w:val="none"/>
          <w:lang w:val="en-US" w:eastAsia="zh-Hans"/>
        </w:rPr>
        <w:t>诉讼费</w:t>
      </w:r>
      <w:r>
        <w:rPr>
          <w:rFonts w:hint="eastAsia" w:ascii="宋体" w:hAnsi="宋体" w:eastAsia="宋体" w:cs="宋体"/>
          <w:b w:val="0"/>
          <w:bCs/>
          <w:sz w:val="22"/>
          <w:szCs w:val="22"/>
          <w:highlight w:val="none"/>
          <w:lang w:eastAsia="zh-Hans"/>
        </w:rPr>
        <w:t>、</w:t>
      </w:r>
      <w:r>
        <w:rPr>
          <w:rFonts w:hint="eastAsia" w:ascii="宋体" w:hAnsi="宋体" w:eastAsia="宋体" w:cs="宋体"/>
          <w:b w:val="0"/>
          <w:bCs/>
          <w:sz w:val="22"/>
          <w:szCs w:val="22"/>
          <w:highlight w:val="none"/>
          <w:lang w:val="en-US" w:eastAsia="zh-Hans"/>
        </w:rPr>
        <w:t>保全费</w:t>
      </w:r>
      <w:r>
        <w:rPr>
          <w:rFonts w:hint="eastAsia" w:ascii="宋体" w:hAnsi="宋体" w:eastAsia="宋体" w:cs="宋体"/>
          <w:b w:val="0"/>
          <w:bCs/>
          <w:sz w:val="22"/>
          <w:szCs w:val="22"/>
          <w:highlight w:val="none"/>
          <w:lang w:eastAsia="zh-Hans"/>
        </w:rPr>
        <w:t>、</w:t>
      </w:r>
      <w:r>
        <w:rPr>
          <w:rFonts w:hint="eastAsia" w:ascii="宋体" w:hAnsi="宋体" w:eastAsia="宋体" w:cs="宋体"/>
          <w:b w:val="0"/>
          <w:bCs/>
          <w:sz w:val="22"/>
          <w:szCs w:val="22"/>
          <w:highlight w:val="none"/>
          <w:lang w:val="en-US" w:eastAsia="zh-Hans"/>
        </w:rPr>
        <w:t>律师费等由违约方承担</w:t>
      </w:r>
      <w:r>
        <w:rPr>
          <w:rFonts w:hint="eastAsia" w:ascii="宋体" w:hAnsi="宋体" w:eastAsia="宋体" w:cs="宋体"/>
          <w:b w:val="0"/>
          <w:bCs/>
          <w:sz w:val="22"/>
          <w:szCs w:val="22"/>
          <w:highlight w:val="none"/>
          <w:lang w:val="en-US" w:eastAsia="zh-CN"/>
        </w:rPr>
        <w:t>。</w:t>
      </w:r>
    </w:p>
    <w:p w14:paraId="49E41D2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2、在诉讼期间，合同未发生争议部分应当继续履行。</w:t>
      </w:r>
    </w:p>
    <w:p w14:paraId="26733313">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十八、其它：</w:t>
      </w:r>
    </w:p>
    <w:p w14:paraId="381F3EA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1、 合同所有附件，包括与合同相关的采购文件、招标文件、谈判文件、招投标备案材料、售后服务承诺书、成交通知书、成交方的</w:t>
      </w:r>
      <w:r>
        <w:rPr>
          <w:rFonts w:hint="eastAsia" w:ascii="宋体" w:hAnsi="宋体" w:eastAsia="宋体" w:cs="宋体"/>
          <w:b w:val="0"/>
          <w:bCs/>
          <w:sz w:val="22"/>
          <w:szCs w:val="22"/>
          <w:highlight w:val="none"/>
          <w:lang w:eastAsia="zh-CN"/>
        </w:rPr>
        <w:t>响应文件</w:t>
      </w:r>
      <w:r>
        <w:rPr>
          <w:rFonts w:hint="eastAsia" w:ascii="宋体" w:hAnsi="宋体" w:eastAsia="宋体" w:cs="宋体"/>
          <w:b w:val="0"/>
          <w:bCs/>
          <w:sz w:val="22"/>
          <w:szCs w:val="22"/>
          <w:highlight w:val="none"/>
        </w:rPr>
        <w:t>、询标中的书面答疑、开标中的书面承诺及合同附件等均作为合同的有效组成部分，与合同具有同等的法律效力。</w:t>
      </w:r>
    </w:p>
    <w:p w14:paraId="7DF4F178">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2、乙方保证提供的资质是真实的，与原件相符。否则，产生的责任及给甲方造成的损失均由乙方承担并赔偿。</w:t>
      </w:r>
    </w:p>
    <w:p w14:paraId="66DBB639">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3、乙方保证合同中提供的开户银行、账号等信息准确无误。否则造成的责任及损失由乙方承担。</w:t>
      </w:r>
    </w:p>
    <w:p w14:paraId="3A580FA4">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color w:val="000000"/>
          <w:sz w:val="22"/>
          <w:szCs w:val="22"/>
          <w:highlight w:val="none"/>
        </w:rPr>
      </w:pPr>
      <w:r>
        <w:rPr>
          <w:rFonts w:hint="eastAsia" w:ascii="宋体" w:hAnsi="宋体" w:eastAsia="宋体" w:cs="宋体"/>
          <w:b w:val="0"/>
          <w:bCs/>
          <w:sz w:val="22"/>
          <w:szCs w:val="22"/>
          <w:highlight w:val="none"/>
        </w:rPr>
        <w:t>4、本合同应按中华人民共和国的相关法律</w:t>
      </w:r>
      <w:r>
        <w:rPr>
          <w:rFonts w:hint="eastAsia" w:ascii="宋体" w:hAnsi="宋体" w:eastAsia="宋体" w:cs="宋体"/>
          <w:b w:val="0"/>
          <w:bCs/>
          <w:color w:val="000000"/>
          <w:sz w:val="22"/>
          <w:szCs w:val="22"/>
          <w:highlight w:val="none"/>
        </w:rPr>
        <w:t>解释</w:t>
      </w:r>
      <w:r>
        <w:rPr>
          <w:rFonts w:hint="eastAsia" w:ascii="宋体" w:hAnsi="宋体" w:eastAsia="宋体" w:cs="宋体"/>
          <w:b w:val="0"/>
          <w:bCs/>
          <w:color w:val="000000"/>
          <w:sz w:val="22"/>
          <w:szCs w:val="22"/>
          <w:highlight w:val="none"/>
          <w:lang w:bidi="ar"/>
        </w:rPr>
        <w:t>，合同内容如遇国家法律、法规及政策另有规定的，从其规定。</w:t>
      </w:r>
    </w:p>
    <w:p w14:paraId="3D43166D">
      <w:pPr>
        <w:keepNext w:val="0"/>
        <w:keepLines w:val="0"/>
        <w:widowControl w:val="0"/>
        <w:kinsoku/>
        <w:wordWrap/>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rPr>
      </w:pPr>
      <w:r>
        <w:rPr>
          <w:rFonts w:hint="eastAsia" w:ascii="宋体" w:hAnsi="宋体" w:eastAsia="宋体" w:cs="宋体"/>
          <w:b w:val="0"/>
          <w:bCs/>
          <w:sz w:val="22"/>
          <w:szCs w:val="22"/>
          <w:highlight w:val="none"/>
        </w:rPr>
        <w:t>5、本合同文本一式</w:t>
      </w:r>
      <w:bookmarkStart w:id="578" w:name="OLE_LINK10"/>
      <w:r>
        <w:rPr>
          <w:rFonts w:hint="eastAsia" w:ascii="宋体" w:hAnsi="宋体" w:eastAsia="宋体" w:cs="宋体"/>
          <w:b w:val="0"/>
          <w:bCs/>
          <w:sz w:val="22"/>
          <w:szCs w:val="22"/>
          <w:highlight w:val="none"/>
        </w:rPr>
        <w:t>五</w:t>
      </w:r>
      <w:bookmarkEnd w:id="578"/>
      <w:r>
        <w:rPr>
          <w:rFonts w:hint="eastAsia" w:ascii="宋体" w:hAnsi="宋体" w:eastAsia="宋体" w:cs="宋体"/>
          <w:b w:val="0"/>
          <w:bCs/>
          <w:sz w:val="22"/>
          <w:szCs w:val="22"/>
          <w:highlight w:val="none"/>
        </w:rPr>
        <w:t>份，甲方执</w:t>
      </w:r>
      <w:bookmarkStart w:id="579" w:name="OLE_LINK11"/>
      <w:r>
        <w:rPr>
          <w:rFonts w:hint="eastAsia" w:ascii="宋体" w:hAnsi="宋体" w:eastAsia="宋体" w:cs="宋体"/>
          <w:b w:val="0"/>
          <w:bCs/>
          <w:sz w:val="22"/>
          <w:szCs w:val="22"/>
          <w:highlight w:val="none"/>
        </w:rPr>
        <w:t>四</w:t>
      </w:r>
      <w:bookmarkEnd w:id="579"/>
      <w:r>
        <w:rPr>
          <w:rFonts w:hint="eastAsia" w:ascii="宋体" w:hAnsi="宋体" w:eastAsia="宋体" w:cs="宋体"/>
          <w:b w:val="0"/>
          <w:bCs/>
          <w:sz w:val="22"/>
          <w:szCs w:val="22"/>
          <w:highlight w:val="none"/>
        </w:rPr>
        <w:t>份、乙方执一份</w:t>
      </w:r>
      <w:r>
        <w:rPr>
          <w:rFonts w:hint="eastAsia" w:ascii="宋体" w:hAnsi="宋体" w:eastAsia="宋体" w:cs="宋体"/>
          <w:b w:val="0"/>
          <w:bCs/>
          <w:color w:val="000000"/>
          <w:sz w:val="22"/>
          <w:szCs w:val="22"/>
          <w:highlight w:val="none"/>
          <w:lang w:bidi="ar"/>
        </w:rPr>
        <w:t>，均具有同等的法律效力</w:t>
      </w:r>
      <w:r>
        <w:rPr>
          <w:rFonts w:hint="eastAsia" w:ascii="宋体" w:hAnsi="宋体" w:eastAsia="宋体" w:cs="宋体"/>
          <w:b w:val="0"/>
          <w:bCs/>
          <w:color w:val="000000"/>
          <w:sz w:val="22"/>
          <w:szCs w:val="22"/>
          <w:highlight w:val="none"/>
        </w:rPr>
        <w:t>。</w:t>
      </w:r>
      <w:r>
        <w:rPr>
          <w:rFonts w:hint="eastAsia" w:ascii="宋体" w:hAnsi="宋体" w:eastAsia="宋体" w:cs="宋体"/>
          <w:b w:val="0"/>
          <w:bCs/>
          <w:sz w:val="22"/>
          <w:szCs w:val="22"/>
          <w:highlight w:val="none"/>
        </w:rPr>
        <w:t>自甲、乙双方盖章之日起生效，双方如有未尽事宜，可另行友好协商解决。</w:t>
      </w:r>
    </w:p>
    <w:tbl>
      <w:tblPr>
        <w:tblStyle w:val="29"/>
        <w:tblpPr w:leftFromText="180" w:rightFromText="180" w:vertAnchor="text" w:horzAnchor="page" w:tblpXSpec="center" w:tblpY="333"/>
        <w:tblOverlap w:val="never"/>
        <w:tblW w:w="8439" w:type="dxa"/>
        <w:jc w:val="center"/>
        <w:tblLayout w:type="fixed"/>
        <w:tblCellMar>
          <w:top w:w="0" w:type="dxa"/>
          <w:left w:w="108" w:type="dxa"/>
          <w:bottom w:w="0" w:type="dxa"/>
          <w:right w:w="108" w:type="dxa"/>
        </w:tblCellMar>
      </w:tblPr>
      <w:tblGrid>
        <w:gridCol w:w="4341"/>
        <w:gridCol w:w="4098"/>
      </w:tblGrid>
      <w:tr w14:paraId="638CBD9B">
        <w:tblPrEx>
          <w:tblCellMar>
            <w:top w:w="0" w:type="dxa"/>
            <w:left w:w="108" w:type="dxa"/>
            <w:bottom w:w="0" w:type="dxa"/>
            <w:right w:w="108" w:type="dxa"/>
          </w:tblCellMar>
        </w:tblPrEx>
        <w:trPr>
          <w:trHeight w:val="816" w:hRule="atLeast"/>
          <w:jc w:val="center"/>
        </w:trPr>
        <w:tc>
          <w:tcPr>
            <w:tcW w:w="4341" w:type="dxa"/>
            <w:noWrap w:val="0"/>
            <w:vAlign w:val="top"/>
          </w:tcPr>
          <w:p w14:paraId="5E360B3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69D4112F">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4A15FB2B">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甲方：</w:t>
            </w:r>
            <w:r>
              <w:rPr>
                <w:rFonts w:hint="eastAsia" w:ascii="宋体" w:hAnsi="宋体" w:eastAsia="宋体" w:cs="宋体"/>
                <w:b/>
                <w:bCs w:val="0"/>
                <w:sz w:val="22"/>
                <w:szCs w:val="22"/>
                <w:highlight w:val="none"/>
                <w:lang w:eastAsia="zh-CN"/>
              </w:rPr>
              <w:t>乌鲁木齐市米东区中医医院</w:t>
            </w:r>
          </w:p>
        </w:tc>
        <w:tc>
          <w:tcPr>
            <w:tcW w:w="4098" w:type="dxa"/>
            <w:noWrap w:val="0"/>
            <w:vAlign w:val="top"/>
          </w:tcPr>
          <w:p w14:paraId="6EF15F0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66A5941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p w14:paraId="562708A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乙方：</w:t>
            </w:r>
            <w:r>
              <w:rPr>
                <w:rFonts w:hint="eastAsia" w:ascii="宋体" w:hAnsi="宋体" w:eastAsia="宋体" w:cs="宋体"/>
                <w:b/>
                <w:bCs w:val="0"/>
                <w:sz w:val="22"/>
                <w:szCs w:val="22"/>
                <w:highlight w:val="none"/>
                <w:lang w:val="en-US" w:eastAsia="zh-CN"/>
              </w:rPr>
              <w:t xml:space="preserve"> </w:t>
            </w:r>
          </w:p>
        </w:tc>
      </w:tr>
      <w:tr w14:paraId="4C9671C3">
        <w:tblPrEx>
          <w:tblCellMar>
            <w:top w:w="0" w:type="dxa"/>
            <w:left w:w="108" w:type="dxa"/>
            <w:bottom w:w="0" w:type="dxa"/>
            <w:right w:w="108" w:type="dxa"/>
          </w:tblCellMar>
        </w:tblPrEx>
        <w:trPr>
          <w:trHeight w:val="408" w:hRule="atLeast"/>
          <w:jc w:val="center"/>
        </w:trPr>
        <w:tc>
          <w:tcPr>
            <w:tcW w:w="4341" w:type="dxa"/>
            <w:noWrap w:val="0"/>
            <w:vAlign w:val="top"/>
          </w:tcPr>
          <w:p w14:paraId="03A3575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w:t>
            </w:r>
            <w:bookmarkStart w:id="580" w:name="OLE_LINK9"/>
            <w:r>
              <w:rPr>
                <w:rFonts w:hint="eastAsia" w:ascii="宋体" w:hAnsi="宋体" w:eastAsia="宋体" w:cs="宋体"/>
                <w:b/>
                <w:bCs w:val="0"/>
                <w:sz w:val="22"/>
                <w:szCs w:val="22"/>
                <w:highlight w:val="none"/>
                <w:lang w:val="en-US" w:eastAsia="zh-CN"/>
              </w:rPr>
              <w:t>盖章</w:t>
            </w:r>
            <w:bookmarkEnd w:id="580"/>
            <w:r>
              <w:rPr>
                <w:rFonts w:hint="eastAsia" w:ascii="宋体" w:hAnsi="宋体" w:eastAsia="宋体" w:cs="宋体"/>
                <w:b/>
                <w:bCs w:val="0"/>
                <w:sz w:val="22"/>
                <w:szCs w:val="22"/>
                <w:highlight w:val="none"/>
              </w:rPr>
              <w:t>）</w:t>
            </w:r>
          </w:p>
        </w:tc>
        <w:tc>
          <w:tcPr>
            <w:tcW w:w="4098" w:type="dxa"/>
            <w:noWrap w:val="0"/>
            <w:vAlign w:val="top"/>
          </w:tcPr>
          <w:p w14:paraId="7B60DCE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w:t>
            </w:r>
            <w:r>
              <w:rPr>
                <w:rFonts w:hint="eastAsia" w:ascii="宋体" w:hAnsi="宋体" w:eastAsia="宋体" w:cs="宋体"/>
                <w:b/>
                <w:bCs w:val="0"/>
                <w:sz w:val="22"/>
                <w:szCs w:val="22"/>
                <w:highlight w:val="none"/>
                <w:lang w:val="en-US" w:eastAsia="zh-CN"/>
              </w:rPr>
              <w:t>盖章</w:t>
            </w:r>
            <w:r>
              <w:rPr>
                <w:rFonts w:hint="eastAsia" w:ascii="宋体" w:hAnsi="宋体" w:eastAsia="宋体" w:cs="宋体"/>
                <w:b/>
                <w:bCs w:val="0"/>
                <w:sz w:val="22"/>
                <w:szCs w:val="22"/>
                <w:highlight w:val="none"/>
              </w:rPr>
              <w:t>）</w:t>
            </w:r>
          </w:p>
        </w:tc>
      </w:tr>
      <w:tr w14:paraId="5747CBCD">
        <w:tblPrEx>
          <w:tblCellMar>
            <w:top w:w="0" w:type="dxa"/>
            <w:left w:w="108" w:type="dxa"/>
            <w:bottom w:w="0" w:type="dxa"/>
            <w:right w:w="108" w:type="dxa"/>
          </w:tblCellMar>
        </w:tblPrEx>
        <w:trPr>
          <w:trHeight w:val="408" w:hRule="atLeast"/>
          <w:jc w:val="center"/>
        </w:trPr>
        <w:tc>
          <w:tcPr>
            <w:tcW w:w="4341" w:type="dxa"/>
            <w:noWrap w:val="0"/>
            <w:vAlign w:val="top"/>
          </w:tcPr>
          <w:p w14:paraId="1E89EC2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合同专用章：</w:t>
            </w:r>
          </w:p>
        </w:tc>
        <w:tc>
          <w:tcPr>
            <w:tcW w:w="4098" w:type="dxa"/>
            <w:noWrap w:val="0"/>
            <w:vAlign w:val="top"/>
          </w:tcPr>
          <w:p w14:paraId="0198B064">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合同专用章：</w:t>
            </w:r>
          </w:p>
        </w:tc>
      </w:tr>
      <w:tr w14:paraId="3FA64159">
        <w:tblPrEx>
          <w:tblCellMar>
            <w:top w:w="0" w:type="dxa"/>
            <w:left w:w="108" w:type="dxa"/>
            <w:bottom w:w="0" w:type="dxa"/>
            <w:right w:w="108" w:type="dxa"/>
          </w:tblCellMar>
        </w:tblPrEx>
        <w:trPr>
          <w:trHeight w:val="408" w:hRule="atLeast"/>
          <w:jc w:val="center"/>
        </w:trPr>
        <w:tc>
          <w:tcPr>
            <w:tcW w:w="4341" w:type="dxa"/>
            <w:noWrap w:val="0"/>
            <w:vAlign w:val="top"/>
          </w:tcPr>
          <w:p w14:paraId="26BF2B7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tc>
        <w:tc>
          <w:tcPr>
            <w:tcW w:w="4098" w:type="dxa"/>
            <w:noWrap w:val="0"/>
            <w:vAlign w:val="top"/>
          </w:tcPr>
          <w:p w14:paraId="6B19376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单位地址：</w:t>
            </w:r>
          </w:p>
        </w:tc>
      </w:tr>
      <w:tr w14:paraId="12329FFA">
        <w:tblPrEx>
          <w:tblCellMar>
            <w:top w:w="0" w:type="dxa"/>
            <w:left w:w="108" w:type="dxa"/>
            <w:bottom w:w="0" w:type="dxa"/>
            <w:right w:w="108" w:type="dxa"/>
          </w:tblCellMar>
        </w:tblPrEx>
        <w:trPr>
          <w:trHeight w:val="816" w:hRule="atLeast"/>
          <w:jc w:val="center"/>
        </w:trPr>
        <w:tc>
          <w:tcPr>
            <w:tcW w:w="4341" w:type="dxa"/>
            <w:noWrap w:val="0"/>
            <w:vAlign w:val="top"/>
          </w:tcPr>
          <w:p w14:paraId="61A5844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单位地址：</w:t>
            </w:r>
            <w:r>
              <w:rPr>
                <w:rFonts w:hint="eastAsia" w:ascii="宋体" w:hAnsi="宋体" w:eastAsia="宋体" w:cs="宋体"/>
                <w:b/>
                <w:bCs w:val="0"/>
                <w:sz w:val="22"/>
                <w:szCs w:val="22"/>
                <w:highlight w:val="none"/>
                <w:lang w:eastAsia="zh-CN"/>
              </w:rPr>
              <w:t>乌鲁木齐市米东区中医医院</w:t>
            </w:r>
          </w:p>
        </w:tc>
        <w:tc>
          <w:tcPr>
            <w:tcW w:w="4098" w:type="dxa"/>
            <w:noWrap w:val="0"/>
            <w:vAlign w:val="top"/>
          </w:tcPr>
          <w:p w14:paraId="657C720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开户行：</w:t>
            </w:r>
            <w:r>
              <w:rPr>
                <w:rFonts w:hint="eastAsia" w:ascii="宋体" w:hAnsi="宋体" w:eastAsia="宋体" w:cs="宋体"/>
                <w:b/>
                <w:bCs w:val="0"/>
                <w:sz w:val="22"/>
                <w:szCs w:val="22"/>
                <w:highlight w:val="none"/>
                <w:lang w:val="en-US" w:eastAsia="zh-CN"/>
              </w:rPr>
              <w:t xml:space="preserve"> </w:t>
            </w:r>
          </w:p>
        </w:tc>
      </w:tr>
      <w:tr w14:paraId="2F6EFAFF">
        <w:tblPrEx>
          <w:tblCellMar>
            <w:top w:w="0" w:type="dxa"/>
            <w:left w:w="108" w:type="dxa"/>
            <w:bottom w:w="0" w:type="dxa"/>
            <w:right w:w="108" w:type="dxa"/>
          </w:tblCellMar>
        </w:tblPrEx>
        <w:trPr>
          <w:trHeight w:val="408" w:hRule="atLeast"/>
          <w:jc w:val="center"/>
        </w:trPr>
        <w:tc>
          <w:tcPr>
            <w:tcW w:w="4341" w:type="dxa"/>
            <w:noWrap w:val="0"/>
            <w:vAlign w:val="top"/>
          </w:tcPr>
          <w:p w14:paraId="0C3A398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p>
        </w:tc>
        <w:tc>
          <w:tcPr>
            <w:tcW w:w="4098" w:type="dxa"/>
            <w:noWrap w:val="0"/>
            <w:vAlign w:val="top"/>
          </w:tcPr>
          <w:p w14:paraId="78BBBF1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lang w:eastAsia="zh-CN"/>
              </w:rPr>
            </w:pPr>
            <w:r>
              <w:rPr>
                <w:rFonts w:hint="eastAsia" w:ascii="宋体" w:hAnsi="宋体" w:eastAsia="宋体" w:cs="宋体"/>
                <w:b/>
                <w:bCs w:val="0"/>
                <w:sz w:val="22"/>
                <w:szCs w:val="22"/>
                <w:highlight w:val="none"/>
              </w:rPr>
              <w:t>帐号：</w:t>
            </w:r>
            <w:r>
              <w:rPr>
                <w:rFonts w:hint="eastAsia" w:ascii="宋体" w:hAnsi="宋体" w:eastAsia="宋体" w:cs="宋体"/>
                <w:b/>
                <w:bCs w:val="0"/>
                <w:sz w:val="22"/>
                <w:szCs w:val="22"/>
                <w:highlight w:val="none"/>
                <w:lang w:val="en-US" w:eastAsia="zh-CN"/>
              </w:rPr>
              <w:t xml:space="preserve"> </w:t>
            </w:r>
          </w:p>
        </w:tc>
      </w:tr>
      <w:tr w14:paraId="100291DB">
        <w:tblPrEx>
          <w:tblCellMar>
            <w:top w:w="0" w:type="dxa"/>
            <w:left w:w="108" w:type="dxa"/>
            <w:bottom w:w="0" w:type="dxa"/>
            <w:right w:w="108" w:type="dxa"/>
          </w:tblCellMar>
        </w:tblPrEx>
        <w:trPr>
          <w:trHeight w:val="408" w:hRule="atLeast"/>
          <w:jc w:val="center"/>
        </w:trPr>
        <w:tc>
          <w:tcPr>
            <w:tcW w:w="4341" w:type="dxa"/>
            <w:noWrap w:val="0"/>
            <w:vAlign w:val="top"/>
          </w:tcPr>
          <w:p w14:paraId="27134DC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合同签订时间：    年   月   日</w:t>
            </w:r>
          </w:p>
        </w:tc>
        <w:tc>
          <w:tcPr>
            <w:tcW w:w="4098" w:type="dxa"/>
            <w:noWrap w:val="0"/>
            <w:vAlign w:val="top"/>
          </w:tcPr>
          <w:p w14:paraId="4B2349B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sz w:val="22"/>
                <w:szCs w:val="22"/>
                <w:highlight w:val="none"/>
              </w:rPr>
            </w:pPr>
            <w:r>
              <w:rPr>
                <w:rFonts w:hint="eastAsia" w:ascii="宋体" w:hAnsi="宋体" w:eastAsia="宋体" w:cs="宋体"/>
                <w:b/>
                <w:bCs w:val="0"/>
                <w:sz w:val="22"/>
                <w:szCs w:val="22"/>
                <w:highlight w:val="none"/>
              </w:rPr>
              <w:t>合同签订时间：    年   月   日</w:t>
            </w:r>
          </w:p>
        </w:tc>
      </w:tr>
    </w:tbl>
    <w:p w14:paraId="5023875B">
      <w:pPr>
        <w:pStyle w:val="54"/>
        <w:widowControl/>
        <w:spacing w:line="360" w:lineRule="auto"/>
        <w:jc w:val="both"/>
        <w:rPr>
          <w:rFonts w:hint="eastAsia" w:ascii="宋体" w:hAnsi="宋体" w:eastAsia="宋体" w:cs="宋体"/>
          <w:b/>
          <w:bCs w:val="0"/>
          <w:sz w:val="22"/>
          <w:szCs w:val="22"/>
          <w:highlight w:val="none"/>
        </w:rPr>
      </w:pPr>
    </w:p>
    <w:p w14:paraId="3C706974">
      <w:pPr>
        <w:rPr>
          <w:rFonts w:hint="eastAsia" w:ascii="宋体" w:hAnsi="宋体" w:eastAsia="宋体" w:cs="宋体"/>
          <w:sz w:val="20"/>
          <w:szCs w:val="22"/>
          <w:highlight w:val="none"/>
        </w:rPr>
      </w:pPr>
    </w:p>
    <w:p w14:paraId="1DD0F83B">
      <w:pPr>
        <w:spacing w:before="55" w:line="219" w:lineRule="auto"/>
        <w:ind w:left="213"/>
        <w:rPr>
          <w:rFonts w:hint="eastAsia" w:ascii="宋体" w:hAnsi="宋体" w:eastAsia="宋体" w:cs="宋体"/>
          <w:color w:val="auto"/>
          <w:sz w:val="24"/>
          <w:szCs w:val="24"/>
          <w:highlight w:val="none"/>
        </w:rPr>
      </w:pPr>
      <w:r>
        <w:rPr>
          <w:rFonts w:hint="eastAsia" w:ascii="宋体" w:hAnsi="宋体" w:eastAsia="宋体" w:cs="宋体"/>
          <w:b/>
          <w:bCs/>
          <w:color w:val="auto"/>
          <w:spacing w:val="-1"/>
          <w:sz w:val="24"/>
          <w:szCs w:val="24"/>
          <w:highlight w:val="none"/>
        </w:rPr>
        <w:t>附件1:</w:t>
      </w:r>
    </w:p>
    <w:p w14:paraId="04BB5083">
      <w:pPr>
        <w:pStyle w:val="13"/>
        <w:spacing w:line="329" w:lineRule="auto"/>
        <w:rPr>
          <w:rFonts w:hint="eastAsia" w:ascii="宋体" w:hAnsi="宋体" w:eastAsia="宋体" w:cs="宋体"/>
          <w:color w:val="auto"/>
          <w:sz w:val="20"/>
          <w:szCs w:val="20"/>
          <w:highlight w:val="none"/>
        </w:rPr>
      </w:pPr>
    </w:p>
    <w:p w14:paraId="63CEEA8E">
      <w:pPr>
        <w:tabs>
          <w:tab w:val="left" w:pos="420"/>
        </w:tabs>
        <w:spacing w:before="108" w:line="219" w:lineRule="auto"/>
        <w:ind w:left="840" w:leftChars="0" w:firstLine="0" w:firstLineChars="0"/>
        <w:rPr>
          <w:rFonts w:hint="eastAsia" w:ascii="宋体" w:hAnsi="宋体" w:eastAsia="宋体" w:cs="宋体"/>
          <w:b/>
          <w:bCs/>
          <w:color w:val="auto"/>
          <w:spacing w:val="-21"/>
          <w:sz w:val="32"/>
          <w:szCs w:val="32"/>
          <w:highlight w:val="none"/>
          <w:lang w:val="en-US" w:eastAsia="zh-CN"/>
        </w:rPr>
      </w:pPr>
      <w:r>
        <w:rPr>
          <w:rFonts w:hint="eastAsia" w:ascii="宋体" w:hAnsi="宋体" w:eastAsia="宋体" w:cs="宋体"/>
          <w:b/>
          <w:bCs/>
          <w:color w:val="auto"/>
          <w:spacing w:val="-21"/>
          <w:sz w:val="32"/>
          <w:szCs w:val="32"/>
          <w:highlight w:val="none"/>
          <w:lang w:val="en-US" w:eastAsia="zh-CN"/>
        </w:rPr>
        <w:t>法人身份证明书及委托人身份证明书(付联系方式)</w:t>
      </w:r>
    </w:p>
    <w:p w14:paraId="3120206F">
      <w:pPr>
        <w:pStyle w:val="13"/>
        <w:spacing w:line="305" w:lineRule="auto"/>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附身份证正反面</w:t>
      </w:r>
    </w:p>
    <w:p w14:paraId="0E929583">
      <w:pPr>
        <w:spacing w:before="57" w:line="219" w:lineRule="auto"/>
        <w:rPr>
          <w:rFonts w:hint="eastAsia" w:ascii="宋体" w:hAnsi="宋体" w:eastAsia="宋体" w:cs="宋体"/>
          <w:b/>
          <w:bCs/>
          <w:color w:val="auto"/>
          <w:spacing w:val="-1"/>
          <w:sz w:val="28"/>
          <w:szCs w:val="28"/>
          <w:highlight w:val="none"/>
        </w:rPr>
      </w:pPr>
    </w:p>
    <w:p w14:paraId="31772653">
      <w:pPr>
        <w:spacing w:before="57" w:line="219" w:lineRule="auto"/>
        <w:rPr>
          <w:rFonts w:hint="eastAsia" w:ascii="宋体" w:hAnsi="宋体" w:eastAsia="宋体" w:cs="宋体"/>
          <w:b/>
          <w:bCs/>
          <w:color w:val="auto"/>
          <w:spacing w:val="-1"/>
          <w:sz w:val="28"/>
          <w:szCs w:val="28"/>
          <w:highlight w:val="none"/>
        </w:rPr>
      </w:pPr>
    </w:p>
    <w:p w14:paraId="2AF7EB3B">
      <w:pPr>
        <w:spacing w:before="57" w:line="219" w:lineRule="auto"/>
        <w:rPr>
          <w:rFonts w:hint="eastAsia" w:ascii="宋体" w:hAnsi="宋体" w:eastAsia="宋体" w:cs="宋体"/>
          <w:b/>
          <w:bCs/>
          <w:color w:val="auto"/>
          <w:spacing w:val="-1"/>
          <w:sz w:val="28"/>
          <w:szCs w:val="28"/>
          <w:highlight w:val="none"/>
        </w:rPr>
      </w:pPr>
    </w:p>
    <w:p w14:paraId="4C7E4294">
      <w:pPr>
        <w:spacing w:before="57" w:line="219" w:lineRule="auto"/>
        <w:rPr>
          <w:rFonts w:hint="eastAsia" w:ascii="宋体" w:hAnsi="宋体" w:eastAsia="宋体" w:cs="宋体"/>
          <w:b/>
          <w:bCs/>
          <w:color w:val="auto"/>
          <w:spacing w:val="-1"/>
          <w:sz w:val="28"/>
          <w:szCs w:val="28"/>
          <w:highlight w:val="none"/>
        </w:rPr>
      </w:pPr>
    </w:p>
    <w:p w14:paraId="1DAAE44C">
      <w:pPr>
        <w:spacing w:before="57" w:line="219" w:lineRule="auto"/>
        <w:rPr>
          <w:rFonts w:hint="eastAsia" w:ascii="宋体" w:hAnsi="宋体" w:eastAsia="宋体" w:cs="宋体"/>
          <w:b/>
          <w:bCs/>
          <w:color w:val="auto"/>
          <w:spacing w:val="-1"/>
          <w:sz w:val="28"/>
          <w:szCs w:val="28"/>
          <w:highlight w:val="none"/>
        </w:rPr>
      </w:pPr>
    </w:p>
    <w:p w14:paraId="5880E48E">
      <w:pPr>
        <w:spacing w:before="57" w:line="219" w:lineRule="auto"/>
        <w:rPr>
          <w:rFonts w:hint="eastAsia" w:ascii="宋体" w:hAnsi="宋体" w:eastAsia="宋体" w:cs="宋体"/>
          <w:b/>
          <w:bCs/>
          <w:color w:val="auto"/>
          <w:spacing w:val="-1"/>
          <w:sz w:val="28"/>
          <w:szCs w:val="28"/>
          <w:highlight w:val="none"/>
        </w:rPr>
      </w:pPr>
    </w:p>
    <w:p w14:paraId="41D3F6CF">
      <w:pPr>
        <w:spacing w:before="57" w:line="219" w:lineRule="auto"/>
        <w:rPr>
          <w:rFonts w:hint="eastAsia" w:ascii="宋体" w:hAnsi="宋体" w:eastAsia="宋体" w:cs="宋体"/>
          <w:b/>
          <w:bCs/>
          <w:color w:val="auto"/>
          <w:spacing w:val="-1"/>
          <w:sz w:val="28"/>
          <w:szCs w:val="28"/>
          <w:highlight w:val="none"/>
        </w:rPr>
      </w:pPr>
    </w:p>
    <w:p w14:paraId="142EB6C2">
      <w:pPr>
        <w:spacing w:before="57" w:line="219" w:lineRule="auto"/>
        <w:rPr>
          <w:rFonts w:hint="eastAsia" w:ascii="宋体" w:hAnsi="宋体" w:eastAsia="宋体" w:cs="宋体"/>
          <w:b/>
          <w:bCs/>
          <w:color w:val="auto"/>
          <w:spacing w:val="-1"/>
          <w:sz w:val="28"/>
          <w:szCs w:val="28"/>
          <w:highlight w:val="none"/>
        </w:rPr>
      </w:pPr>
    </w:p>
    <w:p w14:paraId="06192314">
      <w:pPr>
        <w:spacing w:before="57" w:line="219" w:lineRule="auto"/>
        <w:rPr>
          <w:rFonts w:hint="eastAsia" w:ascii="宋体" w:hAnsi="宋体" w:eastAsia="宋体" w:cs="宋体"/>
          <w:b/>
          <w:bCs/>
          <w:color w:val="auto"/>
          <w:spacing w:val="-1"/>
          <w:sz w:val="28"/>
          <w:szCs w:val="28"/>
          <w:highlight w:val="none"/>
        </w:rPr>
      </w:pPr>
    </w:p>
    <w:p w14:paraId="5FE14A6F">
      <w:pPr>
        <w:spacing w:before="57" w:line="219" w:lineRule="auto"/>
        <w:rPr>
          <w:rFonts w:hint="eastAsia" w:ascii="宋体" w:hAnsi="宋体" w:eastAsia="宋体" w:cs="宋体"/>
          <w:b/>
          <w:bCs/>
          <w:color w:val="auto"/>
          <w:spacing w:val="-1"/>
          <w:sz w:val="28"/>
          <w:szCs w:val="28"/>
          <w:highlight w:val="none"/>
        </w:rPr>
      </w:pPr>
    </w:p>
    <w:p w14:paraId="0F6BF1E3">
      <w:pPr>
        <w:spacing w:before="57" w:line="219" w:lineRule="auto"/>
        <w:rPr>
          <w:rFonts w:hint="eastAsia" w:ascii="宋体" w:hAnsi="宋体" w:eastAsia="宋体" w:cs="宋体"/>
          <w:b/>
          <w:bCs/>
          <w:color w:val="auto"/>
          <w:spacing w:val="-1"/>
          <w:sz w:val="28"/>
          <w:szCs w:val="28"/>
          <w:highlight w:val="none"/>
        </w:rPr>
      </w:pPr>
    </w:p>
    <w:p w14:paraId="53558F72">
      <w:pPr>
        <w:spacing w:before="57" w:line="219" w:lineRule="auto"/>
        <w:rPr>
          <w:rFonts w:hint="eastAsia" w:ascii="宋体" w:hAnsi="宋体" w:eastAsia="宋体" w:cs="宋体"/>
          <w:b/>
          <w:bCs/>
          <w:color w:val="auto"/>
          <w:spacing w:val="-1"/>
          <w:sz w:val="28"/>
          <w:szCs w:val="28"/>
          <w:highlight w:val="none"/>
        </w:rPr>
      </w:pPr>
    </w:p>
    <w:p w14:paraId="60896427">
      <w:pPr>
        <w:spacing w:before="57" w:line="219" w:lineRule="auto"/>
        <w:rPr>
          <w:rFonts w:hint="eastAsia" w:ascii="宋体" w:hAnsi="宋体" w:eastAsia="宋体" w:cs="宋体"/>
          <w:b/>
          <w:bCs/>
          <w:color w:val="auto"/>
          <w:spacing w:val="-1"/>
          <w:sz w:val="28"/>
          <w:szCs w:val="28"/>
          <w:highlight w:val="none"/>
        </w:rPr>
      </w:pPr>
    </w:p>
    <w:p w14:paraId="21A475BA">
      <w:pPr>
        <w:spacing w:before="57" w:line="219" w:lineRule="auto"/>
        <w:rPr>
          <w:rFonts w:hint="eastAsia" w:ascii="宋体" w:hAnsi="宋体" w:eastAsia="宋体" w:cs="宋体"/>
          <w:b/>
          <w:bCs/>
          <w:color w:val="auto"/>
          <w:spacing w:val="-1"/>
          <w:sz w:val="28"/>
          <w:szCs w:val="28"/>
          <w:highlight w:val="none"/>
        </w:rPr>
      </w:pPr>
    </w:p>
    <w:p w14:paraId="09E99942">
      <w:pPr>
        <w:spacing w:before="57" w:line="219" w:lineRule="auto"/>
        <w:rPr>
          <w:rFonts w:hint="eastAsia" w:ascii="宋体" w:hAnsi="宋体" w:eastAsia="宋体" w:cs="宋体"/>
          <w:b/>
          <w:bCs/>
          <w:color w:val="auto"/>
          <w:spacing w:val="-1"/>
          <w:sz w:val="28"/>
          <w:szCs w:val="28"/>
          <w:highlight w:val="none"/>
        </w:rPr>
      </w:pPr>
    </w:p>
    <w:p w14:paraId="2AAA114B">
      <w:pPr>
        <w:spacing w:before="57" w:line="219" w:lineRule="auto"/>
        <w:rPr>
          <w:rFonts w:hint="eastAsia" w:ascii="宋体" w:hAnsi="宋体" w:eastAsia="宋体" w:cs="宋体"/>
          <w:b/>
          <w:bCs/>
          <w:color w:val="auto"/>
          <w:spacing w:val="-1"/>
          <w:sz w:val="28"/>
          <w:szCs w:val="28"/>
          <w:highlight w:val="none"/>
        </w:rPr>
      </w:pPr>
    </w:p>
    <w:p w14:paraId="59580A84">
      <w:pPr>
        <w:spacing w:before="57" w:line="219" w:lineRule="auto"/>
        <w:rPr>
          <w:rFonts w:hint="eastAsia" w:ascii="宋体" w:hAnsi="宋体" w:eastAsia="宋体" w:cs="宋体"/>
          <w:b/>
          <w:bCs/>
          <w:color w:val="auto"/>
          <w:spacing w:val="-1"/>
          <w:sz w:val="28"/>
          <w:szCs w:val="28"/>
          <w:highlight w:val="none"/>
        </w:rPr>
      </w:pPr>
    </w:p>
    <w:p w14:paraId="6661AB19">
      <w:pPr>
        <w:spacing w:before="57" w:line="219" w:lineRule="auto"/>
        <w:rPr>
          <w:rFonts w:hint="eastAsia" w:ascii="宋体" w:hAnsi="宋体" w:eastAsia="宋体" w:cs="宋体"/>
          <w:b/>
          <w:bCs/>
          <w:color w:val="auto"/>
          <w:spacing w:val="-1"/>
          <w:sz w:val="28"/>
          <w:szCs w:val="28"/>
          <w:highlight w:val="none"/>
        </w:rPr>
      </w:pPr>
    </w:p>
    <w:p w14:paraId="2AEA8DE6">
      <w:pPr>
        <w:spacing w:before="57" w:line="219" w:lineRule="auto"/>
        <w:rPr>
          <w:rFonts w:hint="eastAsia" w:ascii="宋体" w:hAnsi="宋体" w:eastAsia="宋体" w:cs="宋体"/>
          <w:b/>
          <w:bCs/>
          <w:color w:val="auto"/>
          <w:spacing w:val="-1"/>
          <w:sz w:val="28"/>
          <w:szCs w:val="28"/>
          <w:highlight w:val="none"/>
        </w:rPr>
      </w:pPr>
    </w:p>
    <w:p w14:paraId="3EA8EC09">
      <w:pPr>
        <w:spacing w:before="57" w:line="219" w:lineRule="auto"/>
        <w:rPr>
          <w:rFonts w:hint="eastAsia" w:ascii="宋体" w:hAnsi="宋体" w:eastAsia="宋体" w:cs="宋体"/>
          <w:b/>
          <w:bCs/>
          <w:color w:val="auto"/>
          <w:spacing w:val="-1"/>
          <w:sz w:val="28"/>
          <w:szCs w:val="28"/>
          <w:highlight w:val="none"/>
        </w:rPr>
      </w:pPr>
    </w:p>
    <w:p w14:paraId="4279FAB1">
      <w:pPr>
        <w:spacing w:before="57" w:line="219" w:lineRule="auto"/>
        <w:rPr>
          <w:rFonts w:hint="eastAsia" w:ascii="宋体" w:hAnsi="宋体" w:eastAsia="宋体" w:cs="宋体"/>
          <w:b/>
          <w:bCs/>
          <w:color w:val="auto"/>
          <w:spacing w:val="-1"/>
          <w:sz w:val="28"/>
          <w:szCs w:val="28"/>
          <w:highlight w:val="none"/>
        </w:rPr>
      </w:pPr>
    </w:p>
    <w:p w14:paraId="58197B6D">
      <w:pPr>
        <w:spacing w:before="57" w:line="219" w:lineRule="auto"/>
        <w:rPr>
          <w:rFonts w:hint="eastAsia" w:ascii="宋体" w:hAnsi="宋体" w:eastAsia="宋体" w:cs="宋体"/>
          <w:b/>
          <w:bCs/>
          <w:color w:val="auto"/>
          <w:spacing w:val="-1"/>
          <w:sz w:val="28"/>
          <w:szCs w:val="28"/>
          <w:highlight w:val="none"/>
        </w:rPr>
      </w:pPr>
    </w:p>
    <w:p w14:paraId="7E6392AE">
      <w:pPr>
        <w:spacing w:before="57" w:line="219" w:lineRule="auto"/>
        <w:rPr>
          <w:rFonts w:hint="eastAsia" w:ascii="宋体" w:hAnsi="宋体" w:eastAsia="宋体" w:cs="宋体"/>
          <w:b/>
          <w:bCs/>
          <w:color w:val="auto"/>
          <w:spacing w:val="-1"/>
          <w:sz w:val="28"/>
          <w:szCs w:val="28"/>
          <w:highlight w:val="none"/>
        </w:rPr>
      </w:pPr>
    </w:p>
    <w:p w14:paraId="75561411">
      <w:pPr>
        <w:spacing w:before="57" w:line="219" w:lineRule="auto"/>
        <w:rPr>
          <w:rFonts w:hint="eastAsia" w:ascii="宋体" w:hAnsi="宋体" w:eastAsia="宋体" w:cs="宋体"/>
          <w:b/>
          <w:bCs/>
          <w:color w:val="auto"/>
          <w:spacing w:val="-1"/>
          <w:sz w:val="28"/>
          <w:szCs w:val="28"/>
          <w:highlight w:val="none"/>
        </w:rPr>
      </w:pPr>
    </w:p>
    <w:p w14:paraId="0B0F4EA7">
      <w:pPr>
        <w:spacing w:before="57" w:line="219" w:lineRule="auto"/>
        <w:rPr>
          <w:rFonts w:hint="eastAsia" w:ascii="宋体" w:hAnsi="宋体" w:eastAsia="宋体" w:cs="宋体"/>
          <w:b/>
          <w:bCs/>
          <w:color w:val="auto"/>
          <w:spacing w:val="-1"/>
          <w:sz w:val="28"/>
          <w:szCs w:val="28"/>
          <w:highlight w:val="none"/>
        </w:rPr>
      </w:pPr>
    </w:p>
    <w:p w14:paraId="2CBADA06">
      <w:pPr>
        <w:spacing w:before="57" w:line="219" w:lineRule="auto"/>
        <w:rPr>
          <w:rFonts w:hint="eastAsia" w:ascii="宋体" w:hAnsi="宋体" w:eastAsia="宋体" w:cs="宋体"/>
          <w:b/>
          <w:bCs/>
          <w:color w:val="auto"/>
          <w:spacing w:val="-1"/>
          <w:sz w:val="28"/>
          <w:szCs w:val="28"/>
          <w:highlight w:val="none"/>
        </w:rPr>
      </w:pPr>
    </w:p>
    <w:p w14:paraId="18B9BECF">
      <w:pPr>
        <w:spacing w:before="57" w:line="219" w:lineRule="auto"/>
        <w:rPr>
          <w:rFonts w:hint="eastAsia" w:ascii="宋体" w:hAnsi="宋体" w:eastAsia="宋体" w:cs="宋体"/>
          <w:b/>
          <w:bCs/>
          <w:color w:val="auto"/>
          <w:spacing w:val="-1"/>
          <w:sz w:val="28"/>
          <w:szCs w:val="28"/>
          <w:highlight w:val="none"/>
        </w:rPr>
      </w:pPr>
    </w:p>
    <w:p w14:paraId="2A111448">
      <w:pPr>
        <w:spacing w:before="57" w:line="219" w:lineRule="auto"/>
        <w:rPr>
          <w:rFonts w:hint="eastAsia" w:ascii="宋体" w:hAnsi="宋体" w:eastAsia="宋体" w:cs="宋体"/>
          <w:b/>
          <w:bCs/>
          <w:color w:val="auto"/>
          <w:spacing w:val="-1"/>
          <w:sz w:val="28"/>
          <w:szCs w:val="28"/>
          <w:highlight w:val="none"/>
        </w:rPr>
      </w:pPr>
    </w:p>
    <w:p w14:paraId="0EF3DCB3">
      <w:pPr>
        <w:spacing w:before="57" w:line="219" w:lineRule="auto"/>
        <w:rPr>
          <w:rFonts w:hint="eastAsia" w:ascii="宋体" w:hAnsi="宋体" w:eastAsia="宋体" w:cs="宋体"/>
          <w:b/>
          <w:bCs/>
          <w:color w:val="auto"/>
          <w:spacing w:val="-1"/>
          <w:sz w:val="28"/>
          <w:szCs w:val="28"/>
          <w:highlight w:val="none"/>
        </w:rPr>
      </w:pPr>
    </w:p>
    <w:p w14:paraId="1E651615">
      <w:pPr>
        <w:spacing w:before="57" w:line="219" w:lineRule="auto"/>
        <w:rPr>
          <w:rFonts w:hint="eastAsia" w:ascii="宋体" w:hAnsi="宋体" w:eastAsia="宋体" w:cs="宋体"/>
          <w:b/>
          <w:bCs/>
          <w:color w:val="auto"/>
          <w:spacing w:val="-1"/>
          <w:sz w:val="28"/>
          <w:szCs w:val="28"/>
          <w:highlight w:val="none"/>
        </w:rPr>
      </w:pPr>
    </w:p>
    <w:p w14:paraId="03DCE802">
      <w:pPr>
        <w:spacing w:before="57" w:line="219" w:lineRule="auto"/>
        <w:rPr>
          <w:rFonts w:hint="eastAsia" w:ascii="宋体" w:hAnsi="宋体" w:eastAsia="宋体" w:cs="宋体"/>
          <w:b/>
          <w:bCs/>
          <w:color w:val="auto"/>
          <w:spacing w:val="-1"/>
          <w:sz w:val="28"/>
          <w:szCs w:val="28"/>
          <w:highlight w:val="none"/>
        </w:rPr>
      </w:pPr>
    </w:p>
    <w:p w14:paraId="5B66D023">
      <w:pPr>
        <w:spacing w:before="57"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附件2:</w:t>
      </w:r>
    </w:p>
    <w:p w14:paraId="7BBA2081">
      <w:pPr>
        <w:pStyle w:val="13"/>
        <w:spacing w:line="244" w:lineRule="auto"/>
        <w:rPr>
          <w:rFonts w:hint="eastAsia" w:ascii="宋体" w:hAnsi="宋体" w:eastAsia="宋体" w:cs="宋体"/>
          <w:color w:val="auto"/>
          <w:sz w:val="20"/>
          <w:szCs w:val="20"/>
          <w:highlight w:val="none"/>
        </w:rPr>
      </w:pPr>
    </w:p>
    <w:p w14:paraId="0BC752F6">
      <w:pPr>
        <w:pStyle w:val="13"/>
        <w:spacing w:line="244" w:lineRule="auto"/>
        <w:rPr>
          <w:rFonts w:hint="eastAsia" w:ascii="宋体" w:hAnsi="宋体" w:eastAsia="宋体" w:cs="宋体"/>
          <w:color w:val="auto"/>
          <w:sz w:val="20"/>
          <w:szCs w:val="20"/>
          <w:highlight w:val="none"/>
        </w:rPr>
      </w:pPr>
    </w:p>
    <w:p w14:paraId="7CB0B113">
      <w:pPr>
        <w:spacing w:before="108" w:line="219"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pacing w:val="-21"/>
          <w:sz w:val="32"/>
          <w:szCs w:val="32"/>
          <w:highlight w:val="none"/>
          <w:lang w:val="en-US" w:eastAsia="zh-CN"/>
        </w:rPr>
        <w:t>营业执照、产品</w:t>
      </w:r>
      <w:r>
        <w:rPr>
          <w:rFonts w:hint="eastAsia" w:ascii="宋体" w:hAnsi="宋体" w:eastAsia="宋体" w:cs="宋体"/>
          <w:b/>
          <w:bCs/>
          <w:color w:val="auto"/>
          <w:spacing w:val="-21"/>
          <w:sz w:val="32"/>
          <w:szCs w:val="32"/>
          <w:highlight w:val="none"/>
        </w:rPr>
        <w:t>注册证</w:t>
      </w:r>
    </w:p>
    <w:p w14:paraId="13B8F64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r>
        <w:rPr>
          <w:rFonts w:hint="eastAsia" w:ascii="宋体" w:hAnsi="宋体" w:eastAsia="宋体" w:cs="宋体"/>
          <w:spacing w:val="0"/>
          <w:position w:val="0"/>
          <w:sz w:val="24"/>
          <w:szCs w:val="24"/>
          <w:highlight w:val="none"/>
          <w:lang w:val="en-US" w:eastAsia="zh-CN"/>
        </w:rPr>
        <w:t xml:space="preserve">                           </w:t>
      </w:r>
    </w:p>
    <w:p w14:paraId="3F2DC7D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C16A4E4">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9F86D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6154A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EF5514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89F06D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5DEAD5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EEF6C6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CF0BEAA">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15D887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F2899C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622663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A1BF77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B0FEC8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1A6C18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77770C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3A879E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2F097A76">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614FF4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82D2A3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B07271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A2157DD">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6D673B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1FF3D7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F0E83CB">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9274A60">
      <w:pPr>
        <w:spacing w:before="57" w:line="219" w:lineRule="auto"/>
        <w:ind w:left="129"/>
        <w:rPr>
          <w:rFonts w:hint="eastAsia" w:ascii="宋体" w:hAnsi="宋体" w:eastAsia="宋体" w:cs="宋体"/>
          <w:b/>
          <w:bCs/>
          <w:color w:val="auto"/>
          <w:spacing w:val="2"/>
          <w:sz w:val="28"/>
          <w:szCs w:val="28"/>
          <w:highlight w:val="none"/>
        </w:rPr>
      </w:pPr>
    </w:p>
    <w:p w14:paraId="5880393D">
      <w:pPr>
        <w:spacing w:before="57" w:line="219" w:lineRule="auto"/>
        <w:ind w:left="129"/>
        <w:rPr>
          <w:rFonts w:hint="eastAsia" w:ascii="宋体" w:hAnsi="宋体" w:eastAsia="宋体" w:cs="宋体"/>
          <w:color w:val="auto"/>
          <w:sz w:val="28"/>
          <w:szCs w:val="28"/>
          <w:highlight w:val="none"/>
        </w:rPr>
      </w:pPr>
      <w:r>
        <w:rPr>
          <w:rFonts w:hint="eastAsia" w:ascii="宋体" w:hAnsi="宋体" w:eastAsia="宋体" w:cs="宋体"/>
          <w:b/>
          <w:bCs/>
          <w:color w:val="auto"/>
          <w:spacing w:val="2"/>
          <w:sz w:val="28"/>
          <w:szCs w:val="28"/>
          <w:highlight w:val="none"/>
        </w:rPr>
        <w:t>附件3:</w:t>
      </w:r>
    </w:p>
    <w:p w14:paraId="3CE2FA4E">
      <w:pPr>
        <w:spacing w:before="131" w:line="220" w:lineRule="auto"/>
        <w:jc w:val="center"/>
        <w:rPr>
          <w:rFonts w:hint="eastAsia" w:ascii="宋体" w:hAnsi="宋体" w:eastAsia="宋体" w:cs="宋体"/>
          <w:color w:val="auto"/>
          <w:sz w:val="36"/>
          <w:szCs w:val="36"/>
          <w:highlight w:val="none"/>
        </w:rPr>
      </w:pPr>
      <w:r>
        <w:rPr>
          <w:rFonts w:hint="eastAsia" w:ascii="宋体" w:hAnsi="宋体" w:eastAsia="宋体" w:cs="宋体"/>
          <w:b/>
          <w:bCs/>
          <w:color w:val="auto"/>
          <w:spacing w:val="-15"/>
          <w:sz w:val="36"/>
          <w:szCs w:val="36"/>
          <w:highlight w:val="none"/>
        </w:rPr>
        <w:t>配</w:t>
      </w:r>
      <w:r>
        <w:rPr>
          <w:rFonts w:hint="eastAsia" w:ascii="宋体" w:hAnsi="宋体" w:eastAsia="宋体" w:cs="宋体"/>
          <w:color w:val="auto"/>
          <w:spacing w:val="33"/>
          <w:sz w:val="36"/>
          <w:szCs w:val="36"/>
          <w:highlight w:val="none"/>
        </w:rPr>
        <w:t xml:space="preserve"> </w:t>
      </w:r>
      <w:r>
        <w:rPr>
          <w:rFonts w:hint="eastAsia" w:ascii="宋体" w:hAnsi="宋体" w:eastAsia="宋体" w:cs="宋体"/>
          <w:b/>
          <w:bCs/>
          <w:color w:val="auto"/>
          <w:spacing w:val="-15"/>
          <w:sz w:val="36"/>
          <w:szCs w:val="36"/>
          <w:highlight w:val="none"/>
        </w:rPr>
        <w:t>置</w:t>
      </w:r>
      <w:r>
        <w:rPr>
          <w:rFonts w:hint="eastAsia" w:ascii="宋体" w:hAnsi="宋体" w:eastAsia="宋体" w:cs="宋体"/>
          <w:color w:val="auto"/>
          <w:spacing w:val="35"/>
          <w:sz w:val="36"/>
          <w:szCs w:val="36"/>
          <w:highlight w:val="none"/>
        </w:rPr>
        <w:t xml:space="preserve"> </w:t>
      </w:r>
      <w:r>
        <w:rPr>
          <w:rFonts w:hint="eastAsia" w:ascii="宋体" w:hAnsi="宋体" w:eastAsia="宋体" w:cs="宋体"/>
          <w:b/>
          <w:bCs/>
          <w:color w:val="auto"/>
          <w:spacing w:val="-15"/>
          <w:sz w:val="36"/>
          <w:szCs w:val="36"/>
          <w:highlight w:val="none"/>
        </w:rPr>
        <w:t>清</w:t>
      </w:r>
      <w:r>
        <w:rPr>
          <w:rFonts w:hint="eastAsia" w:ascii="宋体" w:hAnsi="宋体" w:eastAsia="宋体" w:cs="宋体"/>
          <w:color w:val="auto"/>
          <w:spacing w:val="38"/>
          <w:sz w:val="36"/>
          <w:szCs w:val="36"/>
          <w:highlight w:val="none"/>
        </w:rPr>
        <w:t xml:space="preserve"> </w:t>
      </w:r>
      <w:r>
        <w:rPr>
          <w:rFonts w:hint="eastAsia" w:ascii="宋体" w:hAnsi="宋体" w:eastAsia="宋体" w:cs="宋体"/>
          <w:b/>
          <w:bCs/>
          <w:color w:val="auto"/>
          <w:spacing w:val="-15"/>
          <w:sz w:val="36"/>
          <w:szCs w:val="36"/>
          <w:highlight w:val="none"/>
        </w:rPr>
        <w:t>单</w:t>
      </w:r>
    </w:p>
    <w:p w14:paraId="246A0F0B">
      <w:pPr>
        <w:spacing w:before="78" w:line="241" w:lineRule="auto"/>
        <w:ind w:right="1088"/>
        <w:rPr>
          <w:rFonts w:hint="eastAsia" w:ascii="宋体" w:hAnsi="宋体" w:eastAsia="宋体" w:cs="宋体"/>
          <w:color w:val="auto"/>
          <w:sz w:val="28"/>
          <w:szCs w:val="28"/>
          <w:highlight w:val="none"/>
          <w:lang w:eastAsia="zh-CN"/>
        </w:rPr>
      </w:pPr>
      <w:r>
        <w:rPr>
          <w:rFonts w:hint="eastAsia" w:ascii="宋体" w:hAnsi="宋体" w:eastAsia="宋体" w:cs="宋体"/>
          <w:b/>
          <w:bCs/>
          <w:color w:val="auto"/>
          <w:spacing w:val="17"/>
          <w:sz w:val="28"/>
          <w:szCs w:val="28"/>
          <w:highlight w:val="none"/>
          <w:u w:val="none" w:color="auto"/>
        </w:rPr>
        <w:t>设备名称</w:t>
      </w:r>
      <w:r>
        <w:rPr>
          <w:rFonts w:hint="eastAsia" w:ascii="宋体" w:hAnsi="宋体" w:eastAsia="宋体" w:cs="宋体"/>
          <w:color w:val="auto"/>
          <w:sz w:val="28"/>
          <w:szCs w:val="28"/>
          <w:highlight w:val="none"/>
          <w:lang w:eastAsia="zh-CN"/>
        </w:rPr>
        <w:t>：</w:t>
      </w:r>
    </w:p>
    <w:p w14:paraId="65CF23F3">
      <w:pPr>
        <w:spacing w:before="78" w:line="241" w:lineRule="auto"/>
        <w:ind w:right="1088"/>
        <w:rPr>
          <w:rFonts w:hint="eastAsia" w:ascii="宋体" w:hAnsi="宋体" w:eastAsia="宋体" w:cs="宋体"/>
          <w:color w:val="auto"/>
          <w:spacing w:val="-146"/>
          <w:sz w:val="28"/>
          <w:szCs w:val="28"/>
          <w:highlight w:val="none"/>
          <w:u w:val="single" w:color="auto"/>
        </w:rPr>
      </w:pPr>
      <w:r>
        <w:rPr>
          <w:rFonts w:hint="eastAsia" w:ascii="宋体" w:hAnsi="宋体" w:eastAsia="宋体" w:cs="宋体"/>
          <w:b/>
          <w:bCs/>
          <w:color w:val="auto"/>
          <w:spacing w:val="17"/>
          <w:sz w:val="28"/>
          <w:szCs w:val="28"/>
          <w:highlight w:val="none"/>
          <w:u w:val="none" w:color="auto"/>
        </w:rPr>
        <w:t>型</w:t>
      </w:r>
      <w:r>
        <w:rPr>
          <w:rFonts w:hint="eastAsia" w:ascii="宋体" w:hAnsi="宋体" w:eastAsia="宋体" w:cs="宋体"/>
          <w:b/>
          <w:bCs/>
          <w:color w:val="auto"/>
          <w:spacing w:val="17"/>
          <w:sz w:val="28"/>
          <w:szCs w:val="28"/>
          <w:highlight w:val="none"/>
          <w:u w:val="none" w:color="auto"/>
          <w:lang w:val="en-US" w:eastAsia="zh-CN"/>
        </w:rPr>
        <w:t xml:space="preserve">   </w:t>
      </w:r>
      <w:r>
        <w:rPr>
          <w:rFonts w:hint="eastAsia" w:ascii="宋体" w:hAnsi="宋体" w:eastAsia="宋体" w:cs="宋体"/>
          <w:b/>
          <w:bCs/>
          <w:color w:val="auto"/>
          <w:spacing w:val="17"/>
          <w:sz w:val="28"/>
          <w:szCs w:val="28"/>
          <w:highlight w:val="none"/>
          <w:u w:val="none" w:color="auto"/>
        </w:rPr>
        <w:t>号</w:t>
      </w:r>
      <w:r>
        <w:rPr>
          <w:rFonts w:hint="eastAsia" w:ascii="宋体" w:hAnsi="宋体" w:eastAsia="宋体" w:cs="宋体"/>
          <w:b/>
          <w:bCs/>
          <w:color w:val="auto"/>
          <w:spacing w:val="17"/>
          <w:sz w:val="28"/>
          <w:szCs w:val="28"/>
          <w:highlight w:val="none"/>
          <w:u w:val="none" w:color="auto"/>
          <w:lang w:eastAsia="zh-CN"/>
        </w:rPr>
        <w:t>：</w:t>
      </w:r>
      <w:r>
        <w:rPr>
          <w:rFonts w:hint="eastAsia" w:ascii="宋体" w:hAnsi="宋体" w:eastAsia="宋体" w:cs="宋体"/>
          <w:color w:val="auto"/>
          <w:spacing w:val="105"/>
          <w:sz w:val="28"/>
          <w:szCs w:val="28"/>
          <w:highlight w:val="none"/>
        </w:rPr>
        <w:t xml:space="preserve"> </w:t>
      </w:r>
      <w:r>
        <w:rPr>
          <w:rFonts w:hint="eastAsia" w:ascii="宋体" w:hAnsi="宋体" w:eastAsia="宋体" w:cs="宋体"/>
          <w:color w:val="auto"/>
          <w:spacing w:val="-146"/>
          <w:sz w:val="28"/>
          <w:szCs w:val="28"/>
          <w:highlight w:val="none"/>
          <w:u w:val="single" w:color="auto"/>
        </w:rPr>
        <w:t xml:space="preserve"> </w:t>
      </w:r>
    </w:p>
    <w:p w14:paraId="1CFD25EA">
      <w:pPr>
        <w:spacing w:before="78" w:line="241" w:lineRule="auto"/>
        <w:ind w:right="1088"/>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设备</w:t>
      </w:r>
      <w:r>
        <w:rPr>
          <w:rFonts w:hint="eastAsia" w:ascii="宋体" w:hAnsi="宋体" w:eastAsia="宋体" w:cs="宋体"/>
          <w:b/>
          <w:bCs/>
          <w:color w:val="auto"/>
          <w:spacing w:val="1"/>
          <w:sz w:val="28"/>
          <w:szCs w:val="28"/>
          <w:highlight w:val="none"/>
          <w:lang w:val="en-US" w:eastAsia="zh-CN"/>
        </w:rPr>
        <w:t>数量</w:t>
      </w:r>
      <w:r>
        <w:rPr>
          <w:rFonts w:hint="eastAsia" w:ascii="宋体" w:hAnsi="宋体" w:eastAsia="宋体" w:cs="宋体"/>
          <w:b/>
          <w:bCs/>
          <w:color w:val="auto"/>
          <w:spacing w:val="1"/>
          <w:sz w:val="28"/>
          <w:szCs w:val="28"/>
          <w:highlight w:val="none"/>
        </w:rPr>
        <w:t>：</w:t>
      </w:r>
    </w:p>
    <w:p w14:paraId="314F8F1F">
      <w:pPr>
        <w:spacing w:line="46" w:lineRule="exact"/>
        <w:rPr>
          <w:rFonts w:hint="eastAsia" w:ascii="宋体" w:hAnsi="宋体" w:eastAsia="宋体" w:cs="宋体"/>
          <w:color w:val="auto"/>
          <w:sz w:val="20"/>
          <w:szCs w:val="22"/>
          <w:highlight w:val="none"/>
        </w:rPr>
      </w:pPr>
    </w:p>
    <w:tbl>
      <w:tblPr>
        <w:tblStyle w:val="75"/>
        <w:tblW w:w="91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6"/>
        <w:gridCol w:w="3265"/>
        <w:gridCol w:w="1833"/>
        <w:gridCol w:w="865"/>
        <w:gridCol w:w="1247"/>
        <w:gridCol w:w="974"/>
      </w:tblGrid>
      <w:tr w14:paraId="57999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9100" w:type="dxa"/>
            <w:gridSpan w:val="6"/>
            <w:vAlign w:val="top"/>
          </w:tcPr>
          <w:p w14:paraId="1A01CFF5">
            <w:pPr>
              <w:pStyle w:val="74"/>
              <w:spacing w:before="88" w:line="220" w:lineRule="auto"/>
              <w:ind w:left="4254"/>
              <w:rPr>
                <w:rFonts w:hint="eastAsia" w:ascii="宋体" w:hAnsi="宋体" w:eastAsia="宋体" w:cs="宋体"/>
                <w:color w:val="auto"/>
                <w:sz w:val="28"/>
                <w:szCs w:val="28"/>
                <w:highlight w:val="none"/>
              </w:rPr>
            </w:pPr>
            <w:r>
              <w:rPr>
                <w:rFonts w:hint="eastAsia" w:ascii="宋体" w:hAnsi="宋体" w:eastAsia="宋体" w:cs="宋体"/>
                <w:color w:val="auto"/>
                <w:spacing w:val="2"/>
                <w:sz w:val="28"/>
                <w:szCs w:val="28"/>
                <w:highlight w:val="none"/>
              </w:rPr>
              <w:t>标准配置</w:t>
            </w:r>
          </w:p>
        </w:tc>
      </w:tr>
      <w:tr w14:paraId="4A252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jc w:val="center"/>
        </w:trPr>
        <w:tc>
          <w:tcPr>
            <w:tcW w:w="916" w:type="dxa"/>
            <w:vAlign w:val="top"/>
          </w:tcPr>
          <w:p w14:paraId="6589DF5D">
            <w:pPr>
              <w:pStyle w:val="74"/>
              <w:spacing w:before="80" w:line="221" w:lineRule="auto"/>
              <w:ind w:left="179"/>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序号</w:t>
            </w:r>
          </w:p>
        </w:tc>
        <w:tc>
          <w:tcPr>
            <w:tcW w:w="3265" w:type="dxa"/>
            <w:vAlign w:val="top"/>
          </w:tcPr>
          <w:p w14:paraId="7BEFC10C">
            <w:pPr>
              <w:pStyle w:val="74"/>
              <w:spacing w:before="82" w:line="221" w:lineRule="auto"/>
              <w:ind w:left="1435"/>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名称</w:t>
            </w:r>
          </w:p>
        </w:tc>
        <w:tc>
          <w:tcPr>
            <w:tcW w:w="1833" w:type="dxa"/>
            <w:vAlign w:val="top"/>
          </w:tcPr>
          <w:p w14:paraId="0F7402A4">
            <w:pPr>
              <w:pStyle w:val="74"/>
              <w:spacing w:before="84" w:line="221" w:lineRule="auto"/>
              <w:ind w:left="664"/>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型号</w:t>
            </w:r>
          </w:p>
        </w:tc>
        <w:tc>
          <w:tcPr>
            <w:tcW w:w="865" w:type="dxa"/>
            <w:vAlign w:val="top"/>
          </w:tcPr>
          <w:p w14:paraId="71446A96">
            <w:pPr>
              <w:pStyle w:val="74"/>
              <w:spacing w:before="83" w:line="219" w:lineRule="auto"/>
              <w:ind w:left="146"/>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数量</w:t>
            </w:r>
          </w:p>
        </w:tc>
        <w:tc>
          <w:tcPr>
            <w:tcW w:w="1247" w:type="dxa"/>
            <w:vAlign w:val="top"/>
          </w:tcPr>
          <w:p w14:paraId="5BBB0EFF">
            <w:pPr>
              <w:pStyle w:val="74"/>
              <w:spacing w:before="83" w:line="220" w:lineRule="auto"/>
              <w:ind w:left="357"/>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单位</w:t>
            </w:r>
          </w:p>
        </w:tc>
        <w:tc>
          <w:tcPr>
            <w:tcW w:w="974" w:type="dxa"/>
            <w:vAlign w:val="top"/>
          </w:tcPr>
          <w:p w14:paraId="6D11CCB4">
            <w:pPr>
              <w:pStyle w:val="74"/>
              <w:spacing w:before="84" w:line="221" w:lineRule="auto"/>
              <w:ind w:left="20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备注</w:t>
            </w:r>
          </w:p>
        </w:tc>
      </w:tr>
      <w:tr w14:paraId="1AE4D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916" w:type="dxa"/>
            <w:vAlign w:val="top"/>
          </w:tcPr>
          <w:p w14:paraId="04DF68B9">
            <w:pPr>
              <w:pStyle w:val="74"/>
              <w:spacing w:before="331" w:line="184"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3265" w:type="dxa"/>
            <w:vAlign w:val="top"/>
          </w:tcPr>
          <w:p w14:paraId="5162EF3A">
            <w:pPr>
              <w:pStyle w:val="74"/>
              <w:spacing w:before="250" w:line="219" w:lineRule="auto"/>
              <w:ind w:left="1430"/>
              <w:rPr>
                <w:rFonts w:hint="eastAsia" w:ascii="宋体" w:hAnsi="宋体" w:eastAsia="宋体" w:cs="宋体"/>
                <w:color w:val="auto"/>
                <w:sz w:val="28"/>
                <w:szCs w:val="28"/>
                <w:highlight w:val="none"/>
              </w:rPr>
            </w:pPr>
          </w:p>
        </w:tc>
        <w:tc>
          <w:tcPr>
            <w:tcW w:w="1833" w:type="dxa"/>
            <w:vAlign w:val="top"/>
          </w:tcPr>
          <w:p w14:paraId="4556F6C8">
            <w:pPr>
              <w:pStyle w:val="74"/>
              <w:spacing w:before="104" w:line="234" w:lineRule="exact"/>
              <w:ind w:left="824"/>
              <w:rPr>
                <w:rFonts w:hint="eastAsia" w:ascii="宋体" w:hAnsi="宋体" w:eastAsia="宋体" w:cs="宋体"/>
                <w:color w:val="auto"/>
                <w:sz w:val="28"/>
                <w:szCs w:val="28"/>
                <w:highlight w:val="none"/>
              </w:rPr>
            </w:pPr>
          </w:p>
        </w:tc>
        <w:tc>
          <w:tcPr>
            <w:tcW w:w="865" w:type="dxa"/>
            <w:vAlign w:val="top"/>
          </w:tcPr>
          <w:p w14:paraId="540D6B58">
            <w:pPr>
              <w:pStyle w:val="74"/>
              <w:spacing w:before="332" w:line="183" w:lineRule="auto"/>
              <w:ind w:left="376"/>
              <w:rPr>
                <w:rFonts w:hint="eastAsia" w:ascii="宋体" w:hAnsi="宋体" w:eastAsia="宋体" w:cs="宋体"/>
                <w:color w:val="auto"/>
                <w:sz w:val="28"/>
                <w:szCs w:val="28"/>
                <w:highlight w:val="none"/>
              </w:rPr>
            </w:pPr>
          </w:p>
        </w:tc>
        <w:tc>
          <w:tcPr>
            <w:tcW w:w="1247" w:type="dxa"/>
            <w:vAlign w:val="top"/>
          </w:tcPr>
          <w:p w14:paraId="19007D13">
            <w:pPr>
              <w:pStyle w:val="74"/>
              <w:spacing w:before="257" w:line="221" w:lineRule="auto"/>
              <w:ind w:left="508"/>
              <w:rPr>
                <w:rFonts w:hint="eastAsia" w:ascii="宋体" w:hAnsi="宋体" w:eastAsia="宋体" w:cs="宋体"/>
                <w:color w:val="auto"/>
                <w:sz w:val="28"/>
                <w:szCs w:val="28"/>
                <w:highlight w:val="none"/>
              </w:rPr>
            </w:pPr>
          </w:p>
        </w:tc>
        <w:tc>
          <w:tcPr>
            <w:tcW w:w="974" w:type="dxa"/>
            <w:vAlign w:val="top"/>
          </w:tcPr>
          <w:p w14:paraId="2543BE55">
            <w:pPr>
              <w:pStyle w:val="74"/>
              <w:spacing w:before="261" w:line="224" w:lineRule="auto"/>
              <w:ind w:left="438"/>
              <w:rPr>
                <w:rFonts w:hint="eastAsia" w:ascii="宋体" w:hAnsi="宋体" w:eastAsia="宋体" w:cs="宋体"/>
                <w:color w:val="auto"/>
                <w:sz w:val="28"/>
                <w:szCs w:val="28"/>
                <w:highlight w:val="none"/>
              </w:rPr>
            </w:pPr>
          </w:p>
        </w:tc>
      </w:tr>
      <w:tr w14:paraId="4E055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916" w:type="dxa"/>
            <w:vAlign w:val="top"/>
          </w:tcPr>
          <w:p w14:paraId="12753279">
            <w:pPr>
              <w:pStyle w:val="74"/>
              <w:spacing w:before="263"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3265" w:type="dxa"/>
            <w:vAlign w:val="top"/>
          </w:tcPr>
          <w:p w14:paraId="332B1FE9">
            <w:pPr>
              <w:pStyle w:val="74"/>
              <w:spacing w:before="183" w:line="219" w:lineRule="auto"/>
              <w:ind w:left="1121"/>
              <w:rPr>
                <w:rFonts w:hint="eastAsia" w:ascii="宋体" w:hAnsi="宋体" w:eastAsia="宋体" w:cs="宋体"/>
                <w:color w:val="auto"/>
                <w:sz w:val="28"/>
                <w:szCs w:val="28"/>
                <w:highlight w:val="none"/>
              </w:rPr>
            </w:pPr>
          </w:p>
        </w:tc>
        <w:tc>
          <w:tcPr>
            <w:tcW w:w="1833" w:type="dxa"/>
            <w:vAlign w:val="top"/>
          </w:tcPr>
          <w:p w14:paraId="669128BC">
            <w:pPr>
              <w:pStyle w:val="74"/>
              <w:spacing w:before="262" w:line="184" w:lineRule="auto"/>
              <w:ind w:left="584"/>
              <w:rPr>
                <w:rFonts w:hint="eastAsia" w:ascii="宋体" w:hAnsi="宋体" w:eastAsia="宋体" w:cs="宋体"/>
                <w:color w:val="auto"/>
                <w:sz w:val="28"/>
                <w:szCs w:val="28"/>
                <w:highlight w:val="none"/>
              </w:rPr>
            </w:pPr>
          </w:p>
        </w:tc>
        <w:tc>
          <w:tcPr>
            <w:tcW w:w="865" w:type="dxa"/>
            <w:vAlign w:val="top"/>
          </w:tcPr>
          <w:p w14:paraId="34A764EB">
            <w:pPr>
              <w:pStyle w:val="74"/>
              <w:spacing w:before="263" w:line="183" w:lineRule="auto"/>
              <w:ind w:left="376"/>
              <w:rPr>
                <w:rFonts w:hint="eastAsia" w:ascii="宋体" w:hAnsi="宋体" w:eastAsia="宋体" w:cs="宋体"/>
                <w:color w:val="auto"/>
                <w:sz w:val="28"/>
                <w:szCs w:val="28"/>
                <w:highlight w:val="none"/>
              </w:rPr>
            </w:pPr>
          </w:p>
        </w:tc>
        <w:tc>
          <w:tcPr>
            <w:tcW w:w="1247" w:type="dxa"/>
            <w:vAlign w:val="top"/>
          </w:tcPr>
          <w:p w14:paraId="1D881E18">
            <w:pPr>
              <w:pStyle w:val="74"/>
              <w:spacing w:before="183" w:line="219" w:lineRule="auto"/>
              <w:ind w:left="508"/>
              <w:rPr>
                <w:rFonts w:hint="eastAsia" w:ascii="宋体" w:hAnsi="宋体" w:eastAsia="宋体" w:cs="宋体"/>
                <w:color w:val="auto"/>
                <w:sz w:val="28"/>
                <w:szCs w:val="28"/>
                <w:highlight w:val="none"/>
              </w:rPr>
            </w:pPr>
          </w:p>
        </w:tc>
        <w:tc>
          <w:tcPr>
            <w:tcW w:w="974" w:type="dxa"/>
            <w:vAlign w:val="top"/>
          </w:tcPr>
          <w:p w14:paraId="6E4687D9">
            <w:pPr>
              <w:pStyle w:val="74"/>
              <w:spacing w:before="192" w:line="224" w:lineRule="auto"/>
              <w:ind w:left="438"/>
              <w:rPr>
                <w:rFonts w:hint="eastAsia" w:ascii="宋体" w:hAnsi="宋体" w:eastAsia="宋体" w:cs="宋体"/>
                <w:color w:val="auto"/>
                <w:sz w:val="28"/>
                <w:szCs w:val="28"/>
                <w:highlight w:val="none"/>
              </w:rPr>
            </w:pPr>
          </w:p>
        </w:tc>
      </w:tr>
      <w:tr w14:paraId="7808B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jc w:val="center"/>
        </w:trPr>
        <w:tc>
          <w:tcPr>
            <w:tcW w:w="916" w:type="dxa"/>
            <w:vAlign w:val="top"/>
          </w:tcPr>
          <w:p w14:paraId="3CDA23A7">
            <w:pPr>
              <w:spacing w:line="302" w:lineRule="auto"/>
              <w:rPr>
                <w:rFonts w:hint="eastAsia" w:ascii="宋体" w:hAnsi="宋体" w:eastAsia="宋体" w:cs="宋体"/>
                <w:color w:val="auto"/>
                <w:sz w:val="20"/>
                <w:szCs w:val="22"/>
                <w:highlight w:val="none"/>
              </w:rPr>
            </w:pPr>
          </w:p>
          <w:p w14:paraId="3CC03F9D">
            <w:pPr>
              <w:pStyle w:val="74"/>
              <w:spacing w:before="100"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3265" w:type="dxa"/>
            <w:vAlign w:val="top"/>
          </w:tcPr>
          <w:p w14:paraId="664F29B2">
            <w:pPr>
              <w:pStyle w:val="74"/>
              <w:spacing w:before="325" w:line="219" w:lineRule="auto"/>
              <w:ind w:left="810"/>
              <w:rPr>
                <w:rFonts w:hint="eastAsia" w:ascii="宋体" w:hAnsi="宋体" w:eastAsia="宋体" w:cs="宋体"/>
                <w:color w:val="auto"/>
                <w:sz w:val="28"/>
                <w:szCs w:val="28"/>
                <w:highlight w:val="none"/>
              </w:rPr>
            </w:pPr>
          </w:p>
        </w:tc>
        <w:tc>
          <w:tcPr>
            <w:tcW w:w="1833" w:type="dxa"/>
            <w:vAlign w:val="top"/>
          </w:tcPr>
          <w:p w14:paraId="32E436DE">
            <w:pPr>
              <w:pStyle w:val="74"/>
              <w:spacing w:before="101" w:line="184" w:lineRule="auto"/>
              <w:ind w:left="514"/>
              <w:rPr>
                <w:rFonts w:hint="eastAsia" w:ascii="宋体" w:hAnsi="宋体" w:eastAsia="宋体" w:cs="宋体"/>
                <w:color w:val="auto"/>
                <w:sz w:val="28"/>
                <w:szCs w:val="28"/>
                <w:highlight w:val="none"/>
              </w:rPr>
            </w:pPr>
          </w:p>
        </w:tc>
        <w:tc>
          <w:tcPr>
            <w:tcW w:w="865" w:type="dxa"/>
            <w:vAlign w:val="top"/>
          </w:tcPr>
          <w:p w14:paraId="4933DF64">
            <w:pPr>
              <w:pStyle w:val="74"/>
              <w:spacing w:before="100" w:line="183" w:lineRule="auto"/>
              <w:ind w:left="376"/>
              <w:rPr>
                <w:rFonts w:hint="eastAsia" w:ascii="宋体" w:hAnsi="宋体" w:eastAsia="宋体" w:cs="宋体"/>
                <w:color w:val="auto"/>
                <w:sz w:val="28"/>
                <w:szCs w:val="28"/>
                <w:highlight w:val="none"/>
              </w:rPr>
            </w:pPr>
          </w:p>
        </w:tc>
        <w:tc>
          <w:tcPr>
            <w:tcW w:w="1247" w:type="dxa"/>
            <w:vAlign w:val="top"/>
          </w:tcPr>
          <w:p w14:paraId="55BD4819">
            <w:pPr>
              <w:pStyle w:val="74"/>
              <w:spacing w:before="325" w:line="219" w:lineRule="auto"/>
              <w:ind w:left="508"/>
              <w:rPr>
                <w:rFonts w:hint="eastAsia" w:ascii="宋体" w:hAnsi="宋体" w:eastAsia="宋体" w:cs="宋体"/>
                <w:color w:val="auto"/>
                <w:sz w:val="28"/>
                <w:szCs w:val="28"/>
                <w:highlight w:val="none"/>
              </w:rPr>
            </w:pPr>
          </w:p>
        </w:tc>
        <w:tc>
          <w:tcPr>
            <w:tcW w:w="974" w:type="dxa"/>
            <w:vAlign w:val="top"/>
          </w:tcPr>
          <w:p w14:paraId="474A61BC">
            <w:pPr>
              <w:pStyle w:val="74"/>
              <w:spacing w:before="333" w:line="224" w:lineRule="auto"/>
              <w:ind w:left="438"/>
              <w:rPr>
                <w:rFonts w:hint="eastAsia" w:ascii="宋体" w:hAnsi="宋体" w:eastAsia="宋体" w:cs="宋体"/>
                <w:color w:val="auto"/>
                <w:sz w:val="28"/>
                <w:szCs w:val="28"/>
                <w:highlight w:val="none"/>
              </w:rPr>
            </w:pPr>
          </w:p>
        </w:tc>
      </w:tr>
      <w:tr w14:paraId="1AF8B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jc w:val="center"/>
        </w:trPr>
        <w:tc>
          <w:tcPr>
            <w:tcW w:w="916" w:type="dxa"/>
            <w:vAlign w:val="top"/>
          </w:tcPr>
          <w:p w14:paraId="2DCF3FE1">
            <w:pPr>
              <w:pStyle w:val="74"/>
              <w:spacing w:before="265"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3265" w:type="dxa"/>
            <w:vAlign w:val="top"/>
          </w:tcPr>
          <w:p w14:paraId="46F2CB46">
            <w:pPr>
              <w:pStyle w:val="74"/>
              <w:spacing w:before="186" w:line="219" w:lineRule="auto"/>
              <w:ind w:left="1121"/>
              <w:rPr>
                <w:rFonts w:hint="eastAsia" w:ascii="宋体" w:hAnsi="宋体" w:eastAsia="宋体" w:cs="宋体"/>
                <w:color w:val="auto"/>
                <w:sz w:val="28"/>
                <w:szCs w:val="28"/>
                <w:highlight w:val="none"/>
              </w:rPr>
            </w:pPr>
          </w:p>
        </w:tc>
        <w:tc>
          <w:tcPr>
            <w:tcW w:w="1833" w:type="dxa"/>
            <w:vAlign w:val="top"/>
          </w:tcPr>
          <w:p w14:paraId="3F5EF770">
            <w:pPr>
              <w:pStyle w:val="74"/>
              <w:spacing w:before="265" w:line="183" w:lineRule="auto"/>
              <w:ind w:left="584"/>
              <w:rPr>
                <w:rFonts w:hint="eastAsia" w:ascii="宋体" w:hAnsi="宋体" w:eastAsia="宋体" w:cs="宋体"/>
                <w:color w:val="auto"/>
                <w:sz w:val="28"/>
                <w:szCs w:val="28"/>
                <w:highlight w:val="none"/>
              </w:rPr>
            </w:pPr>
          </w:p>
        </w:tc>
        <w:tc>
          <w:tcPr>
            <w:tcW w:w="865" w:type="dxa"/>
            <w:vAlign w:val="top"/>
          </w:tcPr>
          <w:p w14:paraId="4CA28D5C">
            <w:pPr>
              <w:pStyle w:val="74"/>
              <w:spacing w:before="265" w:line="183" w:lineRule="auto"/>
              <w:ind w:left="376"/>
              <w:rPr>
                <w:rFonts w:hint="eastAsia" w:ascii="宋体" w:hAnsi="宋体" w:eastAsia="宋体" w:cs="宋体"/>
                <w:color w:val="auto"/>
                <w:sz w:val="28"/>
                <w:szCs w:val="28"/>
                <w:highlight w:val="none"/>
              </w:rPr>
            </w:pPr>
          </w:p>
        </w:tc>
        <w:tc>
          <w:tcPr>
            <w:tcW w:w="1247" w:type="dxa"/>
            <w:vAlign w:val="top"/>
          </w:tcPr>
          <w:p w14:paraId="3C47A532">
            <w:pPr>
              <w:pStyle w:val="74"/>
              <w:spacing w:before="186" w:line="219" w:lineRule="auto"/>
              <w:ind w:left="508"/>
              <w:rPr>
                <w:rFonts w:hint="eastAsia" w:ascii="宋体" w:hAnsi="宋体" w:eastAsia="宋体" w:cs="宋体"/>
                <w:color w:val="auto"/>
                <w:sz w:val="28"/>
                <w:szCs w:val="28"/>
                <w:highlight w:val="none"/>
              </w:rPr>
            </w:pPr>
          </w:p>
        </w:tc>
        <w:tc>
          <w:tcPr>
            <w:tcW w:w="974" w:type="dxa"/>
            <w:vAlign w:val="top"/>
          </w:tcPr>
          <w:p w14:paraId="6F85CB1C">
            <w:pPr>
              <w:pStyle w:val="74"/>
              <w:spacing w:before="194" w:line="224" w:lineRule="auto"/>
              <w:ind w:left="438"/>
              <w:rPr>
                <w:rFonts w:hint="eastAsia" w:ascii="宋体" w:hAnsi="宋体" w:eastAsia="宋体" w:cs="宋体"/>
                <w:color w:val="auto"/>
                <w:sz w:val="28"/>
                <w:szCs w:val="28"/>
                <w:highlight w:val="none"/>
              </w:rPr>
            </w:pPr>
          </w:p>
        </w:tc>
      </w:tr>
      <w:tr w14:paraId="7AFFD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BD9BB2">
            <w:pPr>
              <w:pStyle w:val="74"/>
              <w:spacing w:before="238" w:line="182"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3265" w:type="dxa"/>
            <w:vAlign w:val="top"/>
          </w:tcPr>
          <w:p w14:paraId="725F91E6">
            <w:pPr>
              <w:pStyle w:val="74"/>
              <w:spacing w:before="157" w:line="219" w:lineRule="auto"/>
              <w:ind w:left="970"/>
              <w:rPr>
                <w:rFonts w:hint="eastAsia" w:ascii="宋体" w:hAnsi="宋体" w:eastAsia="宋体" w:cs="宋体"/>
                <w:color w:val="auto"/>
                <w:sz w:val="28"/>
                <w:szCs w:val="28"/>
                <w:highlight w:val="none"/>
              </w:rPr>
            </w:pPr>
          </w:p>
        </w:tc>
        <w:tc>
          <w:tcPr>
            <w:tcW w:w="1833" w:type="dxa"/>
            <w:vAlign w:val="top"/>
          </w:tcPr>
          <w:p w14:paraId="406780D3">
            <w:pPr>
              <w:pStyle w:val="74"/>
              <w:spacing w:before="235" w:line="184" w:lineRule="auto"/>
              <w:ind w:left="584"/>
              <w:rPr>
                <w:rFonts w:hint="eastAsia" w:ascii="宋体" w:hAnsi="宋体" w:eastAsia="宋体" w:cs="宋体"/>
                <w:color w:val="auto"/>
                <w:sz w:val="28"/>
                <w:szCs w:val="28"/>
                <w:highlight w:val="none"/>
              </w:rPr>
            </w:pPr>
          </w:p>
        </w:tc>
        <w:tc>
          <w:tcPr>
            <w:tcW w:w="865" w:type="dxa"/>
            <w:vAlign w:val="top"/>
          </w:tcPr>
          <w:p w14:paraId="35DCA624">
            <w:pPr>
              <w:pStyle w:val="74"/>
              <w:spacing w:before="236" w:line="183" w:lineRule="auto"/>
              <w:ind w:left="376"/>
              <w:rPr>
                <w:rFonts w:hint="eastAsia" w:ascii="宋体" w:hAnsi="宋体" w:eastAsia="宋体" w:cs="宋体"/>
                <w:color w:val="auto"/>
                <w:sz w:val="28"/>
                <w:szCs w:val="28"/>
                <w:highlight w:val="none"/>
              </w:rPr>
            </w:pPr>
          </w:p>
        </w:tc>
        <w:tc>
          <w:tcPr>
            <w:tcW w:w="1247" w:type="dxa"/>
            <w:vAlign w:val="top"/>
          </w:tcPr>
          <w:p w14:paraId="27B44F83">
            <w:pPr>
              <w:pStyle w:val="74"/>
              <w:spacing w:before="157" w:line="219" w:lineRule="auto"/>
              <w:ind w:left="508"/>
              <w:rPr>
                <w:rFonts w:hint="eastAsia" w:ascii="宋体" w:hAnsi="宋体" w:eastAsia="宋体" w:cs="宋体"/>
                <w:color w:val="auto"/>
                <w:sz w:val="28"/>
                <w:szCs w:val="28"/>
                <w:highlight w:val="none"/>
              </w:rPr>
            </w:pPr>
          </w:p>
        </w:tc>
        <w:tc>
          <w:tcPr>
            <w:tcW w:w="974" w:type="dxa"/>
            <w:vAlign w:val="top"/>
          </w:tcPr>
          <w:p w14:paraId="222DF19C">
            <w:pPr>
              <w:pStyle w:val="74"/>
              <w:spacing w:before="165" w:line="224" w:lineRule="auto"/>
              <w:ind w:left="438"/>
              <w:rPr>
                <w:rFonts w:hint="eastAsia" w:ascii="宋体" w:hAnsi="宋体" w:eastAsia="宋体" w:cs="宋体"/>
                <w:color w:val="auto"/>
                <w:sz w:val="28"/>
                <w:szCs w:val="28"/>
                <w:highlight w:val="none"/>
              </w:rPr>
            </w:pPr>
          </w:p>
        </w:tc>
      </w:tr>
      <w:tr w14:paraId="6CB61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jc w:val="center"/>
        </w:trPr>
        <w:tc>
          <w:tcPr>
            <w:tcW w:w="916" w:type="dxa"/>
            <w:vAlign w:val="top"/>
          </w:tcPr>
          <w:p w14:paraId="66865CAC">
            <w:pPr>
              <w:spacing w:line="295" w:lineRule="auto"/>
              <w:rPr>
                <w:rFonts w:hint="eastAsia" w:ascii="宋体" w:hAnsi="宋体" w:eastAsia="宋体" w:cs="宋体"/>
                <w:color w:val="auto"/>
                <w:sz w:val="20"/>
                <w:szCs w:val="22"/>
                <w:highlight w:val="none"/>
              </w:rPr>
            </w:pPr>
          </w:p>
          <w:p w14:paraId="21843956">
            <w:pPr>
              <w:pStyle w:val="74"/>
              <w:spacing w:before="100" w:line="18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p>
        </w:tc>
        <w:tc>
          <w:tcPr>
            <w:tcW w:w="3265" w:type="dxa"/>
            <w:vAlign w:val="top"/>
          </w:tcPr>
          <w:p w14:paraId="04B38E87">
            <w:pPr>
              <w:pStyle w:val="74"/>
              <w:spacing w:before="318" w:line="219" w:lineRule="auto"/>
              <w:ind w:left="190"/>
              <w:rPr>
                <w:rFonts w:hint="eastAsia" w:ascii="宋体" w:hAnsi="宋体" w:eastAsia="宋体" w:cs="宋体"/>
                <w:color w:val="auto"/>
                <w:sz w:val="28"/>
                <w:szCs w:val="28"/>
                <w:highlight w:val="none"/>
              </w:rPr>
            </w:pPr>
          </w:p>
        </w:tc>
        <w:tc>
          <w:tcPr>
            <w:tcW w:w="1833" w:type="dxa"/>
            <w:vAlign w:val="top"/>
          </w:tcPr>
          <w:p w14:paraId="400F6C3B">
            <w:pPr>
              <w:pStyle w:val="74"/>
              <w:spacing w:before="326" w:line="224" w:lineRule="auto"/>
              <w:ind w:left="894"/>
              <w:rPr>
                <w:rFonts w:hint="eastAsia" w:ascii="宋体" w:hAnsi="宋体" w:eastAsia="宋体" w:cs="宋体"/>
                <w:color w:val="auto"/>
                <w:sz w:val="28"/>
                <w:szCs w:val="28"/>
                <w:highlight w:val="none"/>
              </w:rPr>
            </w:pPr>
          </w:p>
        </w:tc>
        <w:tc>
          <w:tcPr>
            <w:tcW w:w="865" w:type="dxa"/>
            <w:vAlign w:val="top"/>
          </w:tcPr>
          <w:p w14:paraId="71732397">
            <w:pPr>
              <w:pStyle w:val="74"/>
              <w:spacing w:before="100" w:line="183" w:lineRule="auto"/>
              <w:ind w:left="376"/>
              <w:rPr>
                <w:rFonts w:hint="eastAsia" w:ascii="宋体" w:hAnsi="宋体" w:eastAsia="宋体" w:cs="宋体"/>
                <w:color w:val="auto"/>
                <w:sz w:val="28"/>
                <w:szCs w:val="28"/>
                <w:highlight w:val="none"/>
              </w:rPr>
            </w:pPr>
          </w:p>
        </w:tc>
        <w:tc>
          <w:tcPr>
            <w:tcW w:w="1247" w:type="dxa"/>
            <w:vAlign w:val="top"/>
          </w:tcPr>
          <w:p w14:paraId="6ACF4585">
            <w:pPr>
              <w:pStyle w:val="74"/>
              <w:spacing w:before="318" w:line="220" w:lineRule="auto"/>
              <w:ind w:left="508"/>
              <w:rPr>
                <w:rFonts w:hint="eastAsia" w:ascii="宋体" w:hAnsi="宋体" w:eastAsia="宋体" w:cs="宋体"/>
                <w:color w:val="auto"/>
                <w:sz w:val="28"/>
                <w:szCs w:val="28"/>
                <w:highlight w:val="none"/>
              </w:rPr>
            </w:pPr>
          </w:p>
        </w:tc>
        <w:tc>
          <w:tcPr>
            <w:tcW w:w="974" w:type="dxa"/>
            <w:vAlign w:val="top"/>
          </w:tcPr>
          <w:p w14:paraId="55BAD620">
            <w:pPr>
              <w:pStyle w:val="74"/>
              <w:spacing w:before="326" w:line="224" w:lineRule="auto"/>
              <w:ind w:left="438"/>
              <w:rPr>
                <w:rFonts w:hint="eastAsia" w:ascii="宋体" w:hAnsi="宋体" w:eastAsia="宋体" w:cs="宋体"/>
                <w:color w:val="auto"/>
                <w:sz w:val="28"/>
                <w:szCs w:val="28"/>
                <w:highlight w:val="none"/>
              </w:rPr>
            </w:pPr>
          </w:p>
        </w:tc>
      </w:tr>
      <w:tr w14:paraId="30044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jc w:val="center"/>
        </w:trPr>
        <w:tc>
          <w:tcPr>
            <w:tcW w:w="916" w:type="dxa"/>
            <w:vAlign w:val="center"/>
          </w:tcPr>
          <w:p w14:paraId="07902227">
            <w:pPr>
              <w:pStyle w:val="74"/>
              <w:spacing w:before="101" w:line="182" w:lineRule="auto"/>
              <w:ind w:left="405"/>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w:t>
            </w:r>
          </w:p>
        </w:tc>
        <w:tc>
          <w:tcPr>
            <w:tcW w:w="3265" w:type="dxa"/>
            <w:vAlign w:val="top"/>
          </w:tcPr>
          <w:p w14:paraId="15150D29">
            <w:pPr>
              <w:pStyle w:val="74"/>
              <w:spacing w:before="318" w:line="219" w:lineRule="auto"/>
              <w:ind w:left="660"/>
              <w:rPr>
                <w:rFonts w:hint="eastAsia" w:ascii="宋体" w:hAnsi="宋体" w:eastAsia="宋体" w:cs="宋体"/>
                <w:color w:val="auto"/>
                <w:sz w:val="28"/>
                <w:szCs w:val="28"/>
                <w:highlight w:val="none"/>
              </w:rPr>
            </w:pPr>
          </w:p>
        </w:tc>
        <w:tc>
          <w:tcPr>
            <w:tcW w:w="1833" w:type="dxa"/>
            <w:vAlign w:val="top"/>
          </w:tcPr>
          <w:p w14:paraId="20FD3BCF">
            <w:pPr>
              <w:pStyle w:val="74"/>
              <w:spacing w:before="327" w:line="224" w:lineRule="auto"/>
              <w:ind w:left="894"/>
              <w:rPr>
                <w:rFonts w:hint="eastAsia" w:ascii="宋体" w:hAnsi="宋体" w:eastAsia="宋体" w:cs="宋体"/>
                <w:color w:val="auto"/>
                <w:sz w:val="28"/>
                <w:szCs w:val="28"/>
                <w:highlight w:val="none"/>
              </w:rPr>
            </w:pPr>
          </w:p>
        </w:tc>
        <w:tc>
          <w:tcPr>
            <w:tcW w:w="865" w:type="dxa"/>
            <w:vAlign w:val="top"/>
          </w:tcPr>
          <w:p w14:paraId="691C2111">
            <w:pPr>
              <w:pStyle w:val="74"/>
              <w:spacing w:before="100" w:line="183" w:lineRule="auto"/>
              <w:ind w:left="376"/>
              <w:rPr>
                <w:rFonts w:hint="eastAsia" w:ascii="宋体" w:hAnsi="宋体" w:eastAsia="宋体" w:cs="宋体"/>
                <w:color w:val="auto"/>
                <w:sz w:val="28"/>
                <w:szCs w:val="28"/>
                <w:highlight w:val="none"/>
              </w:rPr>
            </w:pPr>
          </w:p>
        </w:tc>
        <w:tc>
          <w:tcPr>
            <w:tcW w:w="1247" w:type="dxa"/>
            <w:vAlign w:val="top"/>
          </w:tcPr>
          <w:p w14:paraId="0701E705">
            <w:pPr>
              <w:pStyle w:val="74"/>
              <w:spacing w:before="319" w:line="220" w:lineRule="auto"/>
              <w:ind w:left="508"/>
              <w:rPr>
                <w:rFonts w:hint="eastAsia" w:ascii="宋体" w:hAnsi="宋体" w:eastAsia="宋体" w:cs="宋体"/>
                <w:color w:val="auto"/>
                <w:sz w:val="28"/>
                <w:szCs w:val="28"/>
                <w:highlight w:val="none"/>
              </w:rPr>
            </w:pPr>
          </w:p>
        </w:tc>
        <w:tc>
          <w:tcPr>
            <w:tcW w:w="974" w:type="dxa"/>
            <w:vAlign w:val="top"/>
          </w:tcPr>
          <w:p w14:paraId="30BCFDB9">
            <w:pPr>
              <w:pStyle w:val="74"/>
              <w:spacing w:before="327" w:line="224" w:lineRule="auto"/>
              <w:ind w:left="438"/>
              <w:rPr>
                <w:rFonts w:hint="eastAsia" w:ascii="宋体" w:hAnsi="宋体" w:eastAsia="宋体" w:cs="宋体"/>
                <w:color w:val="auto"/>
                <w:sz w:val="28"/>
                <w:szCs w:val="28"/>
                <w:highlight w:val="none"/>
              </w:rPr>
            </w:pPr>
          </w:p>
        </w:tc>
      </w:tr>
      <w:tr w14:paraId="7EBA6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2F0AB130">
            <w:pPr>
              <w:pStyle w:val="74"/>
              <w:spacing w:before="169" w:line="17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w:t>
            </w:r>
          </w:p>
        </w:tc>
        <w:tc>
          <w:tcPr>
            <w:tcW w:w="3265" w:type="dxa"/>
            <w:vAlign w:val="top"/>
          </w:tcPr>
          <w:p w14:paraId="61BDB15D">
            <w:pPr>
              <w:pStyle w:val="74"/>
              <w:spacing w:before="90" w:line="219" w:lineRule="auto"/>
              <w:ind w:left="970"/>
              <w:rPr>
                <w:rFonts w:hint="eastAsia" w:ascii="宋体" w:hAnsi="宋体" w:eastAsia="宋体" w:cs="宋体"/>
                <w:color w:val="auto"/>
                <w:sz w:val="28"/>
                <w:szCs w:val="28"/>
                <w:highlight w:val="none"/>
              </w:rPr>
            </w:pPr>
          </w:p>
        </w:tc>
        <w:tc>
          <w:tcPr>
            <w:tcW w:w="1833" w:type="dxa"/>
            <w:vAlign w:val="top"/>
          </w:tcPr>
          <w:p w14:paraId="646748EE">
            <w:pPr>
              <w:pStyle w:val="74"/>
              <w:spacing w:before="98" w:line="215" w:lineRule="auto"/>
              <w:ind w:left="894"/>
              <w:rPr>
                <w:rFonts w:hint="eastAsia" w:ascii="宋体" w:hAnsi="宋体" w:eastAsia="宋体" w:cs="宋体"/>
                <w:color w:val="auto"/>
                <w:sz w:val="28"/>
                <w:szCs w:val="28"/>
                <w:highlight w:val="none"/>
              </w:rPr>
            </w:pPr>
          </w:p>
        </w:tc>
        <w:tc>
          <w:tcPr>
            <w:tcW w:w="865" w:type="dxa"/>
            <w:vAlign w:val="top"/>
          </w:tcPr>
          <w:p w14:paraId="0E04DFB8">
            <w:pPr>
              <w:pStyle w:val="74"/>
              <w:spacing w:before="169" w:line="173" w:lineRule="auto"/>
              <w:ind w:left="376"/>
              <w:rPr>
                <w:rFonts w:hint="eastAsia" w:ascii="宋体" w:hAnsi="宋体" w:eastAsia="宋体" w:cs="宋体"/>
                <w:color w:val="auto"/>
                <w:sz w:val="28"/>
                <w:szCs w:val="28"/>
                <w:highlight w:val="none"/>
              </w:rPr>
            </w:pPr>
          </w:p>
        </w:tc>
        <w:tc>
          <w:tcPr>
            <w:tcW w:w="1247" w:type="dxa"/>
            <w:vAlign w:val="top"/>
          </w:tcPr>
          <w:p w14:paraId="377EA825">
            <w:pPr>
              <w:pStyle w:val="74"/>
              <w:spacing w:before="93" w:line="218" w:lineRule="auto"/>
              <w:ind w:left="508"/>
              <w:rPr>
                <w:rFonts w:hint="eastAsia" w:ascii="宋体" w:hAnsi="宋体" w:eastAsia="宋体" w:cs="宋体"/>
                <w:color w:val="auto"/>
                <w:sz w:val="28"/>
                <w:szCs w:val="28"/>
                <w:highlight w:val="none"/>
              </w:rPr>
            </w:pPr>
          </w:p>
        </w:tc>
        <w:tc>
          <w:tcPr>
            <w:tcW w:w="974" w:type="dxa"/>
            <w:vAlign w:val="top"/>
          </w:tcPr>
          <w:p w14:paraId="3CC3255F">
            <w:pPr>
              <w:pStyle w:val="74"/>
              <w:spacing w:before="98" w:line="215" w:lineRule="auto"/>
              <w:ind w:left="438"/>
              <w:rPr>
                <w:rFonts w:hint="eastAsia" w:ascii="宋体" w:hAnsi="宋体" w:eastAsia="宋体" w:cs="宋体"/>
                <w:color w:val="auto"/>
                <w:sz w:val="28"/>
                <w:szCs w:val="28"/>
                <w:highlight w:val="none"/>
              </w:rPr>
            </w:pPr>
          </w:p>
        </w:tc>
      </w:tr>
      <w:tr w14:paraId="34B7C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916" w:type="dxa"/>
            <w:vAlign w:val="top"/>
          </w:tcPr>
          <w:p w14:paraId="0049E790">
            <w:pPr>
              <w:pStyle w:val="74"/>
              <w:spacing w:before="169" w:line="173" w:lineRule="auto"/>
              <w:ind w:left="40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w:t>
            </w:r>
          </w:p>
        </w:tc>
        <w:tc>
          <w:tcPr>
            <w:tcW w:w="3265" w:type="dxa"/>
            <w:vAlign w:val="top"/>
          </w:tcPr>
          <w:p w14:paraId="74C708DE">
            <w:pPr>
              <w:pStyle w:val="74"/>
              <w:spacing w:before="90" w:line="219" w:lineRule="auto"/>
              <w:ind w:left="970"/>
              <w:rPr>
                <w:rFonts w:hint="eastAsia" w:ascii="宋体" w:hAnsi="宋体" w:eastAsia="宋体" w:cs="宋体"/>
                <w:color w:val="auto"/>
                <w:sz w:val="28"/>
                <w:szCs w:val="28"/>
                <w:highlight w:val="none"/>
              </w:rPr>
            </w:pPr>
          </w:p>
        </w:tc>
        <w:tc>
          <w:tcPr>
            <w:tcW w:w="1833" w:type="dxa"/>
            <w:vAlign w:val="top"/>
          </w:tcPr>
          <w:p w14:paraId="3B81B67D">
            <w:pPr>
              <w:pStyle w:val="74"/>
              <w:spacing w:before="97" w:line="216" w:lineRule="auto"/>
              <w:ind w:left="894"/>
              <w:rPr>
                <w:rFonts w:hint="eastAsia" w:ascii="宋体" w:hAnsi="宋体" w:eastAsia="宋体" w:cs="宋体"/>
                <w:color w:val="auto"/>
                <w:sz w:val="28"/>
                <w:szCs w:val="28"/>
                <w:highlight w:val="none"/>
              </w:rPr>
            </w:pPr>
          </w:p>
        </w:tc>
        <w:tc>
          <w:tcPr>
            <w:tcW w:w="865" w:type="dxa"/>
            <w:vAlign w:val="top"/>
          </w:tcPr>
          <w:p w14:paraId="3C888DF8">
            <w:pPr>
              <w:pStyle w:val="74"/>
              <w:spacing w:before="169" w:line="173" w:lineRule="auto"/>
              <w:ind w:left="376"/>
              <w:rPr>
                <w:rFonts w:hint="eastAsia" w:ascii="宋体" w:hAnsi="宋体" w:eastAsia="宋体" w:cs="宋体"/>
                <w:color w:val="auto"/>
                <w:sz w:val="28"/>
                <w:szCs w:val="28"/>
                <w:highlight w:val="none"/>
              </w:rPr>
            </w:pPr>
          </w:p>
        </w:tc>
        <w:tc>
          <w:tcPr>
            <w:tcW w:w="1247" w:type="dxa"/>
            <w:vAlign w:val="top"/>
          </w:tcPr>
          <w:p w14:paraId="3A377550">
            <w:pPr>
              <w:pStyle w:val="74"/>
              <w:spacing w:before="90" w:line="219" w:lineRule="auto"/>
              <w:ind w:left="508"/>
              <w:rPr>
                <w:rFonts w:hint="eastAsia" w:ascii="宋体" w:hAnsi="宋体" w:eastAsia="宋体" w:cs="宋体"/>
                <w:color w:val="auto"/>
                <w:sz w:val="28"/>
                <w:szCs w:val="28"/>
                <w:highlight w:val="none"/>
              </w:rPr>
            </w:pPr>
          </w:p>
        </w:tc>
        <w:tc>
          <w:tcPr>
            <w:tcW w:w="974" w:type="dxa"/>
            <w:vAlign w:val="top"/>
          </w:tcPr>
          <w:p w14:paraId="4BBD11F9">
            <w:pPr>
              <w:pStyle w:val="74"/>
              <w:spacing w:before="97" w:line="216" w:lineRule="auto"/>
              <w:ind w:left="438"/>
              <w:rPr>
                <w:rFonts w:hint="eastAsia" w:ascii="宋体" w:hAnsi="宋体" w:eastAsia="宋体" w:cs="宋体"/>
                <w:color w:val="auto"/>
                <w:sz w:val="28"/>
                <w:szCs w:val="28"/>
                <w:highlight w:val="none"/>
              </w:rPr>
            </w:pPr>
          </w:p>
        </w:tc>
      </w:tr>
      <w:tr w14:paraId="43871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916" w:type="dxa"/>
            <w:vAlign w:val="top"/>
          </w:tcPr>
          <w:p w14:paraId="367FAEA4">
            <w:pPr>
              <w:pStyle w:val="74"/>
              <w:spacing w:before="268" w:line="184" w:lineRule="auto"/>
              <w:ind w:left="324"/>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10</w:t>
            </w:r>
          </w:p>
        </w:tc>
        <w:tc>
          <w:tcPr>
            <w:tcW w:w="3265" w:type="dxa"/>
            <w:vAlign w:val="top"/>
          </w:tcPr>
          <w:p w14:paraId="1D9152BE">
            <w:pPr>
              <w:pStyle w:val="74"/>
              <w:spacing w:before="187" w:line="219" w:lineRule="auto"/>
              <w:ind w:left="660"/>
              <w:rPr>
                <w:rFonts w:hint="eastAsia" w:ascii="宋体" w:hAnsi="宋体" w:eastAsia="宋体" w:cs="宋体"/>
                <w:color w:val="auto"/>
                <w:sz w:val="28"/>
                <w:szCs w:val="28"/>
                <w:highlight w:val="none"/>
              </w:rPr>
            </w:pPr>
          </w:p>
        </w:tc>
        <w:tc>
          <w:tcPr>
            <w:tcW w:w="1833" w:type="dxa"/>
            <w:vAlign w:val="top"/>
          </w:tcPr>
          <w:p w14:paraId="51BA8B84">
            <w:pPr>
              <w:pStyle w:val="74"/>
              <w:spacing w:before="198" w:line="224" w:lineRule="auto"/>
              <w:ind w:left="894"/>
              <w:rPr>
                <w:rFonts w:hint="eastAsia" w:ascii="宋体" w:hAnsi="宋体" w:eastAsia="宋体" w:cs="宋体"/>
                <w:color w:val="auto"/>
                <w:sz w:val="28"/>
                <w:szCs w:val="28"/>
                <w:highlight w:val="none"/>
              </w:rPr>
            </w:pPr>
          </w:p>
        </w:tc>
        <w:tc>
          <w:tcPr>
            <w:tcW w:w="865" w:type="dxa"/>
            <w:vAlign w:val="top"/>
          </w:tcPr>
          <w:p w14:paraId="0C60C04C">
            <w:pPr>
              <w:pStyle w:val="74"/>
              <w:spacing w:before="269" w:line="183" w:lineRule="auto"/>
              <w:ind w:left="376"/>
              <w:rPr>
                <w:rFonts w:hint="eastAsia" w:ascii="宋体" w:hAnsi="宋体" w:eastAsia="宋体" w:cs="宋体"/>
                <w:color w:val="auto"/>
                <w:sz w:val="28"/>
                <w:szCs w:val="28"/>
                <w:highlight w:val="none"/>
              </w:rPr>
            </w:pPr>
          </w:p>
        </w:tc>
        <w:tc>
          <w:tcPr>
            <w:tcW w:w="1247" w:type="dxa"/>
            <w:vAlign w:val="top"/>
          </w:tcPr>
          <w:p w14:paraId="0C412A46">
            <w:pPr>
              <w:pStyle w:val="74"/>
              <w:spacing w:before="193" w:line="221" w:lineRule="auto"/>
              <w:ind w:left="508"/>
              <w:rPr>
                <w:rFonts w:hint="eastAsia" w:ascii="宋体" w:hAnsi="宋体" w:eastAsia="宋体" w:cs="宋体"/>
                <w:color w:val="auto"/>
                <w:sz w:val="28"/>
                <w:szCs w:val="28"/>
                <w:highlight w:val="none"/>
              </w:rPr>
            </w:pPr>
          </w:p>
        </w:tc>
        <w:tc>
          <w:tcPr>
            <w:tcW w:w="974" w:type="dxa"/>
            <w:vAlign w:val="top"/>
          </w:tcPr>
          <w:p w14:paraId="413CE2FF">
            <w:pPr>
              <w:pStyle w:val="74"/>
              <w:spacing w:before="198" w:line="224" w:lineRule="auto"/>
              <w:ind w:left="438"/>
              <w:rPr>
                <w:rFonts w:hint="eastAsia" w:ascii="宋体" w:hAnsi="宋体" w:eastAsia="宋体" w:cs="宋体"/>
                <w:color w:val="auto"/>
                <w:sz w:val="28"/>
                <w:szCs w:val="28"/>
                <w:highlight w:val="none"/>
              </w:rPr>
            </w:pPr>
          </w:p>
        </w:tc>
      </w:tr>
      <w:tr w14:paraId="5D587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100" w:type="dxa"/>
            <w:gridSpan w:val="6"/>
            <w:vAlign w:val="top"/>
          </w:tcPr>
          <w:p w14:paraId="14FE9C03">
            <w:pPr>
              <w:pStyle w:val="74"/>
              <w:spacing w:before="89" w:line="214" w:lineRule="auto"/>
              <w:ind w:left="4569"/>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增配</w:t>
            </w:r>
          </w:p>
        </w:tc>
      </w:tr>
      <w:tr w14:paraId="70E05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16" w:type="dxa"/>
            <w:vAlign w:val="top"/>
          </w:tcPr>
          <w:p w14:paraId="2248A218">
            <w:pPr>
              <w:pStyle w:val="74"/>
              <w:spacing w:before="100" w:line="220" w:lineRule="auto"/>
              <w:ind w:left="179"/>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序号</w:t>
            </w:r>
          </w:p>
        </w:tc>
        <w:tc>
          <w:tcPr>
            <w:tcW w:w="3265" w:type="dxa"/>
            <w:vAlign w:val="top"/>
          </w:tcPr>
          <w:p w14:paraId="40CF26A4">
            <w:pPr>
              <w:pStyle w:val="74"/>
              <w:spacing w:before="102" w:line="219" w:lineRule="auto"/>
              <w:ind w:left="1435"/>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名称</w:t>
            </w:r>
          </w:p>
        </w:tc>
        <w:tc>
          <w:tcPr>
            <w:tcW w:w="1833" w:type="dxa"/>
            <w:vAlign w:val="top"/>
          </w:tcPr>
          <w:p w14:paraId="67BEADCD">
            <w:pPr>
              <w:pStyle w:val="74"/>
              <w:spacing w:before="100" w:line="220" w:lineRule="auto"/>
              <w:ind w:left="669"/>
              <w:rPr>
                <w:rFonts w:hint="eastAsia" w:ascii="宋体" w:hAnsi="宋体" w:eastAsia="宋体" w:cs="宋体"/>
                <w:color w:val="auto"/>
                <w:sz w:val="28"/>
                <w:szCs w:val="28"/>
                <w:highlight w:val="none"/>
              </w:rPr>
            </w:pPr>
            <w:r>
              <w:rPr>
                <w:rFonts w:hint="eastAsia" w:ascii="宋体" w:hAnsi="宋体" w:eastAsia="宋体" w:cs="宋体"/>
                <w:b/>
                <w:bCs/>
                <w:color w:val="auto"/>
                <w:spacing w:val="1"/>
                <w:sz w:val="28"/>
                <w:szCs w:val="28"/>
                <w:highlight w:val="none"/>
              </w:rPr>
              <w:t>型号</w:t>
            </w:r>
          </w:p>
        </w:tc>
        <w:tc>
          <w:tcPr>
            <w:tcW w:w="865" w:type="dxa"/>
            <w:vAlign w:val="top"/>
          </w:tcPr>
          <w:p w14:paraId="3E212786">
            <w:pPr>
              <w:pStyle w:val="74"/>
              <w:spacing w:before="98" w:line="219" w:lineRule="auto"/>
              <w:ind w:left="151"/>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数量</w:t>
            </w:r>
          </w:p>
        </w:tc>
        <w:tc>
          <w:tcPr>
            <w:tcW w:w="1247" w:type="dxa"/>
            <w:vAlign w:val="top"/>
          </w:tcPr>
          <w:p w14:paraId="75B697FB">
            <w:pPr>
              <w:pStyle w:val="74"/>
              <w:spacing w:before="99" w:line="220" w:lineRule="auto"/>
              <w:ind w:left="362"/>
              <w:rPr>
                <w:rFonts w:hint="eastAsia" w:ascii="宋体" w:hAnsi="宋体" w:eastAsia="宋体" w:cs="宋体"/>
                <w:color w:val="auto"/>
                <w:sz w:val="28"/>
                <w:szCs w:val="28"/>
                <w:highlight w:val="none"/>
              </w:rPr>
            </w:pPr>
            <w:r>
              <w:rPr>
                <w:rFonts w:hint="eastAsia" w:ascii="宋体" w:hAnsi="宋体" w:eastAsia="宋体" w:cs="宋体"/>
                <w:b/>
                <w:bCs/>
                <w:color w:val="auto"/>
                <w:spacing w:val="-7"/>
                <w:sz w:val="28"/>
                <w:szCs w:val="28"/>
                <w:highlight w:val="none"/>
              </w:rPr>
              <w:t>单位</w:t>
            </w:r>
          </w:p>
        </w:tc>
        <w:tc>
          <w:tcPr>
            <w:tcW w:w="974" w:type="dxa"/>
            <w:vAlign w:val="top"/>
          </w:tcPr>
          <w:p w14:paraId="49A20048">
            <w:pPr>
              <w:pStyle w:val="74"/>
              <w:spacing w:before="105" w:line="217" w:lineRule="auto"/>
              <w:ind w:left="208"/>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备注</w:t>
            </w:r>
          </w:p>
        </w:tc>
      </w:tr>
      <w:tr w14:paraId="59BC7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601F76DE">
            <w:pPr>
              <w:pStyle w:val="74"/>
              <w:spacing w:before="141" w:line="253" w:lineRule="exact"/>
              <w:ind w:left="405"/>
              <w:rPr>
                <w:rFonts w:hint="eastAsia" w:ascii="宋体" w:hAnsi="宋体" w:eastAsia="宋体" w:cs="宋体"/>
                <w:color w:val="auto"/>
                <w:sz w:val="28"/>
                <w:szCs w:val="28"/>
                <w:highlight w:val="none"/>
              </w:rPr>
            </w:pPr>
            <w:r>
              <w:rPr>
                <w:rFonts w:hint="eastAsia" w:ascii="宋体" w:hAnsi="宋体" w:eastAsia="宋体" w:cs="宋体"/>
                <w:color w:val="auto"/>
                <w:position w:val="-3"/>
                <w:sz w:val="28"/>
                <w:szCs w:val="28"/>
                <w:highlight w:val="none"/>
              </w:rPr>
              <w:t>1</w:t>
            </w:r>
          </w:p>
        </w:tc>
        <w:tc>
          <w:tcPr>
            <w:tcW w:w="3265" w:type="dxa"/>
            <w:vAlign w:val="top"/>
          </w:tcPr>
          <w:p w14:paraId="146FD235">
            <w:pPr>
              <w:rPr>
                <w:rFonts w:hint="eastAsia" w:ascii="宋体" w:hAnsi="宋体" w:eastAsia="宋体" w:cs="宋体"/>
                <w:color w:val="auto"/>
                <w:sz w:val="20"/>
                <w:szCs w:val="22"/>
                <w:highlight w:val="none"/>
              </w:rPr>
            </w:pPr>
          </w:p>
        </w:tc>
        <w:tc>
          <w:tcPr>
            <w:tcW w:w="1833" w:type="dxa"/>
            <w:vAlign w:val="top"/>
          </w:tcPr>
          <w:p w14:paraId="69336EC0">
            <w:pPr>
              <w:pStyle w:val="74"/>
              <w:spacing w:before="70" w:line="193" w:lineRule="auto"/>
              <w:ind w:left="894"/>
              <w:rPr>
                <w:rFonts w:hint="eastAsia" w:ascii="宋体" w:hAnsi="宋体" w:eastAsia="宋体" w:cs="宋体"/>
                <w:color w:val="auto"/>
                <w:sz w:val="28"/>
                <w:szCs w:val="28"/>
                <w:highlight w:val="none"/>
              </w:rPr>
            </w:pPr>
          </w:p>
        </w:tc>
        <w:tc>
          <w:tcPr>
            <w:tcW w:w="865" w:type="dxa"/>
            <w:vAlign w:val="top"/>
          </w:tcPr>
          <w:p w14:paraId="4F4FE094">
            <w:pPr>
              <w:pStyle w:val="74"/>
              <w:spacing w:before="70" w:line="193" w:lineRule="auto"/>
              <w:ind w:left="376"/>
              <w:rPr>
                <w:rFonts w:hint="eastAsia" w:ascii="宋体" w:hAnsi="宋体" w:eastAsia="宋体" w:cs="宋体"/>
                <w:color w:val="auto"/>
                <w:sz w:val="28"/>
                <w:szCs w:val="28"/>
                <w:highlight w:val="none"/>
              </w:rPr>
            </w:pPr>
          </w:p>
        </w:tc>
        <w:tc>
          <w:tcPr>
            <w:tcW w:w="1247" w:type="dxa"/>
            <w:vAlign w:val="top"/>
          </w:tcPr>
          <w:p w14:paraId="63B5D74E">
            <w:pPr>
              <w:pStyle w:val="74"/>
              <w:spacing w:before="70" w:line="193" w:lineRule="auto"/>
              <w:ind w:left="587"/>
              <w:rPr>
                <w:rFonts w:hint="eastAsia" w:ascii="宋体" w:hAnsi="宋体" w:eastAsia="宋体" w:cs="宋体"/>
                <w:color w:val="auto"/>
                <w:sz w:val="28"/>
                <w:szCs w:val="28"/>
                <w:highlight w:val="none"/>
              </w:rPr>
            </w:pPr>
          </w:p>
        </w:tc>
        <w:tc>
          <w:tcPr>
            <w:tcW w:w="974" w:type="dxa"/>
            <w:vAlign w:val="top"/>
          </w:tcPr>
          <w:p w14:paraId="729922B0">
            <w:pPr>
              <w:pStyle w:val="74"/>
              <w:spacing w:before="70" w:line="193" w:lineRule="auto"/>
              <w:ind w:left="438"/>
              <w:rPr>
                <w:rFonts w:hint="eastAsia" w:ascii="宋体" w:hAnsi="宋体" w:eastAsia="宋体" w:cs="宋体"/>
                <w:color w:val="auto"/>
                <w:sz w:val="28"/>
                <w:szCs w:val="28"/>
                <w:highlight w:val="none"/>
              </w:rPr>
            </w:pPr>
          </w:p>
        </w:tc>
      </w:tr>
      <w:tr w14:paraId="22E1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916" w:type="dxa"/>
            <w:vAlign w:val="top"/>
          </w:tcPr>
          <w:p w14:paraId="78B15E1F">
            <w:pPr>
              <w:pStyle w:val="74"/>
              <w:spacing w:before="141" w:line="253" w:lineRule="exact"/>
              <w:ind w:left="405"/>
              <w:rPr>
                <w:rFonts w:hint="eastAsia" w:ascii="宋体" w:hAnsi="宋体" w:eastAsia="宋体" w:cs="宋体"/>
                <w:color w:val="auto"/>
                <w:position w:val="-3"/>
                <w:sz w:val="28"/>
                <w:szCs w:val="28"/>
                <w:highlight w:val="none"/>
                <w:lang w:val="en-US" w:eastAsia="zh-CN"/>
              </w:rPr>
            </w:pPr>
            <w:r>
              <w:rPr>
                <w:rFonts w:hint="eastAsia" w:ascii="宋体" w:hAnsi="宋体" w:eastAsia="宋体" w:cs="宋体"/>
                <w:color w:val="auto"/>
                <w:position w:val="-3"/>
                <w:sz w:val="28"/>
                <w:szCs w:val="28"/>
                <w:highlight w:val="none"/>
                <w:lang w:val="en-US" w:eastAsia="zh-CN"/>
              </w:rPr>
              <w:t>2</w:t>
            </w:r>
          </w:p>
        </w:tc>
        <w:tc>
          <w:tcPr>
            <w:tcW w:w="3265" w:type="dxa"/>
            <w:vAlign w:val="top"/>
          </w:tcPr>
          <w:p w14:paraId="7DA639F3">
            <w:pPr>
              <w:rPr>
                <w:rFonts w:hint="eastAsia" w:ascii="宋体" w:hAnsi="宋体" w:eastAsia="宋体" w:cs="宋体"/>
                <w:color w:val="auto"/>
                <w:sz w:val="20"/>
                <w:szCs w:val="22"/>
                <w:highlight w:val="none"/>
              </w:rPr>
            </w:pPr>
          </w:p>
        </w:tc>
        <w:tc>
          <w:tcPr>
            <w:tcW w:w="1833" w:type="dxa"/>
            <w:vAlign w:val="top"/>
          </w:tcPr>
          <w:p w14:paraId="2E787A80">
            <w:pPr>
              <w:pStyle w:val="74"/>
              <w:spacing w:before="70" w:line="193" w:lineRule="auto"/>
              <w:ind w:left="894"/>
              <w:rPr>
                <w:rFonts w:hint="eastAsia" w:ascii="宋体" w:hAnsi="宋体" w:eastAsia="宋体" w:cs="宋体"/>
                <w:color w:val="auto"/>
                <w:sz w:val="28"/>
                <w:szCs w:val="28"/>
                <w:highlight w:val="none"/>
              </w:rPr>
            </w:pPr>
          </w:p>
        </w:tc>
        <w:tc>
          <w:tcPr>
            <w:tcW w:w="865" w:type="dxa"/>
            <w:vAlign w:val="top"/>
          </w:tcPr>
          <w:p w14:paraId="3123E36B">
            <w:pPr>
              <w:pStyle w:val="74"/>
              <w:spacing w:before="70" w:line="193" w:lineRule="auto"/>
              <w:ind w:left="376"/>
              <w:rPr>
                <w:rFonts w:hint="eastAsia" w:ascii="宋体" w:hAnsi="宋体" w:eastAsia="宋体" w:cs="宋体"/>
                <w:color w:val="auto"/>
                <w:sz w:val="28"/>
                <w:szCs w:val="28"/>
                <w:highlight w:val="none"/>
              </w:rPr>
            </w:pPr>
          </w:p>
        </w:tc>
        <w:tc>
          <w:tcPr>
            <w:tcW w:w="1247" w:type="dxa"/>
            <w:vAlign w:val="top"/>
          </w:tcPr>
          <w:p w14:paraId="01C84F29">
            <w:pPr>
              <w:pStyle w:val="74"/>
              <w:spacing w:before="70" w:line="193" w:lineRule="auto"/>
              <w:ind w:left="587"/>
              <w:rPr>
                <w:rFonts w:hint="eastAsia" w:ascii="宋体" w:hAnsi="宋体" w:eastAsia="宋体" w:cs="宋体"/>
                <w:color w:val="auto"/>
                <w:sz w:val="28"/>
                <w:szCs w:val="28"/>
                <w:highlight w:val="none"/>
              </w:rPr>
            </w:pPr>
          </w:p>
        </w:tc>
        <w:tc>
          <w:tcPr>
            <w:tcW w:w="974" w:type="dxa"/>
            <w:vAlign w:val="top"/>
          </w:tcPr>
          <w:p w14:paraId="0EC64A40">
            <w:pPr>
              <w:pStyle w:val="74"/>
              <w:spacing w:before="70" w:line="193" w:lineRule="auto"/>
              <w:ind w:left="438"/>
              <w:rPr>
                <w:rFonts w:hint="eastAsia" w:ascii="宋体" w:hAnsi="宋体" w:eastAsia="宋体" w:cs="宋体"/>
                <w:color w:val="auto"/>
                <w:sz w:val="28"/>
                <w:szCs w:val="28"/>
                <w:highlight w:val="none"/>
              </w:rPr>
            </w:pPr>
          </w:p>
        </w:tc>
      </w:tr>
      <w:tr w14:paraId="5094B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916" w:type="dxa"/>
            <w:vAlign w:val="top"/>
          </w:tcPr>
          <w:p w14:paraId="3AFCB803">
            <w:pPr>
              <w:pStyle w:val="74"/>
              <w:spacing w:before="141" w:line="253" w:lineRule="exact"/>
              <w:ind w:left="405"/>
              <w:rPr>
                <w:rFonts w:hint="eastAsia" w:ascii="宋体" w:hAnsi="宋体" w:eastAsia="宋体" w:cs="宋体"/>
                <w:color w:val="auto"/>
                <w:position w:val="-3"/>
                <w:sz w:val="28"/>
                <w:szCs w:val="28"/>
                <w:highlight w:val="none"/>
                <w:lang w:val="en-US" w:eastAsia="zh-CN"/>
              </w:rPr>
            </w:pPr>
            <w:r>
              <w:rPr>
                <w:rFonts w:hint="eastAsia" w:ascii="宋体" w:hAnsi="宋体" w:eastAsia="宋体" w:cs="宋体"/>
                <w:color w:val="auto"/>
                <w:position w:val="-3"/>
                <w:sz w:val="28"/>
                <w:szCs w:val="28"/>
                <w:highlight w:val="none"/>
                <w:lang w:val="en-US" w:eastAsia="zh-CN"/>
              </w:rPr>
              <w:t>3</w:t>
            </w:r>
          </w:p>
        </w:tc>
        <w:tc>
          <w:tcPr>
            <w:tcW w:w="3265" w:type="dxa"/>
            <w:vAlign w:val="top"/>
          </w:tcPr>
          <w:p w14:paraId="1EF3F681">
            <w:pPr>
              <w:rPr>
                <w:rFonts w:hint="eastAsia" w:ascii="宋体" w:hAnsi="宋体" w:eastAsia="宋体" w:cs="宋体"/>
                <w:color w:val="auto"/>
                <w:sz w:val="20"/>
                <w:szCs w:val="22"/>
                <w:highlight w:val="none"/>
              </w:rPr>
            </w:pPr>
          </w:p>
        </w:tc>
        <w:tc>
          <w:tcPr>
            <w:tcW w:w="1833" w:type="dxa"/>
            <w:vAlign w:val="top"/>
          </w:tcPr>
          <w:p w14:paraId="14BA8040">
            <w:pPr>
              <w:pStyle w:val="74"/>
              <w:spacing w:before="70" w:line="193" w:lineRule="auto"/>
              <w:ind w:left="894"/>
              <w:rPr>
                <w:rFonts w:hint="eastAsia" w:ascii="宋体" w:hAnsi="宋体" w:eastAsia="宋体" w:cs="宋体"/>
                <w:color w:val="auto"/>
                <w:sz w:val="28"/>
                <w:szCs w:val="28"/>
                <w:highlight w:val="none"/>
              </w:rPr>
            </w:pPr>
          </w:p>
        </w:tc>
        <w:tc>
          <w:tcPr>
            <w:tcW w:w="865" w:type="dxa"/>
            <w:vAlign w:val="top"/>
          </w:tcPr>
          <w:p w14:paraId="1B95E49D">
            <w:pPr>
              <w:pStyle w:val="74"/>
              <w:spacing w:before="70" w:line="193" w:lineRule="auto"/>
              <w:ind w:left="376"/>
              <w:rPr>
                <w:rFonts w:hint="eastAsia" w:ascii="宋体" w:hAnsi="宋体" w:eastAsia="宋体" w:cs="宋体"/>
                <w:color w:val="auto"/>
                <w:sz w:val="28"/>
                <w:szCs w:val="28"/>
                <w:highlight w:val="none"/>
              </w:rPr>
            </w:pPr>
          </w:p>
        </w:tc>
        <w:tc>
          <w:tcPr>
            <w:tcW w:w="1247" w:type="dxa"/>
            <w:vAlign w:val="top"/>
          </w:tcPr>
          <w:p w14:paraId="4A375BE7">
            <w:pPr>
              <w:pStyle w:val="74"/>
              <w:spacing w:before="70" w:line="193" w:lineRule="auto"/>
              <w:ind w:left="587"/>
              <w:rPr>
                <w:rFonts w:hint="eastAsia" w:ascii="宋体" w:hAnsi="宋体" w:eastAsia="宋体" w:cs="宋体"/>
                <w:color w:val="auto"/>
                <w:sz w:val="28"/>
                <w:szCs w:val="28"/>
                <w:highlight w:val="none"/>
              </w:rPr>
            </w:pPr>
          </w:p>
        </w:tc>
        <w:tc>
          <w:tcPr>
            <w:tcW w:w="974" w:type="dxa"/>
            <w:vAlign w:val="top"/>
          </w:tcPr>
          <w:p w14:paraId="262F1519">
            <w:pPr>
              <w:pStyle w:val="74"/>
              <w:spacing w:before="70" w:line="193" w:lineRule="auto"/>
              <w:ind w:left="438"/>
              <w:rPr>
                <w:rFonts w:hint="eastAsia" w:ascii="宋体" w:hAnsi="宋体" w:eastAsia="宋体" w:cs="宋体"/>
                <w:color w:val="auto"/>
                <w:sz w:val="28"/>
                <w:szCs w:val="28"/>
                <w:highlight w:val="none"/>
              </w:rPr>
            </w:pPr>
          </w:p>
        </w:tc>
      </w:tr>
    </w:tbl>
    <w:p w14:paraId="1BE4CAE7">
      <w:pPr>
        <w:spacing w:before="275"/>
        <w:ind w:left="774"/>
        <w:rPr>
          <w:rFonts w:hint="eastAsia" w:ascii="宋体" w:hAnsi="宋体" w:eastAsia="宋体" w:cs="宋体"/>
          <w:color w:val="auto"/>
          <w:spacing w:val="7"/>
          <w:sz w:val="28"/>
          <w:szCs w:val="28"/>
          <w:highlight w:val="none"/>
        </w:rPr>
      </w:pPr>
      <w:r>
        <w:rPr>
          <w:rFonts w:hint="eastAsia" w:ascii="宋体" w:hAnsi="宋体" w:eastAsia="宋体" w:cs="宋体"/>
          <w:color w:val="auto"/>
          <w:spacing w:val="-37"/>
          <w:w w:val="99"/>
          <w:sz w:val="28"/>
          <w:szCs w:val="28"/>
          <w:highlight w:val="none"/>
        </w:rPr>
        <w:t>使用科室：</w:t>
      </w:r>
      <w:r>
        <w:rPr>
          <w:rFonts w:hint="eastAsia" w:ascii="宋体" w:hAnsi="宋体" w:eastAsia="宋体" w:cs="宋体"/>
          <w:color w:val="auto"/>
          <w:spacing w:val="7"/>
          <w:sz w:val="28"/>
          <w:szCs w:val="28"/>
          <w:highlight w:val="none"/>
        </w:rPr>
        <w:t xml:space="preserve"> </w:t>
      </w:r>
    </w:p>
    <w:p w14:paraId="6853AC7C">
      <w:pPr>
        <w:spacing w:before="275"/>
        <w:ind w:left="774"/>
        <w:rPr>
          <w:rFonts w:hint="eastAsia" w:ascii="宋体" w:hAnsi="宋体" w:eastAsia="宋体" w:cs="宋体"/>
          <w:color w:val="auto"/>
          <w:sz w:val="28"/>
          <w:szCs w:val="28"/>
          <w:highlight w:val="none"/>
        </w:rPr>
      </w:pPr>
      <w:r>
        <w:rPr>
          <w:rFonts w:hint="eastAsia" w:ascii="宋体" w:hAnsi="宋体" w:eastAsia="宋体" w:cs="宋体"/>
          <w:color w:val="auto"/>
          <w:spacing w:val="7"/>
          <w:sz w:val="28"/>
          <w:szCs w:val="28"/>
          <w:highlight w:val="none"/>
        </w:rPr>
        <w:t xml:space="preserve">   </w:t>
      </w:r>
    </w:p>
    <w:p w14:paraId="56845C8F">
      <w:pPr>
        <w:ind w:left="774"/>
        <w:rPr>
          <w:rFonts w:hint="eastAsia" w:ascii="宋体" w:hAnsi="宋体" w:eastAsia="宋体" w:cs="宋体"/>
          <w:color w:val="auto"/>
          <w:sz w:val="28"/>
          <w:szCs w:val="28"/>
          <w:highlight w:val="none"/>
        </w:rPr>
      </w:pPr>
      <w:r>
        <w:rPr>
          <w:rFonts w:hint="eastAsia" w:ascii="宋体" w:hAnsi="宋体" w:eastAsia="宋体" w:cs="宋体"/>
          <w:color w:val="auto"/>
          <w:spacing w:val="27"/>
          <w:sz w:val="28"/>
          <w:szCs w:val="28"/>
          <w:highlight w:val="none"/>
        </w:rPr>
        <w:t>科室负责人(签字):</w:t>
      </w:r>
      <w:r>
        <w:rPr>
          <w:rFonts w:hint="eastAsia" w:ascii="宋体" w:hAnsi="宋体" w:eastAsia="宋体" w:cs="宋体"/>
          <w:color w:val="auto"/>
          <w:spacing w:val="39"/>
          <w:sz w:val="28"/>
          <w:szCs w:val="28"/>
          <w:highlight w:val="none"/>
        </w:rPr>
        <w:t xml:space="preserve">   </w:t>
      </w:r>
    </w:p>
    <w:p w14:paraId="66EACCC5">
      <w:pPr>
        <w:rPr>
          <w:rFonts w:hint="eastAsia" w:ascii="宋体" w:hAnsi="宋体" w:eastAsia="宋体" w:cs="宋体"/>
          <w:color w:val="auto"/>
          <w:sz w:val="28"/>
          <w:szCs w:val="28"/>
          <w:highlight w:val="none"/>
        </w:rPr>
        <w:sectPr>
          <w:footerReference r:id="rId7" w:type="default"/>
          <w:pgSz w:w="11840" w:h="16800"/>
          <w:pgMar w:top="1440" w:right="1800" w:bottom="1440" w:left="1800" w:header="0" w:footer="0" w:gutter="0"/>
          <w:pgNumType w:fmt="decimal"/>
          <w:cols w:space="720" w:num="1"/>
        </w:sectPr>
      </w:pPr>
    </w:p>
    <w:p w14:paraId="3CEC5DEA">
      <w:pPr>
        <w:spacing w:before="101" w:line="219" w:lineRule="auto"/>
        <w:ind w:left="129"/>
        <w:rPr>
          <w:rFonts w:hint="eastAsia" w:ascii="宋体" w:hAnsi="宋体" w:eastAsia="宋体" w:cs="宋体"/>
          <w:color w:val="auto"/>
          <w:sz w:val="28"/>
          <w:szCs w:val="28"/>
          <w:highlight w:val="none"/>
        </w:rPr>
      </w:pPr>
      <w:r>
        <w:rPr>
          <w:rFonts w:hint="eastAsia" w:ascii="宋体" w:hAnsi="宋体" w:eastAsia="宋体" w:cs="宋体"/>
          <w:b/>
          <w:bCs/>
          <w:color w:val="auto"/>
          <w:spacing w:val="-18"/>
          <w:sz w:val="28"/>
          <w:szCs w:val="28"/>
          <w:highlight w:val="none"/>
        </w:rPr>
        <w:t>附件4:</w:t>
      </w:r>
    </w:p>
    <w:p w14:paraId="04E3B7F4">
      <w:pPr>
        <w:spacing w:before="66" w:line="219" w:lineRule="auto"/>
        <w:jc w:val="center"/>
        <w:rPr>
          <w:rFonts w:hint="eastAsia" w:ascii="宋体" w:hAnsi="宋体" w:eastAsia="宋体" w:cs="宋体"/>
          <w:color w:val="auto"/>
          <w:sz w:val="36"/>
          <w:szCs w:val="36"/>
          <w:highlight w:val="none"/>
        </w:rPr>
      </w:pPr>
      <w:r>
        <w:rPr>
          <w:rFonts w:hint="eastAsia" w:ascii="宋体" w:hAnsi="宋体" w:eastAsia="宋体" w:cs="宋体"/>
          <w:b/>
          <w:bCs/>
          <w:color w:val="auto"/>
          <w:spacing w:val="-8"/>
          <w:sz w:val="36"/>
          <w:szCs w:val="36"/>
          <w:highlight w:val="none"/>
        </w:rPr>
        <w:t>备品备件清单</w:t>
      </w:r>
    </w:p>
    <w:p w14:paraId="7E6A8A8A">
      <w:pPr>
        <w:spacing w:before="132"/>
        <w:rPr>
          <w:rFonts w:hint="eastAsia" w:ascii="宋体" w:hAnsi="宋体" w:eastAsia="宋体" w:cs="宋体"/>
          <w:color w:val="auto"/>
          <w:sz w:val="20"/>
          <w:szCs w:val="22"/>
          <w:highlight w:val="none"/>
        </w:rPr>
      </w:pPr>
    </w:p>
    <w:tbl>
      <w:tblPr>
        <w:tblStyle w:val="75"/>
        <w:tblW w:w="86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2"/>
        <w:gridCol w:w="3038"/>
        <w:gridCol w:w="2177"/>
        <w:gridCol w:w="2172"/>
      </w:tblGrid>
      <w:tr w14:paraId="7D59D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12" w:type="dxa"/>
            <w:vAlign w:val="top"/>
          </w:tcPr>
          <w:p w14:paraId="4DAD21E5">
            <w:pPr>
              <w:pStyle w:val="74"/>
              <w:spacing w:before="121" w:line="216" w:lineRule="auto"/>
              <w:ind w:left="399"/>
              <w:rPr>
                <w:rFonts w:hint="eastAsia" w:ascii="宋体" w:hAnsi="宋体" w:eastAsia="宋体" w:cs="宋体"/>
                <w:color w:val="auto"/>
                <w:sz w:val="32"/>
                <w:szCs w:val="32"/>
                <w:highlight w:val="none"/>
              </w:rPr>
            </w:pPr>
            <w:r>
              <w:rPr>
                <w:rFonts w:hint="eastAsia" w:ascii="宋体" w:hAnsi="宋体" w:eastAsia="宋体" w:cs="宋体"/>
                <w:b/>
                <w:bCs/>
                <w:color w:val="auto"/>
                <w:spacing w:val="2"/>
                <w:sz w:val="32"/>
                <w:szCs w:val="32"/>
                <w:highlight w:val="none"/>
              </w:rPr>
              <w:t>序号</w:t>
            </w:r>
          </w:p>
        </w:tc>
        <w:tc>
          <w:tcPr>
            <w:tcW w:w="3038" w:type="dxa"/>
            <w:vAlign w:val="top"/>
          </w:tcPr>
          <w:p w14:paraId="43DA60C4">
            <w:pPr>
              <w:pStyle w:val="74"/>
              <w:spacing w:before="118" w:line="218" w:lineRule="auto"/>
              <w:ind w:left="696"/>
              <w:rPr>
                <w:rFonts w:hint="eastAsia" w:ascii="宋体" w:hAnsi="宋体" w:eastAsia="宋体" w:cs="宋体"/>
                <w:color w:val="auto"/>
                <w:sz w:val="32"/>
                <w:szCs w:val="32"/>
                <w:highlight w:val="none"/>
              </w:rPr>
            </w:pPr>
            <w:r>
              <w:rPr>
                <w:rFonts w:hint="eastAsia" w:ascii="宋体" w:hAnsi="宋体" w:eastAsia="宋体" w:cs="宋体"/>
                <w:b/>
                <w:bCs/>
                <w:color w:val="auto"/>
                <w:spacing w:val="-3"/>
                <w:sz w:val="32"/>
                <w:szCs w:val="32"/>
                <w:highlight w:val="none"/>
              </w:rPr>
              <w:t>备品备件名称</w:t>
            </w:r>
          </w:p>
        </w:tc>
        <w:tc>
          <w:tcPr>
            <w:tcW w:w="2177" w:type="dxa"/>
            <w:vAlign w:val="top"/>
          </w:tcPr>
          <w:p w14:paraId="7CA682C1">
            <w:pPr>
              <w:pStyle w:val="74"/>
              <w:spacing w:before="125" w:line="214" w:lineRule="auto"/>
              <w:ind w:left="874"/>
              <w:rPr>
                <w:rFonts w:hint="eastAsia"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rPr>
              <w:t>型号</w:t>
            </w:r>
          </w:p>
        </w:tc>
        <w:tc>
          <w:tcPr>
            <w:tcW w:w="2172" w:type="dxa"/>
            <w:vAlign w:val="top"/>
          </w:tcPr>
          <w:p w14:paraId="6217D8A4">
            <w:pPr>
              <w:pStyle w:val="74"/>
              <w:spacing w:before="125" w:line="214" w:lineRule="auto"/>
              <w:ind w:left="877"/>
              <w:rPr>
                <w:rFonts w:hint="eastAsia" w:ascii="宋体" w:hAnsi="宋体" w:eastAsia="宋体" w:cs="宋体"/>
                <w:color w:val="auto"/>
                <w:sz w:val="32"/>
                <w:szCs w:val="32"/>
                <w:highlight w:val="none"/>
              </w:rPr>
            </w:pPr>
            <w:r>
              <w:rPr>
                <w:rFonts w:hint="eastAsia" w:ascii="宋体" w:hAnsi="宋体" w:eastAsia="宋体" w:cs="宋体"/>
                <w:color w:val="auto"/>
                <w:spacing w:val="8"/>
                <w:sz w:val="32"/>
                <w:szCs w:val="32"/>
                <w:highlight w:val="none"/>
              </w:rPr>
              <w:t>备注</w:t>
            </w:r>
          </w:p>
        </w:tc>
      </w:tr>
      <w:tr w14:paraId="46EF4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53F15208">
            <w:pPr>
              <w:pStyle w:val="74"/>
              <w:spacing w:before="169" w:line="167"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w:t>
            </w:r>
          </w:p>
        </w:tc>
        <w:tc>
          <w:tcPr>
            <w:tcW w:w="3038" w:type="dxa"/>
            <w:vAlign w:val="top"/>
          </w:tcPr>
          <w:p w14:paraId="3FAF7603">
            <w:pPr>
              <w:pStyle w:val="74"/>
              <w:spacing w:before="85" w:line="214" w:lineRule="auto"/>
              <w:ind w:left="531"/>
              <w:rPr>
                <w:rFonts w:hint="eastAsia" w:ascii="宋体" w:hAnsi="宋体" w:eastAsia="宋体" w:cs="宋体"/>
                <w:color w:val="auto"/>
                <w:sz w:val="32"/>
                <w:szCs w:val="32"/>
                <w:highlight w:val="none"/>
              </w:rPr>
            </w:pPr>
          </w:p>
        </w:tc>
        <w:tc>
          <w:tcPr>
            <w:tcW w:w="2177" w:type="dxa"/>
            <w:vAlign w:val="top"/>
          </w:tcPr>
          <w:p w14:paraId="0791F9AF">
            <w:pPr>
              <w:pStyle w:val="74"/>
              <w:spacing w:before="171" w:line="166" w:lineRule="auto"/>
              <w:ind w:left="794"/>
              <w:rPr>
                <w:rFonts w:hint="eastAsia" w:ascii="宋体" w:hAnsi="宋体" w:eastAsia="宋体" w:cs="宋体"/>
                <w:color w:val="auto"/>
                <w:sz w:val="32"/>
                <w:szCs w:val="32"/>
                <w:highlight w:val="none"/>
              </w:rPr>
            </w:pPr>
          </w:p>
        </w:tc>
        <w:tc>
          <w:tcPr>
            <w:tcW w:w="2172" w:type="dxa"/>
            <w:vAlign w:val="top"/>
          </w:tcPr>
          <w:p w14:paraId="002C7590">
            <w:pPr>
              <w:pStyle w:val="74"/>
              <w:spacing w:before="94" w:line="209" w:lineRule="auto"/>
              <w:ind w:left="1117"/>
              <w:rPr>
                <w:rFonts w:hint="eastAsia" w:ascii="宋体" w:hAnsi="宋体" w:eastAsia="宋体" w:cs="宋体"/>
                <w:color w:val="auto"/>
                <w:sz w:val="32"/>
                <w:szCs w:val="32"/>
                <w:highlight w:val="none"/>
              </w:rPr>
            </w:pPr>
          </w:p>
        </w:tc>
      </w:tr>
      <w:tr w14:paraId="342CA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162CD435">
            <w:pPr>
              <w:pStyle w:val="74"/>
              <w:spacing w:before="162" w:line="166"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w:t>
            </w:r>
          </w:p>
        </w:tc>
        <w:tc>
          <w:tcPr>
            <w:tcW w:w="3038" w:type="dxa"/>
            <w:vAlign w:val="top"/>
          </w:tcPr>
          <w:p w14:paraId="2DA70925">
            <w:pPr>
              <w:pStyle w:val="74"/>
              <w:spacing w:before="76" w:line="214" w:lineRule="auto"/>
              <w:ind w:left="862"/>
              <w:rPr>
                <w:rFonts w:hint="eastAsia" w:ascii="宋体" w:hAnsi="宋体" w:eastAsia="宋体" w:cs="宋体"/>
                <w:color w:val="auto"/>
                <w:sz w:val="32"/>
                <w:szCs w:val="32"/>
                <w:highlight w:val="none"/>
              </w:rPr>
            </w:pPr>
          </w:p>
        </w:tc>
        <w:tc>
          <w:tcPr>
            <w:tcW w:w="2177" w:type="dxa"/>
            <w:vAlign w:val="top"/>
          </w:tcPr>
          <w:p w14:paraId="6CB3774F">
            <w:pPr>
              <w:pStyle w:val="74"/>
              <w:spacing w:before="162" w:line="166" w:lineRule="auto"/>
              <w:ind w:left="794"/>
              <w:rPr>
                <w:rFonts w:hint="eastAsia" w:ascii="宋体" w:hAnsi="宋体" w:eastAsia="宋体" w:cs="宋体"/>
                <w:color w:val="auto"/>
                <w:sz w:val="32"/>
                <w:szCs w:val="32"/>
                <w:highlight w:val="none"/>
              </w:rPr>
            </w:pPr>
          </w:p>
        </w:tc>
        <w:tc>
          <w:tcPr>
            <w:tcW w:w="2172" w:type="dxa"/>
            <w:vAlign w:val="top"/>
          </w:tcPr>
          <w:p w14:paraId="1DBE51D0">
            <w:pPr>
              <w:pStyle w:val="74"/>
              <w:spacing w:before="87" w:line="208" w:lineRule="auto"/>
              <w:ind w:left="1117"/>
              <w:rPr>
                <w:rFonts w:hint="eastAsia" w:ascii="宋体" w:hAnsi="宋体" w:eastAsia="宋体" w:cs="宋体"/>
                <w:color w:val="auto"/>
                <w:sz w:val="32"/>
                <w:szCs w:val="32"/>
                <w:highlight w:val="none"/>
              </w:rPr>
            </w:pPr>
          </w:p>
        </w:tc>
      </w:tr>
      <w:tr w14:paraId="07629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3D6E45C1">
            <w:pPr>
              <w:pStyle w:val="74"/>
              <w:spacing w:before="164" w:line="165"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w:t>
            </w:r>
          </w:p>
        </w:tc>
        <w:tc>
          <w:tcPr>
            <w:tcW w:w="3038" w:type="dxa"/>
            <w:vAlign w:val="top"/>
          </w:tcPr>
          <w:p w14:paraId="4868567E">
            <w:pPr>
              <w:pStyle w:val="74"/>
              <w:spacing w:before="80" w:line="212" w:lineRule="auto"/>
              <w:ind w:left="862"/>
              <w:rPr>
                <w:rFonts w:hint="eastAsia" w:ascii="宋体" w:hAnsi="宋体" w:eastAsia="宋体" w:cs="宋体"/>
                <w:color w:val="auto"/>
                <w:sz w:val="32"/>
                <w:szCs w:val="32"/>
                <w:highlight w:val="none"/>
              </w:rPr>
            </w:pPr>
          </w:p>
        </w:tc>
        <w:tc>
          <w:tcPr>
            <w:tcW w:w="2177" w:type="dxa"/>
            <w:vAlign w:val="top"/>
          </w:tcPr>
          <w:p w14:paraId="095B50C5">
            <w:pPr>
              <w:pStyle w:val="74"/>
              <w:spacing w:before="164" w:line="165" w:lineRule="auto"/>
              <w:ind w:left="794"/>
              <w:rPr>
                <w:rFonts w:hint="eastAsia" w:ascii="宋体" w:hAnsi="宋体" w:eastAsia="宋体" w:cs="宋体"/>
                <w:color w:val="auto"/>
                <w:sz w:val="32"/>
                <w:szCs w:val="32"/>
                <w:highlight w:val="none"/>
              </w:rPr>
            </w:pPr>
          </w:p>
        </w:tc>
        <w:tc>
          <w:tcPr>
            <w:tcW w:w="2172" w:type="dxa"/>
            <w:vAlign w:val="top"/>
          </w:tcPr>
          <w:p w14:paraId="28F4CC53">
            <w:pPr>
              <w:pStyle w:val="74"/>
              <w:spacing w:before="87" w:line="208" w:lineRule="auto"/>
              <w:ind w:left="1117"/>
              <w:rPr>
                <w:rFonts w:hint="eastAsia" w:ascii="宋体" w:hAnsi="宋体" w:eastAsia="宋体" w:cs="宋体"/>
                <w:color w:val="auto"/>
                <w:sz w:val="32"/>
                <w:szCs w:val="32"/>
                <w:highlight w:val="none"/>
              </w:rPr>
            </w:pPr>
          </w:p>
        </w:tc>
      </w:tr>
      <w:tr w14:paraId="6835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312" w:type="dxa"/>
            <w:vAlign w:val="top"/>
          </w:tcPr>
          <w:p w14:paraId="4C44E4A3">
            <w:pPr>
              <w:pStyle w:val="74"/>
              <w:spacing w:before="174" w:line="164"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w:t>
            </w:r>
          </w:p>
        </w:tc>
        <w:tc>
          <w:tcPr>
            <w:tcW w:w="3038" w:type="dxa"/>
            <w:vAlign w:val="top"/>
          </w:tcPr>
          <w:p w14:paraId="0A5935E9">
            <w:pPr>
              <w:pStyle w:val="74"/>
              <w:spacing w:before="87" w:line="213" w:lineRule="auto"/>
              <w:ind w:left="691"/>
              <w:rPr>
                <w:rFonts w:hint="eastAsia" w:ascii="宋体" w:hAnsi="宋体" w:eastAsia="宋体" w:cs="宋体"/>
                <w:color w:val="auto"/>
                <w:sz w:val="32"/>
                <w:szCs w:val="32"/>
                <w:highlight w:val="none"/>
              </w:rPr>
            </w:pPr>
          </w:p>
        </w:tc>
        <w:tc>
          <w:tcPr>
            <w:tcW w:w="2177" w:type="dxa"/>
            <w:vAlign w:val="top"/>
          </w:tcPr>
          <w:p w14:paraId="44A2E7E0">
            <w:pPr>
              <w:pStyle w:val="74"/>
              <w:spacing w:before="174" w:line="164" w:lineRule="auto"/>
              <w:ind w:left="794"/>
              <w:rPr>
                <w:rFonts w:hint="eastAsia" w:ascii="宋体" w:hAnsi="宋体" w:eastAsia="宋体" w:cs="宋体"/>
                <w:color w:val="auto"/>
                <w:sz w:val="32"/>
                <w:szCs w:val="32"/>
                <w:highlight w:val="none"/>
              </w:rPr>
            </w:pPr>
          </w:p>
        </w:tc>
        <w:tc>
          <w:tcPr>
            <w:tcW w:w="2172" w:type="dxa"/>
            <w:vAlign w:val="top"/>
          </w:tcPr>
          <w:p w14:paraId="2ACEF753">
            <w:pPr>
              <w:pStyle w:val="74"/>
              <w:spacing w:before="97" w:line="207" w:lineRule="auto"/>
              <w:ind w:left="1117"/>
              <w:rPr>
                <w:rFonts w:hint="eastAsia" w:ascii="宋体" w:hAnsi="宋体" w:eastAsia="宋体" w:cs="宋体"/>
                <w:color w:val="auto"/>
                <w:sz w:val="32"/>
                <w:szCs w:val="32"/>
                <w:highlight w:val="none"/>
              </w:rPr>
            </w:pPr>
          </w:p>
        </w:tc>
      </w:tr>
      <w:tr w14:paraId="6D24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12" w:type="dxa"/>
            <w:vAlign w:val="top"/>
          </w:tcPr>
          <w:p w14:paraId="44357920">
            <w:pPr>
              <w:pStyle w:val="74"/>
              <w:spacing w:before="169" w:line="162" w:lineRule="auto"/>
              <w:ind w:left="634"/>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w:t>
            </w:r>
          </w:p>
        </w:tc>
        <w:tc>
          <w:tcPr>
            <w:tcW w:w="3038" w:type="dxa"/>
            <w:vAlign w:val="top"/>
          </w:tcPr>
          <w:p w14:paraId="057B006D">
            <w:pPr>
              <w:pStyle w:val="74"/>
              <w:spacing w:before="81" w:line="211" w:lineRule="auto"/>
              <w:ind w:left="862"/>
              <w:rPr>
                <w:rFonts w:hint="eastAsia" w:ascii="宋体" w:hAnsi="宋体" w:eastAsia="宋体" w:cs="宋体"/>
                <w:color w:val="auto"/>
                <w:sz w:val="32"/>
                <w:szCs w:val="32"/>
                <w:highlight w:val="none"/>
              </w:rPr>
            </w:pPr>
          </w:p>
        </w:tc>
        <w:tc>
          <w:tcPr>
            <w:tcW w:w="2177" w:type="dxa"/>
            <w:vAlign w:val="top"/>
          </w:tcPr>
          <w:p w14:paraId="2DAED78B">
            <w:pPr>
              <w:pStyle w:val="74"/>
              <w:spacing w:before="165" w:line="164" w:lineRule="auto"/>
              <w:ind w:left="794"/>
              <w:rPr>
                <w:rFonts w:hint="eastAsia" w:ascii="宋体" w:hAnsi="宋体" w:eastAsia="宋体" w:cs="宋体"/>
                <w:color w:val="auto"/>
                <w:sz w:val="32"/>
                <w:szCs w:val="32"/>
                <w:highlight w:val="none"/>
              </w:rPr>
            </w:pPr>
          </w:p>
        </w:tc>
        <w:tc>
          <w:tcPr>
            <w:tcW w:w="2172" w:type="dxa"/>
            <w:vAlign w:val="top"/>
          </w:tcPr>
          <w:p w14:paraId="2CE5863D">
            <w:pPr>
              <w:pStyle w:val="74"/>
              <w:spacing w:before="90" w:line="206" w:lineRule="auto"/>
              <w:ind w:left="1117"/>
              <w:rPr>
                <w:rFonts w:hint="eastAsia" w:ascii="宋体" w:hAnsi="宋体" w:eastAsia="宋体" w:cs="宋体"/>
                <w:color w:val="auto"/>
                <w:sz w:val="32"/>
                <w:szCs w:val="32"/>
                <w:highlight w:val="none"/>
              </w:rPr>
            </w:pPr>
          </w:p>
        </w:tc>
      </w:tr>
      <w:tr w14:paraId="4D1BF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699" w:type="dxa"/>
            <w:gridSpan w:val="4"/>
            <w:vAlign w:val="top"/>
          </w:tcPr>
          <w:p w14:paraId="20136E5A">
            <w:pPr>
              <w:pStyle w:val="74"/>
              <w:spacing w:before="85" w:line="219" w:lineRule="auto"/>
              <w:ind w:left="129"/>
              <w:rPr>
                <w:rFonts w:hint="eastAsia" w:ascii="宋体" w:hAnsi="宋体" w:eastAsia="宋体" w:cs="宋体"/>
                <w:color w:val="auto"/>
                <w:sz w:val="32"/>
                <w:szCs w:val="32"/>
                <w:highlight w:val="none"/>
              </w:rPr>
            </w:pPr>
            <w:r>
              <w:rPr>
                <w:rFonts w:hint="eastAsia" w:ascii="宋体" w:hAnsi="宋体" w:eastAsia="宋体" w:cs="宋体"/>
                <w:b/>
                <w:bCs/>
                <w:color w:val="auto"/>
                <w:spacing w:val="-4"/>
                <w:sz w:val="32"/>
                <w:szCs w:val="32"/>
                <w:highlight w:val="none"/>
              </w:rPr>
              <w:t>说明：质保期内免费提供以上备品备件</w:t>
            </w:r>
          </w:p>
        </w:tc>
      </w:tr>
    </w:tbl>
    <w:p w14:paraId="0539E78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8CC2D9F">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0AF39B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CD90BB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3E63CB7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525D9E5">
      <w:pPr>
        <w:pStyle w:val="14"/>
        <w:rPr>
          <w:rFonts w:hint="eastAsia"/>
          <w:highlight w:val="none"/>
          <w:lang w:val="en-US" w:eastAsia="zh-CN"/>
        </w:rPr>
      </w:pPr>
    </w:p>
    <w:p w14:paraId="01D9B90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2820A88">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0B1E6AE">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19A1AC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6B6AEF3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2CC5756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5B4A77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10F5187">
      <w:pPr>
        <w:spacing w:before="104"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20"/>
          <w:sz w:val="28"/>
          <w:szCs w:val="28"/>
          <w:highlight w:val="none"/>
        </w:rPr>
        <w:t>附件5:</w:t>
      </w:r>
    </w:p>
    <w:p w14:paraId="421BE059">
      <w:pPr>
        <w:spacing w:before="36" w:line="219" w:lineRule="auto"/>
        <w:jc w:val="center"/>
        <w:rPr>
          <w:rFonts w:hint="eastAsia" w:ascii="宋体" w:hAnsi="宋体" w:eastAsia="宋体" w:cs="宋体"/>
          <w:color w:val="auto"/>
          <w:spacing w:val="27"/>
          <w:sz w:val="28"/>
          <w:szCs w:val="28"/>
          <w:highlight w:val="none"/>
        </w:rPr>
      </w:pPr>
      <w:r>
        <w:rPr>
          <w:rFonts w:hint="eastAsia" w:ascii="宋体" w:hAnsi="宋体" w:eastAsia="宋体" w:cs="宋体"/>
          <w:color w:val="auto"/>
          <w:spacing w:val="27"/>
          <w:sz w:val="28"/>
          <w:szCs w:val="28"/>
          <w:highlight w:val="none"/>
        </w:rPr>
        <w:t>技术参数</w:t>
      </w:r>
    </w:p>
    <w:p w14:paraId="2C2018B9">
      <w:pPr>
        <w:pStyle w:val="13"/>
        <w:spacing w:line="294" w:lineRule="auto"/>
        <w:rPr>
          <w:rFonts w:hint="eastAsia" w:ascii="宋体" w:hAnsi="宋体" w:eastAsia="宋体" w:cs="宋体"/>
          <w:color w:val="auto"/>
          <w:sz w:val="20"/>
          <w:szCs w:val="20"/>
          <w:highlight w:val="none"/>
        </w:rPr>
      </w:pPr>
    </w:p>
    <w:p w14:paraId="351D08E9">
      <w:pPr>
        <w:pStyle w:val="13"/>
        <w:spacing w:line="295" w:lineRule="auto"/>
        <w:rPr>
          <w:rFonts w:hint="eastAsia" w:ascii="宋体" w:hAnsi="宋体" w:eastAsia="宋体" w:cs="宋体"/>
          <w:color w:val="auto"/>
          <w:sz w:val="20"/>
          <w:szCs w:val="20"/>
          <w:highlight w:val="none"/>
        </w:rPr>
      </w:pPr>
    </w:p>
    <w:p w14:paraId="3FCD6F28">
      <w:pPr>
        <w:pStyle w:val="13"/>
        <w:spacing w:line="295" w:lineRule="auto"/>
        <w:rPr>
          <w:rFonts w:hint="eastAsia" w:ascii="宋体" w:hAnsi="宋体" w:eastAsia="宋体" w:cs="宋体"/>
          <w:color w:val="auto"/>
          <w:sz w:val="20"/>
          <w:szCs w:val="20"/>
          <w:highlight w:val="none"/>
        </w:rPr>
      </w:pPr>
    </w:p>
    <w:p w14:paraId="61CDE266">
      <w:pPr>
        <w:pStyle w:val="13"/>
        <w:spacing w:line="277" w:lineRule="auto"/>
        <w:rPr>
          <w:rFonts w:hint="eastAsia" w:ascii="宋体" w:hAnsi="宋体" w:eastAsia="宋体" w:cs="宋体"/>
          <w:color w:val="auto"/>
          <w:sz w:val="20"/>
          <w:szCs w:val="20"/>
          <w:highlight w:val="none"/>
        </w:rPr>
      </w:pPr>
    </w:p>
    <w:p w14:paraId="1F40A677">
      <w:pPr>
        <w:pStyle w:val="13"/>
        <w:spacing w:line="278" w:lineRule="auto"/>
        <w:rPr>
          <w:rFonts w:hint="eastAsia" w:ascii="宋体" w:hAnsi="宋体" w:eastAsia="宋体" w:cs="宋体"/>
          <w:color w:val="auto"/>
          <w:sz w:val="20"/>
          <w:szCs w:val="20"/>
          <w:highlight w:val="none"/>
        </w:rPr>
      </w:pPr>
    </w:p>
    <w:p w14:paraId="757C103D">
      <w:pPr>
        <w:spacing w:before="104" w:line="219" w:lineRule="auto"/>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附件6:</w:t>
      </w:r>
    </w:p>
    <w:p w14:paraId="7E6FCFE3">
      <w:pPr>
        <w:spacing w:before="36" w:line="219" w:lineRule="auto"/>
        <w:jc w:val="center"/>
        <w:rPr>
          <w:rFonts w:hint="eastAsia" w:ascii="宋体" w:hAnsi="宋体" w:eastAsia="宋体" w:cs="宋体"/>
          <w:color w:val="auto"/>
          <w:sz w:val="36"/>
          <w:szCs w:val="36"/>
          <w:highlight w:val="none"/>
        </w:rPr>
      </w:pPr>
      <w:r>
        <w:rPr>
          <w:rFonts w:hint="eastAsia" w:ascii="宋体" w:hAnsi="宋体" w:eastAsia="宋体" w:cs="宋体"/>
          <w:color w:val="auto"/>
          <w:spacing w:val="27"/>
          <w:sz w:val="28"/>
          <w:szCs w:val="28"/>
          <w:highlight w:val="none"/>
        </w:rPr>
        <w:t>基本服务要求承诺函</w:t>
      </w:r>
    </w:p>
    <w:p w14:paraId="0526415E">
      <w:pPr>
        <w:pStyle w:val="13"/>
        <w:spacing w:line="324" w:lineRule="auto"/>
        <w:jc w:val="center"/>
        <w:rPr>
          <w:rFonts w:hint="eastAsia" w:ascii="宋体" w:hAnsi="宋体" w:eastAsia="宋体" w:cs="宋体"/>
          <w:color w:val="auto"/>
          <w:sz w:val="20"/>
          <w:szCs w:val="20"/>
          <w:highlight w:val="none"/>
        </w:rPr>
      </w:pPr>
    </w:p>
    <w:p w14:paraId="2CE9B022">
      <w:pPr>
        <w:pStyle w:val="13"/>
        <w:spacing w:line="324" w:lineRule="auto"/>
        <w:rPr>
          <w:rFonts w:hint="eastAsia" w:ascii="宋体" w:hAnsi="宋体" w:eastAsia="宋体" w:cs="宋体"/>
          <w:color w:val="auto"/>
          <w:sz w:val="20"/>
          <w:szCs w:val="20"/>
          <w:highlight w:val="none"/>
        </w:rPr>
      </w:pPr>
    </w:p>
    <w:p w14:paraId="7A8300B2">
      <w:pPr>
        <w:pStyle w:val="13"/>
        <w:spacing w:line="409" w:lineRule="auto"/>
        <w:rPr>
          <w:rFonts w:hint="eastAsia" w:ascii="宋体" w:hAnsi="宋体" w:eastAsia="宋体" w:cs="宋体"/>
          <w:color w:val="auto"/>
          <w:sz w:val="20"/>
          <w:szCs w:val="20"/>
          <w:highlight w:val="none"/>
        </w:rPr>
      </w:pPr>
    </w:p>
    <w:p w14:paraId="179EE649">
      <w:pPr>
        <w:spacing w:before="104" w:line="219" w:lineRule="auto"/>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附件7:</w:t>
      </w:r>
    </w:p>
    <w:p w14:paraId="3E912E97">
      <w:pPr>
        <w:spacing w:before="170" w:line="219"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27"/>
          <w:sz w:val="28"/>
          <w:szCs w:val="28"/>
          <w:highlight w:val="none"/>
        </w:rPr>
        <w:t>代理商售后服务承诺书</w:t>
      </w:r>
    </w:p>
    <w:p w14:paraId="21B88151">
      <w:pPr>
        <w:pStyle w:val="13"/>
        <w:spacing w:line="412" w:lineRule="auto"/>
        <w:rPr>
          <w:rFonts w:hint="eastAsia" w:ascii="宋体" w:hAnsi="宋体" w:eastAsia="宋体" w:cs="宋体"/>
          <w:color w:val="auto"/>
          <w:sz w:val="20"/>
          <w:szCs w:val="20"/>
          <w:highlight w:val="none"/>
        </w:rPr>
      </w:pPr>
    </w:p>
    <w:p w14:paraId="0FBD4CAF">
      <w:pPr>
        <w:spacing w:before="91" w:line="219" w:lineRule="auto"/>
        <w:rPr>
          <w:rFonts w:hint="eastAsia" w:ascii="宋体" w:hAnsi="宋体" w:eastAsia="宋体" w:cs="宋体"/>
          <w:color w:val="auto"/>
          <w:sz w:val="24"/>
          <w:szCs w:val="24"/>
          <w:highlight w:val="none"/>
        </w:rPr>
      </w:pPr>
      <w:r>
        <w:rPr>
          <w:rFonts w:hint="eastAsia" w:ascii="宋体" w:hAnsi="宋体" w:eastAsia="宋体" w:cs="宋体"/>
          <w:b/>
          <w:bCs/>
          <w:color w:val="auto"/>
          <w:spacing w:val="-20"/>
          <w:sz w:val="28"/>
          <w:szCs w:val="28"/>
          <w:highlight w:val="none"/>
        </w:rPr>
        <w:t>附件8:</w:t>
      </w:r>
    </w:p>
    <w:p w14:paraId="22C47A6A">
      <w:pPr>
        <w:pStyle w:val="13"/>
        <w:spacing w:line="394" w:lineRule="auto"/>
        <w:rPr>
          <w:rFonts w:hint="eastAsia" w:ascii="宋体" w:hAnsi="宋体" w:eastAsia="宋体" w:cs="宋体"/>
          <w:color w:val="auto"/>
          <w:sz w:val="20"/>
          <w:szCs w:val="20"/>
          <w:highlight w:val="none"/>
        </w:rPr>
      </w:pPr>
    </w:p>
    <w:p w14:paraId="21E7477F">
      <w:pPr>
        <w:spacing w:before="170" w:line="219" w:lineRule="auto"/>
        <w:jc w:val="center"/>
        <w:rPr>
          <w:rFonts w:hint="eastAsia" w:ascii="宋体" w:hAnsi="宋体" w:eastAsia="宋体" w:cs="宋体"/>
          <w:color w:val="auto"/>
          <w:spacing w:val="27"/>
          <w:sz w:val="28"/>
          <w:szCs w:val="28"/>
          <w:highlight w:val="none"/>
        </w:rPr>
      </w:pPr>
      <w:r>
        <w:rPr>
          <w:rFonts w:hint="eastAsia" w:ascii="宋体" w:hAnsi="宋体" w:eastAsia="宋体" w:cs="宋体"/>
          <w:color w:val="auto"/>
          <w:spacing w:val="27"/>
          <w:sz w:val="28"/>
          <w:szCs w:val="28"/>
          <w:highlight w:val="none"/>
        </w:rPr>
        <w:t>厂家售后服务承诺书</w:t>
      </w:r>
    </w:p>
    <w:p w14:paraId="303A63C3">
      <w:pPr>
        <w:pStyle w:val="13"/>
        <w:spacing w:line="274" w:lineRule="auto"/>
        <w:rPr>
          <w:rFonts w:hint="eastAsia" w:ascii="宋体" w:hAnsi="宋体" w:eastAsia="宋体" w:cs="宋体"/>
          <w:color w:val="auto"/>
          <w:sz w:val="20"/>
          <w:szCs w:val="20"/>
          <w:highlight w:val="none"/>
        </w:rPr>
      </w:pPr>
    </w:p>
    <w:p w14:paraId="55987642">
      <w:pPr>
        <w:pStyle w:val="13"/>
        <w:spacing w:line="275" w:lineRule="auto"/>
        <w:rPr>
          <w:rFonts w:hint="eastAsia" w:ascii="宋体" w:hAnsi="宋体" w:eastAsia="宋体" w:cs="宋体"/>
          <w:color w:val="auto"/>
          <w:sz w:val="20"/>
          <w:szCs w:val="20"/>
          <w:highlight w:val="none"/>
        </w:rPr>
      </w:pPr>
    </w:p>
    <w:p w14:paraId="5B089289">
      <w:pPr>
        <w:pStyle w:val="13"/>
        <w:spacing w:line="247" w:lineRule="auto"/>
        <w:rPr>
          <w:rFonts w:hint="eastAsia" w:ascii="宋体" w:hAnsi="宋体" w:eastAsia="宋体" w:cs="宋体"/>
          <w:color w:val="auto"/>
          <w:sz w:val="20"/>
          <w:szCs w:val="20"/>
          <w:highlight w:val="none"/>
        </w:rPr>
      </w:pPr>
    </w:p>
    <w:p w14:paraId="5053D4C9">
      <w:pPr>
        <w:spacing w:before="94"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4"/>
          <w:sz w:val="28"/>
          <w:szCs w:val="28"/>
          <w:highlight w:val="none"/>
        </w:rPr>
        <w:t>附件9:</w:t>
      </w:r>
    </w:p>
    <w:p w14:paraId="53C2F47D">
      <w:pPr>
        <w:spacing w:before="170" w:line="219" w:lineRule="auto"/>
        <w:jc w:val="center"/>
        <w:rPr>
          <w:rFonts w:hint="eastAsia" w:ascii="宋体" w:hAnsi="宋体" w:eastAsia="宋体" w:cs="宋体"/>
          <w:color w:val="auto"/>
          <w:spacing w:val="27"/>
          <w:sz w:val="28"/>
          <w:szCs w:val="28"/>
          <w:highlight w:val="none"/>
        </w:rPr>
      </w:pPr>
      <w:r>
        <w:rPr>
          <w:rFonts w:hint="eastAsia" w:ascii="宋体" w:hAnsi="宋体" w:eastAsia="宋体" w:cs="宋体"/>
          <w:color w:val="auto"/>
          <w:spacing w:val="27"/>
          <w:sz w:val="28"/>
          <w:szCs w:val="28"/>
          <w:highlight w:val="none"/>
        </w:rPr>
        <w:t>培训计划</w:t>
      </w:r>
    </w:p>
    <w:p w14:paraId="601C8AC1">
      <w:pPr>
        <w:pStyle w:val="13"/>
        <w:spacing w:line="245" w:lineRule="auto"/>
        <w:rPr>
          <w:rFonts w:hint="eastAsia" w:ascii="宋体" w:hAnsi="宋体" w:eastAsia="宋体" w:cs="宋体"/>
          <w:color w:val="auto"/>
          <w:sz w:val="20"/>
          <w:szCs w:val="20"/>
          <w:highlight w:val="none"/>
        </w:rPr>
      </w:pPr>
    </w:p>
    <w:p w14:paraId="1E8F3A69">
      <w:pPr>
        <w:spacing w:before="98" w:line="219" w:lineRule="auto"/>
        <w:rPr>
          <w:rFonts w:hint="eastAsia" w:ascii="宋体" w:hAnsi="宋体" w:eastAsia="宋体" w:cs="宋体"/>
          <w:color w:val="auto"/>
          <w:sz w:val="28"/>
          <w:szCs w:val="28"/>
          <w:highlight w:val="none"/>
        </w:rPr>
      </w:pPr>
      <w:r>
        <w:rPr>
          <w:rFonts w:hint="eastAsia" w:ascii="宋体" w:hAnsi="宋体" w:eastAsia="宋体" w:cs="宋体"/>
          <w:b/>
          <w:bCs/>
          <w:color w:val="auto"/>
          <w:spacing w:val="-10"/>
          <w:sz w:val="28"/>
          <w:szCs w:val="28"/>
          <w:highlight w:val="none"/>
        </w:rPr>
        <w:t>附件10:</w:t>
      </w:r>
    </w:p>
    <w:p w14:paraId="68D2D1B1">
      <w:pPr>
        <w:pStyle w:val="13"/>
        <w:spacing w:line="344" w:lineRule="auto"/>
        <w:rPr>
          <w:rFonts w:hint="eastAsia" w:ascii="宋体" w:hAnsi="宋体" w:eastAsia="宋体" w:cs="宋体"/>
          <w:color w:val="auto"/>
          <w:sz w:val="20"/>
          <w:szCs w:val="20"/>
          <w:highlight w:val="none"/>
        </w:rPr>
      </w:pPr>
    </w:p>
    <w:p w14:paraId="5545DF64">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r>
        <w:rPr>
          <w:rFonts w:hint="eastAsia" w:ascii="宋体" w:hAnsi="宋体" w:eastAsia="宋体" w:cs="宋体"/>
          <w:color w:val="auto"/>
          <w:spacing w:val="27"/>
          <w:sz w:val="28"/>
          <w:szCs w:val="28"/>
          <w:highlight w:val="none"/>
        </w:rPr>
        <w:t>中标(成交)通知书</w:t>
      </w:r>
    </w:p>
    <w:p w14:paraId="6C3B8A30">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5FA3846">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25C082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47B65755">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72E9EC2">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197D1067">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FF76878">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B2D6E3C">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50110A49">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482AD41">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73810A23">
      <w:pPr>
        <w:keepNext w:val="0"/>
        <w:keepLines w:val="0"/>
        <w:pageBreakBefore w:val="0"/>
        <w:widowControl/>
        <w:kinsoku/>
        <w:wordWrap/>
        <w:overflowPunct w:val="0"/>
        <w:topLinePunct w:val="0"/>
        <w:autoSpaceDE/>
        <w:autoSpaceDN/>
        <w:bidi w:val="0"/>
        <w:spacing w:before="172" w:line="219" w:lineRule="auto"/>
        <w:rPr>
          <w:rFonts w:hint="eastAsia" w:ascii="宋体" w:hAnsi="宋体" w:eastAsia="宋体" w:cs="宋体"/>
          <w:spacing w:val="0"/>
          <w:position w:val="0"/>
          <w:sz w:val="24"/>
          <w:szCs w:val="24"/>
          <w:highlight w:val="none"/>
          <w:lang w:val="en-US" w:eastAsia="zh-CN"/>
        </w:rPr>
      </w:pPr>
    </w:p>
    <w:p w14:paraId="029751AE">
      <w:pPr>
        <w:keepNext w:val="0"/>
        <w:keepLines w:val="0"/>
        <w:pageBreakBefore/>
        <w:widowControl w:val="0"/>
        <w:kinsoku/>
        <w:wordWrap/>
        <w:overflowPunct/>
        <w:topLinePunct w:val="0"/>
        <w:autoSpaceDE/>
        <w:autoSpaceDN/>
        <w:bidi w:val="0"/>
        <w:adjustRightInd/>
        <w:snapToGrid/>
        <w:spacing w:before="98" w:line="219" w:lineRule="auto"/>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pacing w:val="-10"/>
          <w:sz w:val="28"/>
          <w:szCs w:val="28"/>
          <w:highlight w:val="none"/>
          <w:lang w:val="en-US" w:eastAsia="zh-CN"/>
        </w:rPr>
        <w:t>附件11：     供应商拒绝采购领域商业贿赂承诺书</w:t>
      </w:r>
    </w:p>
    <w:p w14:paraId="27FA42CC">
      <w:pPr>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供应商拒绝采购领域商业贿赂承诺书</w:t>
      </w:r>
    </w:p>
    <w:p w14:paraId="4296D8C7">
      <w:pPr>
        <w:widowControl/>
        <w:spacing w:line="408" w:lineRule="auto"/>
        <w:ind w:left="274" w:leftChars="114" w:firstLine="392" w:firstLineChars="196"/>
        <w:jc w:val="left"/>
        <w:rPr>
          <w:rFonts w:hint="eastAsia" w:ascii="宋体" w:hAnsi="宋体" w:eastAsia="宋体" w:cs="宋体"/>
          <w:color w:val="auto"/>
          <w:sz w:val="20"/>
          <w:szCs w:val="22"/>
          <w:highlight w:val="none"/>
        </w:rPr>
      </w:pPr>
    </w:p>
    <w:p w14:paraId="1FA17D9D">
      <w:pPr>
        <w:spacing w:line="360" w:lineRule="auto"/>
        <w:ind w:firstLine="440" w:firstLineChars="200"/>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为营造守法诚信、廉洁高效的工作环境，防止违规违纪行为的发生，我公司郑重承诺如下：</w:t>
      </w:r>
    </w:p>
    <w:p w14:paraId="5628D3BB">
      <w:pPr>
        <w:keepNext w:val="0"/>
        <w:keepLines w:val="0"/>
        <w:pageBreakBefore w:val="0"/>
        <w:widowControl/>
        <w:kinsoku/>
        <w:wordWrap/>
        <w:overflowPunct/>
        <w:topLinePunct w:val="0"/>
        <w:autoSpaceDE/>
        <w:autoSpaceDN/>
        <w:bidi w:val="0"/>
        <w:adjustRightInd/>
        <w:snapToGrid/>
        <w:spacing w:line="360" w:lineRule="auto"/>
        <w:ind w:left="274"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1、在参与采购活动中遵纪守法、诚信经营、公平竞标。</w:t>
      </w:r>
    </w:p>
    <w:p w14:paraId="7E4686A4">
      <w:pPr>
        <w:keepNext w:val="0"/>
        <w:keepLines w:val="0"/>
        <w:pageBreakBefore w:val="0"/>
        <w:widowControl/>
        <w:kinsoku/>
        <w:wordWrap/>
        <w:overflowPunct/>
        <w:topLinePunct w:val="0"/>
        <w:autoSpaceDE/>
        <w:autoSpaceDN/>
        <w:bidi w:val="0"/>
        <w:adjustRightInd/>
        <w:snapToGrid/>
        <w:spacing w:line="360" w:lineRule="auto"/>
        <w:ind w:left="274"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2、不向采购人、采购代理机构和采购评审专家进行任何形式的商业贿赂以谋取交易机会。</w:t>
      </w:r>
    </w:p>
    <w:p w14:paraId="05D32CE5">
      <w:pPr>
        <w:keepNext w:val="0"/>
        <w:keepLines w:val="0"/>
        <w:pageBreakBefore w:val="0"/>
        <w:widowControl/>
        <w:kinsoku/>
        <w:wordWrap/>
        <w:overflowPunct/>
        <w:topLinePunct w:val="0"/>
        <w:autoSpaceDE/>
        <w:autoSpaceDN/>
        <w:bidi w:val="0"/>
        <w:adjustRightInd/>
        <w:snapToGrid/>
        <w:spacing w:line="360" w:lineRule="auto"/>
        <w:ind w:left="274"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3、不向采购代理机构和采购人提供虚假资质文件或采用虚假应标方式参与采购市场竞争并谋取中标、成交。</w:t>
      </w:r>
    </w:p>
    <w:p w14:paraId="53DD8332">
      <w:pPr>
        <w:keepNext w:val="0"/>
        <w:keepLines w:val="0"/>
        <w:pageBreakBefore w:val="0"/>
        <w:widowControl/>
        <w:kinsoku/>
        <w:wordWrap/>
        <w:overflowPunct/>
        <w:topLinePunct w:val="0"/>
        <w:autoSpaceDE/>
        <w:autoSpaceDN/>
        <w:bidi w:val="0"/>
        <w:adjustRightInd/>
        <w:snapToGrid/>
        <w:spacing w:line="360" w:lineRule="auto"/>
        <w:ind w:left="274"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4、不采取“围标、陪标”等商业欺诈手段谋取中标、成交。</w:t>
      </w:r>
    </w:p>
    <w:p w14:paraId="606D06FF">
      <w:pPr>
        <w:keepNext w:val="0"/>
        <w:keepLines w:val="0"/>
        <w:pageBreakBefore w:val="0"/>
        <w:widowControl/>
        <w:kinsoku/>
        <w:wordWrap/>
        <w:overflowPunct/>
        <w:topLinePunct w:val="0"/>
        <w:autoSpaceDE/>
        <w:autoSpaceDN/>
        <w:bidi w:val="0"/>
        <w:adjustRightInd/>
        <w:snapToGrid/>
        <w:spacing w:line="360" w:lineRule="auto"/>
        <w:ind w:left="274"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5、不采取不正当手段诋毁、排挤其他供应商。</w:t>
      </w:r>
    </w:p>
    <w:p w14:paraId="37F29489">
      <w:pPr>
        <w:keepNext w:val="0"/>
        <w:keepLines w:val="0"/>
        <w:pageBreakBefore w:val="0"/>
        <w:widowControl/>
        <w:kinsoku/>
        <w:wordWrap/>
        <w:overflowPunct/>
        <w:topLinePunct w:val="0"/>
        <w:autoSpaceDE/>
        <w:autoSpaceDN/>
        <w:bidi w:val="0"/>
        <w:adjustRightInd/>
        <w:snapToGrid/>
        <w:spacing w:line="360" w:lineRule="auto"/>
        <w:ind w:left="274"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6、不在提供商品和服务时“偷梁换柱、以次充好”损害采购人的合法权益。</w:t>
      </w:r>
    </w:p>
    <w:p w14:paraId="0968F9C6">
      <w:pPr>
        <w:keepNext w:val="0"/>
        <w:keepLines w:val="0"/>
        <w:pageBreakBefore w:val="0"/>
        <w:widowControl/>
        <w:kinsoku/>
        <w:wordWrap/>
        <w:overflowPunct/>
        <w:topLinePunct w:val="0"/>
        <w:autoSpaceDE/>
        <w:autoSpaceDN/>
        <w:bidi w:val="0"/>
        <w:adjustRightInd/>
        <w:snapToGrid/>
        <w:spacing w:line="360" w:lineRule="auto"/>
        <w:ind w:left="274"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7、不与采购人、采购代理机构采购评审专家或其它供应商恶意串通，进行质疑和投诉，维护采购市场秩序。</w:t>
      </w:r>
    </w:p>
    <w:p w14:paraId="6D13A032">
      <w:pPr>
        <w:keepNext w:val="0"/>
        <w:keepLines w:val="0"/>
        <w:pageBreakBefore w:val="0"/>
        <w:widowControl/>
        <w:kinsoku/>
        <w:wordWrap/>
        <w:overflowPunct/>
        <w:topLinePunct w:val="0"/>
        <w:autoSpaceDE/>
        <w:autoSpaceDN/>
        <w:bidi w:val="0"/>
        <w:adjustRightInd/>
        <w:snapToGrid/>
        <w:spacing w:line="360" w:lineRule="auto"/>
        <w:ind w:left="274"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8、尊重和接受采购监督管理部门的监督和采购代理机构招标采购要求，承担因违约行为给采购人造成的损失。</w:t>
      </w:r>
    </w:p>
    <w:p w14:paraId="0397CAA4">
      <w:pPr>
        <w:keepNext w:val="0"/>
        <w:keepLines w:val="0"/>
        <w:pageBreakBefore w:val="0"/>
        <w:widowControl/>
        <w:kinsoku/>
        <w:wordWrap/>
        <w:overflowPunct/>
        <w:topLinePunct w:val="0"/>
        <w:autoSpaceDE/>
        <w:autoSpaceDN/>
        <w:bidi w:val="0"/>
        <w:adjustRightInd/>
        <w:snapToGrid/>
        <w:spacing w:line="360" w:lineRule="auto"/>
        <w:ind w:left="274" w:leftChars="114" w:firstLine="431" w:firstLineChars="196"/>
        <w:jc w:val="left"/>
        <w:textAlignment w:val="auto"/>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8"/>
          <w:highlight w:val="none"/>
        </w:rPr>
        <w:t>9、不发生其他有悖于采购公开、公平、公正和诚信原则的行为。</w:t>
      </w:r>
    </w:p>
    <w:p w14:paraId="0A193733">
      <w:pPr>
        <w:pStyle w:val="13"/>
        <w:spacing w:line="360" w:lineRule="auto"/>
        <w:ind w:firstLine="440" w:firstLineChars="200"/>
        <w:rPr>
          <w:rFonts w:hint="eastAsia" w:ascii="宋体" w:hAnsi="宋体" w:eastAsia="宋体" w:cs="宋体"/>
          <w:color w:val="auto"/>
          <w:kern w:val="2"/>
          <w:sz w:val="22"/>
          <w:szCs w:val="28"/>
          <w:highlight w:val="none"/>
          <w:lang w:val="en-US" w:eastAsia="zh-CN" w:bidi="ar-SA"/>
        </w:rPr>
      </w:pPr>
    </w:p>
    <w:p w14:paraId="0E2818CC">
      <w:pPr>
        <w:pStyle w:val="13"/>
        <w:spacing w:line="360" w:lineRule="auto"/>
        <w:ind w:firstLine="440" w:firstLineChars="200"/>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kern w:val="2"/>
          <w:sz w:val="22"/>
          <w:szCs w:val="28"/>
          <w:highlight w:val="none"/>
          <w:lang w:val="en-US" w:eastAsia="zh-CN" w:bidi="ar-SA"/>
        </w:rPr>
        <w:t>若我公司有关人员违反本《廉洁承诺书》，我公司愿接受贵公司责令整改、暂停业务往来、取消业务往来、纳入“合作方黑名单”等处理。</w:t>
      </w:r>
    </w:p>
    <w:p w14:paraId="78DE4AB0">
      <w:pPr>
        <w:pStyle w:val="13"/>
        <w:spacing w:line="360" w:lineRule="auto"/>
        <w:rPr>
          <w:rFonts w:hint="eastAsia" w:ascii="宋体" w:hAnsi="宋体" w:eastAsia="宋体" w:cs="宋体"/>
          <w:color w:val="auto"/>
          <w:kern w:val="2"/>
          <w:sz w:val="22"/>
          <w:szCs w:val="28"/>
          <w:highlight w:val="none"/>
          <w:lang w:val="en-US" w:eastAsia="zh-CN" w:bidi="ar-SA"/>
        </w:rPr>
      </w:pPr>
      <w:r>
        <w:rPr>
          <w:rFonts w:hint="eastAsia" w:ascii="宋体" w:hAnsi="宋体" w:eastAsia="宋体" w:cs="宋体"/>
          <w:color w:val="auto"/>
          <w:kern w:val="2"/>
          <w:sz w:val="22"/>
          <w:szCs w:val="28"/>
          <w:highlight w:val="none"/>
          <w:lang w:val="en-US" w:eastAsia="zh-CN" w:bidi="ar-SA"/>
        </w:rPr>
        <w:t>特此承诺。</w:t>
      </w:r>
    </w:p>
    <w:p w14:paraId="041C6409">
      <w:pPr>
        <w:widowControl/>
        <w:spacing w:line="360" w:lineRule="auto"/>
        <w:ind w:left="274" w:leftChars="114"/>
        <w:jc w:val="left"/>
        <w:rPr>
          <w:rFonts w:hint="eastAsia" w:ascii="宋体" w:hAnsi="宋体" w:eastAsia="宋体" w:cs="宋体"/>
          <w:color w:val="auto"/>
          <w:sz w:val="22"/>
          <w:szCs w:val="28"/>
          <w:highlight w:val="none"/>
        </w:rPr>
      </w:pPr>
    </w:p>
    <w:p w14:paraId="0B1A4D17">
      <w:pPr>
        <w:widowControl/>
        <w:spacing w:line="360" w:lineRule="auto"/>
        <w:ind w:left="274" w:leftChars="114"/>
        <w:jc w:val="left"/>
        <w:rPr>
          <w:rFonts w:hint="eastAsia" w:ascii="宋体" w:hAnsi="宋体" w:eastAsia="宋体" w:cs="宋体"/>
          <w:color w:val="auto"/>
          <w:sz w:val="22"/>
          <w:szCs w:val="28"/>
          <w:highlight w:val="none"/>
        </w:rPr>
      </w:pPr>
    </w:p>
    <w:p w14:paraId="72AA8F64">
      <w:pPr>
        <w:widowControl/>
        <w:spacing w:line="360" w:lineRule="auto"/>
        <w:ind w:left="274" w:leftChars="114"/>
        <w:jc w:val="left"/>
        <w:rPr>
          <w:rFonts w:hint="eastAsia" w:ascii="宋体" w:hAnsi="宋体" w:eastAsia="宋体" w:cs="宋体"/>
          <w:color w:val="auto"/>
          <w:sz w:val="22"/>
          <w:szCs w:val="28"/>
          <w:highlight w:val="none"/>
        </w:rPr>
      </w:pPr>
    </w:p>
    <w:p w14:paraId="50C02CBF">
      <w:pPr>
        <w:widowControl/>
        <w:spacing w:line="360" w:lineRule="auto"/>
        <w:ind w:left="274" w:leftChars="114" w:firstLine="4638" w:firstLineChars="2100"/>
        <w:jc w:val="left"/>
        <w:rPr>
          <w:rFonts w:hint="eastAsia" w:ascii="宋体" w:hAnsi="宋体" w:eastAsia="宋体" w:cs="宋体"/>
          <w:b/>
          <w:bCs/>
          <w:color w:val="auto"/>
          <w:sz w:val="22"/>
          <w:szCs w:val="28"/>
          <w:highlight w:val="none"/>
          <w:lang w:eastAsia="zh-CN"/>
        </w:rPr>
      </w:pPr>
      <w:r>
        <w:rPr>
          <w:rFonts w:hint="eastAsia" w:ascii="宋体" w:hAnsi="宋体" w:eastAsia="宋体" w:cs="宋体"/>
          <w:b/>
          <w:bCs/>
          <w:color w:val="auto"/>
          <w:sz w:val="22"/>
          <w:szCs w:val="28"/>
          <w:highlight w:val="none"/>
        </w:rPr>
        <w:t>承诺单位：（盖章）</w:t>
      </w:r>
    </w:p>
    <w:p w14:paraId="52223FF2">
      <w:pPr>
        <w:widowControl/>
        <w:spacing w:line="408" w:lineRule="auto"/>
        <w:ind w:left="274" w:leftChars="114"/>
        <w:jc w:val="left"/>
        <w:rPr>
          <w:rFonts w:hint="eastAsia" w:ascii="宋体" w:hAnsi="宋体" w:eastAsia="宋体" w:cs="宋体"/>
          <w:b/>
          <w:bCs/>
          <w:spacing w:val="0"/>
          <w:position w:val="0"/>
          <w:sz w:val="24"/>
          <w:szCs w:val="24"/>
          <w:highlight w:val="none"/>
          <w:lang w:val="en-US" w:eastAsia="zh-CN"/>
        </w:rPr>
      </w:pPr>
      <w:r>
        <w:rPr>
          <w:rFonts w:hint="eastAsia" w:ascii="宋体" w:hAnsi="宋体" w:eastAsia="宋体" w:cs="宋体"/>
          <w:b/>
          <w:bCs/>
          <w:color w:val="auto"/>
          <w:sz w:val="22"/>
          <w:szCs w:val="28"/>
          <w:highlight w:val="none"/>
        </w:rPr>
        <w:t>                    </w:t>
      </w:r>
      <w:r>
        <w:rPr>
          <w:rFonts w:hint="eastAsia" w:ascii="宋体" w:hAnsi="宋体" w:eastAsia="宋体" w:cs="宋体"/>
          <w:b/>
          <w:bCs/>
          <w:color w:val="auto"/>
          <w:sz w:val="22"/>
          <w:szCs w:val="28"/>
          <w:highlight w:val="none"/>
          <w:lang w:val="en-US" w:eastAsia="zh-CN"/>
        </w:rPr>
        <w:t xml:space="preserve">                                                                     </w:t>
      </w:r>
      <w:r>
        <w:rPr>
          <w:rFonts w:hint="eastAsia" w:ascii="宋体" w:hAnsi="宋体" w:eastAsia="宋体" w:cs="宋体"/>
          <w:b/>
          <w:bCs/>
          <w:color w:val="auto"/>
          <w:sz w:val="22"/>
          <w:szCs w:val="28"/>
          <w:highlight w:val="none"/>
        </w:rPr>
        <w:t>年</w:t>
      </w:r>
      <w:r>
        <w:rPr>
          <w:rFonts w:hint="eastAsia" w:ascii="宋体" w:hAnsi="宋体" w:eastAsia="宋体" w:cs="宋体"/>
          <w:b/>
          <w:bCs/>
          <w:color w:val="auto"/>
          <w:sz w:val="22"/>
          <w:szCs w:val="28"/>
          <w:highlight w:val="none"/>
          <w:lang w:val="en-US" w:eastAsia="zh-CN"/>
        </w:rPr>
        <w:t xml:space="preserve">    月    日</w:t>
      </w:r>
    </w:p>
    <w:p w14:paraId="41F9F397">
      <w:pPr>
        <w:rPr>
          <w:color w:val="auto"/>
          <w:highlight w:val="none"/>
          <w:lang w:val="zh-CN"/>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5CAF3138">
      <w:pPr>
        <w:pStyle w:val="3"/>
        <w:keepNext/>
        <w:keepLines/>
        <w:pageBreakBefore w:val="0"/>
        <w:widowControl w:val="0"/>
        <w:numPr>
          <w:ilvl w:val="0"/>
          <w:numId w:val="0"/>
        </w:numPr>
        <w:kinsoku/>
        <w:wordWrap/>
        <w:overflowPunct/>
        <w:topLinePunct w:val="0"/>
        <w:autoSpaceDE/>
        <w:autoSpaceDN/>
        <w:bidi w:val="0"/>
        <w:adjustRightInd/>
        <w:snapToGrid/>
        <w:spacing w:before="220" w:after="220" w:line="480" w:lineRule="auto"/>
        <w:ind w:left="420" w:leftChars="0" w:hanging="420" w:firstLineChars="0"/>
        <w:textAlignment w:val="auto"/>
        <w:rPr>
          <w:rFonts w:hint="eastAsia" w:ascii="宋体" w:hAnsi="宋体" w:eastAsia="宋体" w:cs="宋体"/>
          <w:b/>
          <w:bCs/>
          <w:color w:val="auto"/>
          <w:kern w:val="44"/>
          <w:sz w:val="36"/>
          <w:szCs w:val="36"/>
          <w:highlight w:val="none"/>
          <w:lang w:val="en-US" w:eastAsia="zh-CN" w:bidi="ar-SA"/>
        </w:rPr>
      </w:pPr>
      <w:bookmarkStart w:id="581" w:name="_Toc5888"/>
      <w:bookmarkStart w:id="582" w:name="_Toc155185919"/>
      <w:r>
        <w:rPr>
          <w:rFonts w:hint="eastAsia" w:ascii="宋体" w:hAnsi="宋体" w:eastAsia="宋体" w:cs="宋体"/>
          <w:b/>
          <w:bCs/>
          <w:color w:val="auto"/>
          <w:kern w:val="44"/>
          <w:sz w:val="36"/>
          <w:szCs w:val="36"/>
          <w:highlight w:val="none"/>
          <w:lang w:val="en-US" w:eastAsia="zh-CN" w:bidi="ar-SA"/>
        </w:rPr>
        <w:t>第七章 投标文件格式</w:t>
      </w:r>
      <w:bookmarkEnd w:id="581"/>
      <w:bookmarkEnd w:id="582"/>
    </w:p>
    <w:p w14:paraId="20B1063D">
      <w:pPr>
        <w:ind w:left="240" w:leftChars="100" w:firstLine="480" w:firstLineChars="200"/>
        <w:rPr>
          <w:rFonts w:cs="仿宋_GB2312"/>
          <w:color w:val="auto"/>
          <w:szCs w:val="24"/>
          <w:highlight w:val="none"/>
        </w:rPr>
      </w:pPr>
    </w:p>
    <w:p w14:paraId="29D44C55">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44DD0F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9EDECB5">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5F9B00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2E1D158">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E6822E5">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2CA045B">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893E9FD">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95452EF">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AA66CC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69FA17D">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72E3CAE">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565C3EB">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07DA079A">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E15166A">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3A9983C">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48F8DEC">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F52A8AF">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2FC05CF">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761F2B5A">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99474F0">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5390F1A2">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A93A46C">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C290983">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55D68F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1025489F">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308F138C">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2CDCE37B">
      <w:pPr>
        <w:ind w:firstLine="480" w:firstLineChars="200"/>
        <w:rPr>
          <w:rFonts w:hint="eastAsia" w:cs="仿宋_GB2312"/>
          <w:color w:val="auto"/>
          <w:szCs w:val="24"/>
          <w:highlight w:val="none"/>
          <w:lang w:val="zh-CN"/>
        </w:rPr>
      </w:pPr>
    </w:p>
    <w:p w14:paraId="2D9E98AD">
      <w:pPr>
        <w:ind w:firstLine="480" w:firstLineChars="200"/>
        <w:rPr>
          <w:rFonts w:hint="eastAsia" w:cs="仿宋_GB2312"/>
          <w:color w:val="auto"/>
          <w:szCs w:val="24"/>
          <w:highlight w:val="none"/>
          <w:lang w:val="zh-CN"/>
        </w:rPr>
      </w:pPr>
    </w:p>
    <w:p w14:paraId="696F399C">
      <w:pPr>
        <w:pStyle w:val="14"/>
        <w:rPr>
          <w:rFonts w:hint="eastAsia" w:cs="仿宋_GB2312"/>
          <w:color w:val="auto"/>
          <w:szCs w:val="24"/>
          <w:highlight w:val="none"/>
          <w:lang w:val="zh-CN"/>
        </w:rPr>
      </w:pPr>
    </w:p>
    <w:p w14:paraId="7CFB02AA">
      <w:pPr>
        <w:rPr>
          <w:rFonts w:hint="eastAsia"/>
          <w:highlight w:val="none"/>
          <w:lang w:val="zh-CN"/>
        </w:rPr>
      </w:pPr>
    </w:p>
    <w:p w14:paraId="3D40132F">
      <w:pPr>
        <w:ind w:firstLine="480" w:firstLineChars="200"/>
        <w:rPr>
          <w:rFonts w:hint="eastAsia" w:cs="仿宋_GB2312"/>
          <w:color w:val="auto"/>
          <w:szCs w:val="24"/>
          <w:highlight w:val="none"/>
          <w:lang w:val="zh-CN"/>
        </w:rPr>
      </w:pPr>
    </w:p>
    <w:p w14:paraId="6DC90E3C">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202803F7">
      <w:pPr>
        <w:autoSpaceDE w:val="0"/>
        <w:autoSpaceDN w:val="0"/>
        <w:adjustRightInd w:val="0"/>
        <w:rPr>
          <w:color w:val="auto"/>
          <w:sz w:val="21"/>
          <w:szCs w:val="24"/>
          <w:highlight w:val="none"/>
        </w:rPr>
      </w:pPr>
    </w:p>
    <w:p w14:paraId="73B11C8A">
      <w:pPr>
        <w:autoSpaceDE w:val="0"/>
        <w:autoSpaceDN w:val="0"/>
        <w:adjustRightInd w:val="0"/>
        <w:rPr>
          <w:color w:val="auto"/>
          <w:sz w:val="21"/>
          <w:szCs w:val="24"/>
          <w:highlight w:val="none"/>
        </w:rPr>
      </w:pPr>
    </w:p>
    <w:p w14:paraId="36DF3F4E">
      <w:pPr>
        <w:autoSpaceDE w:val="0"/>
        <w:autoSpaceDN w:val="0"/>
        <w:adjustRightInd w:val="0"/>
        <w:jc w:val="center"/>
        <w:rPr>
          <w:color w:val="auto"/>
          <w:sz w:val="21"/>
          <w:szCs w:val="24"/>
          <w:highlight w:val="none"/>
        </w:rPr>
      </w:pPr>
    </w:p>
    <w:p w14:paraId="336E03FA">
      <w:pPr>
        <w:pStyle w:val="4"/>
        <w:bidi w:val="0"/>
        <w:jc w:val="center"/>
        <w:rPr>
          <w:sz w:val="84"/>
          <w:szCs w:val="84"/>
          <w:highlight w:val="none"/>
        </w:rPr>
      </w:pPr>
      <w:bookmarkStart w:id="583" w:name="_Toc7054"/>
      <w:r>
        <w:rPr>
          <w:rFonts w:hint="eastAsia"/>
          <w:sz w:val="84"/>
          <w:szCs w:val="84"/>
          <w:highlight w:val="none"/>
        </w:rPr>
        <w:t>投 标 文 件</w:t>
      </w:r>
      <w:bookmarkEnd w:id="583"/>
    </w:p>
    <w:p w14:paraId="0D217A8D">
      <w:pPr>
        <w:pStyle w:val="4"/>
        <w:bidi w:val="0"/>
        <w:jc w:val="center"/>
        <w:rPr>
          <w:sz w:val="52"/>
          <w:szCs w:val="52"/>
          <w:highlight w:val="none"/>
        </w:rPr>
      </w:pPr>
      <w:bookmarkStart w:id="584" w:name="_Toc17826"/>
      <w:r>
        <w:rPr>
          <w:rFonts w:hint="eastAsia"/>
          <w:sz w:val="52"/>
          <w:szCs w:val="52"/>
          <w:highlight w:val="none"/>
        </w:rPr>
        <w:t>资格证明文件</w:t>
      </w:r>
      <w:bookmarkEnd w:id="584"/>
    </w:p>
    <w:p w14:paraId="3713B9EF">
      <w:pPr>
        <w:autoSpaceDE w:val="0"/>
        <w:autoSpaceDN w:val="0"/>
        <w:adjustRightInd w:val="0"/>
        <w:rPr>
          <w:b/>
          <w:bCs/>
          <w:color w:val="auto"/>
          <w:sz w:val="22"/>
          <w:highlight w:val="none"/>
        </w:rPr>
      </w:pPr>
    </w:p>
    <w:p w14:paraId="4C95B1E8">
      <w:pPr>
        <w:autoSpaceDE w:val="0"/>
        <w:autoSpaceDN w:val="0"/>
        <w:adjustRightInd w:val="0"/>
        <w:rPr>
          <w:color w:val="auto"/>
          <w:sz w:val="21"/>
          <w:szCs w:val="21"/>
          <w:highlight w:val="none"/>
        </w:rPr>
      </w:pPr>
    </w:p>
    <w:p w14:paraId="4A15B7B6">
      <w:pPr>
        <w:pStyle w:val="4"/>
        <w:rPr>
          <w:color w:val="auto"/>
          <w:highlight w:val="none"/>
        </w:rPr>
      </w:pPr>
    </w:p>
    <w:p w14:paraId="6D2F1984">
      <w:pPr>
        <w:autoSpaceDE w:val="0"/>
        <w:autoSpaceDN w:val="0"/>
        <w:adjustRightInd w:val="0"/>
        <w:rPr>
          <w:color w:val="auto"/>
          <w:sz w:val="21"/>
          <w:szCs w:val="21"/>
          <w:highlight w:val="none"/>
        </w:rPr>
      </w:pPr>
    </w:p>
    <w:p w14:paraId="13936900">
      <w:pPr>
        <w:autoSpaceDE w:val="0"/>
        <w:autoSpaceDN w:val="0"/>
        <w:adjustRightInd w:val="0"/>
        <w:rPr>
          <w:color w:val="auto"/>
          <w:sz w:val="21"/>
          <w:szCs w:val="21"/>
          <w:highlight w:val="none"/>
        </w:rPr>
      </w:pPr>
    </w:p>
    <w:p w14:paraId="7F8AB2C1">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24FB039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B06112D">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4720DE04">
      <w:pPr>
        <w:ind w:left="840" w:firstLine="420"/>
        <w:rPr>
          <w:b/>
          <w:bCs/>
          <w:color w:val="auto"/>
          <w:sz w:val="28"/>
          <w:szCs w:val="28"/>
          <w:highlight w:val="none"/>
        </w:rPr>
      </w:pPr>
    </w:p>
    <w:p w14:paraId="5D0DC607">
      <w:pPr>
        <w:ind w:left="840" w:firstLine="420"/>
        <w:rPr>
          <w:b/>
          <w:bCs/>
          <w:color w:val="auto"/>
          <w:sz w:val="28"/>
          <w:szCs w:val="28"/>
          <w:highlight w:val="none"/>
        </w:rPr>
      </w:pPr>
    </w:p>
    <w:p w14:paraId="306FCCBF">
      <w:pPr>
        <w:ind w:left="840" w:firstLine="420"/>
        <w:rPr>
          <w:b/>
          <w:bCs/>
          <w:color w:val="auto"/>
          <w:sz w:val="28"/>
          <w:szCs w:val="28"/>
          <w:highlight w:val="none"/>
        </w:rPr>
      </w:pPr>
    </w:p>
    <w:p w14:paraId="22CE1A9B">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447D651">
      <w:pPr>
        <w:rPr>
          <w:color w:val="auto"/>
          <w:highlight w:val="none"/>
          <w:lang w:val="zh-CN"/>
        </w:rPr>
      </w:pPr>
      <w:r>
        <w:rPr>
          <w:color w:val="auto"/>
          <w:highlight w:val="none"/>
          <w:lang w:val="zh-CN"/>
        </w:rPr>
        <w:br w:type="page"/>
      </w:r>
    </w:p>
    <w:p w14:paraId="215FC2E3">
      <w:pPr>
        <w:pStyle w:val="4"/>
        <w:bidi w:val="0"/>
        <w:rPr>
          <w:rFonts w:hint="eastAsia"/>
          <w:highlight w:val="none"/>
          <w:lang w:val="en-US" w:eastAsia="zh-CN"/>
        </w:rPr>
      </w:pPr>
      <w:bookmarkStart w:id="585" w:name="_Toc3692"/>
      <w:bookmarkStart w:id="586" w:name="_Toc24224"/>
      <w:bookmarkStart w:id="587" w:name="_Toc155185927"/>
      <w:r>
        <w:rPr>
          <w:rFonts w:hint="eastAsia"/>
          <w:highlight w:val="none"/>
          <w:lang w:val="en-US" w:eastAsia="zh-CN"/>
        </w:rPr>
        <w:t>一、满足《中华人民共和国政府采购法》第二十二条规定</w:t>
      </w:r>
      <w:bookmarkEnd w:id="585"/>
      <w:bookmarkEnd w:id="586"/>
    </w:p>
    <w:bookmarkEnd w:id="587"/>
    <w:p w14:paraId="61960C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bCs/>
          <w:color w:val="auto"/>
          <w:kern w:val="2"/>
          <w:sz w:val="24"/>
          <w:szCs w:val="24"/>
          <w:highlight w:val="none"/>
          <w:lang w:val="en-US" w:eastAsia="zh-CN" w:bidi="ar-SA"/>
        </w:rPr>
      </w:pPr>
      <w:bookmarkStart w:id="588" w:name="_Toc163492922"/>
      <w:bookmarkStart w:id="589" w:name="_Toc155185928"/>
      <w:r>
        <w:rPr>
          <w:rFonts w:hint="eastAsia" w:ascii="宋体" w:hAnsi="宋体" w:eastAsia="宋体" w:cs="宋体"/>
          <w:b/>
          <w:bCs/>
          <w:color w:val="auto"/>
          <w:kern w:val="2"/>
          <w:sz w:val="24"/>
          <w:szCs w:val="24"/>
          <w:highlight w:val="none"/>
          <w:lang w:val="en-US" w:eastAsia="zh-CN" w:bidi="ar-SA"/>
        </w:rPr>
        <w:t>（一）法人、其他组织或者自然人的证明文件</w:t>
      </w:r>
    </w:p>
    <w:p w14:paraId="6E9D207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1、投标人</w:t>
      </w:r>
      <w:r>
        <w:rPr>
          <w:rFonts w:hint="eastAsia" w:ascii="宋体" w:hAnsi="宋体" w:eastAsia="宋体" w:cs="宋体"/>
          <w:b w:val="0"/>
          <w:bCs w:val="0"/>
          <w:color w:val="auto"/>
          <w:kern w:val="0"/>
          <w:sz w:val="24"/>
          <w:szCs w:val="24"/>
          <w:highlight w:val="none"/>
          <w:lang w:val="en-US" w:eastAsia="zh-CN"/>
        </w:rPr>
        <w:t>为企业（包括合伙企业）的，应提供有效的“营业执照”；</w:t>
      </w:r>
    </w:p>
    <w:p w14:paraId="420A9C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2、投标人</w:t>
      </w:r>
      <w:r>
        <w:rPr>
          <w:rFonts w:hint="eastAsia" w:ascii="宋体" w:hAnsi="宋体" w:eastAsia="宋体" w:cs="宋体"/>
          <w:b w:val="0"/>
          <w:bCs w:val="0"/>
          <w:color w:val="auto"/>
          <w:kern w:val="0"/>
          <w:sz w:val="24"/>
          <w:szCs w:val="24"/>
          <w:highlight w:val="none"/>
          <w:lang w:val="en-US" w:eastAsia="zh-CN"/>
        </w:rPr>
        <w:t>为事业单位的，应提供有效的“事业单位法人证书”；</w:t>
      </w:r>
    </w:p>
    <w:p w14:paraId="30B265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3、投标人</w:t>
      </w:r>
      <w:r>
        <w:rPr>
          <w:rFonts w:hint="eastAsia" w:ascii="宋体" w:hAnsi="宋体" w:eastAsia="宋体" w:cs="宋体"/>
          <w:b w:val="0"/>
          <w:bCs w:val="0"/>
          <w:color w:val="auto"/>
          <w:kern w:val="0"/>
          <w:sz w:val="24"/>
          <w:szCs w:val="24"/>
          <w:highlight w:val="none"/>
          <w:lang w:val="en-US" w:eastAsia="zh-CN"/>
        </w:rPr>
        <w:t>为非企业机构的，应提供有效的“执业许可证”、“登记证书”等证明文件；</w:t>
      </w:r>
    </w:p>
    <w:p w14:paraId="4FDE64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4、投标人</w:t>
      </w:r>
      <w:r>
        <w:rPr>
          <w:rFonts w:hint="eastAsia" w:ascii="宋体" w:hAnsi="宋体" w:eastAsia="宋体" w:cs="宋体"/>
          <w:b w:val="0"/>
          <w:bCs w:val="0"/>
          <w:color w:val="auto"/>
          <w:kern w:val="0"/>
          <w:sz w:val="24"/>
          <w:szCs w:val="24"/>
          <w:highlight w:val="none"/>
          <w:lang w:val="en-US" w:eastAsia="zh-CN"/>
        </w:rPr>
        <w:t>是个体工商户的，应提供有效的“个体工商户营业执照”；</w:t>
      </w:r>
    </w:p>
    <w:p w14:paraId="1DE16B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5、投标人</w:t>
      </w:r>
      <w:r>
        <w:rPr>
          <w:rFonts w:hint="eastAsia" w:ascii="宋体" w:hAnsi="宋体" w:eastAsia="宋体" w:cs="宋体"/>
          <w:b w:val="0"/>
          <w:bCs w:val="0"/>
          <w:color w:val="auto"/>
          <w:kern w:val="0"/>
          <w:sz w:val="24"/>
          <w:szCs w:val="24"/>
          <w:highlight w:val="none"/>
          <w:lang w:val="en-US" w:eastAsia="zh-CN"/>
        </w:rPr>
        <w:t>是自然人的，应提供有效的自然人身份证明。</w:t>
      </w:r>
    </w:p>
    <w:p w14:paraId="77687BE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p>
    <w:p w14:paraId="128F3677">
      <w:pP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br w:type="page"/>
      </w:r>
    </w:p>
    <w:bookmarkEnd w:id="588"/>
    <w:bookmarkEnd w:id="589"/>
    <w:p w14:paraId="69A95AD2">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0" w:leftChars="0" w:firstLine="0" w:firstLineChars="0"/>
        <w:textAlignment w:val="auto"/>
        <w:rPr>
          <w:rFonts w:hint="eastAsia" w:eastAsia="宋体" w:cstheme="majorBidi"/>
          <w:b/>
          <w:bCs/>
          <w:color w:val="auto"/>
          <w:kern w:val="2"/>
          <w:sz w:val="24"/>
          <w:szCs w:val="24"/>
          <w:highlight w:val="none"/>
          <w:lang w:val="en-US" w:eastAsia="zh-CN" w:bidi="ar-SA"/>
        </w:rPr>
      </w:pPr>
      <w:bookmarkStart w:id="590" w:name="_Toc143"/>
      <w:bookmarkStart w:id="591" w:name="_Toc21161"/>
      <w:r>
        <w:rPr>
          <w:rFonts w:hint="eastAsia" w:eastAsia="宋体" w:cstheme="majorBidi"/>
          <w:b/>
          <w:bCs/>
          <w:color w:val="auto"/>
          <w:kern w:val="2"/>
          <w:sz w:val="24"/>
          <w:szCs w:val="24"/>
          <w:highlight w:val="none"/>
          <w:lang w:val="en-US" w:eastAsia="zh-CN" w:bidi="ar-SA"/>
        </w:rPr>
        <w:t>二</w:t>
      </w:r>
      <w:r>
        <w:rPr>
          <w:rFonts w:hint="eastAsia" w:cstheme="majorBidi"/>
          <w:b/>
          <w:bCs/>
          <w:color w:val="auto"/>
          <w:kern w:val="2"/>
          <w:sz w:val="24"/>
          <w:szCs w:val="24"/>
          <w:highlight w:val="none"/>
          <w:lang w:val="en-US" w:eastAsia="zh-CN" w:bidi="ar-SA"/>
        </w:rPr>
        <w:t>、新疆政府采购</w:t>
      </w:r>
      <w:r>
        <w:rPr>
          <w:rFonts w:hint="eastAsia" w:eastAsia="宋体" w:cstheme="majorBidi"/>
          <w:b/>
          <w:bCs/>
          <w:color w:val="auto"/>
          <w:kern w:val="2"/>
          <w:sz w:val="24"/>
          <w:szCs w:val="24"/>
          <w:highlight w:val="none"/>
          <w:lang w:val="en-US" w:eastAsia="zh-CN" w:bidi="ar-SA"/>
        </w:rPr>
        <w:t>供应商信用承诺函</w:t>
      </w:r>
      <w:bookmarkEnd w:id="590"/>
      <w:bookmarkEnd w:id="591"/>
    </w:p>
    <w:p w14:paraId="149786FB">
      <w:pPr>
        <w:spacing w:line="56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单位名称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自然人姓名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48FFA3C0">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统一社会信用代码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身份证号码</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7DA4A26F">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负责人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2565F5FE">
      <w:pPr>
        <w:spacing w:line="560" w:lineRule="exact"/>
        <w:ind w:firstLine="480" w:firstLineChars="200"/>
        <w:rPr>
          <w:rFonts w:hint="eastAsia" w:ascii="宋体" w:hAnsi="宋体" w:eastAsia="宋体" w:cs="宋体"/>
          <w:color w:val="auto"/>
          <w:kern w:val="0"/>
          <w:sz w:val="24"/>
          <w:szCs w:val="24"/>
          <w:highlight w:val="none"/>
        </w:rPr>
      </w:pPr>
    </w:p>
    <w:p w14:paraId="39CDD6B5">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自愿参加本次政府采购活动，严格遵守《中华人民共和国政府采购法》及相关法律法规，坚守公开、公平、公正和诚实信用等原则，依法诚信经营，并郑重承诺：    </w:t>
      </w:r>
    </w:p>
    <w:p w14:paraId="15BD2674">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符合《中华人民共和国政府采购法》第二十二条规定：</w:t>
      </w:r>
    </w:p>
    <w:p w14:paraId="3218A359">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一</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具有独立承担民事责任的能力;</w:t>
      </w:r>
    </w:p>
    <w:p w14:paraId="036C60EA">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（二）</w:t>
      </w:r>
      <w:r>
        <w:rPr>
          <w:rFonts w:hint="eastAsia" w:ascii="宋体" w:hAnsi="宋体" w:eastAsia="宋体" w:cs="宋体"/>
          <w:color w:val="auto"/>
          <w:kern w:val="0"/>
          <w:sz w:val="24"/>
          <w:szCs w:val="24"/>
          <w:highlight w:val="none"/>
        </w:rPr>
        <w:t>具有良好的商业信誉和健全的财务会计制度;</w:t>
      </w:r>
    </w:p>
    <w:p w14:paraId="32BE9145">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（三）</w:t>
      </w:r>
      <w:r>
        <w:rPr>
          <w:rFonts w:hint="eastAsia" w:ascii="宋体" w:hAnsi="宋体" w:eastAsia="宋体" w:cs="宋体"/>
          <w:color w:val="auto"/>
          <w:kern w:val="0"/>
          <w:sz w:val="24"/>
          <w:szCs w:val="24"/>
          <w:highlight w:val="none"/>
        </w:rPr>
        <w:t>具有履行合同所必需的设备和专业技术能力;</w:t>
      </w:r>
    </w:p>
    <w:p w14:paraId="5C988BD2">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有依法缴纳税收和社会保障资金的良好记录;</w:t>
      </w:r>
    </w:p>
    <w:p w14:paraId="64311F89">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（五）</w:t>
      </w:r>
      <w:r>
        <w:rPr>
          <w:rFonts w:hint="eastAsia" w:ascii="宋体" w:hAnsi="宋体" w:eastAsia="宋体" w:cs="宋体"/>
          <w:color w:val="auto"/>
          <w:kern w:val="0"/>
          <w:sz w:val="24"/>
          <w:szCs w:val="24"/>
          <w:highlight w:val="none"/>
        </w:rPr>
        <w:t>参加政府采购活动前三年内，在经营活动中没有重大违法记录;</w:t>
      </w:r>
    </w:p>
    <w:p w14:paraId="09591AFC">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（六）</w:t>
      </w:r>
      <w:r>
        <w:rPr>
          <w:rFonts w:hint="eastAsia" w:ascii="宋体" w:hAnsi="宋体" w:eastAsia="宋体" w:cs="宋体"/>
          <w:color w:val="auto"/>
          <w:kern w:val="0"/>
          <w:sz w:val="24"/>
          <w:szCs w:val="24"/>
          <w:highlight w:val="none"/>
        </w:rPr>
        <w:t>符合法律、行政法规规定的其他条件。</w:t>
      </w:r>
    </w:p>
    <w:p w14:paraId="1BA808C2">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二、我单位</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未被列入严重违法失信名单、失信被执行人</w:t>
      </w:r>
      <w:r>
        <w:rPr>
          <w:rFonts w:hint="eastAsia" w:ascii="宋体" w:hAnsi="宋体" w:eastAsia="宋体" w:cs="宋体"/>
          <w:color w:val="auto"/>
          <w:kern w:val="0"/>
          <w:sz w:val="24"/>
          <w:szCs w:val="24"/>
          <w:highlight w:val="none"/>
          <w:lang w:eastAsia="zh-CN"/>
        </w:rPr>
        <w:t>名单</w:t>
      </w:r>
      <w:r>
        <w:rPr>
          <w:rFonts w:hint="eastAsia" w:ascii="宋体" w:hAnsi="宋体" w:eastAsia="宋体" w:cs="宋体"/>
          <w:color w:val="auto"/>
          <w:kern w:val="0"/>
          <w:sz w:val="24"/>
          <w:szCs w:val="24"/>
          <w:highlight w:val="none"/>
        </w:rPr>
        <w:t>、重大税收违法失信主体、政府采购严重违法失信行为记录名</w:t>
      </w:r>
      <w:r>
        <w:rPr>
          <w:rFonts w:hint="eastAsia" w:ascii="宋体" w:hAnsi="宋体" w:eastAsia="宋体" w:cs="宋体"/>
          <w:color w:val="auto"/>
          <w:kern w:val="0"/>
          <w:sz w:val="24"/>
          <w:szCs w:val="24"/>
          <w:highlight w:val="none"/>
          <w:lang w:eastAsia="zh-CN"/>
        </w:rPr>
        <w:t>单</w:t>
      </w:r>
      <w:r>
        <w:rPr>
          <w:rFonts w:hint="eastAsia" w:ascii="宋体" w:hAnsi="宋体" w:eastAsia="宋体" w:cs="宋体"/>
          <w:color w:val="auto"/>
          <w:kern w:val="0"/>
          <w:sz w:val="24"/>
          <w:szCs w:val="24"/>
          <w:highlight w:val="none"/>
        </w:rPr>
        <w:t>。</w:t>
      </w:r>
    </w:p>
    <w:p w14:paraId="70127B20">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三、如果本公司（本人）有幸中标（成交），在合同签订之前，采购单位有权要求本公司（本人）提供资格证明材料原件进行核验。</w:t>
      </w:r>
    </w:p>
    <w:p w14:paraId="32445A77">
      <w:pPr>
        <w:spacing w:line="560" w:lineRule="exact"/>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四、我单位</w:t>
      </w:r>
      <w:r>
        <w:rPr>
          <w:rFonts w:hint="eastAsia" w:ascii="宋体" w:hAnsi="宋体" w:eastAsia="宋体" w:cs="宋体"/>
          <w:color w:val="auto"/>
          <w:kern w:val="0"/>
          <w:sz w:val="24"/>
          <w:szCs w:val="24"/>
          <w:highlight w:val="none"/>
          <w:lang w:eastAsia="zh-CN"/>
        </w:rPr>
        <w:t>（本人）</w:t>
      </w:r>
      <w:r>
        <w:rPr>
          <w:rFonts w:hint="eastAsia" w:ascii="宋体" w:hAnsi="宋体" w:eastAsia="宋体" w:cs="宋体"/>
          <w:color w:val="auto"/>
          <w:kern w:val="0"/>
          <w:sz w:val="24"/>
          <w:szCs w:val="24"/>
          <w:highlight w:val="none"/>
        </w:rPr>
        <w:t>保证上述承诺事项的真实性。如有弄虚作假或其他违法违规行为，自愿按照规定将违背承诺行为作为失信行为记录到社会信用信息平台，并视同为“提供虚假材料谋取中标、成交”按照《</w:t>
      </w:r>
      <w:r>
        <w:rPr>
          <w:rFonts w:hint="eastAsia"/>
          <w:color w:val="auto"/>
          <w:highlight w:val="none"/>
        </w:rPr>
        <w:t>中华人民共和国政府采购法</w:t>
      </w:r>
      <w:r>
        <w:rPr>
          <w:rFonts w:hint="eastAsia" w:ascii="宋体" w:hAnsi="宋体" w:eastAsia="宋体" w:cs="宋体"/>
          <w:color w:val="auto"/>
          <w:kern w:val="0"/>
          <w:sz w:val="24"/>
          <w:szCs w:val="24"/>
          <w:highlight w:val="none"/>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7CE52DB">
      <w:pPr>
        <w:spacing w:line="560" w:lineRule="exact"/>
        <w:rPr>
          <w:rFonts w:hint="eastAsia" w:ascii="宋体" w:hAnsi="宋体" w:eastAsia="宋体" w:cs="宋体"/>
          <w:color w:val="auto"/>
          <w:kern w:val="0"/>
          <w:sz w:val="24"/>
          <w:szCs w:val="24"/>
          <w:highlight w:val="none"/>
        </w:rPr>
      </w:pPr>
    </w:p>
    <w:p w14:paraId="5883D10C">
      <w:pPr>
        <w:spacing w:line="560" w:lineRule="exact"/>
        <w:rPr>
          <w:rFonts w:hint="eastAsia" w:ascii="宋体" w:hAnsi="宋体" w:eastAsia="宋体" w:cs="宋体"/>
          <w:color w:val="auto"/>
          <w:kern w:val="0"/>
          <w:sz w:val="24"/>
          <w:szCs w:val="24"/>
          <w:highlight w:val="none"/>
        </w:rPr>
      </w:pPr>
    </w:p>
    <w:p w14:paraId="02066849">
      <w:pPr>
        <w:spacing w:line="560" w:lineRule="exac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供应商名称</w:t>
      </w:r>
      <w:r>
        <w:rPr>
          <w:rFonts w:hint="eastAsia" w:ascii="宋体" w:hAnsi="宋体" w:eastAsia="宋体" w:cs="宋体"/>
          <w:color w:val="auto"/>
          <w:kern w:val="0"/>
          <w:sz w:val="24"/>
          <w:szCs w:val="24"/>
          <w:highlight w:val="none"/>
          <w:lang w:eastAsia="zh-CN"/>
        </w:rPr>
        <w:t>（</w:t>
      </w:r>
      <w:r>
        <w:rPr>
          <w:rFonts w:hint="eastAsia" w:cs="宋体"/>
          <w:color w:val="auto"/>
          <w:kern w:val="0"/>
          <w:sz w:val="24"/>
          <w:szCs w:val="24"/>
          <w:highlight w:val="none"/>
          <w:lang w:eastAsia="zh-CN"/>
        </w:rPr>
        <w:t>公章</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3FCFFDCC">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510A1256">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1F4E790D">
      <w:pPr>
        <w:widowControl/>
        <w:spacing w:line="560" w:lineRule="exact"/>
        <w:ind w:firstLine="630"/>
        <w:jc w:val="left"/>
        <w:rPr>
          <w:rFonts w:hint="eastAsia" w:ascii="宋体" w:hAnsi="宋体" w:eastAsia="宋体" w:cs="宋体"/>
          <w:color w:val="auto"/>
          <w:kern w:val="0"/>
          <w:sz w:val="24"/>
          <w:szCs w:val="24"/>
          <w:highlight w:val="none"/>
        </w:rPr>
      </w:pPr>
    </w:p>
    <w:p w14:paraId="282D3BE6">
      <w:pPr>
        <w:rPr>
          <w:rFonts w:ascii="Arial" w:hAnsi="Arial" w:cs="Arial"/>
          <w:color w:val="auto"/>
          <w:szCs w:val="21"/>
          <w:highlight w:val="none"/>
        </w:rPr>
      </w:pPr>
      <w:r>
        <w:rPr>
          <w:rFonts w:ascii="Arial" w:hAnsi="Arial" w:cs="Arial"/>
          <w:color w:val="auto"/>
          <w:szCs w:val="21"/>
          <w:highlight w:val="none"/>
        </w:rPr>
        <w:br w:type="page"/>
      </w:r>
    </w:p>
    <w:p w14:paraId="674386CF">
      <w:pPr>
        <w:pStyle w:val="4"/>
        <w:bidi w:val="0"/>
        <w:rPr>
          <w:rFonts w:hint="eastAsia"/>
          <w:highlight w:val="none"/>
          <w:lang w:val="en-US" w:eastAsia="zh-CN"/>
        </w:rPr>
      </w:pPr>
      <w:bookmarkStart w:id="592" w:name="_Toc163492926"/>
      <w:bookmarkStart w:id="593" w:name="_Toc155185932"/>
      <w:bookmarkStart w:id="594" w:name="_Toc18617"/>
      <w:r>
        <w:rPr>
          <w:rFonts w:hint="eastAsia"/>
          <w:highlight w:val="none"/>
          <w:lang w:val="en-US" w:eastAsia="zh-CN"/>
        </w:rPr>
        <w:t>三、</w:t>
      </w:r>
      <w:bookmarkEnd w:id="592"/>
      <w:bookmarkEnd w:id="593"/>
      <w:r>
        <w:rPr>
          <w:rFonts w:hint="eastAsia"/>
          <w:highlight w:val="none"/>
          <w:lang w:val="en-US" w:eastAsia="zh-CN"/>
        </w:rPr>
        <w:t>落实政府采购政策相关证明文件</w:t>
      </w:r>
      <w:bookmarkEnd w:id="594"/>
    </w:p>
    <w:p w14:paraId="7A518507">
      <w:pPr>
        <w:pStyle w:val="38"/>
        <w:keepNext w:val="0"/>
        <w:keepLines w:val="0"/>
        <w:pageBreakBefore w:val="0"/>
        <w:widowControl w:val="0"/>
        <w:numPr>
          <w:ilvl w:val="0"/>
          <w:numId w:val="0"/>
        </w:numPr>
        <w:kinsoku/>
        <w:wordWrap/>
        <w:overflowPunct/>
        <w:topLinePunct w:val="0"/>
        <w:autoSpaceDE/>
        <w:autoSpaceDN/>
        <w:bidi w:val="0"/>
        <w:adjustRightInd/>
        <w:snapToGrid/>
        <w:spacing w:line="300" w:lineRule="exact"/>
        <w:ind w:left="420" w:leftChars="0" w:hanging="420" w:firstLineChars="0"/>
        <w:jc w:val="center"/>
        <w:textAlignment w:val="auto"/>
        <w:rPr>
          <w:rFonts w:hint="eastAsia"/>
          <w:b/>
          <w:bCs/>
          <w:color w:val="auto"/>
          <w:sz w:val="32"/>
          <w:szCs w:val="32"/>
          <w:highlight w:val="none"/>
        </w:rPr>
      </w:pPr>
    </w:p>
    <w:p w14:paraId="760F43E1">
      <w:pPr>
        <w:pStyle w:val="38"/>
        <w:numPr>
          <w:ilvl w:val="0"/>
          <w:numId w:val="0"/>
        </w:numPr>
        <w:ind w:left="420" w:leftChars="0" w:hanging="420" w:firstLineChars="0"/>
        <w:jc w:val="center"/>
        <w:rPr>
          <w:b/>
          <w:bCs/>
          <w:color w:val="auto"/>
          <w:sz w:val="32"/>
          <w:szCs w:val="32"/>
          <w:highlight w:val="none"/>
        </w:rPr>
      </w:pPr>
      <w:r>
        <w:rPr>
          <w:rFonts w:hint="eastAsia"/>
          <w:b/>
          <w:bCs/>
          <w:color w:val="auto"/>
          <w:sz w:val="32"/>
          <w:szCs w:val="32"/>
          <w:highlight w:val="none"/>
        </w:rPr>
        <w:t>中小企业声明函</w:t>
      </w:r>
    </w:p>
    <w:p w14:paraId="78BC1CF1">
      <w:pPr>
        <w:ind w:firstLine="504" w:firstLineChars="200"/>
        <w:rPr>
          <w:rFonts w:cs="宋体"/>
          <w:color w:val="auto"/>
          <w:spacing w:val="6"/>
          <w:szCs w:val="24"/>
          <w:highlight w:val="none"/>
        </w:rPr>
      </w:pPr>
      <w:r>
        <w:rPr>
          <w:rFonts w:hint="eastAsia" w:cs="宋体"/>
          <w:color w:val="auto"/>
          <w:spacing w:val="6"/>
          <w:szCs w:val="24"/>
          <w:highlight w:val="none"/>
        </w:rPr>
        <w:t>本公司（联合体）郑重声明，根据《政府采购促进中小企业发展管理办法》（财库﹝2020﹞46 号）的规定，本公司（联合体）参加</w:t>
      </w:r>
      <w:r>
        <w:rPr>
          <w:rFonts w:hint="eastAsia" w:cs="宋体"/>
          <w:color w:val="auto"/>
          <w:spacing w:val="6"/>
          <w:szCs w:val="24"/>
          <w:highlight w:val="none"/>
          <w:u w:val="single"/>
        </w:rPr>
        <w:t xml:space="preserve"> （单位名称）</w:t>
      </w:r>
      <w:r>
        <w:rPr>
          <w:rFonts w:hint="eastAsia" w:cs="宋体"/>
          <w:color w:val="auto"/>
          <w:spacing w:val="6"/>
          <w:szCs w:val="24"/>
          <w:highlight w:val="none"/>
        </w:rPr>
        <w:t xml:space="preserve"> 的</w:t>
      </w:r>
      <w:r>
        <w:rPr>
          <w:rFonts w:hint="eastAsia" w:cs="宋体"/>
          <w:color w:val="auto"/>
          <w:spacing w:val="6"/>
          <w:szCs w:val="24"/>
          <w:highlight w:val="none"/>
          <w:u w:val="single"/>
        </w:rPr>
        <w:t xml:space="preserve"> （项目名称） </w:t>
      </w:r>
      <w:r>
        <w:rPr>
          <w:rFonts w:hint="eastAsia" w:cs="宋体"/>
          <w:color w:val="auto"/>
          <w:spacing w:val="6"/>
          <w:szCs w:val="24"/>
          <w:highlight w:val="none"/>
        </w:rPr>
        <w:t>采购活动，提供的货物全部由符合政策要求的中小企业制造。相关企业（含联合体中的中小企业、签订分包意向协议的中小企业）的具体情况如下：</w:t>
      </w:r>
    </w:p>
    <w:p w14:paraId="5FCC96F1">
      <w:pPr>
        <w:ind w:firstLine="504" w:firstLineChars="200"/>
        <w:rPr>
          <w:rFonts w:cs="宋体"/>
          <w:color w:val="auto"/>
          <w:spacing w:val="6"/>
          <w:szCs w:val="24"/>
          <w:highlight w:val="none"/>
        </w:rPr>
      </w:pPr>
      <w:r>
        <w:rPr>
          <w:rFonts w:hint="eastAsia" w:cs="宋体"/>
          <w:color w:val="auto"/>
          <w:spacing w:val="6"/>
          <w:szCs w:val="24"/>
          <w:highlight w:val="none"/>
        </w:rPr>
        <w:t>1.</w:t>
      </w:r>
      <w:r>
        <w:rPr>
          <w:rFonts w:hint="eastAsia" w:cs="宋体"/>
          <w:color w:val="auto"/>
          <w:spacing w:val="6"/>
          <w:szCs w:val="24"/>
          <w:highlight w:val="none"/>
          <w:u w:val="single"/>
        </w:rPr>
        <w:t xml:space="preserve"> （标的名称）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（采购文件中明确的所属行业）</w:t>
      </w:r>
      <w:r>
        <w:rPr>
          <w:rFonts w:hint="eastAsia" w:cs="宋体"/>
          <w:color w:val="auto"/>
          <w:spacing w:val="6"/>
          <w:szCs w:val="24"/>
          <w:highlight w:val="none"/>
        </w:rPr>
        <w:t>行业 ；制造商为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 xml:space="preserve"> （中型企业、小型企业、微型企业）</w:t>
      </w:r>
      <w:r>
        <w:rPr>
          <w:rFonts w:hint="eastAsia" w:cs="宋体"/>
          <w:color w:val="auto"/>
          <w:spacing w:val="6"/>
          <w:szCs w:val="24"/>
          <w:highlight w:val="none"/>
        </w:rPr>
        <w:t>；</w:t>
      </w:r>
    </w:p>
    <w:p w14:paraId="1D01E102">
      <w:pPr>
        <w:ind w:firstLine="504" w:firstLineChars="200"/>
        <w:rPr>
          <w:rFonts w:cs="宋体"/>
          <w:color w:val="auto"/>
          <w:spacing w:val="6"/>
          <w:szCs w:val="24"/>
          <w:highlight w:val="none"/>
        </w:rPr>
      </w:pPr>
      <w:r>
        <w:rPr>
          <w:rFonts w:hint="eastAsia" w:cs="宋体"/>
          <w:color w:val="auto"/>
          <w:spacing w:val="6"/>
          <w:szCs w:val="24"/>
          <w:highlight w:val="none"/>
        </w:rPr>
        <w:t>2.</w:t>
      </w:r>
      <w:r>
        <w:rPr>
          <w:rFonts w:hint="eastAsia" w:cs="宋体"/>
          <w:color w:val="auto"/>
          <w:spacing w:val="6"/>
          <w:szCs w:val="24"/>
          <w:highlight w:val="none"/>
          <w:u w:val="single"/>
        </w:rPr>
        <w:t xml:space="preserve"> （标的名称） </w:t>
      </w:r>
      <w:r>
        <w:rPr>
          <w:rFonts w:hint="eastAsia" w:cs="宋体"/>
          <w:color w:val="auto"/>
          <w:spacing w:val="6"/>
          <w:szCs w:val="24"/>
          <w:highlight w:val="none"/>
        </w:rPr>
        <w:t>，属于</w:t>
      </w:r>
      <w:r>
        <w:rPr>
          <w:rFonts w:hint="eastAsia" w:cs="宋体"/>
          <w:color w:val="auto"/>
          <w:spacing w:val="6"/>
          <w:szCs w:val="24"/>
          <w:highlight w:val="none"/>
          <w:u w:val="single"/>
        </w:rPr>
        <w:t xml:space="preserve"> （采购文件中明确的所属行业）</w:t>
      </w:r>
      <w:r>
        <w:rPr>
          <w:rFonts w:hint="eastAsia" w:cs="宋体"/>
          <w:color w:val="auto"/>
          <w:spacing w:val="6"/>
          <w:szCs w:val="24"/>
          <w:highlight w:val="none"/>
        </w:rPr>
        <w:t>行业 ；制造商为</w:t>
      </w:r>
      <w:r>
        <w:rPr>
          <w:rFonts w:hint="eastAsia" w:cs="宋体"/>
          <w:color w:val="auto"/>
          <w:spacing w:val="6"/>
          <w:szCs w:val="24"/>
          <w:highlight w:val="none"/>
          <w:u w:val="single"/>
        </w:rPr>
        <w:t xml:space="preserve"> （企业名称） </w:t>
      </w:r>
      <w:r>
        <w:rPr>
          <w:rFonts w:hint="eastAsia" w:cs="宋体"/>
          <w:color w:val="auto"/>
          <w:spacing w:val="6"/>
          <w:szCs w:val="24"/>
          <w:highlight w:val="none"/>
        </w:rPr>
        <w:t>，从业人员</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人，营业收入为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万元，资产总额为</w:t>
      </w:r>
      <w:r>
        <w:rPr>
          <w:rFonts w:hint="eastAsia" w:cs="宋体"/>
          <w:color w:val="auto"/>
          <w:spacing w:val="6"/>
          <w:szCs w:val="24"/>
          <w:highlight w:val="none"/>
          <w:u w:val="single"/>
          <w:lang w:val="en-US" w:eastAsia="zh-CN"/>
        </w:rPr>
        <w:t xml:space="preserve">       </w:t>
      </w:r>
      <w:r>
        <w:rPr>
          <w:rFonts w:hint="eastAsia" w:cs="宋体"/>
          <w:color w:val="auto"/>
          <w:spacing w:val="6"/>
          <w:szCs w:val="24"/>
          <w:highlight w:val="none"/>
        </w:rPr>
        <w:t>万元，属于</w:t>
      </w:r>
      <w:r>
        <w:rPr>
          <w:rFonts w:hint="eastAsia" w:cs="宋体"/>
          <w:color w:val="auto"/>
          <w:spacing w:val="6"/>
          <w:szCs w:val="24"/>
          <w:highlight w:val="none"/>
          <w:u w:val="single"/>
        </w:rPr>
        <w:t xml:space="preserve"> （中型企业、小型企业、微型企业）</w:t>
      </w:r>
      <w:r>
        <w:rPr>
          <w:rFonts w:hint="eastAsia" w:cs="宋体"/>
          <w:color w:val="auto"/>
          <w:spacing w:val="6"/>
          <w:szCs w:val="24"/>
          <w:highlight w:val="none"/>
        </w:rPr>
        <w:t>；</w:t>
      </w:r>
    </w:p>
    <w:p w14:paraId="7CB1DD8C">
      <w:pPr>
        <w:ind w:firstLine="504" w:firstLineChars="200"/>
        <w:rPr>
          <w:rFonts w:cs="宋体"/>
          <w:color w:val="auto"/>
          <w:spacing w:val="6"/>
          <w:szCs w:val="24"/>
          <w:highlight w:val="none"/>
        </w:rPr>
      </w:pPr>
      <w:r>
        <w:rPr>
          <w:rFonts w:hint="eastAsia" w:cs="宋体"/>
          <w:color w:val="auto"/>
          <w:spacing w:val="6"/>
          <w:szCs w:val="24"/>
          <w:highlight w:val="none"/>
        </w:rPr>
        <w:t>……</w:t>
      </w:r>
    </w:p>
    <w:p w14:paraId="776FE44A">
      <w:pPr>
        <w:ind w:firstLine="504" w:firstLineChars="200"/>
        <w:rPr>
          <w:rFonts w:cs="宋体"/>
          <w:color w:val="auto"/>
          <w:spacing w:val="6"/>
          <w:szCs w:val="24"/>
          <w:highlight w:val="none"/>
        </w:rPr>
      </w:pPr>
      <w:r>
        <w:rPr>
          <w:rFonts w:hint="eastAsia" w:cs="宋体"/>
          <w:color w:val="auto"/>
          <w:spacing w:val="6"/>
          <w:szCs w:val="24"/>
          <w:highlight w:val="none"/>
        </w:rPr>
        <w:t>以上企业，不属于大企业的分支机构，不存在控股股东为大企业的情形，也不存在与大企业的负责人为同一人的情形。</w:t>
      </w:r>
    </w:p>
    <w:p w14:paraId="3A720EA2">
      <w:pPr>
        <w:ind w:firstLine="504" w:firstLineChars="200"/>
        <w:rPr>
          <w:rFonts w:cs="宋体"/>
          <w:color w:val="auto"/>
          <w:spacing w:val="6"/>
          <w:szCs w:val="24"/>
          <w:highlight w:val="none"/>
        </w:rPr>
      </w:pPr>
      <w:r>
        <w:rPr>
          <w:rFonts w:hint="eastAsia" w:cs="宋体"/>
          <w:color w:val="auto"/>
          <w:spacing w:val="6"/>
          <w:szCs w:val="24"/>
          <w:highlight w:val="none"/>
        </w:rPr>
        <w:t>本企业对上述声明内容的真实性负责。如有虚假，将依法承担相应责任。</w:t>
      </w:r>
    </w:p>
    <w:p w14:paraId="5A6D844B">
      <w:pPr>
        <w:ind w:right="1008" w:firstLine="4788" w:firstLineChars="1900"/>
        <w:rPr>
          <w:rFonts w:cs="宋体"/>
          <w:color w:val="auto"/>
          <w:spacing w:val="6"/>
          <w:szCs w:val="24"/>
          <w:highlight w:val="none"/>
        </w:rPr>
      </w:pPr>
    </w:p>
    <w:p w14:paraId="165AEE2D">
      <w:pPr>
        <w:ind w:right="1008" w:firstLine="4284" w:firstLineChars="1700"/>
        <w:rPr>
          <w:rFonts w:cs="宋体"/>
          <w:color w:val="auto"/>
          <w:spacing w:val="6"/>
          <w:szCs w:val="24"/>
          <w:highlight w:val="none"/>
        </w:rPr>
      </w:pPr>
      <w:r>
        <w:rPr>
          <w:rFonts w:hint="eastAsia" w:cs="宋体"/>
          <w:color w:val="auto"/>
          <w:spacing w:val="6"/>
          <w:szCs w:val="24"/>
          <w:highlight w:val="none"/>
          <w:lang w:val="en-US" w:eastAsia="zh-CN"/>
        </w:rPr>
        <w:t>投标人</w:t>
      </w:r>
      <w:r>
        <w:rPr>
          <w:rFonts w:hint="eastAsia" w:cs="宋体"/>
          <w:color w:val="auto"/>
          <w:spacing w:val="6"/>
          <w:szCs w:val="24"/>
          <w:highlight w:val="none"/>
        </w:rPr>
        <w:t>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宋体"/>
          <w:color w:val="auto"/>
          <w:spacing w:val="6"/>
          <w:szCs w:val="24"/>
          <w:highlight w:val="none"/>
        </w:rPr>
        <w:t>：</w:t>
      </w:r>
    </w:p>
    <w:p w14:paraId="5183E380">
      <w:pPr>
        <w:ind w:right="1008" w:firstLine="4284" w:firstLineChars="1700"/>
        <w:rPr>
          <w:rFonts w:hint="default" w:eastAsia="宋体" w:cs="宋体"/>
          <w:color w:val="auto"/>
          <w:spacing w:val="6"/>
          <w:szCs w:val="24"/>
          <w:highlight w:val="none"/>
          <w:lang w:val="en-US" w:eastAsia="zh-CN"/>
        </w:rPr>
      </w:pPr>
      <w:r>
        <w:rPr>
          <w:rFonts w:hint="eastAsia" w:cs="宋体"/>
          <w:color w:val="auto"/>
          <w:spacing w:val="6"/>
          <w:szCs w:val="24"/>
          <w:highlight w:val="none"/>
        </w:rPr>
        <w:t>日期：</w:t>
      </w:r>
      <w:r>
        <w:rPr>
          <w:rFonts w:hint="eastAsia" w:cs="宋体"/>
          <w:color w:val="auto"/>
          <w:spacing w:val="6"/>
          <w:szCs w:val="24"/>
          <w:highlight w:val="none"/>
          <w:lang w:val="en-US" w:eastAsia="zh-CN"/>
        </w:rPr>
        <w:t xml:space="preserve">   年  月  日</w:t>
      </w:r>
    </w:p>
    <w:p w14:paraId="7BA8C73B">
      <w:pPr>
        <w:ind w:firstLine="504" w:firstLineChars="200"/>
        <w:rPr>
          <w:rFonts w:cs="宋体"/>
          <w:color w:val="auto"/>
          <w:spacing w:val="6"/>
          <w:szCs w:val="24"/>
          <w:highlight w:val="none"/>
        </w:rPr>
      </w:pPr>
    </w:p>
    <w:p w14:paraId="748B4DD4">
      <w:pPr>
        <w:rPr>
          <w:rFonts w:hint="default" w:cs="宋体"/>
          <w:b/>
          <w:bCs/>
          <w:color w:val="auto"/>
          <w:spacing w:val="6"/>
          <w:sz w:val="21"/>
          <w:szCs w:val="21"/>
          <w:highlight w:val="none"/>
          <w:lang w:val="en-US" w:eastAsia="zh-CN"/>
        </w:rPr>
      </w:pPr>
      <w:r>
        <w:rPr>
          <w:rFonts w:hint="eastAsia" w:cs="宋体"/>
          <w:b/>
          <w:bCs/>
          <w:color w:val="auto"/>
          <w:spacing w:val="6"/>
          <w:sz w:val="21"/>
          <w:szCs w:val="21"/>
          <w:highlight w:val="none"/>
        </w:rPr>
        <w:t>说明：</w:t>
      </w:r>
      <w:r>
        <w:rPr>
          <w:rFonts w:hint="eastAsia" w:cs="宋体"/>
          <w:b/>
          <w:bCs/>
          <w:color w:val="auto"/>
          <w:spacing w:val="6"/>
          <w:sz w:val="21"/>
          <w:szCs w:val="21"/>
          <w:highlight w:val="none"/>
          <w:lang w:val="en-US" w:eastAsia="zh-CN"/>
        </w:rPr>
        <w:t>1.重要提示：供应商应仔细阅读本函附件1关于</w:t>
      </w:r>
      <w:r>
        <w:rPr>
          <w:rFonts w:hint="eastAsia" w:cs="宋体"/>
          <w:color w:val="auto"/>
          <w:spacing w:val="-6"/>
          <w:kern w:val="0"/>
          <w:sz w:val="21"/>
          <w:szCs w:val="21"/>
          <w:highlight w:val="none"/>
          <w:lang w:val="en-US" w:eastAsia="zh-CN" w:bidi="ar"/>
        </w:rPr>
        <w:t>“</w:t>
      </w:r>
      <w:r>
        <w:rPr>
          <w:rFonts w:hint="eastAsia" w:cs="宋体"/>
          <w:b/>
          <w:bCs/>
          <w:color w:val="auto"/>
          <w:spacing w:val="6"/>
          <w:sz w:val="21"/>
          <w:szCs w:val="21"/>
          <w:highlight w:val="none"/>
          <w:lang w:val="en-US" w:eastAsia="zh-CN"/>
        </w:rPr>
        <w:t>中小企业声明函”的填写要求及提交要求，否则，因填写或提交等产生的一切不利后果，须自行承担。</w:t>
      </w:r>
    </w:p>
    <w:p w14:paraId="126DF3AF">
      <w:pPr>
        <w:ind w:firstLine="668" w:firstLineChars="300"/>
        <w:rPr>
          <w:rFonts w:cs="宋体"/>
          <w:color w:val="auto"/>
          <w:spacing w:val="6"/>
          <w:sz w:val="21"/>
          <w:szCs w:val="21"/>
          <w:highlight w:val="none"/>
        </w:rPr>
      </w:pPr>
      <w:r>
        <w:rPr>
          <w:rFonts w:hint="eastAsia" w:cs="宋体"/>
          <w:b/>
          <w:bCs/>
          <w:color w:val="auto"/>
          <w:spacing w:val="6"/>
          <w:sz w:val="21"/>
          <w:szCs w:val="21"/>
          <w:highlight w:val="none"/>
          <w:lang w:val="en-US" w:eastAsia="zh-CN"/>
        </w:rPr>
        <w:t>2.</w:t>
      </w:r>
      <w:r>
        <w:rPr>
          <w:rFonts w:hint="eastAsia" w:cs="宋体"/>
          <w:color w:val="auto"/>
          <w:spacing w:val="6"/>
          <w:sz w:val="21"/>
          <w:szCs w:val="21"/>
          <w:highlight w:val="none"/>
        </w:rPr>
        <w:t>从业人员、营业收入、资产总额填报上一年度数据，无上一年度数据的新成立企业可不填报。</w:t>
      </w:r>
    </w:p>
    <w:p w14:paraId="54C60C6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44B897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7665769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color w:val="auto"/>
          <w:highlight w:val="none"/>
          <w:lang w:val="en-US" w:eastAsia="zh-CN"/>
        </w:rPr>
      </w:pPr>
    </w:p>
    <w:p w14:paraId="4B9EE2D8">
      <w:pPr>
        <w:pStyle w:val="4"/>
        <w:bidi w:val="0"/>
        <w:rPr>
          <w:rFonts w:hint="eastAsia"/>
          <w:highlight w:val="none"/>
          <w:lang w:val="en-US" w:eastAsia="zh-CN"/>
        </w:rPr>
      </w:pPr>
      <w:bookmarkStart w:id="595" w:name="_Toc29132"/>
      <w:r>
        <w:rPr>
          <w:rFonts w:hint="eastAsia"/>
          <w:highlight w:val="none"/>
          <w:lang w:val="en-US" w:eastAsia="zh-CN"/>
        </w:rPr>
        <w:t>四、不参与围标串标承诺书</w:t>
      </w:r>
      <w:bookmarkEnd w:id="595"/>
    </w:p>
    <w:p w14:paraId="70D7F20B">
      <w:pPr>
        <w:pStyle w:val="4"/>
        <w:keepNext/>
        <w:keepLines/>
        <w:pageBreakBefore w:val="0"/>
        <w:widowControl w:val="0"/>
        <w:numPr>
          <w:ilvl w:val="0"/>
          <w:numId w:val="0"/>
        </w:numPr>
        <w:kinsoku/>
        <w:wordWrap/>
        <w:overflowPunct/>
        <w:topLinePunct w:val="0"/>
        <w:autoSpaceDE/>
        <w:autoSpaceDN/>
        <w:bidi w:val="0"/>
        <w:adjustRightInd/>
        <w:snapToGrid/>
        <w:spacing w:before="100" w:after="100" w:line="240" w:lineRule="auto"/>
        <w:ind w:left="420" w:leftChars="0" w:hanging="420" w:firstLineChars="0"/>
        <w:textAlignment w:val="auto"/>
        <w:rPr>
          <w:rFonts w:hint="eastAsia" w:eastAsia="宋体" w:asciiTheme="majorHAnsi" w:hAnsiTheme="majorHAnsi" w:cstheme="majorBidi"/>
          <w:b/>
          <w:bCs/>
          <w:color w:val="auto"/>
          <w:kern w:val="2"/>
          <w:sz w:val="32"/>
          <w:szCs w:val="32"/>
          <w:highlight w:val="none"/>
          <w:lang w:val="en-US" w:eastAsia="zh-CN" w:bidi="ar-SA"/>
        </w:rPr>
      </w:pPr>
    </w:p>
    <w:p w14:paraId="75FF23AC">
      <w:pPr>
        <w:jc w:val="center"/>
        <w:rPr>
          <w:rFonts w:hint="eastAsia"/>
          <w:color w:val="auto"/>
          <w:highlight w:val="none"/>
          <w:lang w:val="en-US" w:eastAsia="zh-CN"/>
        </w:rPr>
      </w:pPr>
      <w:r>
        <w:rPr>
          <w:rFonts w:hint="eastAsia" w:cstheme="majorBidi"/>
          <w:b/>
          <w:bCs/>
          <w:color w:val="auto"/>
          <w:kern w:val="2"/>
          <w:sz w:val="32"/>
          <w:szCs w:val="32"/>
          <w:highlight w:val="none"/>
          <w:lang w:val="en-US" w:eastAsia="zh-CN" w:bidi="ar-SA"/>
        </w:rPr>
        <w:t>不参与围标串标承诺书</w:t>
      </w:r>
    </w:p>
    <w:p w14:paraId="6B233C07">
      <w:pPr>
        <w:rPr>
          <w:rFonts w:hint="eastAsia"/>
          <w:color w:val="auto"/>
          <w:highlight w:val="none"/>
          <w:lang w:val="en-US" w:eastAsia="zh-CN"/>
        </w:rPr>
      </w:pPr>
      <w:r>
        <w:rPr>
          <w:rFonts w:hint="eastAsia"/>
          <w:color w:val="auto"/>
          <w:highlight w:val="none"/>
          <w:lang w:val="en-US" w:eastAsia="zh-CN"/>
        </w:rPr>
        <w:t>  </w:t>
      </w:r>
    </w:p>
    <w:p w14:paraId="1ACC5C30">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本人作为经授权的投标人代表,清楚知晓我单位本项目投标活动,对以下事项作出承诺：</w:t>
      </w:r>
    </w:p>
    <w:p w14:paraId="398E608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p>
    <w:p w14:paraId="26BB11E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一、我单位和我本人遵循公开透明、公平竞争、公正和诚实信用的原则,依法依规参与本项目竞标。</w:t>
      </w:r>
    </w:p>
    <w:p w14:paraId="10BBFC5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二、我单位和我本人在本项目政府采购投标活动中,未参与围标串标。</w:t>
      </w:r>
    </w:p>
    <w:p w14:paraId="1A7E3475">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color w:val="auto"/>
          <w:highlight w:val="none"/>
          <w:lang w:val="en-US" w:eastAsia="zh-CN"/>
        </w:rPr>
      </w:pPr>
      <w:r>
        <w:rPr>
          <w:rFonts w:hint="eastAsia"/>
          <w:color w:val="auto"/>
          <w:highlight w:val="none"/>
          <w:lang w:val="en-US" w:eastAsia="zh-CN"/>
        </w:rPr>
        <w:t>三、我单位如被查实在本项目政府采购投标活动中存在围标串标的，递交投标文件行为作为实施串通投标违法行为的关键环节,由我单位及法定代表人承担相应的法律责任，接受相应行政处罚和失信惩戒。</w:t>
      </w:r>
    </w:p>
    <w:p w14:paraId="29E3C848">
      <w:pPr>
        <w:pStyle w:val="13"/>
        <w:rPr>
          <w:rFonts w:hint="eastAsia"/>
          <w:color w:val="auto"/>
          <w:highlight w:val="none"/>
          <w:lang w:val="en-US" w:eastAsia="zh-CN"/>
        </w:rPr>
      </w:pPr>
    </w:p>
    <w:p w14:paraId="39CB3E48">
      <w:pPr>
        <w:spacing w:line="560" w:lineRule="exact"/>
        <w:rPr>
          <w:rFonts w:hint="eastAsia" w:ascii="宋体" w:hAnsi="宋体" w:eastAsia="宋体" w:cs="宋体"/>
          <w:color w:val="auto"/>
          <w:kern w:val="0"/>
          <w:sz w:val="24"/>
          <w:szCs w:val="24"/>
          <w:highlight w:val="none"/>
        </w:rPr>
      </w:pPr>
    </w:p>
    <w:p w14:paraId="19648C53">
      <w:pPr>
        <w:spacing w:line="560" w:lineRule="exact"/>
        <w:rPr>
          <w:rFonts w:hint="eastAsia" w:ascii="宋体" w:hAnsi="宋体" w:eastAsia="宋体" w:cs="宋体"/>
          <w:color w:val="auto"/>
          <w:kern w:val="0"/>
          <w:sz w:val="24"/>
          <w:szCs w:val="24"/>
          <w:highlight w:val="none"/>
        </w:rPr>
      </w:pPr>
      <w:r>
        <w:rPr>
          <w:rFonts w:hint="eastAsia" w:cs="宋体"/>
          <w:color w:val="auto"/>
          <w:kern w:val="0"/>
          <w:sz w:val="24"/>
          <w:szCs w:val="24"/>
          <w:highlight w:val="none"/>
          <w:lang w:val="en-US" w:eastAsia="zh-CN"/>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rPr>
        <w:t>：</w:t>
      </w:r>
    </w:p>
    <w:p w14:paraId="2CCE383A">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法定代表人、负责人、本人、或授权代表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rPr>
        <w:t>：</w:t>
      </w:r>
    </w:p>
    <w:p w14:paraId="692B3277">
      <w:pPr>
        <w:spacing w:line="5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 年 月 日</w:t>
      </w:r>
    </w:p>
    <w:p w14:paraId="13DA43E0">
      <w:pPr>
        <w:widowControl/>
        <w:spacing w:line="560" w:lineRule="exact"/>
        <w:ind w:firstLine="630"/>
        <w:jc w:val="left"/>
        <w:rPr>
          <w:rFonts w:hint="eastAsia" w:ascii="宋体" w:hAnsi="宋体" w:eastAsia="宋体" w:cs="宋体"/>
          <w:color w:val="auto"/>
          <w:kern w:val="0"/>
          <w:sz w:val="24"/>
          <w:szCs w:val="24"/>
          <w:highlight w:val="none"/>
        </w:rPr>
      </w:pPr>
    </w:p>
    <w:p w14:paraId="7CD72A88">
      <w:pPr>
        <w:pStyle w:val="13"/>
        <w:rPr>
          <w:rFonts w:hint="eastAsia"/>
          <w:color w:val="auto"/>
          <w:highlight w:val="none"/>
          <w:lang w:val="en-US" w:eastAsia="zh-CN"/>
        </w:rPr>
      </w:pPr>
    </w:p>
    <w:p w14:paraId="6FC519D1">
      <w:pPr>
        <w:pStyle w:val="13"/>
        <w:rPr>
          <w:rFonts w:hint="eastAsia"/>
          <w:color w:val="auto"/>
          <w:highlight w:val="none"/>
          <w:lang w:val="en-US" w:eastAsia="zh-CN"/>
        </w:rPr>
      </w:pPr>
    </w:p>
    <w:p w14:paraId="7500053D">
      <w:pPr>
        <w:pStyle w:val="13"/>
        <w:rPr>
          <w:rFonts w:hint="eastAsia"/>
          <w:color w:val="auto"/>
          <w:highlight w:val="none"/>
          <w:lang w:val="en-US" w:eastAsia="zh-CN"/>
        </w:rPr>
      </w:pPr>
    </w:p>
    <w:p w14:paraId="5BF64493">
      <w:pPr>
        <w:pStyle w:val="13"/>
        <w:rPr>
          <w:rFonts w:hint="eastAsia"/>
          <w:color w:val="auto"/>
          <w:highlight w:val="none"/>
          <w:lang w:val="en-US" w:eastAsia="zh-CN"/>
        </w:rPr>
      </w:pPr>
    </w:p>
    <w:p w14:paraId="5CA01A8B">
      <w:pPr>
        <w:pStyle w:val="13"/>
        <w:rPr>
          <w:rFonts w:hint="eastAsia"/>
          <w:color w:val="auto"/>
          <w:highlight w:val="none"/>
          <w:lang w:val="en-US" w:eastAsia="zh-CN"/>
        </w:rPr>
      </w:pPr>
    </w:p>
    <w:p w14:paraId="029F743D">
      <w:pPr>
        <w:pStyle w:val="13"/>
        <w:rPr>
          <w:rFonts w:hint="eastAsia"/>
          <w:color w:val="auto"/>
          <w:highlight w:val="none"/>
          <w:lang w:val="en-US" w:eastAsia="zh-CN"/>
        </w:rPr>
      </w:pPr>
    </w:p>
    <w:p w14:paraId="41587146">
      <w:pPr>
        <w:pStyle w:val="13"/>
        <w:rPr>
          <w:rFonts w:hint="eastAsia"/>
          <w:color w:val="auto"/>
          <w:highlight w:val="none"/>
          <w:lang w:val="en-US" w:eastAsia="zh-CN"/>
        </w:rPr>
      </w:pPr>
    </w:p>
    <w:p w14:paraId="34406338">
      <w:pPr>
        <w:pStyle w:val="13"/>
        <w:rPr>
          <w:rFonts w:hint="eastAsia"/>
          <w:color w:val="auto"/>
          <w:highlight w:val="none"/>
          <w:lang w:val="en-US" w:eastAsia="zh-CN"/>
        </w:rPr>
      </w:pPr>
    </w:p>
    <w:p w14:paraId="30C8D33E">
      <w:pPr>
        <w:pStyle w:val="4"/>
        <w:bidi w:val="0"/>
        <w:rPr>
          <w:rFonts w:hint="eastAsia"/>
          <w:highlight w:val="none"/>
          <w:lang w:val="zh-CN" w:eastAsia="zh-CN"/>
        </w:rPr>
      </w:pPr>
      <w:bookmarkStart w:id="596" w:name="_Toc12419"/>
      <w:r>
        <w:rPr>
          <w:rFonts w:hint="eastAsia"/>
          <w:highlight w:val="none"/>
          <w:lang w:val="en-US" w:eastAsia="zh-CN"/>
        </w:rPr>
        <w:t>五、</w:t>
      </w:r>
      <w:r>
        <w:rPr>
          <w:rFonts w:hint="eastAsia"/>
          <w:highlight w:val="none"/>
          <w:lang w:val="zh-CN" w:eastAsia="zh-CN"/>
        </w:rPr>
        <w:t>其他资格证明文件</w:t>
      </w:r>
      <w:bookmarkEnd w:id="596"/>
    </w:p>
    <w:p w14:paraId="0C24F0AE">
      <w:pPr>
        <w:pStyle w:val="36"/>
        <w:rPr>
          <w:rFonts w:hint="eastAsia"/>
          <w:color w:val="auto"/>
          <w:highlight w:val="none"/>
        </w:rPr>
      </w:pPr>
      <w:r>
        <w:rPr>
          <w:rFonts w:hint="eastAsia" w:cs="Courier New"/>
          <w:color w:val="auto"/>
          <w:szCs w:val="24"/>
          <w:highlight w:val="none"/>
        </w:rPr>
        <w:t>投标人认为需提供的其它相关资格证明材料</w:t>
      </w:r>
    </w:p>
    <w:p w14:paraId="7C2C3E83">
      <w:pPr>
        <w:pStyle w:val="36"/>
        <w:rPr>
          <w:rFonts w:hint="eastAsia"/>
          <w:color w:val="auto"/>
          <w:highlight w:val="none"/>
        </w:rPr>
      </w:pPr>
    </w:p>
    <w:p w14:paraId="58A36194">
      <w:pPr>
        <w:pStyle w:val="36"/>
        <w:rPr>
          <w:rFonts w:hint="eastAsia"/>
          <w:color w:val="auto"/>
          <w:highlight w:val="none"/>
        </w:rPr>
      </w:pPr>
    </w:p>
    <w:p w14:paraId="3553B395">
      <w:pPr>
        <w:pStyle w:val="36"/>
        <w:rPr>
          <w:rFonts w:hint="eastAsia"/>
          <w:color w:val="auto"/>
          <w:highlight w:val="none"/>
        </w:rPr>
      </w:pPr>
    </w:p>
    <w:p w14:paraId="49D404FC">
      <w:pPr>
        <w:pStyle w:val="36"/>
        <w:rPr>
          <w:rFonts w:hint="eastAsia"/>
          <w:color w:val="auto"/>
          <w:highlight w:val="none"/>
        </w:rPr>
      </w:pPr>
    </w:p>
    <w:p w14:paraId="4B98E4B6">
      <w:pPr>
        <w:pStyle w:val="36"/>
        <w:rPr>
          <w:rFonts w:hint="eastAsia"/>
          <w:color w:val="auto"/>
          <w:highlight w:val="none"/>
        </w:rPr>
      </w:pPr>
    </w:p>
    <w:p w14:paraId="737FEDD3">
      <w:pPr>
        <w:pStyle w:val="36"/>
        <w:rPr>
          <w:rFonts w:hint="eastAsia"/>
          <w:color w:val="auto"/>
          <w:highlight w:val="none"/>
        </w:rPr>
      </w:pPr>
    </w:p>
    <w:p w14:paraId="1C876135">
      <w:pPr>
        <w:pStyle w:val="36"/>
        <w:rPr>
          <w:rFonts w:hint="eastAsia"/>
          <w:color w:val="auto"/>
          <w:highlight w:val="none"/>
        </w:rPr>
      </w:pPr>
    </w:p>
    <w:p w14:paraId="7E85C842">
      <w:pPr>
        <w:pStyle w:val="36"/>
        <w:rPr>
          <w:rFonts w:hint="eastAsia"/>
          <w:color w:val="auto"/>
          <w:highlight w:val="none"/>
        </w:rPr>
      </w:pPr>
    </w:p>
    <w:p w14:paraId="4CBE3B0D">
      <w:pPr>
        <w:pStyle w:val="36"/>
        <w:rPr>
          <w:rFonts w:hint="eastAsia"/>
          <w:color w:val="auto"/>
          <w:highlight w:val="none"/>
        </w:rPr>
      </w:pPr>
    </w:p>
    <w:p w14:paraId="2E6E451F">
      <w:pPr>
        <w:pStyle w:val="36"/>
        <w:rPr>
          <w:rFonts w:hint="eastAsia"/>
          <w:color w:val="auto"/>
          <w:highlight w:val="none"/>
        </w:rPr>
      </w:pPr>
    </w:p>
    <w:p w14:paraId="38DC2C55">
      <w:pPr>
        <w:pStyle w:val="36"/>
        <w:rPr>
          <w:rFonts w:hint="eastAsia"/>
          <w:color w:val="auto"/>
          <w:highlight w:val="none"/>
        </w:rPr>
      </w:pPr>
    </w:p>
    <w:p w14:paraId="04DAFD3C">
      <w:pPr>
        <w:pStyle w:val="36"/>
        <w:rPr>
          <w:rFonts w:hint="eastAsia"/>
          <w:color w:val="auto"/>
          <w:highlight w:val="none"/>
        </w:rPr>
      </w:pPr>
    </w:p>
    <w:p w14:paraId="51E24CDC">
      <w:pPr>
        <w:pStyle w:val="36"/>
        <w:rPr>
          <w:rFonts w:hint="eastAsia"/>
          <w:color w:val="auto"/>
          <w:highlight w:val="none"/>
        </w:rPr>
      </w:pPr>
    </w:p>
    <w:p w14:paraId="1AC1942E">
      <w:pPr>
        <w:pStyle w:val="36"/>
        <w:rPr>
          <w:rFonts w:hint="eastAsia"/>
          <w:color w:val="auto"/>
          <w:highlight w:val="none"/>
        </w:rPr>
      </w:pPr>
    </w:p>
    <w:p w14:paraId="4722E259">
      <w:pPr>
        <w:pStyle w:val="36"/>
        <w:rPr>
          <w:rFonts w:hint="eastAsia"/>
          <w:color w:val="auto"/>
          <w:highlight w:val="none"/>
        </w:rPr>
      </w:pPr>
    </w:p>
    <w:p w14:paraId="07033BD3">
      <w:pPr>
        <w:pStyle w:val="36"/>
        <w:rPr>
          <w:rFonts w:hint="eastAsia"/>
          <w:color w:val="auto"/>
          <w:highlight w:val="none"/>
        </w:rPr>
      </w:pPr>
    </w:p>
    <w:p w14:paraId="6E1D094D">
      <w:pPr>
        <w:pStyle w:val="36"/>
        <w:rPr>
          <w:rFonts w:hint="eastAsia"/>
          <w:color w:val="auto"/>
          <w:highlight w:val="none"/>
        </w:rPr>
      </w:pPr>
    </w:p>
    <w:p w14:paraId="23B0DB54">
      <w:pPr>
        <w:pStyle w:val="36"/>
        <w:rPr>
          <w:rFonts w:hint="eastAsia"/>
          <w:color w:val="auto"/>
          <w:highlight w:val="none"/>
        </w:rPr>
      </w:pPr>
    </w:p>
    <w:p w14:paraId="07159DF6">
      <w:pPr>
        <w:pStyle w:val="36"/>
        <w:rPr>
          <w:rFonts w:hint="eastAsia"/>
          <w:color w:val="auto"/>
          <w:highlight w:val="none"/>
        </w:rPr>
      </w:pPr>
    </w:p>
    <w:p w14:paraId="44B3A5AA">
      <w:pPr>
        <w:pStyle w:val="36"/>
        <w:rPr>
          <w:rFonts w:hint="eastAsia"/>
          <w:color w:val="auto"/>
          <w:highlight w:val="none"/>
        </w:rPr>
      </w:pPr>
    </w:p>
    <w:p w14:paraId="05BB178A">
      <w:pPr>
        <w:pStyle w:val="36"/>
        <w:rPr>
          <w:rFonts w:hint="eastAsia"/>
          <w:color w:val="auto"/>
          <w:highlight w:val="none"/>
        </w:rPr>
      </w:pPr>
    </w:p>
    <w:p w14:paraId="0E7980AB">
      <w:pPr>
        <w:pStyle w:val="36"/>
        <w:rPr>
          <w:rFonts w:hint="eastAsia"/>
          <w:color w:val="auto"/>
          <w:highlight w:val="none"/>
        </w:rPr>
      </w:pPr>
    </w:p>
    <w:p w14:paraId="5A09B930">
      <w:pPr>
        <w:pStyle w:val="36"/>
        <w:rPr>
          <w:rFonts w:hint="eastAsia"/>
          <w:color w:val="auto"/>
          <w:highlight w:val="none"/>
        </w:rPr>
      </w:pPr>
    </w:p>
    <w:p w14:paraId="3FB1F62E">
      <w:pPr>
        <w:pStyle w:val="36"/>
        <w:rPr>
          <w:rFonts w:hint="eastAsia"/>
          <w:color w:val="auto"/>
          <w:highlight w:val="none"/>
        </w:rPr>
      </w:pPr>
    </w:p>
    <w:p w14:paraId="3E9AC4C9">
      <w:pPr>
        <w:pStyle w:val="36"/>
        <w:rPr>
          <w:rFonts w:hint="eastAsia"/>
          <w:color w:val="auto"/>
          <w:highlight w:val="none"/>
        </w:rPr>
      </w:pPr>
    </w:p>
    <w:p w14:paraId="04384634">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40582944">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4D1553A3">
      <w:pPr>
        <w:autoSpaceDE w:val="0"/>
        <w:autoSpaceDN w:val="0"/>
        <w:adjustRightInd w:val="0"/>
        <w:rPr>
          <w:color w:val="auto"/>
          <w:sz w:val="21"/>
          <w:szCs w:val="24"/>
          <w:highlight w:val="none"/>
        </w:rPr>
      </w:pPr>
    </w:p>
    <w:p w14:paraId="4625D57D">
      <w:pPr>
        <w:autoSpaceDE w:val="0"/>
        <w:autoSpaceDN w:val="0"/>
        <w:adjustRightInd w:val="0"/>
        <w:rPr>
          <w:color w:val="auto"/>
          <w:sz w:val="21"/>
          <w:szCs w:val="24"/>
          <w:highlight w:val="none"/>
        </w:rPr>
      </w:pPr>
    </w:p>
    <w:p w14:paraId="426BCEA1">
      <w:pPr>
        <w:autoSpaceDE w:val="0"/>
        <w:autoSpaceDN w:val="0"/>
        <w:adjustRightInd w:val="0"/>
        <w:jc w:val="center"/>
        <w:rPr>
          <w:color w:val="auto"/>
          <w:sz w:val="21"/>
          <w:szCs w:val="24"/>
          <w:highlight w:val="none"/>
        </w:rPr>
      </w:pPr>
    </w:p>
    <w:p w14:paraId="3902644C">
      <w:pPr>
        <w:pStyle w:val="4"/>
        <w:bidi w:val="0"/>
        <w:jc w:val="center"/>
        <w:rPr>
          <w:sz w:val="84"/>
          <w:szCs w:val="84"/>
          <w:highlight w:val="none"/>
        </w:rPr>
      </w:pPr>
      <w:bookmarkStart w:id="597" w:name="_Toc25734"/>
      <w:r>
        <w:rPr>
          <w:rFonts w:hint="eastAsia"/>
          <w:sz w:val="84"/>
          <w:szCs w:val="84"/>
          <w:highlight w:val="none"/>
        </w:rPr>
        <w:t>投 标 文 件</w:t>
      </w:r>
      <w:bookmarkEnd w:id="597"/>
    </w:p>
    <w:p w14:paraId="5B89FC04">
      <w:pPr>
        <w:pStyle w:val="4"/>
        <w:bidi w:val="0"/>
        <w:jc w:val="center"/>
        <w:rPr>
          <w:rFonts w:hint="eastAsia"/>
          <w:sz w:val="56"/>
          <w:szCs w:val="56"/>
          <w:highlight w:val="none"/>
          <w:lang w:val="en-US" w:eastAsia="zh-CN"/>
        </w:rPr>
      </w:pPr>
      <w:bookmarkStart w:id="598" w:name="_Toc16181"/>
      <w:r>
        <w:rPr>
          <w:rFonts w:hint="eastAsia"/>
          <w:sz w:val="56"/>
          <w:szCs w:val="56"/>
          <w:highlight w:val="none"/>
          <w:lang w:val="en-US" w:eastAsia="zh-CN"/>
        </w:rPr>
        <w:t>报价文件</w:t>
      </w:r>
      <w:bookmarkEnd w:id="598"/>
    </w:p>
    <w:p w14:paraId="054E0C81">
      <w:pPr>
        <w:pStyle w:val="4"/>
        <w:rPr>
          <w:color w:val="auto"/>
          <w:sz w:val="21"/>
          <w:szCs w:val="21"/>
          <w:highlight w:val="none"/>
        </w:rPr>
      </w:pPr>
    </w:p>
    <w:p w14:paraId="425E1EDC">
      <w:pPr>
        <w:rPr>
          <w:color w:val="auto"/>
          <w:sz w:val="21"/>
          <w:szCs w:val="21"/>
          <w:highlight w:val="none"/>
        </w:rPr>
      </w:pPr>
    </w:p>
    <w:p w14:paraId="5FFD5616">
      <w:pPr>
        <w:rPr>
          <w:color w:val="auto"/>
          <w:highlight w:val="none"/>
        </w:rPr>
      </w:pPr>
    </w:p>
    <w:p w14:paraId="0338FA55">
      <w:pPr>
        <w:autoSpaceDE w:val="0"/>
        <w:autoSpaceDN w:val="0"/>
        <w:adjustRightInd w:val="0"/>
        <w:rPr>
          <w:color w:val="auto"/>
          <w:sz w:val="21"/>
          <w:szCs w:val="21"/>
          <w:highlight w:val="none"/>
        </w:rPr>
      </w:pPr>
    </w:p>
    <w:p w14:paraId="336C0AE3">
      <w:pPr>
        <w:autoSpaceDE w:val="0"/>
        <w:autoSpaceDN w:val="0"/>
        <w:adjustRightInd w:val="0"/>
        <w:rPr>
          <w:color w:val="auto"/>
          <w:sz w:val="21"/>
          <w:szCs w:val="21"/>
          <w:highlight w:val="none"/>
        </w:rPr>
      </w:pPr>
    </w:p>
    <w:p w14:paraId="6F475132">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173F70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01680F9">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13B6644C">
      <w:pPr>
        <w:ind w:left="840" w:firstLine="420"/>
        <w:rPr>
          <w:b/>
          <w:bCs/>
          <w:color w:val="auto"/>
          <w:sz w:val="28"/>
          <w:szCs w:val="28"/>
          <w:highlight w:val="none"/>
        </w:rPr>
      </w:pPr>
    </w:p>
    <w:p w14:paraId="5776D25B">
      <w:pPr>
        <w:ind w:left="840" w:firstLine="420"/>
        <w:rPr>
          <w:b/>
          <w:bCs/>
          <w:color w:val="auto"/>
          <w:sz w:val="28"/>
          <w:szCs w:val="28"/>
          <w:highlight w:val="none"/>
        </w:rPr>
      </w:pPr>
    </w:p>
    <w:p w14:paraId="153E0B10">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B025C97">
      <w:pPr>
        <w:rPr>
          <w:color w:val="auto"/>
          <w:highlight w:val="none"/>
          <w:lang w:val="zh-CN"/>
        </w:rPr>
      </w:pPr>
      <w:r>
        <w:rPr>
          <w:color w:val="auto"/>
          <w:highlight w:val="none"/>
          <w:lang w:val="zh-CN"/>
        </w:rPr>
        <w:br w:type="page"/>
      </w:r>
    </w:p>
    <w:p w14:paraId="5A6B7717">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730DA0BC">
      <w:pPr>
        <w:pStyle w:val="4"/>
        <w:bidi w:val="0"/>
        <w:jc w:val="center"/>
        <w:rPr>
          <w:rFonts w:hint="eastAsia"/>
          <w:highlight w:val="none"/>
          <w:lang w:val="en-US" w:eastAsia="zh-CN"/>
        </w:rPr>
      </w:pPr>
      <w:bookmarkStart w:id="599" w:name="_Toc13682"/>
      <w:r>
        <w:rPr>
          <w:rFonts w:hint="eastAsia"/>
          <w:highlight w:val="none"/>
          <w:lang w:val="en-US" w:eastAsia="zh-CN"/>
        </w:rPr>
        <w:t>一、开标一览表</w:t>
      </w:r>
      <w:bookmarkEnd w:id="599"/>
    </w:p>
    <w:p w14:paraId="2AB3D72A">
      <w:pPr>
        <w:spacing w:line="300" w:lineRule="auto"/>
        <w:rPr>
          <w:rFonts w:cs="仿宋_GB2312"/>
          <w:color w:val="auto"/>
          <w:szCs w:val="24"/>
          <w:highlight w:val="none"/>
        </w:rPr>
      </w:pPr>
    </w:p>
    <w:p w14:paraId="599D3A7B">
      <w:pPr>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p>
    <w:p w14:paraId="0CABFDF4">
      <w:pPr>
        <w:rPr>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5F27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68B46E6E">
            <w:pPr>
              <w:widowControl/>
              <w:autoSpaceDE w:val="0"/>
              <w:autoSpaceDN w:val="0"/>
              <w:spacing w:line="240" w:lineRule="auto"/>
              <w:jc w:val="center"/>
              <w:textAlignment w:val="bottom"/>
              <w:rPr>
                <w:color w:val="auto"/>
                <w:sz w:val="24"/>
                <w:szCs w:val="24"/>
                <w:highlight w:val="none"/>
              </w:rPr>
            </w:pPr>
            <w:r>
              <w:rPr>
                <w:rFonts w:hint="eastAsia"/>
                <w:color w:val="auto"/>
                <w:sz w:val="24"/>
                <w:szCs w:val="24"/>
                <w:highlight w:val="none"/>
              </w:rPr>
              <w:t>序号</w:t>
            </w:r>
          </w:p>
        </w:tc>
        <w:tc>
          <w:tcPr>
            <w:tcW w:w="2352" w:type="dxa"/>
            <w:vAlign w:val="center"/>
          </w:tcPr>
          <w:p w14:paraId="449CC989">
            <w:pPr>
              <w:widowControl/>
              <w:autoSpaceDE w:val="0"/>
              <w:autoSpaceDN w:val="0"/>
              <w:spacing w:line="240" w:lineRule="auto"/>
              <w:ind w:left="851" w:hanging="851"/>
              <w:jc w:val="center"/>
              <w:textAlignment w:val="bottom"/>
              <w:rPr>
                <w:rFonts w:hint="eastAsia"/>
                <w:color w:val="auto"/>
                <w:sz w:val="24"/>
                <w:szCs w:val="24"/>
                <w:highlight w:val="none"/>
              </w:rPr>
            </w:pPr>
            <w:r>
              <w:rPr>
                <w:rFonts w:hint="eastAsia"/>
                <w:color w:val="auto"/>
                <w:sz w:val="24"/>
                <w:szCs w:val="24"/>
                <w:highlight w:val="none"/>
              </w:rPr>
              <w:t>投标报价</w:t>
            </w:r>
          </w:p>
          <w:p w14:paraId="5D10FF2E">
            <w:pPr>
              <w:widowControl/>
              <w:autoSpaceDE w:val="0"/>
              <w:autoSpaceDN w:val="0"/>
              <w:spacing w:line="240" w:lineRule="auto"/>
              <w:ind w:left="851" w:hanging="851"/>
              <w:jc w:val="center"/>
              <w:textAlignment w:val="bottom"/>
              <w:rPr>
                <w:rFonts w:hint="eastAsia" w:eastAsia="宋体"/>
                <w:color w:val="auto"/>
                <w:sz w:val="24"/>
                <w:szCs w:val="24"/>
                <w:highlight w:val="none"/>
                <w:lang w:eastAsia="zh-CN"/>
              </w:rPr>
            </w:pPr>
            <w:r>
              <w:rPr>
                <w:rFonts w:hint="eastAsia"/>
                <w:color w:val="auto"/>
                <w:sz w:val="24"/>
                <w:szCs w:val="24"/>
                <w:highlight w:val="none"/>
                <w:lang w:eastAsia="zh-CN"/>
              </w:rPr>
              <w:t>（</w:t>
            </w:r>
            <w:r>
              <w:rPr>
                <w:rFonts w:hint="eastAsia"/>
                <w:color w:val="auto"/>
                <w:sz w:val="24"/>
                <w:szCs w:val="24"/>
                <w:highlight w:val="none"/>
                <w:lang w:val="en-US" w:eastAsia="zh-CN"/>
              </w:rPr>
              <w:t>单价合计总价</w:t>
            </w:r>
            <w:r>
              <w:rPr>
                <w:rFonts w:hint="eastAsia"/>
                <w:color w:val="auto"/>
                <w:sz w:val="24"/>
                <w:szCs w:val="24"/>
                <w:highlight w:val="none"/>
                <w:lang w:eastAsia="zh-CN"/>
              </w:rPr>
              <w:t>）</w:t>
            </w:r>
          </w:p>
        </w:tc>
        <w:tc>
          <w:tcPr>
            <w:tcW w:w="2161" w:type="dxa"/>
            <w:vAlign w:val="center"/>
          </w:tcPr>
          <w:p w14:paraId="48CC1886">
            <w:pPr>
              <w:widowControl/>
              <w:autoSpaceDE w:val="0"/>
              <w:autoSpaceDN w:val="0"/>
              <w:spacing w:line="240" w:lineRule="auto"/>
              <w:ind w:left="851" w:hanging="851"/>
              <w:jc w:val="center"/>
              <w:textAlignment w:val="bottom"/>
              <w:rPr>
                <w:color w:val="auto"/>
                <w:sz w:val="24"/>
                <w:szCs w:val="24"/>
                <w:highlight w:val="none"/>
              </w:rPr>
            </w:pPr>
            <w:r>
              <w:rPr>
                <w:rFonts w:hint="eastAsia"/>
                <w:color w:val="auto"/>
                <w:sz w:val="24"/>
                <w:szCs w:val="24"/>
                <w:highlight w:val="none"/>
              </w:rPr>
              <w:t>交货期限</w:t>
            </w:r>
          </w:p>
        </w:tc>
        <w:tc>
          <w:tcPr>
            <w:tcW w:w="2611" w:type="dxa"/>
            <w:vAlign w:val="center"/>
          </w:tcPr>
          <w:p w14:paraId="620875ED">
            <w:pPr>
              <w:widowControl/>
              <w:autoSpaceDE w:val="0"/>
              <w:autoSpaceDN w:val="0"/>
              <w:spacing w:line="240" w:lineRule="auto"/>
              <w:jc w:val="center"/>
              <w:textAlignment w:val="bottom"/>
              <w:rPr>
                <w:color w:val="auto"/>
                <w:sz w:val="24"/>
                <w:szCs w:val="24"/>
                <w:highlight w:val="none"/>
              </w:rPr>
            </w:pPr>
            <w:r>
              <w:rPr>
                <w:rFonts w:hint="eastAsia"/>
                <w:color w:val="auto"/>
                <w:sz w:val="24"/>
                <w:szCs w:val="24"/>
                <w:highlight w:val="none"/>
              </w:rPr>
              <w:t>备注（如有）</w:t>
            </w:r>
          </w:p>
        </w:tc>
      </w:tr>
      <w:tr w14:paraId="1B09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73431128">
            <w:pPr>
              <w:widowControl/>
              <w:autoSpaceDE w:val="0"/>
              <w:autoSpaceDN w:val="0"/>
              <w:spacing w:line="240" w:lineRule="auto"/>
              <w:ind w:left="851" w:hanging="851"/>
              <w:jc w:val="center"/>
              <w:textAlignment w:val="bottom"/>
              <w:rPr>
                <w:rFonts w:hint="eastAsia"/>
                <w:color w:val="auto"/>
                <w:sz w:val="24"/>
                <w:szCs w:val="24"/>
                <w:highlight w:val="none"/>
              </w:rPr>
            </w:pPr>
          </w:p>
        </w:tc>
        <w:tc>
          <w:tcPr>
            <w:tcW w:w="2352" w:type="dxa"/>
            <w:vAlign w:val="center"/>
          </w:tcPr>
          <w:p w14:paraId="45A40F19">
            <w:pPr>
              <w:widowControl/>
              <w:shd w:val="clear"/>
              <w:autoSpaceDE w:val="0"/>
              <w:autoSpaceDN w:val="0"/>
              <w:spacing w:line="240" w:lineRule="auto"/>
              <w:ind w:left="851" w:hanging="851"/>
              <w:jc w:val="both"/>
              <w:textAlignment w:val="bottom"/>
              <w:rPr>
                <w:rFonts w:hint="eastAsia"/>
                <w:color w:val="auto"/>
                <w:sz w:val="24"/>
                <w:szCs w:val="24"/>
                <w:highlight w:val="none"/>
                <w:lang w:val="en-US" w:eastAsia="zh-CN"/>
              </w:rPr>
            </w:pPr>
            <w:r>
              <w:rPr>
                <w:rFonts w:hint="eastAsia"/>
                <w:color w:val="auto"/>
                <w:sz w:val="24"/>
                <w:szCs w:val="24"/>
                <w:highlight w:val="none"/>
                <w:lang w:val="en-US" w:eastAsia="zh-CN"/>
              </w:rPr>
              <w:t>小写：</w:t>
            </w:r>
          </w:p>
          <w:p w14:paraId="11F7915D">
            <w:pPr>
              <w:widowControl/>
              <w:shd w:val="clear"/>
              <w:autoSpaceDE w:val="0"/>
              <w:autoSpaceDN w:val="0"/>
              <w:spacing w:line="240" w:lineRule="auto"/>
              <w:ind w:left="851" w:hanging="851"/>
              <w:jc w:val="both"/>
              <w:textAlignment w:val="bottom"/>
              <w:rPr>
                <w:rFonts w:hint="default"/>
                <w:color w:val="auto"/>
                <w:sz w:val="24"/>
                <w:szCs w:val="24"/>
                <w:highlight w:val="none"/>
                <w:lang w:val="en-US" w:eastAsia="zh-CN"/>
              </w:rPr>
            </w:pPr>
            <w:r>
              <w:rPr>
                <w:rFonts w:hint="eastAsia"/>
                <w:color w:val="auto"/>
                <w:sz w:val="24"/>
                <w:szCs w:val="24"/>
                <w:highlight w:val="none"/>
                <w:lang w:val="en-US" w:eastAsia="zh-CN"/>
              </w:rPr>
              <w:t>大写：</w:t>
            </w:r>
          </w:p>
        </w:tc>
        <w:tc>
          <w:tcPr>
            <w:tcW w:w="2161" w:type="dxa"/>
            <w:vAlign w:val="center"/>
          </w:tcPr>
          <w:p w14:paraId="3409D243">
            <w:pPr>
              <w:widowControl/>
              <w:autoSpaceDE w:val="0"/>
              <w:autoSpaceDN w:val="0"/>
              <w:spacing w:line="240" w:lineRule="auto"/>
              <w:ind w:left="851" w:hanging="851"/>
              <w:jc w:val="center"/>
              <w:textAlignment w:val="bottom"/>
              <w:rPr>
                <w:rFonts w:hint="eastAsia"/>
                <w:color w:val="auto"/>
                <w:sz w:val="24"/>
                <w:szCs w:val="24"/>
                <w:highlight w:val="none"/>
              </w:rPr>
            </w:pPr>
          </w:p>
        </w:tc>
        <w:tc>
          <w:tcPr>
            <w:tcW w:w="2611" w:type="dxa"/>
            <w:vAlign w:val="center"/>
          </w:tcPr>
          <w:p w14:paraId="35602B49">
            <w:pPr>
              <w:widowControl/>
              <w:autoSpaceDE w:val="0"/>
              <w:autoSpaceDN w:val="0"/>
              <w:spacing w:line="240" w:lineRule="auto"/>
              <w:ind w:left="851" w:hanging="851"/>
              <w:jc w:val="center"/>
              <w:textAlignment w:val="bottom"/>
              <w:rPr>
                <w:rFonts w:hint="eastAsia"/>
                <w:color w:val="auto"/>
                <w:sz w:val="24"/>
                <w:szCs w:val="24"/>
                <w:highlight w:val="none"/>
              </w:rPr>
            </w:pPr>
          </w:p>
        </w:tc>
      </w:tr>
    </w:tbl>
    <w:p w14:paraId="486E37D7">
      <w:pPr>
        <w:spacing w:line="300" w:lineRule="auto"/>
        <w:rPr>
          <w:rFonts w:ascii="Arial" w:hAnsi="Arial" w:cs="Arial"/>
          <w:color w:val="auto"/>
          <w:szCs w:val="21"/>
          <w:highlight w:val="none"/>
          <w:u w:val="single"/>
        </w:rPr>
      </w:pPr>
    </w:p>
    <w:p w14:paraId="0270EFB4">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6302F8A6">
      <w:pPr>
        <w:spacing w:line="300" w:lineRule="auto"/>
        <w:rPr>
          <w:rFonts w:ascii="Arial" w:hAnsi="Arial" w:cs="Arial"/>
          <w:color w:val="auto"/>
          <w:szCs w:val="21"/>
          <w:highlight w:val="none"/>
          <w:u w:val="single"/>
        </w:rPr>
      </w:pPr>
      <w:r>
        <w:rPr>
          <w:rFonts w:ascii="Arial" w:hAnsi="Arial" w:cs="Arial"/>
          <w:color w:val="auto"/>
          <w:szCs w:val="21"/>
          <w:highlight w:val="none"/>
        </w:rPr>
        <w:t>日期：</w:t>
      </w:r>
    </w:p>
    <w:p w14:paraId="722CC087">
      <w:pPr>
        <w:rPr>
          <w:rFonts w:cs="Arial"/>
          <w:color w:val="auto"/>
          <w:szCs w:val="24"/>
          <w:highlight w:val="none"/>
        </w:rPr>
      </w:pPr>
    </w:p>
    <w:p w14:paraId="21BB3A26">
      <w:pPr>
        <w:pStyle w:val="13"/>
        <w:rPr>
          <w:rFonts w:cs="Arial"/>
          <w:color w:val="auto"/>
          <w:szCs w:val="24"/>
          <w:highlight w:val="none"/>
        </w:rPr>
      </w:pPr>
    </w:p>
    <w:p w14:paraId="4C551945">
      <w:pPr>
        <w:pStyle w:val="13"/>
        <w:rPr>
          <w:rFonts w:cs="Arial"/>
          <w:color w:val="auto"/>
          <w:szCs w:val="24"/>
          <w:highlight w:val="none"/>
        </w:rPr>
      </w:pPr>
    </w:p>
    <w:p w14:paraId="09ACCEBB">
      <w:pPr>
        <w:pStyle w:val="13"/>
        <w:rPr>
          <w:rFonts w:cs="Arial"/>
          <w:color w:val="auto"/>
          <w:szCs w:val="24"/>
          <w:highlight w:val="none"/>
        </w:rPr>
      </w:pPr>
    </w:p>
    <w:p w14:paraId="54CAC625">
      <w:pPr>
        <w:pStyle w:val="13"/>
        <w:rPr>
          <w:rFonts w:cs="Arial"/>
          <w:color w:val="auto"/>
          <w:szCs w:val="24"/>
          <w:highlight w:val="none"/>
        </w:rPr>
      </w:pPr>
    </w:p>
    <w:p w14:paraId="5D119674">
      <w:pPr>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注：</w:t>
      </w:r>
    </w:p>
    <w:p w14:paraId="7BF32ACE">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1.此表用于开标唱标之用。</w:t>
      </w:r>
    </w:p>
    <w:p w14:paraId="7C885789">
      <w:pPr>
        <w:spacing w:line="360" w:lineRule="auto"/>
        <w:ind w:firstLine="43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2.表中投标报价即为优惠后报价，并作为评审及定标依据。任何有选择或有条件的投标报价，或者表中某一包填写多个报价，均为无效报价。</w:t>
      </w:r>
    </w:p>
    <w:p w14:paraId="68588FF0">
      <w:pPr>
        <w:pStyle w:val="13"/>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.表中大写与小写不一致的，以大写为准。</w:t>
      </w:r>
    </w:p>
    <w:p w14:paraId="4D6E4C40">
      <w:pPr>
        <w:pStyle w:val="13"/>
        <w:ind w:firstLine="480" w:firstLineChars="200"/>
        <w:rPr>
          <w:rFonts w:hint="eastAsia" w:ascii="宋体" w:hAnsi="宋体" w:eastAsia="宋体" w:cs="宋体"/>
          <w:color w:val="auto"/>
          <w:sz w:val="24"/>
          <w:szCs w:val="24"/>
          <w:highlight w:val="none"/>
        </w:rPr>
      </w:pPr>
    </w:p>
    <w:p w14:paraId="5E0B168A">
      <w:pPr>
        <w:pStyle w:val="13"/>
        <w:ind w:firstLine="480" w:firstLineChars="200"/>
        <w:rPr>
          <w:rFonts w:hint="eastAsia" w:ascii="宋体" w:hAnsi="宋体" w:eastAsia="宋体" w:cs="宋体"/>
          <w:color w:val="auto"/>
          <w:sz w:val="24"/>
          <w:szCs w:val="24"/>
          <w:highlight w:val="none"/>
        </w:rPr>
      </w:pPr>
    </w:p>
    <w:p w14:paraId="050DEE08">
      <w:pPr>
        <w:pStyle w:val="13"/>
        <w:ind w:firstLine="480" w:firstLineChars="200"/>
        <w:rPr>
          <w:rFonts w:hint="eastAsia" w:ascii="宋体" w:hAnsi="宋体" w:eastAsia="宋体" w:cs="宋体"/>
          <w:color w:val="auto"/>
          <w:sz w:val="24"/>
          <w:szCs w:val="24"/>
          <w:highlight w:val="none"/>
        </w:rPr>
      </w:pPr>
    </w:p>
    <w:p w14:paraId="6229B505">
      <w:pPr>
        <w:pStyle w:val="4"/>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sectPr>
          <w:footerReference r:id="rId10"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14:paraId="7B2B178E">
      <w:pPr>
        <w:pStyle w:val="4"/>
        <w:bidi w:val="0"/>
        <w:jc w:val="center"/>
        <w:rPr>
          <w:rFonts w:hint="eastAsia"/>
          <w:highlight w:val="none"/>
          <w:lang w:val="en-US" w:eastAsia="zh-CN"/>
        </w:rPr>
      </w:pPr>
      <w:bookmarkStart w:id="600" w:name="_Toc16528"/>
      <w:r>
        <w:rPr>
          <w:rFonts w:hint="eastAsia"/>
          <w:highlight w:val="none"/>
          <w:lang w:val="en-US" w:eastAsia="zh-CN"/>
        </w:rPr>
        <w:t>二、分项报价表</w:t>
      </w:r>
      <w:bookmarkEnd w:id="600"/>
    </w:p>
    <w:p w14:paraId="3C0402CB">
      <w:pPr>
        <w:spacing w:line="240" w:lineRule="auto"/>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5456D210">
      <w:pPr>
        <w:spacing w:line="240" w:lineRule="auto"/>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lang w:val="zh-CN"/>
        </w:rPr>
        <w:t xml:space="preserve">      </w:t>
      </w:r>
    </w:p>
    <w:tbl>
      <w:tblPr>
        <w:tblStyle w:val="30"/>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66"/>
        <w:gridCol w:w="1067"/>
        <w:gridCol w:w="1040"/>
        <w:gridCol w:w="1384"/>
        <w:gridCol w:w="1008"/>
        <w:gridCol w:w="1464"/>
        <w:gridCol w:w="1025"/>
        <w:gridCol w:w="863"/>
        <w:gridCol w:w="1324"/>
        <w:gridCol w:w="1026"/>
        <w:gridCol w:w="923"/>
        <w:gridCol w:w="1091"/>
      </w:tblGrid>
      <w:tr w14:paraId="33107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94" w:type="dxa"/>
            <w:vAlign w:val="center"/>
          </w:tcPr>
          <w:p w14:paraId="2D51E3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kern w:val="2"/>
                <w:sz w:val="21"/>
                <w:szCs w:val="21"/>
                <w:highlight w:val="none"/>
              </w:rPr>
              <w:t>序号</w:t>
            </w:r>
          </w:p>
        </w:tc>
        <w:tc>
          <w:tcPr>
            <w:tcW w:w="1066" w:type="dxa"/>
            <w:vAlign w:val="center"/>
          </w:tcPr>
          <w:p w14:paraId="31DAB9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分项</w:t>
            </w:r>
            <w:r>
              <w:rPr>
                <w:rFonts w:hint="eastAsia" w:ascii="宋体" w:hAnsi="宋体" w:eastAsia="宋体" w:cs="宋体"/>
                <w:b w:val="0"/>
                <w:bCs/>
                <w:color w:val="auto"/>
                <w:sz w:val="21"/>
                <w:szCs w:val="21"/>
                <w:highlight w:val="none"/>
              </w:rPr>
              <w:t>名称</w:t>
            </w:r>
          </w:p>
        </w:tc>
        <w:tc>
          <w:tcPr>
            <w:tcW w:w="1067" w:type="dxa"/>
            <w:vAlign w:val="center"/>
          </w:tcPr>
          <w:p w14:paraId="1FEEAE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w:t>
            </w:r>
          </w:p>
        </w:tc>
        <w:tc>
          <w:tcPr>
            <w:tcW w:w="1040" w:type="dxa"/>
            <w:vAlign w:val="center"/>
          </w:tcPr>
          <w:p w14:paraId="264DED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产地/国别</w:t>
            </w:r>
          </w:p>
        </w:tc>
        <w:tc>
          <w:tcPr>
            <w:tcW w:w="1384" w:type="dxa"/>
            <w:vAlign w:val="center"/>
          </w:tcPr>
          <w:p w14:paraId="64AC8B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制造商</w:t>
            </w:r>
          </w:p>
          <w:p w14:paraId="09B31A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统一社会信用代码</w:t>
            </w:r>
          </w:p>
        </w:tc>
        <w:tc>
          <w:tcPr>
            <w:tcW w:w="1008" w:type="dxa"/>
            <w:vAlign w:val="center"/>
          </w:tcPr>
          <w:p w14:paraId="7A390D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制造商规模</w:t>
            </w:r>
          </w:p>
        </w:tc>
        <w:tc>
          <w:tcPr>
            <w:tcW w:w="1464" w:type="dxa"/>
            <w:vAlign w:val="center"/>
          </w:tcPr>
          <w:p w14:paraId="3A9B2D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en-US"/>
              </w:rPr>
            </w:pPr>
            <w:r>
              <w:rPr>
                <w:rFonts w:hint="eastAsia" w:ascii="宋体" w:hAnsi="宋体" w:eastAsia="宋体" w:cs="宋体"/>
                <w:b w:val="0"/>
                <w:bCs/>
                <w:color w:val="auto"/>
                <w:sz w:val="21"/>
                <w:szCs w:val="21"/>
                <w:highlight w:val="none"/>
                <w:lang w:val="en-US" w:eastAsia="zh-CN"/>
              </w:rPr>
              <w:t>制造商实际控制人性别</w:t>
            </w:r>
          </w:p>
        </w:tc>
        <w:tc>
          <w:tcPr>
            <w:tcW w:w="1025" w:type="dxa"/>
            <w:vAlign w:val="center"/>
          </w:tcPr>
          <w:p w14:paraId="37BD30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外商投资类型</w:t>
            </w:r>
          </w:p>
        </w:tc>
        <w:tc>
          <w:tcPr>
            <w:tcW w:w="863" w:type="dxa"/>
            <w:vAlign w:val="center"/>
          </w:tcPr>
          <w:p w14:paraId="60D081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品牌</w:t>
            </w:r>
          </w:p>
        </w:tc>
        <w:tc>
          <w:tcPr>
            <w:tcW w:w="1324" w:type="dxa"/>
            <w:vAlign w:val="center"/>
          </w:tcPr>
          <w:p w14:paraId="6B3AFBF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规格、</w:t>
            </w:r>
            <w:r>
              <w:rPr>
                <w:rFonts w:hint="eastAsia" w:ascii="宋体" w:hAnsi="宋体" w:eastAsia="宋体" w:cs="宋体"/>
                <w:b w:val="0"/>
                <w:bCs/>
                <w:color w:val="auto"/>
                <w:sz w:val="21"/>
                <w:szCs w:val="21"/>
                <w:highlight w:val="none"/>
              </w:rPr>
              <w:t>型号</w:t>
            </w:r>
          </w:p>
        </w:tc>
        <w:tc>
          <w:tcPr>
            <w:tcW w:w="1026" w:type="dxa"/>
            <w:vAlign w:val="center"/>
          </w:tcPr>
          <w:p w14:paraId="45014B84">
            <w:pP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单价</w:t>
            </w:r>
          </w:p>
          <w:p w14:paraId="145DF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c>
          <w:tcPr>
            <w:tcW w:w="923" w:type="dxa"/>
            <w:vAlign w:val="center"/>
          </w:tcPr>
          <w:p w14:paraId="3BCEDF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数量</w:t>
            </w:r>
          </w:p>
        </w:tc>
        <w:tc>
          <w:tcPr>
            <w:tcW w:w="1091" w:type="dxa"/>
            <w:vAlign w:val="center"/>
          </w:tcPr>
          <w:p w14:paraId="577D0E39">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合价</w:t>
            </w:r>
          </w:p>
          <w:p w14:paraId="2EC37A2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r>
      <w:tr w14:paraId="3DDD7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6007496">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1066" w:type="dxa"/>
            <w:vAlign w:val="center"/>
          </w:tcPr>
          <w:p w14:paraId="5185A0F8">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440761B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2042EBA7">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74B97F46">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339AD079">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0CB6EDE3">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2B5545C8">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58D4443B">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38890D3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50753003">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22E72FF">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1F020DC5">
            <w:pPr>
              <w:jc w:val="center"/>
              <w:rPr>
                <w:rFonts w:hint="eastAsia" w:ascii="宋体" w:hAnsi="宋体" w:eastAsia="宋体" w:cs="宋体"/>
                <w:b w:val="0"/>
                <w:bCs/>
                <w:color w:val="auto"/>
                <w:sz w:val="21"/>
                <w:szCs w:val="21"/>
                <w:highlight w:val="none"/>
                <w:u w:val="none"/>
                <w:vertAlign w:val="baseline"/>
                <w:lang w:val="zh-CN"/>
              </w:rPr>
            </w:pPr>
          </w:p>
        </w:tc>
      </w:tr>
      <w:tr w14:paraId="327B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2DA2FC9F">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w:t>
            </w:r>
          </w:p>
        </w:tc>
        <w:tc>
          <w:tcPr>
            <w:tcW w:w="1066" w:type="dxa"/>
            <w:vAlign w:val="center"/>
          </w:tcPr>
          <w:p w14:paraId="022E3F12">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FFF5518">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C93B94B">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3F08D28">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4F7A043B">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2BA9D216">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0E652E37">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22025CB6">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2DDA3C2">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703F39B0">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454AC89A">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3DE3EDC9">
            <w:pPr>
              <w:jc w:val="center"/>
              <w:rPr>
                <w:rFonts w:hint="eastAsia" w:ascii="宋体" w:hAnsi="宋体" w:eastAsia="宋体" w:cs="宋体"/>
                <w:b w:val="0"/>
                <w:bCs/>
                <w:color w:val="auto"/>
                <w:sz w:val="21"/>
                <w:szCs w:val="21"/>
                <w:highlight w:val="none"/>
                <w:u w:val="none"/>
                <w:vertAlign w:val="baseline"/>
                <w:lang w:val="zh-CN"/>
              </w:rPr>
            </w:pPr>
          </w:p>
        </w:tc>
      </w:tr>
      <w:tr w14:paraId="338F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288DC270">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w:t>
            </w:r>
          </w:p>
        </w:tc>
        <w:tc>
          <w:tcPr>
            <w:tcW w:w="1066" w:type="dxa"/>
            <w:vAlign w:val="center"/>
          </w:tcPr>
          <w:p w14:paraId="296B3553">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1A9BFBA">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D34AAEE">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895811B">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5C049FB4">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EEF0947">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7778CA91">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765FF03">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1030805C">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03FD13FA">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6B2BB13">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68E139E">
            <w:pPr>
              <w:jc w:val="center"/>
              <w:rPr>
                <w:rFonts w:hint="eastAsia" w:ascii="宋体" w:hAnsi="宋体" w:eastAsia="宋体" w:cs="宋体"/>
                <w:b w:val="0"/>
                <w:bCs/>
                <w:color w:val="auto"/>
                <w:sz w:val="21"/>
                <w:szCs w:val="21"/>
                <w:highlight w:val="none"/>
                <w:u w:val="none"/>
                <w:vertAlign w:val="baseline"/>
                <w:lang w:val="zh-CN"/>
              </w:rPr>
            </w:pPr>
          </w:p>
        </w:tc>
      </w:tr>
      <w:tr w14:paraId="1A2C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4B0C62D3">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w:t>
            </w:r>
          </w:p>
        </w:tc>
        <w:tc>
          <w:tcPr>
            <w:tcW w:w="1066" w:type="dxa"/>
            <w:vAlign w:val="center"/>
          </w:tcPr>
          <w:p w14:paraId="78D63140">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6FCE407">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7B685A3F">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737DC40C">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DC3F2EB">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04B80A38">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7E28DCD6">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E72731F">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81A2EB9">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427EE9F9">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2B42903">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69FF26F0">
            <w:pPr>
              <w:jc w:val="center"/>
              <w:rPr>
                <w:rFonts w:hint="eastAsia" w:ascii="宋体" w:hAnsi="宋体" w:eastAsia="宋体" w:cs="宋体"/>
                <w:b w:val="0"/>
                <w:bCs/>
                <w:color w:val="auto"/>
                <w:sz w:val="21"/>
                <w:szCs w:val="21"/>
                <w:highlight w:val="none"/>
                <w:u w:val="none"/>
                <w:vertAlign w:val="baseline"/>
                <w:lang w:val="zh-CN"/>
              </w:rPr>
            </w:pPr>
          </w:p>
        </w:tc>
      </w:tr>
      <w:tr w14:paraId="49E7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4442CB85">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5</w:t>
            </w:r>
          </w:p>
        </w:tc>
        <w:tc>
          <w:tcPr>
            <w:tcW w:w="1066" w:type="dxa"/>
            <w:vAlign w:val="center"/>
          </w:tcPr>
          <w:p w14:paraId="679234AE">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677FA79">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73FE1D76">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61CBC7D1">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A301C20">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04151E12">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4252EDFA">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0C1A4B6F">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42FC6DBD">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2F3F1C2B">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843F507">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011D80F">
            <w:pPr>
              <w:jc w:val="center"/>
              <w:rPr>
                <w:rFonts w:hint="eastAsia" w:ascii="宋体" w:hAnsi="宋体" w:eastAsia="宋体" w:cs="宋体"/>
                <w:b w:val="0"/>
                <w:bCs/>
                <w:color w:val="auto"/>
                <w:sz w:val="21"/>
                <w:szCs w:val="21"/>
                <w:highlight w:val="none"/>
                <w:u w:val="none"/>
                <w:vertAlign w:val="baseline"/>
                <w:lang w:val="zh-CN"/>
              </w:rPr>
            </w:pPr>
          </w:p>
        </w:tc>
      </w:tr>
      <w:tr w14:paraId="0995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0BE0365">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6</w:t>
            </w:r>
          </w:p>
        </w:tc>
        <w:tc>
          <w:tcPr>
            <w:tcW w:w="1066" w:type="dxa"/>
            <w:vAlign w:val="center"/>
          </w:tcPr>
          <w:p w14:paraId="6D8BCB32">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517AD61C">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00621DE">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62068598">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7CAA6800">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45ABB011">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30B8B0A5">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202EE98">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256613A">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5EF22610">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60FE5997">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11199F0C">
            <w:pPr>
              <w:jc w:val="center"/>
              <w:rPr>
                <w:rFonts w:hint="eastAsia" w:ascii="宋体" w:hAnsi="宋体" w:eastAsia="宋体" w:cs="宋体"/>
                <w:b w:val="0"/>
                <w:bCs/>
                <w:color w:val="auto"/>
                <w:sz w:val="21"/>
                <w:szCs w:val="21"/>
                <w:highlight w:val="none"/>
                <w:u w:val="none"/>
                <w:vertAlign w:val="baseline"/>
                <w:lang w:val="zh-CN"/>
              </w:rPr>
            </w:pPr>
          </w:p>
        </w:tc>
      </w:tr>
      <w:tr w14:paraId="24D4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0CA1058F">
            <w:pPr>
              <w:jc w:val="center"/>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u w:val="none"/>
                <w:vertAlign w:val="baseline"/>
                <w:lang w:val="zh-CN"/>
              </w:rPr>
              <w:t>…</w:t>
            </w:r>
          </w:p>
        </w:tc>
        <w:tc>
          <w:tcPr>
            <w:tcW w:w="1066" w:type="dxa"/>
            <w:vAlign w:val="center"/>
          </w:tcPr>
          <w:p w14:paraId="07D6C3C7">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54762713">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008D212">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7BB3E714">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4B0014E9">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53F16430">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2BF5155B">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30E0F0AA">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7514C69">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3C51E7DE">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C3D14DE">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C3AA4BD">
            <w:pPr>
              <w:jc w:val="center"/>
              <w:rPr>
                <w:rFonts w:hint="eastAsia" w:ascii="宋体" w:hAnsi="宋体" w:eastAsia="宋体" w:cs="宋体"/>
                <w:b w:val="0"/>
                <w:bCs/>
                <w:color w:val="auto"/>
                <w:sz w:val="21"/>
                <w:szCs w:val="21"/>
                <w:highlight w:val="none"/>
                <w:u w:val="none"/>
                <w:vertAlign w:val="baseline"/>
                <w:lang w:val="zh-CN"/>
              </w:rPr>
            </w:pPr>
          </w:p>
        </w:tc>
      </w:tr>
      <w:tr w14:paraId="0C8A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084" w:type="dxa"/>
            <w:gridSpan w:val="12"/>
            <w:vAlign w:val="center"/>
          </w:tcPr>
          <w:p w14:paraId="66A2BE18">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color w:val="auto"/>
                <w:sz w:val="24"/>
                <w:szCs w:val="24"/>
                <w:highlight w:val="none"/>
                <w:lang w:val="en-US" w:eastAsia="zh-CN"/>
              </w:rPr>
              <w:t>单价合计总价</w:t>
            </w:r>
            <w:r>
              <w:rPr>
                <w:rFonts w:hint="eastAsia" w:ascii="宋体" w:hAnsi="宋体" w:eastAsia="宋体" w:cs="宋体"/>
                <w:b w:val="0"/>
                <w:bCs/>
                <w:color w:val="auto"/>
                <w:sz w:val="21"/>
                <w:szCs w:val="21"/>
                <w:highlight w:val="none"/>
              </w:rPr>
              <w:t>（元）</w:t>
            </w:r>
          </w:p>
        </w:tc>
        <w:tc>
          <w:tcPr>
            <w:tcW w:w="1091" w:type="dxa"/>
            <w:vAlign w:val="center"/>
          </w:tcPr>
          <w:p w14:paraId="6386598F">
            <w:pPr>
              <w:jc w:val="center"/>
              <w:rPr>
                <w:rFonts w:hint="eastAsia" w:ascii="宋体" w:hAnsi="宋体" w:eastAsia="宋体" w:cs="宋体"/>
                <w:b w:val="0"/>
                <w:bCs/>
                <w:color w:val="auto"/>
                <w:sz w:val="21"/>
                <w:szCs w:val="21"/>
                <w:highlight w:val="none"/>
                <w:u w:val="none"/>
                <w:vertAlign w:val="baseline"/>
                <w:lang w:val="zh-CN"/>
              </w:rPr>
            </w:pPr>
          </w:p>
        </w:tc>
      </w:tr>
    </w:tbl>
    <w:p w14:paraId="3B42EAA5">
      <w:pPr>
        <w:spacing w:line="300" w:lineRule="auto"/>
        <w:rPr>
          <w:rFonts w:ascii="Arial" w:hAnsi="Arial" w:cs="Arial"/>
          <w:color w:val="auto"/>
          <w:szCs w:val="21"/>
          <w:highlight w:val="none"/>
        </w:rPr>
      </w:pPr>
    </w:p>
    <w:p w14:paraId="51101AF7">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2BD20AC0">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总</w:t>
      </w:r>
      <w:r>
        <w:rPr>
          <w:rFonts w:hint="default" w:ascii="宋体" w:hAnsi="宋体" w:eastAsia="宋体" w:cs="宋体"/>
          <w:color w:val="auto"/>
          <w:sz w:val="21"/>
          <w:szCs w:val="21"/>
          <w:highlight w:val="none"/>
          <w:lang w:val="en-US" w:eastAsia="zh-CN"/>
        </w:rPr>
        <w:t>价填写到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“投标报价”</w:t>
      </w:r>
      <w:r>
        <w:rPr>
          <w:rFonts w:hint="default" w:ascii="宋体" w:hAnsi="宋体" w:eastAsia="宋体" w:cs="宋体"/>
          <w:color w:val="auto"/>
          <w:sz w:val="21"/>
          <w:szCs w:val="21"/>
          <w:highlight w:val="none"/>
          <w:lang w:val="en-US" w:eastAsia="zh-CN"/>
        </w:rPr>
        <w:t>栏中。</w:t>
      </w:r>
    </w:p>
    <w:p w14:paraId="6B43AF2E">
      <w:pPr>
        <w:spacing w:line="360" w:lineRule="auto"/>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.表中所列货物为对应本项目需求的全部货物及所需附件购置费、包装费、运输费、人工费、保险费、安装调试费、各种税费、资料费、售后服务费及完成项目应有的全部费用。如有漏项或缺项，</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承担全部责任。</w:t>
      </w:r>
    </w:p>
    <w:p w14:paraId="06F958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.表中须明确列出所投产品的</w:t>
      </w:r>
      <w:r>
        <w:rPr>
          <w:rFonts w:hint="eastAsia" w:cs="宋体"/>
          <w:color w:val="auto"/>
          <w:sz w:val="21"/>
          <w:szCs w:val="21"/>
          <w:highlight w:val="none"/>
          <w:lang w:val="en-US" w:eastAsia="zh-CN"/>
        </w:rPr>
        <w:t>分项</w:t>
      </w:r>
      <w:r>
        <w:rPr>
          <w:rFonts w:hint="eastAsia" w:ascii="宋体" w:hAnsi="宋体" w:eastAsia="宋体" w:cs="宋体"/>
          <w:color w:val="auto"/>
          <w:sz w:val="21"/>
          <w:szCs w:val="21"/>
          <w:highlight w:val="none"/>
        </w:rPr>
        <w:t>名称、</w:t>
      </w:r>
      <w:r>
        <w:rPr>
          <w:rFonts w:hint="eastAsia" w:cs="宋体"/>
          <w:color w:val="auto"/>
          <w:sz w:val="21"/>
          <w:szCs w:val="21"/>
          <w:highlight w:val="none"/>
          <w:lang w:val="en-US" w:eastAsia="zh-CN"/>
        </w:rPr>
        <w:t>制造商、</w:t>
      </w:r>
      <w:r>
        <w:rPr>
          <w:rFonts w:hint="eastAsia" w:cs="宋体"/>
          <w:b w:val="0"/>
          <w:bCs/>
          <w:color w:val="auto"/>
          <w:sz w:val="21"/>
          <w:szCs w:val="21"/>
          <w:highlight w:val="none"/>
          <w:lang w:val="en-US" w:eastAsia="zh-CN"/>
        </w:rPr>
        <w:t>产地/国别、</w:t>
      </w:r>
      <w:r>
        <w:rPr>
          <w:rFonts w:hint="eastAsia" w:ascii="宋体" w:hAnsi="宋体" w:eastAsia="宋体" w:cs="宋体"/>
          <w:b w:val="0"/>
          <w:bCs/>
          <w:color w:val="auto"/>
          <w:sz w:val="21"/>
          <w:szCs w:val="21"/>
          <w:highlight w:val="none"/>
          <w:lang w:val="en-US" w:eastAsia="zh-CN"/>
        </w:rPr>
        <w:t>制造商统一社会信用代码</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制造商规模</w:t>
      </w:r>
      <w:r>
        <w:rPr>
          <w:rFonts w:hint="eastAsia" w:cs="宋体"/>
          <w:b w:val="0"/>
          <w:bCs/>
          <w:color w:val="auto"/>
          <w:sz w:val="21"/>
          <w:szCs w:val="21"/>
          <w:highlight w:val="none"/>
          <w:lang w:val="en-US" w:eastAsia="zh-CN"/>
        </w:rPr>
        <w:t>、制造商所属性别、外商投资类型、</w:t>
      </w:r>
      <w:r>
        <w:rPr>
          <w:rFonts w:hint="eastAsia" w:ascii="宋体" w:hAnsi="宋体" w:eastAsia="宋体" w:cs="宋体"/>
          <w:color w:val="auto"/>
          <w:sz w:val="21"/>
          <w:szCs w:val="21"/>
          <w:highlight w:val="none"/>
        </w:rPr>
        <w:t>品牌、</w:t>
      </w:r>
      <w:r>
        <w:rPr>
          <w:rFonts w:hint="eastAsia" w:cs="宋体"/>
          <w:color w:val="auto"/>
          <w:sz w:val="21"/>
          <w:szCs w:val="21"/>
          <w:highlight w:val="none"/>
          <w:lang w:eastAsia="zh-CN"/>
        </w:rPr>
        <w:t>规格、</w:t>
      </w:r>
      <w:r>
        <w:rPr>
          <w:rFonts w:hint="eastAsia" w:ascii="宋体" w:hAnsi="宋体" w:eastAsia="宋体" w:cs="宋体"/>
          <w:color w:val="auto"/>
          <w:sz w:val="21"/>
          <w:szCs w:val="21"/>
          <w:highlight w:val="none"/>
        </w:rPr>
        <w:t>型号、</w:t>
      </w:r>
      <w:r>
        <w:rPr>
          <w:rFonts w:hint="eastAsia" w:cs="宋体"/>
          <w:color w:val="auto"/>
          <w:sz w:val="21"/>
          <w:szCs w:val="21"/>
          <w:highlight w:val="none"/>
          <w:lang w:eastAsia="zh-CN"/>
        </w:rPr>
        <w:t>单价、数量、</w:t>
      </w:r>
      <w:r>
        <w:rPr>
          <w:rFonts w:hint="eastAsia" w:cs="宋体"/>
          <w:color w:val="auto"/>
          <w:sz w:val="21"/>
          <w:szCs w:val="21"/>
          <w:highlight w:val="none"/>
          <w:lang w:val="en-US" w:eastAsia="zh-CN"/>
        </w:rPr>
        <w:t>合价等</w:t>
      </w:r>
      <w:r>
        <w:rPr>
          <w:rFonts w:hint="eastAsia" w:ascii="宋体" w:hAnsi="宋体" w:eastAsia="宋体" w:cs="宋体"/>
          <w:color w:val="auto"/>
          <w:sz w:val="21"/>
          <w:szCs w:val="21"/>
          <w:highlight w:val="none"/>
        </w:rPr>
        <w:t>，否则可能导致</w:t>
      </w:r>
      <w:r>
        <w:rPr>
          <w:rFonts w:hint="eastAsia" w:ascii="宋体" w:hAnsi="宋体" w:eastAsia="宋体" w:cs="宋体"/>
          <w:b/>
          <w:bCs/>
          <w:color w:val="auto"/>
          <w:sz w:val="21"/>
          <w:szCs w:val="21"/>
          <w:highlight w:val="none"/>
        </w:rPr>
        <w:t>响应无效</w:t>
      </w:r>
      <w:r>
        <w:rPr>
          <w:rFonts w:hint="eastAsia" w:ascii="宋体" w:hAnsi="宋体" w:eastAsia="宋体" w:cs="宋体"/>
          <w:color w:val="auto"/>
          <w:sz w:val="21"/>
          <w:szCs w:val="21"/>
          <w:highlight w:val="none"/>
        </w:rPr>
        <w:t>。</w:t>
      </w:r>
    </w:p>
    <w:p w14:paraId="66C30DF1">
      <w:pPr>
        <w:keepNext w:val="0"/>
        <w:keepLines w:val="0"/>
        <w:widowControl/>
        <w:suppressLineNumbers w:val="0"/>
        <w:jc w:val="left"/>
        <w:rPr>
          <w:rFonts w:hint="eastAsia" w:ascii="宋体" w:hAnsi="宋体" w:eastAsia="宋体" w:cs="宋体"/>
          <w:b/>
          <w:bCs/>
          <w:i w:val="0"/>
          <w:iCs w:val="0"/>
          <w:color w:val="auto"/>
          <w:kern w:val="0"/>
          <w:sz w:val="21"/>
          <w:szCs w:val="21"/>
          <w:highlight w:val="none"/>
          <w:lang w:val="en-US" w:eastAsia="zh-CN" w:bidi="ar"/>
        </w:rPr>
      </w:pPr>
    </w:p>
    <w:p w14:paraId="561842FA">
      <w:pPr>
        <w:keepNext w:val="0"/>
        <w:keepLines w:val="0"/>
        <w:widowControl/>
        <w:suppressLineNumbers w:val="0"/>
        <w:jc w:val="left"/>
        <w:rPr>
          <w:rFonts w:hint="eastAsia" w:ascii="宋体" w:hAnsi="宋体" w:eastAsia="宋体" w:cs="宋体"/>
          <w:b w:val="0"/>
          <w:bCs w:val="0"/>
          <w:i w:val="0"/>
          <w:iCs w:val="0"/>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lang w:val="en-US" w:eastAsia="zh-CN" w:bidi="ar"/>
        </w:rPr>
        <w:t>填写说明：</w:t>
      </w:r>
      <w:r>
        <w:rPr>
          <w:rFonts w:hint="eastAsia" w:ascii="宋体" w:hAnsi="宋体" w:eastAsia="宋体" w:cs="宋体"/>
          <w:b w:val="0"/>
          <w:bCs w:val="0"/>
          <w:i w:val="0"/>
          <w:iCs w:val="0"/>
          <w:color w:val="auto"/>
          <w:kern w:val="0"/>
          <w:sz w:val="21"/>
          <w:szCs w:val="21"/>
          <w:highlight w:val="none"/>
          <w:lang w:val="en-US" w:eastAsia="zh-CN" w:bidi="ar"/>
        </w:rPr>
        <w:t>1、</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制造商规模</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请填写“大型”、“中型”、“小型”、“微型”或“其他”，且不应与《中小企业声明函》或《拟分包情况说明》中内容矛盾。</w:t>
      </w:r>
    </w:p>
    <w:p w14:paraId="6D411982">
      <w:pPr>
        <w:keepNext w:val="0"/>
        <w:keepLines w:val="0"/>
        <w:widowControl/>
        <w:suppressLineNumbers w:val="0"/>
        <w:ind w:firstLine="1050" w:firstLineChars="500"/>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bidi="ar"/>
        </w:rPr>
        <w:t>2、</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按</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商实际控制人性别划分请填写“男”或“女”，指拥有</w:t>
      </w:r>
      <w:r>
        <w:rPr>
          <w:rFonts w:hint="eastAsia" w:cs="宋体"/>
          <w:b w:val="0"/>
          <w:bCs w:val="0"/>
          <w:i w:val="0"/>
          <w:iCs w:val="0"/>
          <w:color w:val="auto"/>
          <w:kern w:val="0"/>
          <w:sz w:val="21"/>
          <w:szCs w:val="21"/>
          <w:highlight w:val="none"/>
          <w:lang w:val="en-US" w:eastAsia="zh-CN" w:bidi="ar"/>
        </w:rPr>
        <w:t>制造商</w:t>
      </w:r>
      <w:r>
        <w:rPr>
          <w:rFonts w:hint="eastAsia" w:ascii="宋体" w:hAnsi="宋体" w:eastAsia="宋体" w:cs="宋体"/>
          <w:b w:val="0"/>
          <w:bCs w:val="0"/>
          <w:i w:val="0"/>
          <w:iCs w:val="0"/>
          <w:color w:val="auto"/>
          <w:kern w:val="0"/>
          <w:sz w:val="21"/>
          <w:szCs w:val="21"/>
          <w:highlight w:val="none"/>
          <w:lang w:val="en-US" w:eastAsia="zh-CN" w:bidi="ar"/>
        </w:rPr>
        <w:t xml:space="preserve"> 51%以上绝对所有权的性别；绝对所有权拥有者可以是一个人，也可以是多人合计计算。 </w:t>
      </w:r>
    </w:p>
    <w:p w14:paraId="5296BF0A">
      <w:pPr>
        <w:spacing w:line="300" w:lineRule="auto"/>
        <w:ind w:firstLine="1050" w:firstLineChars="500"/>
        <w:rPr>
          <w:rFonts w:hint="eastAsia" w:ascii="宋体" w:hAnsi="宋体" w:eastAsia="宋体" w:cs="宋体"/>
          <w:color w:val="auto"/>
          <w:sz w:val="21"/>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32" w:charSpace="0"/>
        </w:sectPr>
      </w:pPr>
      <w:r>
        <w:rPr>
          <w:rFonts w:hint="eastAsia" w:ascii="宋体" w:hAnsi="宋体" w:eastAsia="宋体" w:cs="宋体"/>
          <w:b w:val="0"/>
          <w:bCs w:val="0"/>
          <w:i w:val="0"/>
          <w:iCs w:val="0"/>
          <w:color w:val="auto"/>
          <w:kern w:val="0"/>
          <w:sz w:val="21"/>
          <w:szCs w:val="21"/>
          <w:highlight w:val="none"/>
          <w:lang w:val="en-US" w:eastAsia="zh-CN" w:bidi="ar"/>
        </w:rPr>
        <w:t>3、</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外商投资类型</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请填写“外商单独投资”、“外商部分投资”或“内资”。</w:t>
      </w:r>
    </w:p>
    <w:p w14:paraId="4A59D451">
      <w:pPr>
        <w:pStyle w:val="60"/>
        <w:keepNext w:val="0"/>
        <w:keepLines w:val="0"/>
        <w:pageBreakBefore w:val="0"/>
        <w:widowControl/>
        <w:shd w:val="clear" w:color="auto" w:fill="auto"/>
        <w:kinsoku/>
        <w:wordWrap/>
        <w:overflowPunct/>
        <w:topLinePunct w:val="0"/>
        <w:autoSpaceDE/>
        <w:autoSpaceDN/>
        <w:bidi w:val="0"/>
        <w:adjustRightInd/>
        <w:snapToGrid/>
        <w:spacing w:afterAutospacing="0" w:line="360" w:lineRule="exact"/>
        <w:textAlignment w:val="auto"/>
        <w:rPr>
          <w:rFonts w:hint="eastAsia" w:ascii="宋体" w:hAnsi="宋体" w:eastAsia="宋体" w:cs="宋体"/>
          <w:b/>
          <w:bCs/>
          <w:color w:val="auto"/>
          <w:highlight w:val="none"/>
          <w:lang w:val="en-US" w:eastAsia="zh-CN"/>
        </w:rPr>
      </w:pPr>
    </w:p>
    <w:p w14:paraId="61810CE8">
      <w:pPr>
        <w:ind w:firstLine="480" w:firstLineChars="200"/>
        <w:rPr>
          <w:rFonts w:cs="仿宋_GB2312"/>
          <w:color w:val="auto"/>
          <w:szCs w:val="24"/>
          <w:highlight w:val="none"/>
          <w:lang w:val="zh-CN"/>
        </w:rPr>
      </w:pPr>
      <w:r>
        <w:rPr>
          <w:rFonts w:hint="eastAsia" w:cs="仿宋_GB2312"/>
          <w:color w:val="auto"/>
          <w:szCs w:val="24"/>
          <w:highlight w:val="none"/>
          <w:lang w:val="zh-CN"/>
        </w:rPr>
        <w:t>封面：</w:t>
      </w:r>
    </w:p>
    <w:p w14:paraId="62869EA6">
      <w:pPr>
        <w:autoSpaceDE w:val="0"/>
        <w:autoSpaceDN w:val="0"/>
        <w:adjustRightInd w:val="0"/>
        <w:rPr>
          <w:color w:val="auto"/>
          <w:sz w:val="21"/>
          <w:szCs w:val="24"/>
          <w:highlight w:val="none"/>
        </w:rPr>
      </w:pPr>
    </w:p>
    <w:p w14:paraId="5B0902B7">
      <w:pPr>
        <w:autoSpaceDE w:val="0"/>
        <w:autoSpaceDN w:val="0"/>
        <w:adjustRightInd w:val="0"/>
        <w:rPr>
          <w:color w:val="auto"/>
          <w:sz w:val="21"/>
          <w:szCs w:val="24"/>
          <w:highlight w:val="none"/>
        </w:rPr>
      </w:pPr>
    </w:p>
    <w:p w14:paraId="5A04F91B">
      <w:pPr>
        <w:autoSpaceDE w:val="0"/>
        <w:autoSpaceDN w:val="0"/>
        <w:adjustRightInd w:val="0"/>
        <w:jc w:val="center"/>
        <w:rPr>
          <w:color w:val="auto"/>
          <w:sz w:val="21"/>
          <w:szCs w:val="24"/>
          <w:highlight w:val="none"/>
        </w:rPr>
      </w:pPr>
    </w:p>
    <w:p w14:paraId="47D22CDA">
      <w:pPr>
        <w:pStyle w:val="4"/>
        <w:bidi w:val="0"/>
        <w:jc w:val="center"/>
        <w:rPr>
          <w:sz w:val="84"/>
          <w:szCs w:val="84"/>
          <w:highlight w:val="none"/>
        </w:rPr>
      </w:pPr>
      <w:bookmarkStart w:id="601" w:name="_Toc5027"/>
      <w:r>
        <w:rPr>
          <w:rFonts w:hint="eastAsia"/>
          <w:sz w:val="84"/>
          <w:szCs w:val="84"/>
          <w:highlight w:val="none"/>
        </w:rPr>
        <w:t>投 标 文 件</w:t>
      </w:r>
      <w:bookmarkEnd w:id="601"/>
    </w:p>
    <w:p w14:paraId="2059EAAA">
      <w:pPr>
        <w:pStyle w:val="4"/>
        <w:bidi w:val="0"/>
        <w:jc w:val="center"/>
        <w:rPr>
          <w:rFonts w:hint="eastAsia"/>
          <w:sz w:val="56"/>
          <w:szCs w:val="56"/>
          <w:highlight w:val="none"/>
          <w:lang w:val="en-US" w:eastAsia="zh-CN"/>
        </w:rPr>
      </w:pPr>
      <w:bookmarkStart w:id="602" w:name="_Toc17239"/>
      <w:r>
        <w:rPr>
          <w:rFonts w:hint="eastAsia"/>
          <w:sz w:val="56"/>
          <w:szCs w:val="56"/>
          <w:highlight w:val="none"/>
          <w:lang w:val="en-US" w:eastAsia="zh-CN"/>
        </w:rPr>
        <w:t>商务技术文件</w:t>
      </w:r>
      <w:bookmarkEnd w:id="602"/>
    </w:p>
    <w:p w14:paraId="039027FC">
      <w:pPr>
        <w:pStyle w:val="4"/>
        <w:rPr>
          <w:color w:val="auto"/>
          <w:sz w:val="21"/>
          <w:szCs w:val="21"/>
          <w:highlight w:val="none"/>
        </w:rPr>
      </w:pPr>
    </w:p>
    <w:p w14:paraId="1B35F1EE">
      <w:pPr>
        <w:rPr>
          <w:color w:val="auto"/>
          <w:sz w:val="21"/>
          <w:szCs w:val="21"/>
          <w:highlight w:val="none"/>
        </w:rPr>
      </w:pPr>
    </w:p>
    <w:p w14:paraId="54B78BF7">
      <w:pPr>
        <w:rPr>
          <w:color w:val="auto"/>
          <w:highlight w:val="none"/>
        </w:rPr>
      </w:pPr>
    </w:p>
    <w:p w14:paraId="44CE1222">
      <w:pPr>
        <w:autoSpaceDE w:val="0"/>
        <w:autoSpaceDN w:val="0"/>
        <w:adjustRightInd w:val="0"/>
        <w:rPr>
          <w:color w:val="auto"/>
          <w:sz w:val="21"/>
          <w:szCs w:val="21"/>
          <w:highlight w:val="none"/>
        </w:rPr>
      </w:pPr>
    </w:p>
    <w:p w14:paraId="7AA0A974">
      <w:pPr>
        <w:autoSpaceDE w:val="0"/>
        <w:autoSpaceDN w:val="0"/>
        <w:adjustRightInd w:val="0"/>
        <w:rPr>
          <w:color w:val="auto"/>
          <w:sz w:val="21"/>
          <w:szCs w:val="21"/>
          <w:highlight w:val="none"/>
        </w:rPr>
      </w:pPr>
    </w:p>
    <w:p w14:paraId="037029E5">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lang w:val="en-US" w:eastAsia="zh-CN"/>
        </w:rPr>
        <w:t>/包号</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538909E">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项目名称：</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6D86FB53">
      <w:pPr>
        <w:ind w:left="420" w:leftChars="175"/>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r>
        <w:rPr>
          <w:rFonts w:hint="eastAsia" w:ascii="宋体" w:hAnsi="宋体" w:eastAsia="宋体" w:cs="宋体"/>
          <w:color w:val="auto"/>
          <w:sz w:val="36"/>
          <w:szCs w:val="36"/>
          <w:highlight w:val="none"/>
          <w:u w:val="single"/>
          <w:lang w:val="en-US" w:eastAsia="zh-CN"/>
        </w:rPr>
        <w:t xml:space="preserve"> </w:t>
      </w:r>
      <w:r>
        <w:rPr>
          <w:rFonts w:hint="eastAsia" w:ascii="宋体" w:hAnsi="宋体" w:eastAsia="宋体" w:cs="宋体"/>
          <w:color w:val="auto"/>
          <w:sz w:val="36"/>
          <w:szCs w:val="36"/>
          <w:highlight w:val="none"/>
          <w:u w:val="single"/>
        </w:rPr>
        <w:t xml:space="preserve">              </w:t>
      </w:r>
    </w:p>
    <w:p w14:paraId="02BCF110">
      <w:pPr>
        <w:ind w:left="420" w:leftChars="175"/>
        <w:rPr>
          <w:rFonts w:ascii="黑体" w:hAnsi="黑体" w:eastAsia="黑体"/>
          <w:color w:val="auto"/>
          <w:sz w:val="32"/>
          <w:szCs w:val="32"/>
          <w:highlight w:val="none"/>
        </w:rPr>
      </w:pPr>
    </w:p>
    <w:p w14:paraId="2EF2CC50">
      <w:pPr>
        <w:ind w:left="840" w:firstLine="420"/>
        <w:rPr>
          <w:b/>
          <w:bCs/>
          <w:color w:val="auto"/>
          <w:sz w:val="28"/>
          <w:szCs w:val="28"/>
          <w:highlight w:val="none"/>
        </w:rPr>
      </w:pPr>
    </w:p>
    <w:p w14:paraId="2451F1DE">
      <w:pPr>
        <w:ind w:left="840" w:firstLine="420"/>
        <w:rPr>
          <w:b/>
          <w:bCs/>
          <w:color w:val="auto"/>
          <w:sz w:val="28"/>
          <w:szCs w:val="28"/>
          <w:highlight w:val="none"/>
        </w:rPr>
      </w:pPr>
    </w:p>
    <w:p w14:paraId="5B12266F">
      <w:pP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5C2AEB63">
      <w:pPr>
        <w:rPr>
          <w:color w:val="auto"/>
          <w:highlight w:val="none"/>
          <w:lang w:val="zh-CN"/>
        </w:rPr>
      </w:pPr>
      <w:r>
        <w:rPr>
          <w:color w:val="auto"/>
          <w:highlight w:val="none"/>
          <w:lang w:val="zh-CN"/>
        </w:rPr>
        <w:br w:type="page"/>
      </w:r>
    </w:p>
    <w:p w14:paraId="374BEE88">
      <w:pPr>
        <w:pStyle w:val="4"/>
        <w:bidi w:val="0"/>
        <w:jc w:val="center"/>
        <w:rPr>
          <w:rFonts w:hint="eastAsia"/>
          <w:highlight w:val="none"/>
          <w:lang w:val="en-US" w:eastAsia="zh-CN"/>
        </w:rPr>
      </w:pPr>
      <w:bookmarkStart w:id="603" w:name="_Toc109899908"/>
      <w:bookmarkStart w:id="604" w:name="_Toc140132831"/>
      <w:bookmarkStart w:id="605" w:name="_Toc155185921"/>
      <w:bookmarkStart w:id="606" w:name="_Toc25402"/>
      <w:bookmarkStart w:id="607" w:name="_Toc109899489"/>
      <w:bookmarkStart w:id="608" w:name="_Toc3577"/>
      <w:bookmarkStart w:id="609" w:name="_Toc109900327"/>
      <w:bookmarkStart w:id="610" w:name="_Toc26340"/>
      <w:r>
        <w:rPr>
          <w:rFonts w:hint="eastAsia"/>
          <w:highlight w:val="none"/>
          <w:lang w:val="en-US" w:eastAsia="zh-CN"/>
        </w:rPr>
        <w:t>一、投标函</w:t>
      </w:r>
      <w:bookmarkEnd w:id="603"/>
      <w:bookmarkEnd w:id="604"/>
      <w:bookmarkEnd w:id="605"/>
      <w:bookmarkEnd w:id="606"/>
      <w:bookmarkEnd w:id="607"/>
      <w:bookmarkEnd w:id="608"/>
      <w:bookmarkEnd w:id="609"/>
      <w:bookmarkEnd w:id="610"/>
    </w:p>
    <w:p w14:paraId="0ABD9EA3">
      <w:pPr>
        <w:rPr>
          <w:color w:val="auto"/>
          <w:highlight w:val="none"/>
        </w:rPr>
      </w:pPr>
      <w:r>
        <w:rPr>
          <w:rFonts w:hint="eastAsia"/>
          <w:color w:val="auto"/>
          <w:highlight w:val="none"/>
        </w:rPr>
        <w:t>致：（采购人）</w:t>
      </w:r>
    </w:p>
    <w:p w14:paraId="35C4266A">
      <w:pPr>
        <w:ind w:firstLine="480" w:firstLineChars="200"/>
        <w:rPr>
          <w:rFonts w:cs="仿宋_GB2312"/>
          <w:b/>
          <w:bCs/>
          <w:color w:val="auto"/>
          <w:szCs w:val="24"/>
          <w:highlight w:val="none"/>
        </w:rPr>
      </w:pPr>
      <w:r>
        <w:rPr>
          <w:rFonts w:hint="eastAsia" w:cs="仿宋_GB2312"/>
          <w:color w:val="auto"/>
          <w:szCs w:val="24"/>
          <w:highlight w:val="none"/>
        </w:rPr>
        <w:t>根据贵方</w:t>
      </w:r>
      <w:r>
        <w:rPr>
          <w:rFonts w:hint="eastAsia" w:cs="仿宋_GB2312"/>
          <w:color w:val="auto"/>
          <w:szCs w:val="24"/>
          <w:highlight w:val="none"/>
          <w:u w:val="single"/>
        </w:rPr>
        <w:t>（项目名称）（项目编号</w:t>
      </w:r>
      <w:r>
        <w:rPr>
          <w:rFonts w:hint="eastAsia" w:cs="仿宋_GB2312"/>
          <w:color w:val="auto"/>
          <w:szCs w:val="24"/>
          <w:highlight w:val="none"/>
          <w:u w:val="single"/>
          <w:lang w:val="en-US" w:eastAsia="zh-CN"/>
        </w:rPr>
        <w:t>/包号</w:t>
      </w:r>
      <w:r>
        <w:rPr>
          <w:rFonts w:hint="eastAsia" w:cs="仿宋_GB2312"/>
          <w:color w:val="auto"/>
          <w:szCs w:val="24"/>
          <w:highlight w:val="none"/>
          <w:u w:val="single"/>
        </w:rPr>
        <w:t>）</w:t>
      </w:r>
      <w:r>
        <w:rPr>
          <w:rFonts w:hint="eastAsia" w:cs="仿宋_GB2312"/>
          <w:color w:val="auto"/>
          <w:szCs w:val="24"/>
          <w:highlight w:val="none"/>
          <w:lang w:val="en-US" w:eastAsia="zh-CN"/>
        </w:rPr>
        <w:t>项目</w:t>
      </w:r>
      <w:r>
        <w:rPr>
          <w:rFonts w:hint="eastAsia" w:cs="仿宋_GB2312"/>
          <w:color w:val="auto"/>
          <w:szCs w:val="24"/>
          <w:highlight w:val="none"/>
        </w:rPr>
        <w:t>的</w:t>
      </w:r>
      <w:r>
        <w:rPr>
          <w:rFonts w:hint="eastAsia" w:cs="仿宋_GB2312"/>
          <w:color w:val="auto"/>
          <w:szCs w:val="24"/>
          <w:highlight w:val="none"/>
          <w:lang w:val="en-US" w:eastAsia="zh-CN"/>
        </w:rPr>
        <w:t>招标公告</w:t>
      </w:r>
      <w:r>
        <w:rPr>
          <w:rFonts w:hint="eastAsia" w:cs="仿宋_GB2312"/>
          <w:color w:val="auto"/>
          <w:szCs w:val="24"/>
          <w:highlight w:val="none"/>
        </w:rPr>
        <w:t>，签字代表</w:t>
      </w:r>
      <w:r>
        <w:rPr>
          <w:rFonts w:hint="eastAsia" w:cs="仿宋_GB2312"/>
          <w:color w:val="auto"/>
          <w:szCs w:val="24"/>
          <w:highlight w:val="none"/>
          <w:u w:val="single"/>
        </w:rPr>
        <w:t>（姓名、职务）</w:t>
      </w:r>
      <w:r>
        <w:rPr>
          <w:rFonts w:hint="eastAsia" w:cs="仿宋_GB2312"/>
          <w:color w:val="auto"/>
          <w:szCs w:val="24"/>
          <w:highlight w:val="none"/>
        </w:rPr>
        <w:t>经正式授权并代表投标人</w:t>
      </w:r>
      <w:r>
        <w:rPr>
          <w:rFonts w:hint="eastAsia" w:cs="仿宋_GB2312"/>
          <w:color w:val="auto"/>
          <w:szCs w:val="24"/>
          <w:highlight w:val="none"/>
          <w:u w:val="single"/>
        </w:rPr>
        <w:t>（投标人名称、地址）</w:t>
      </w:r>
      <w:r>
        <w:rPr>
          <w:rFonts w:hint="eastAsia" w:cs="仿宋_GB2312"/>
          <w:color w:val="auto"/>
          <w:szCs w:val="24"/>
          <w:highlight w:val="none"/>
        </w:rPr>
        <w:t>提交下述文件</w:t>
      </w:r>
      <w:r>
        <w:rPr>
          <w:rFonts w:hint="eastAsia" w:cs="仿宋_GB2312"/>
          <w:b/>
          <w:bCs/>
          <w:color w:val="auto"/>
          <w:szCs w:val="24"/>
          <w:highlight w:val="none"/>
        </w:rPr>
        <w:t>：</w:t>
      </w:r>
    </w:p>
    <w:p w14:paraId="21BBF032">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hint="eastAsia" w:cs="Arial"/>
          <w:color w:val="auto"/>
          <w:szCs w:val="24"/>
          <w:highlight w:val="none"/>
        </w:rPr>
        <w:t>资格</w:t>
      </w:r>
      <w:r>
        <w:rPr>
          <w:rFonts w:hint="eastAsia" w:cs="Arial"/>
          <w:color w:val="auto"/>
          <w:szCs w:val="24"/>
          <w:highlight w:val="none"/>
          <w:lang w:val="en-US" w:eastAsia="zh-CN"/>
        </w:rPr>
        <w:t>证明</w:t>
      </w:r>
      <w:r>
        <w:rPr>
          <w:rFonts w:hint="eastAsia" w:cs="Arial"/>
          <w:color w:val="auto"/>
          <w:szCs w:val="24"/>
          <w:highlight w:val="none"/>
        </w:rPr>
        <w:t>文件</w:t>
      </w:r>
      <w:r>
        <w:rPr>
          <w:rFonts w:cs="Arial"/>
          <w:color w:val="auto"/>
          <w:szCs w:val="24"/>
          <w:highlight w:val="none"/>
        </w:rPr>
        <w:t>；</w:t>
      </w:r>
    </w:p>
    <w:p w14:paraId="0A0EA079">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投标报价</w:t>
      </w:r>
      <w:r>
        <w:rPr>
          <w:rFonts w:cs="Arial"/>
          <w:color w:val="auto"/>
          <w:szCs w:val="24"/>
          <w:highlight w:val="none"/>
        </w:rPr>
        <w:t>文件</w:t>
      </w:r>
      <w:r>
        <w:rPr>
          <w:rFonts w:hint="eastAsia" w:cs="Arial"/>
          <w:color w:val="auto"/>
          <w:szCs w:val="24"/>
          <w:highlight w:val="none"/>
        </w:rPr>
        <w:t>；</w:t>
      </w:r>
    </w:p>
    <w:p w14:paraId="7C008F28">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lang w:val="en-US" w:eastAsia="zh-CN"/>
        </w:rPr>
        <w:t>商务技术</w:t>
      </w:r>
      <w:r>
        <w:rPr>
          <w:rFonts w:hint="eastAsia" w:cs="Arial"/>
          <w:color w:val="auto"/>
          <w:szCs w:val="24"/>
          <w:highlight w:val="none"/>
        </w:rPr>
        <w:t>文件</w:t>
      </w:r>
      <w:r>
        <w:rPr>
          <w:rFonts w:cs="Arial"/>
          <w:color w:val="auto"/>
          <w:szCs w:val="24"/>
          <w:highlight w:val="none"/>
        </w:rPr>
        <w:t>。</w:t>
      </w:r>
    </w:p>
    <w:p w14:paraId="2038C573">
      <w:pPr>
        <w:spacing w:line="324" w:lineRule="auto"/>
        <w:ind w:firstLine="480" w:firstLineChars="200"/>
        <w:rPr>
          <w:rFonts w:cs="Arial"/>
          <w:color w:val="auto"/>
          <w:szCs w:val="24"/>
          <w:highlight w:val="none"/>
        </w:rPr>
      </w:pPr>
      <w:r>
        <w:rPr>
          <w:rFonts w:cs="Arial"/>
          <w:color w:val="auto"/>
          <w:szCs w:val="24"/>
          <w:highlight w:val="none"/>
        </w:rPr>
        <w:t>根据此函，签字代表宣布同意如下：</w:t>
      </w:r>
    </w:p>
    <w:p w14:paraId="7021F257">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1.</w:t>
      </w:r>
      <w:r>
        <w:rPr>
          <w:rFonts w:cs="Arial"/>
          <w:color w:val="auto"/>
          <w:szCs w:val="24"/>
          <w:highlight w:val="none"/>
        </w:rPr>
        <w:t>所附投标价格表中规定的应提交和交付的</w:t>
      </w:r>
      <w:r>
        <w:rPr>
          <w:rFonts w:hint="eastAsia" w:cs="Arial"/>
          <w:color w:val="auto"/>
          <w:szCs w:val="24"/>
          <w:highlight w:val="none"/>
        </w:rPr>
        <w:t>货物</w:t>
      </w:r>
      <w:r>
        <w:rPr>
          <w:rFonts w:cs="Arial"/>
          <w:color w:val="auto"/>
          <w:szCs w:val="24"/>
          <w:highlight w:val="none"/>
        </w:rPr>
        <w:t>和</w:t>
      </w:r>
      <w:r>
        <w:rPr>
          <w:rFonts w:hint="eastAsia" w:cs="Arial"/>
          <w:color w:val="auto"/>
          <w:szCs w:val="24"/>
          <w:highlight w:val="none"/>
          <w:lang w:val="en-US" w:eastAsia="zh-CN"/>
        </w:rPr>
        <w:t>相关</w:t>
      </w:r>
      <w:r>
        <w:rPr>
          <w:rFonts w:cs="Arial"/>
          <w:color w:val="auto"/>
          <w:szCs w:val="24"/>
          <w:highlight w:val="none"/>
        </w:rPr>
        <w:t>服务</w:t>
      </w:r>
      <w:r>
        <w:rPr>
          <w:rFonts w:hint="eastAsia" w:cs="Arial"/>
          <w:color w:val="auto"/>
          <w:szCs w:val="24"/>
          <w:highlight w:val="none"/>
        </w:rPr>
        <w:t>（如有）</w:t>
      </w:r>
      <w:r>
        <w:rPr>
          <w:rFonts w:cs="Arial"/>
          <w:color w:val="auto"/>
          <w:szCs w:val="24"/>
          <w:highlight w:val="none"/>
        </w:rPr>
        <w:t>的</w:t>
      </w:r>
      <w:r>
        <w:rPr>
          <w:rFonts w:hint="eastAsia" w:cs="Arial"/>
          <w:color w:val="auto"/>
          <w:szCs w:val="24"/>
          <w:highlight w:val="none"/>
        </w:rPr>
        <w:t>投标报价</w:t>
      </w:r>
      <w:r>
        <w:rPr>
          <w:rFonts w:hint="eastAsia" w:cs="Arial"/>
          <w:color w:val="auto"/>
          <w:szCs w:val="24"/>
          <w:highlight w:val="none"/>
          <w:lang w:eastAsia="zh-CN"/>
        </w:rPr>
        <w:t>（</w:t>
      </w:r>
      <w:r>
        <w:rPr>
          <w:rFonts w:hint="eastAsia"/>
          <w:color w:val="auto"/>
          <w:sz w:val="24"/>
          <w:szCs w:val="24"/>
          <w:highlight w:val="none"/>
          <w:lang w:val="en-US" w:eastAsia="zh-CN"/>
        </w:rPr>
        <w:t>单价合计总价</w:t>
      </w:r>
      <w:r>
        <w:rPr>
          <w:rFonts w:hint="eastAsia" w:cs="Arial"/>
          <w:color w:val="auto"/>
          <w:szCs w:val="24"/>
          <w:highlight w:val="none"/>
          <w:lang w:eastAsia="zh-CN"/>
        </w:rPr>
        <w:t>）</w:t>
      </w:r>
      <w:r>
        <w:rPr>
          <w:rFonts w:cs="Arial"/>
          <w:color w:val="auto"/>
          <w:szCs w:val="24"/>
          <w:highlight w:val="none"/>
        </w:rPr>
        <w:t>为</w:t>
      </w:r>
      <w:r>
        <w:rPr>
          <w:rFonts w:hint="eastAsia" w:cs="Arial"/>
          <w:color w:val="auto"/>
          <w:szCs w:val="24"/>
          <w:highlight w:val="none"/>
        </w:rPr>
        <w:t xml:space="preserve"> </w:t>
      </w:r>
      <w:r>
        <w:rPr>
          <w:rFonts w:hint="eastAsia" w:cs="Arial"/>
          <w:color w:val="auto"/>
          <w:szCs w:val="24"/>
          <w:highlight w:val="none"/>
          <w:u w:val="single"/>
        </w:rPr>
        <w:t xml:space="preserve">                  </w:t>
      </w:r>
      <w:r>
        <w:rPr>
          <w:rFonts w:cs="Arial"/>
          <w:color w:val="auto"/>
          <w:szCs w:val="24"/>
          <w:highlight w:val="none"/>
        </w:rPr>
        <w:t>。</w:t>
      </w:r>
    </w:p>
    <w:p w14:paraId="3FF1B405">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2.</w:t>
      </w:r>
      <w:r>
        <w:rPr>
          <w:rFonts w:hint="eastAsia" w:cs="Arial"/>
          <w:color w:val="auto"/>
          <w:szCs w:val="24"/>
          <w:highlight w:val="none"/>
        </w:rPr>
        <w:t>我方</w:t>
      </w:r>
      <w:r>
        <w:rPr>
          <w:rFonts w:cs="Arial"/>
          <w:color w:val="auto"/>
          <w:szCs w:val="24"/>
          <w:highlight w:val="none"/>
        </w:rPr>
        <w:t>将按招标文件的规定履行合同责任和义务。</w:t>
      </w:r>
    </w:p>
    <w:p w14:paraId="464D767C">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3.</w:t>
      </w:r>
      <w:r>
        <w:rPr>
          <w:rFonts w:hint="eastAsia" w:cs="Arial"/>
          <w:color w:val="auto"/>
          <w:szCs w:val="24"/>
          <w:highlight w:val="none"/>
        </w:rPr>
        <w:t>我方</w:t>
      </w:r>
      <w:r>
        <w:rPr>
          <w:rFonts w:cs="Arial"/>
          <w:color w:val="auto"/>
          <w:szCs w:val="24"/>
          <w:highlight w:val="none"/>
        </w:rPr>
        <w:t>已详细审查全部招标文件，包括第</w:t>
      </w:r>
      <w:r>
        <w:rPr>
          <w:rFonts w:cs="Arial"/>
          <w:i w:val="0"/>
          <w:iCs/>
          <w:color w:val="auto"/>
          <w:szCs w:val="24"/>
          <w:highlight w:val="none"/>
          <w:u w:val="single"/>
        </w:rPr>
        <w:t>（编号、补遗书）（如果有的话）</w:t>
      </w:r>
      <w:r>
        <w:rPr>
          <w:rFonts w:cs="Arial"/>
          <w:color w:val="auto"/>
          <w:szCs w:val="24"/>
          <w:highlight w:val="none"/>
        </w:rPr>
        <w:t>。我</w:t>
      </w:r>
      <w:r>
        <w:rPr>
          <w:rFonts w:hint="eastAsia" w:cs="Arial"/>
          <w:color w:val="auto"/>
          <w:szCs w:val="24"/>
          <w:highlight w:val="none"/>
        </w:rPr>
        <w:t>方</w:t>
      </w:r>
      <w:r>
        <w:rPr>
          <w:rFonts w:cs="Arial"/>
          <w:color w:val="auto"/>
          <w:szCs w:val="24"/>
          <w:highlight w:val="none"/>
        </w:rPr>
        <w:t>完全理解并同意放弃对这方面有不明及误解的权力。</w:t>
      </w:r>
    </w:p>
    <w:p w14:paraId="70CAE828">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4.</w:t>
      </w:r>
      <w:r>
        <w:rPr>
          <w:rFonts w:hint="eastAsia" w:cs="Arial"/>
          <w:color w:val="auto"/>
          <w:szCs w:val="24"/>
          <w:highlight w:val="none"/>
        </w:rPr>
        <w:t>投标有效期为自提交投标文件的截止之日起</w:t>
      </w:r>
      <w:r>
        <w:rPr>
          <w:rFonts w:hint="eastAsia" w:cs="Arial"/>
          <w:i/>
          <w:color w:val="auto"/>
          <w:szCs w:val="24"/>
          <w:highlight w:val="none"/>
          <w:u w:val="single"/>
        </w:rPr>
        <w:t xml:space="preserve"> </w:t>
      </w:r>
      <w:r>
        <w:rPr>
          <w:rFonts w:hint="eastAsia" w:cs="Arial"/>
          <w:i w:val="0"/>
          <w:iCs/>
          <w:color w:val="auto"/>
          <w:szCs w:val="24"/>
          <w:highlight w:val="none"/>
          <w:u w:val="single"/>
        </w:rPr>
        <w:t>（由投标人填写）</w:t>
      </w:r>
      <w:r>
        <w:rPr>
          <w:rFonts w:cs="Arial"/>
          <w:color w:val="auto"/>
          <w:szCs w:val="24"/>
          <w:highlight w:val="none"/>
        </w:rPr>
        <w:t>个日历天。</w:t>
      </w:r>
    </w:p>
    <w:p w14:paraId="52EDF2A7">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5.</w:t>
      </w:r>
      <w:r>
        <w:rPr>
          <w:rFonts w:hint="eastAsia" w:cs="Arial"/>
          <w:color w:val="auto"/>
          <w:szCs w:val="24"/>
          <w:highlight w:val="none"/>
        </w:rPr>
        <w:t>我方</w:t>
      </w:r>
      <w:r>
        <w:rPr>
          <w:rFonts w:cs="Arial"/>
          <w:color w:val="auto"/>
          <w:szCs w:val="24"/>
          <w:highlight w:val="none"/>
        </w:rPr>
        <w:t>同意提供按照贵方</w:t>
      </w:r>
      <w:r>
        <w:rPr>
          <w:rFonts w:hint="eastAsia" w:cs="Arial"/>
          <w:color w:val="auto"/>
          <w:szCs w:val="24"/>
          <w:highlight w:val="none"/>
          <w:lang w:val="en-US" w:eastAsia="zh-CN"/>
        </w:rPr>
        <w:t>招标</w:t>
      </w:r>
      <w:r>
        <w:rPr>
          <w:rFonts w:hint="eastAsia" w:cs="Arial"/>
          <w:color w:val="auto"/>
          <w:szCs w:val="24"/>
          <w:highlight w:val="none"/>
        </w:rPr>
        <w:t>文件</w:t>
      </w:r>
      <w:r>
        <w:rPr>
          <w:rFonts w:cs="Arial"/>
          <w:color w:val="auto"/>
          <w:szCs w:val="24"/>
          <w:highlight w:val="none"/>
        </w:rPr>
        <w:t>要求的与投标有关的一切数据或资料，</w:t>
      </w:r>
      <w:r>
        <w:rPr>
          <w:rFonts w:hint="eastAsia" w:cs="Arial"/>
          <w:color w:val="auto"/>
          <w:szCs w:val="24"/>
          <w:highlight w:val="none"/>
        </w:rPr>
        <w:t>采用综合评分法时，我方</w:t>
      </w:r>
      <w:r>
        <w:rPr>
          <w:rFonts w:cs="Arial"/>
          <w:color w:val="auto"/>
          <w:szCs w:val="24"/>
          <w:highlight w:val="none"/>
        </w:rPr>
        <w:t>完全理解贵方不一定接受最低价的投标。</w:t>
      </w:r>
    </w:p>
    <w:p w14:paraId="3CF5A666">
      <w:pPr>
        <w:numPr>
          <w:ilvl w:val="0"/>
          <w:numId w:val="0"/>
        </w:numPr>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6.</w:t>
      </w:r>
      <w:r>
        <w:rPr>
          <w:rFonts w:hint="eastAsia" w:cs="Arial"/>
          <w:color w:val="auto"/>
          <w:szCs w:val="24"/>
          <w:highlight w:val="none"/>
        </w:rPr>
        <w:t>本项目如由中标人支付采购代理服务费，我方同意按投标人须知前附表中规定向采购代理机构支付采购代理服务费。</w:t>
      </w:r>
    </w:p>
    <w:p w14:paraId="6A150207">
      <w:pPr>
        <w:numPr>
          <w:ilvl w:val="0"/>
          <w:numId w:val="0"/>
        </w:numPr>
        <w:snapToGrid w:val="0"/>
        <w:spacing w:line="324" w:lineRule="auto"/>
        <w:ind w:firstLine="480" w:firstLineChars="200"/>
        <w:jc w:val="both"/>
        <w:rPr>
          <w:rFonts w:cs="Arial"/>
          <w:color w:val="auto"/>
          <w:szCs w:val="24"/>
          <w:highlight w:val="none"/>
        </w:rPr>
      </w:pPr>
      <w:r>
        <w:rPr>
          <w:rFonts w:hint="eastAsia" w:ascii="宋体" w:hAnsi="宋体" w:eastAsia="宋体" w:cs="Arial"/>
          <w:color w:val="auto"/>
          <w:kern w:val="2"/>
          <w:sz w:val="24"/>
          <w:szCs w:val="24"/>
          <w:highlight w:val="none"/>
          <w:lang w:val="en-US" w:eastAsia="zh-CN" w:bidi="ar-SA"/>
        </w:rPr>
        <w:t>7.</w:t>
      </w:r>
      <w:r>
        <w:rPr>
          <w:rFonts w:hint="eastAsia" w:cs="Arial"/>
          <w:color w:val="auto"/>
          <w:szCs w:val="24"/>
          <w:highlight w:val="none"/>
        </w:rPr>
        <w:t>重要声明：</w:t>
      </w:r>
    </w:p>
    <w:p w14:paraId="40AFB77A">
      <w:pPr>
        <w:snapToGrid w:val="0"/>
        <w:spacing w:line="324" w:lineRule="auto"/>
        <w:ind w:firstLine="480" w:firstLineChars="200"/>
        <w:rPr>
          <w:color w:val="auto"/>
          <w:szCs w:val="24"/>
          <w:highlight w:val="none"/>
        </w:rPr>
      </w:pPr>
      <w:r>
        <w:rPr>
          <w:rFonts w:hint="eastAsia"/>
          <w:color w:val="auto"/>
          <w:szCs w:val="24"/>
          <w:highlight w:val="none"/>
        </w:rPr>
        <w:t>1）与我方单位负责人为同一人的其他单位名称：</w:t>
      </w:r>
    </w:p>
    <w:p w14:paraId="409D2F71">
      <w:pPr>
        <w:snapToGrid w:val="0"/>
        <w:spacing w:line="324" w:lineRule="auto"/>
        <w:ind w:left="456" w:leftChars="190" w:firstLine="355" w:firstLineChars="148"/>
        <w:rPr>
          <w:i w:val="0"/>
          <w:iCs/>
          <w:color w:val="auto"/>
          <w:szCs w:val="24"/>
          <w:highlight w:val="none"/>
        </w:rPr>
      </w:pPr>
      <w:r>
        <w:rPr>
          <w:rFonts w:hint="eastAsia"/>
          <w:color w:val="auto"/>
          <w:szCs w:val="24"/>
          <w:highlight w:val="none"/>
          <w:lang w:eastAsia="zh-CN"/>
        </w:rPr>
        <w:t>□</w:t>
      </w:r>
      <w:r>
        <w:rPr>
          <w:rFonts w:hint="eastAsia"/>
          <w:color w:val="auto"/>
          <w:szCs w:val="24"/>
          <w:highlight w:val="none"/>
        </w:rPr>
        <w:t>无；</w:t>
      </w:r>
      <w:r>
        <w:rPr>
          <w:rFonts w:hint="eastAsia"/>
          <w:color w:val="auto"/>
          <w:szCs w:val="24"/>
          <w:highlight w:val="none"/>
          <w:lang w:eastAsia="zh-CN"/>
        </w:rPr>
        <w:t>□</w:t>
      </w:r>
      <w:r>
        <w:rPr>
          <w:rFonts w:hint="eastAsia"/>
          <w:color w:val="auto"/>
          <w:szCs w:val="24"/>
          <w:highlight w:val="none"/>
        </w:rPr>
        <w:t>有，具体单位名称为：</w:t>
      </w:r>
      <w:r>
        <w:rPr>
          <w:rFonts w:hint="eastAsia" w:cs="Arial"/>
          <w:i w:val="0"/>
          <w:iCs/>
          <w:color w:val="auto"/>
          <w:szCs w:val="24"/>
          <w:highlight w:val="none"/>
          <w:u w:val="single"/>
        </w:rPr>
        <w:t>（由投标人如实填写）</w:t>
      </w:r>
      <w:r>
        <w:rPr>
          <w:rFonts w:hint="eastAsia"/>
          <w:i w:val="0"/>
          <w:iCs/>
          <w:color w:val="auto"/>
          <w:szCs w:val="24"/>
          <w:highlight w:val="none"/>
        </w:rPr>
        <w:t>。</w:t>
      </w:r>
    </w:p>
    <w:p w14:paraId="0B2F52C6">
      <w:pPr>
        <w:snapToGrid w:val="0"/>
        <w:spacing w:line="324" w:lineRule="auto"/>
        <w:ind w:firstLine="480" w:firstLineChars="200"/>
        <w:rPr>
          <w:i w:val="0"/>
          <w:iCs/>
          <w:color w:val="auto"/>
          <w:szCs w:val="24"/>
          <w:highlight w:val="none"/>
        </w:rPr>
      </w:pPr>
      <w:r>
        <w:rPr>
          <w:rFonts w:hint="eastAsia"/>
          <w:i w:val="0"/>
          <w:iCs/>
          <w:color w:val="auto"/>
          <w:szCs w:val="24"/>
          <w:highlight w:val="none"/>
        </w:rPr>
        <w:t>2）与我方存在控股、管理关系的其他单位的名称：</w:t>
      </w:r>
    </w:p>
    <w:p w14:paraId="3BE8BBB8">
      <w:pPr>
        <w:snapToGrid w:val="0"/>
        <w:spacing w:line="324" w:lineRule="auto"/>
        <w:ind w:left="456" w:leftChars="190" w:firstLine="355" w:firstLineChars="148"/>
        <w:rPr>
          <w:color w:val="auto"/>
          <w:szCs w:val="24"/>
          <w:highlight w:val="none"/>
        </w:rPr>
      </w:pPr>
      <w:r>
        <w:rPr>
          <w:rFonts w:hint="eastAsia"/>
          <w:i w:val="0"/>
          <w:iCs/>
          <w:color w:val="auto"/>
          <w:szCs w:val="24"/>
          <w:highlight w:val="none"/>
          <w:lang w:eastAsia="zh-CN"/>
        </w:rPr>
        <w:t>□</w:t>
      </w:r>
      <w:r>
        <w:rPr>
          <w:rFonts w:hint="eastAsia"/>
          <w:i w:val="0"/>
          <w:iCs/>
          <w:color w:val="auto"/>
          <w:szCs w:val="24"/>
          <w:highlight w:val="none"/>
        </w:rPr>
        <w:t xml:space="preserve">无；□有，具体单位名称为： </w:t>
      </w:r>
      <w:r>
        <w:rPr>
          <w:rFonts w:hint="eastAsia" w:cs="Arial"/>
          <w:i w:val="0"/>
          <w:iCs/>
          <w:color w:val="auto"/>
          <w:szCs w:val="24"/>
          <w:highlight w:val="none"/>
          <w:u w:val="single"/>
        </w:rPr>
        <w:t>（由投标人如实填写）</w:t>
      </w:r>
      <w:r>
        <w:rPr>
          <w:rFonts w:hint="eastAsia"/>
          <w:color w:val="auto"/>
          <w:szCs w:val="24"/>
          <w:highlight w:val="none"/>
        </w:rPr>
        <w:t>。</w:t>
      </w:r>
    </w:p>
    <w:p w14:paraId="1103F8A2">
      <w:pPr>
        <w:snapToGrid w:val="0"/>
        <w:spacing w:line="324" w:lineRule="auto"/>
        <w:ind w:firstLine="480" w:firstLineChars="200"/>
        <w:rPr>
          <w:color w:val="auto"/>
          <w:szCs w:val="24"/>
          <w:highlight w:val="none"/>
        </w:rPr>
      </w:pPr>
      <w:r>
        <w:rPr>
          <w:rFonts w:hint="eastAsia"/>
          <w:color w:val="auto"/>
          <w:szCs w:val="24"/>
          <w:highlight w:val="none"/>
        </w:rPr>
        <w:t>3）参与本项目采购活动前，是否为本项目前期准备提供过整体设计、规范编制或者项目管理、监理、检测等服务：</w:t>
      </w:r>
    </w:p>
    <w:p w14:paraId="73BE978C">
      <w:pPr>
        <w:snapToGrid w:val="0"/>
        <w:spacing w:line="324" w:lineRule="auto"/>
        <w:ind w:left="456" w:leftChars="190" w:firstLine="355" w:firstLineChars="148"/>
        <w:rPr>
          <w:color w:val="auto"/>
          <w:szCs w:val="24"/>
          <w:highlight w:val="none"/>
        </w:rPr>
      </w:pPr>
      <w:r>
        <w:rPr>
          <w:rFonts w:hint="eastAsia"/>
          <w:color w:val="auto"/>
          <w:szCs w:val="24"/>
          <w:highlight w:val="none"/>
          <w:lang w:eastAsia="zh-CN"/>
        </w:rPr>
        <w:t>□</w:t>
      </w:r>
      <w:r>
        <w:rPr>
          <w:rFonts w:hint="eastAsia"/>
          <w:color w:val="auto"/>
          <w:szCs w:val="24"/>
          <w:highlight w:val="none"/>
        </w:rPr>
        <w:t>无；□有，已提供的具体服务内容为：</w:t>
      </w:r>
      <w:r>
        <w:rPr>
          <w:rFonts w:hint="eastAsia"/>
          <w:i w:val="0"/>
          <w:iCs w:val="0"/>
          <w:color w:val="auto"/>
          <w:szCs w:val="24"/>
          <w:highlight w:val="none"/>
        </w:rPr>
        <w:t xml:space="preserve"> </w:t>
      </w:r>
      <w:r>
        <w:rPr>
          <w:rFonts w:hint="eastAsia" w:cs="Arial"/>
          <w:i w:val="0"/>
          <w:iCs w:val="0"/>
          <w:color w:val="auto"/>
          <w:szCs w:val="24"/>
          <w:highlight w:val="none"/>
          <w:u w:val="single"/>
        </w:rPr>
        <w:t>（由投标人如实填写）</w:t>
      </w:r>
      <w:r>
        <w:rPr>
          <w:rFonts w:hint="eastAsia"/>
          <w:color w:val="auto"/>
          <w:szCs w:val="24"/>
          <w:highlight w:val="none"/>
        </w:rPr>
        <w:t>。</w:t>
      </w:r>
    </w:p>
    <w:p w14:paraId="4FC84088">
      <w:pPr>
        <w:spacing w:line="324" w:lineRule="auto"/>
        <w:ind w:firstLine="480" w:firstLineChars="200"/>
        <w:rPr>
          <w:color w:val="auto"/>
          <w:szCs w:val="24"/>
          <w:highlight w:val="none"/>
        </w:rPr>
      </w:pPr>
      <w:r>
        <w:rPr>
          <w:rFonts w:hint="eastAsia"/>
          <w:color w:val="auto"/>
          <w:szCs w:val="24"/>
          <w:highlight w:val="none"/>
        </w:rPr>
        <w:t>（备注：以上</w:t>
      </w:r>
      <w:r>
        <w:rPr>
          <w:color w:val="auto"/>
          <w:szCs w:val="24"/>
          <w:highlight w:val="none"/>
        </w:rPr>
        <w:t>3</w:t>
      </w:r>
      <w:r>
        <w:rPr>
          <w:rFonts w:hint="eastAsia"/>
          <w:color w:val="auto"/>
          <w:szCs w:val="24"/>
          <w:highlight w:val="none"/>
        </w:rPr>
        <w:t>项声明，必须如实选择，选中项用</w:t>
      </w:r>
      <w:r>
        <w:rPr>
          <w:rFonts w:hint="eastAsia"/>
          <w:color w:val="auto"/>
          <w:szCs w:val="24"/>
          <w:highlight w:val="none"/>
          <w:lang w:eastAsia="zh-CN"/>
        </w:rPr>
        <w:t>☑</w:t>
      </w:r>
      <w:r>
        <w:rPr>
          <w:rFonts w:hint="eastAsia"/>
          <w:color w:val="auto"/>
          <w:szCs w:val="24"/>
          <w:highlight w:val="none"/>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19A44DC4">
      <w:pPr>
        <w:snapToGrid w:val="0"/>
        <w:spacing w:line="324" w:lineRule="auto"/>
        <w:ind w:firstLine="480" w:firstLineChars="200"/>
        <w:rPr>
          <w:color w:val="auto"/>
          <w:szCs w:val="24"/>
          <w:highlight w:val="none"/>
        </w:rPr>
      </w:pPr>
      <w:r>
        <w:rPr>
          <w:rFonts w:hint="eastAsia"/>
          <w:color w:val="auto"/>
          <w:szCs w:val="24"/>
          <w:highlight w:val="none"/>
        </w:rPr>
        <w:t>4）我方在本投标文件中所提供的全部资料均真实有效，我方承诺对其真实性负责并承担相应后果。</w:t>
      </w:r>
    </w:p>
    <w:p w14:paraId="5FB2607B">
      <w:pPr>
        <w:snapToGrid w:val="0"/>
        <w:spacing w:line="324" w:lineRule="auto"/>
        <w:ind w:firstLine="480" w:firstLineChars="200"/>
        <w:rPr>
          <w:color w:val="auto"/>
          <w:szCs w:val="24"/>
          <w:highlight w:val="none"/>
        </w:rPr>
      </w:pPr>
      <w:r>
        <w:rPr>
          <w:rFonts w:hint="eastAsia"/>
          <w:color w:val="auto"/>
          <w:szCs w:val="24"/>
          <w:highlight w:val="none"/>
        </w:rPr>
        <w:t>5）</w:t>
      </w:r>
      <w:bookmarkStart w:id="611" w:name="_Hlk161604053"/>
      <w:r>
        <w:rPr>
          <w:rFonts w:hint="eastAsia"/>
          <w:color w:val="auto"/>
          <w:szCs w:val="24"/>
          <w:highlight w:val="none"/>
        </w:rPr>
        <w:t>我方承诺本《投标函》的签章对本投标文件全部内容具有约束力并承担法律责任。</w:t>
      </w:r>
      <w:bookmarkEnd w:id="611"/>
    </w:p>
    <w:p w14:paraId="2A195747">
      <w:pPr>
        <w:spacing w:line="300" w:lineRule="auto"/>
        <w:rPr>
          <w:rFonts w:cs="Arial"/>
          <w:color w:val="auto"/>
          <w:szCs w:val="24"/>
          <w:highlight w:val="none"/>
        </w:rPr>
      </w:pPr>
    </w:p>
    <w:p w14:paraId="3F664789">
      <w:pPr>
        <w:spacing w:line="300" w:lineRule="auto"/>
        <w:rPr>
          <w:rFonts w:cs="Arial"/>
          <w:color w:val="auto"/>
          <w:szCs w:val="24"/>
          <w:highlight w:val="none"/>
        </w:rPr>
      </w:pPr>
    </w:p>
    <w:p w14:paraId="6C365FF0">
      <w:pPr>
        <w:spacing w:line="300" w:lineRule="auto"/>
        <w:rPr>
          <w:rFonts w:cs="Arial"/>
          <w:color w:val="auto"/>
          <w:szCs w:val="24"/>
          <w:highlight w:val="none"/>
        </w:rPr>
      </w:pPr>
    </w:p>
    <w:p w14:paraId="448666AB">
      <w:pPr>
        <w:autoSpaceDE w:val="0"/>
        <w:autoSpaceDN w:val="0"/>
        <w:adjustRightInd w:val="0"/>
        <w:snapToGrid w:val="0"/>
        <w:ind w:firstLine="480" w:firstLineChars="200"/>
        <w:rPr>
          <w:rFonts w:hint="eastAsia" w:ascii="宋体" w:hAnsi="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p>
    <w:p w14:paraId="4CCC9D16">
      <w:pPr>
        <w:autoSpaceDE w:val="0"/>
        <w:autoSpaceDN w:val="0"/>
        <w:adjustRightInd w:val="0"/>
        <w:snapToGrid w:val="0"/>
        <w:ind w:firstLine="480" w:firstLineChars="200"/>
        <w:rPr>
          <w:rFonts w:cs="宋体"/>
          <w:color w:val="auto"/>
          <w:highlight w:val="none"/>
        </w:rPr>
      </w:pPr>
      <w:r>
        <w:rPr>
          <w:rFonts w:hint="eastAsia" w:cs="宋体"/>
          <w:color w:val="auto"/>
          <w:highlight w:val="none"/>
        </w:rPr>
        <w:t>通  讯  地  址：</w:t>
      </w:r>
    </w:p>
    <w:p w14:paraId="268281DA">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传       </w:t>
      </w:r>
      <w:r>
        <w:rPr>
          <w:rFonts w:cs="宋体"/>
          <w:color w:val="auto"/>
          <w:highlight w:val="none"/>
        </w:rPr>
        <w:t xml:space="preserve">   </w:t>
      </w:r>
      <w:r>
        <w:rPr>
          <w:rFonts w:hint="eastAsia" w:cs="宋体"/>
          <w:color w:val="auto"/>
          <w:highlight w:val="none"/>
        </w:rPr>
        <w:t>真：</w:t>
      </w:r>
    </w:p>
    <w:p w14:paraId="0A396883">
      <w:pPr>
        <w:autoSpaceDE w:val="0"/>
        <w:autoSpaceDN w:val="0"/>
        <w:adjustRightInd w:val="0"/>
        <w:snapToGrid w:val="0"/>
        <w:ind w:firstLine="480" w:firstLineChars="200"/>
        <w:rPr>
          <w:rFonts w:cs="宋体"/>
          <w:color w:val="auto"/>
          <w:highlight w:val="none"/>
        </w:rPr>
      </w:pPr>
      <w:r>
        <w:rPr>
          <w:rFonts w:hint="eastAsia" w:cs="宋体"/>
          <w:color w:val="auto"/>
          <w:highlight w:val="none"/>
        </w:rPr>
        <w:t>电          话：</w:t>
      </w:r>
    </w:p>
    <w:p w14:paraId="21203E4D">
      <w:pPr>
        <w:autoSpaceDE w:val="0"/>
        <w:autoSpaceDN w:val="0"/>
        <w:adjustRightInd w:val="0"/>
        <w:snapToGrid w:val="0"/>
        <w:ind w:firstLine="480" w:firstLineChars="200"/>
        <w:rPr>
          <w:rFonts w:cs="宋体"/>
          <w:color w:val="auto"/>
          <w:highlight w:val="none"/>
        </w:rPr>
      </w:pPr>
      <w:r>
        <w:rPr>
          <w:rFonts w:hint="eastAsia" w:cs="宋体"/>
          <w:color w:val="auto"/>
          <w:highlight w:val="none"/>
        </w:rPr>
        <w:t xml:space="preserve">授 </w:t>
      </w:r>
      <w:r>
        <w:rPr>
          <w:rFonts w:cs="宋体"/>
          <w:color w:val="auto"/>
          <w:highlight w:val="none"/>
        </w:rPr>
        <w:t xml:space="preserve"> </w:t>
      </w:r>
      <w:r>
        <w:rPr>
          <w:rFonts w:hint="eastAsia" w:cs="宋体"/>
          <w:color w:val="auto"/>
          <w:highlight w:val="none"/>
        </w:rPr>
        <w:t xml:space="preserve">权 </w:t>
      </w:r>
      <w:r>
        <w:rPr>
          <w:rFonts w:cs="宋体"/>
          <w:color w:val="auto"/>
          <w:highlight w:val="none"/>
        </w:rPr>
        <w:t xml:space="preserve"> </w:t>
      </w:r>
      <w:r>
        <w:rPr>
          <w:rFonts w:hint="eastAsia" w:cs="宋体"/>
          <w:color w:val="auto"/>
          <w:highlight w:val="none"/>
        </w:rPr>
        <w:t xml:space="preserve">代 </w:t>
      </w:r>
      <w:r>
        <w:rPr>
          <w:rFonts w:cs="宋体"/>
          <w:color w:val="auto"/>
          <w:highlight w:val="none"/>
        </w:rPr>
        <w:t xml:space="preserve"> </w:t>
      </w:r>
      <w:r>
        <w:rPr>
          <w:rFonts w:hint="eastAsia" w:cs="宋体"/>
          <w:color w:val="auto"/>
          <w:highlight w:val="none"/>
        </w:rPr>
        <w:t>表：</w:t>
      </w:r>
    </w:p>
    <w:p w14:paraId="63C92097">
      <w:pPr>
        <w:ind w:firstLine="480" w:firstLineChars="200"/>
        <w:rPr>
          <w:rFonts w:cs="Arial"/>
          <w:color w:val="auto"/>
          <w:szCs w:val="24"/>
          <w:highlight w:val="none"/>
        </w:rPr>
      </w:pPr>
      <w:r>
        <w:rPr>
          <w:rFonts w:hint="eastAsia" w:cs="宋体"/>
          <w:color w:val="auto"/>
          <w:highlight w:val="none"/>
        </w:rPr>
        <w:t xml:space="preserve">日     </w:t>
      </w:r>
      <w:r>
        <w:rPr>
          <w:rFonts w:cs="宋体"/>
          <w:color w:val="auto"/>
          <w:highlight w:val="none"/>
        </w:rPr>
        <w:t xml:space="preserve">  </w:t>
      </w:r>
      <w:r>
        <w:rPr>
          <w:rFonts w:hint="eastAsia" w:cs="宋体"/>
          <w:color w:val="auto"/>
          <w:highlight w:val="none"/>
        </w:rPr>
        <w:t xml:space="preserve">    期：</w:t>
      </w:r>
    </w:p>
    <w:p w14:paraId="6674502E">
      <w:pPr>
        <w:rPr>
          <w:rFonts w:cs="Arial"/>
          <w:color w:val="auto"/>
          <w:szCs w:val="24"/>
          <w:highlight w:val="none"/>
          <w:u w:val="single"/>
        </w:rPr>
      </w:pPr>
    </w:p>
    <w:p w14:paraId="478BFBB8">
      <w:pPr>
        <w:rPr>
          <w:rFonts w:cs="Arial"/>
          <w:color w:val="auto"/>
          <w:szCs w:val="24"/>
          <w:highlight w:val="none"/>
          <w:u w:val="single"/>
        </w:rPr>
      </w:pPr>
      <w:r>
        <w:rPr>
          <w:rFonts w:cs="Arial"/>
          <w:color w:val="auto"/>
          <w:szCs w:val="24"/>
          <w:highlight w:val="none"/>
          <w:u w:val="single"/>
        </w:rPr>
        <w:br w:type="page"/>
      </w:r>
    </w:p>
    <w:p w14:paraId="24B4BD65">
      <w:pPr>
        <w:pStyle w:val="4"/>
        <w:bidi w:val="0"/>
        <w:jc w:val="center"/>
        <w:rPr>
          <w:rFonts w:hint="eastAsia"/>
          <w:highlight w:val="none"/>
          <w:lang w:val="en-US" w:eastAsia="zh-CN"/>
        </w:rPr>
      </w:pPr>
      <w:bookmarkStart w:id="612" w:name="_Toc7151"/>
      <w:bookmarkStart w:id="613" w:name="_Toc155185924"/>
      <w:r>
        <w:rPr>
          <w:rFonts w:hint="eastAsia"/>
          <w:highlight w:val="none"/>
          <w:lang w:val="en-US" w:eastAsia="zh-CN"/>
        </w:rPr>
        <w:t>二、法定代表人（单位负责人）身份证明</w:t>
      </w:r>
      <w:bookmarkEnd w:id="612"/>
      <w:bookmarkEnd w:id="613"/>
    </w:p>
    <w:p w14:paraId="46CF1AA3">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致：（采购人或采购代理机构） </w:t>
      </w:r>
    </w:p>
    <w:p w14:paraId="3DE52D6F">
      <w:pPr>
        <w:spacing w:line="480" w:lineRule="auto"/>
        <w:ind w:firstLine="960" w:firstLineChars="400"/>
        <w:rPr>
          <w:rFonts w:hint="eastAsia" w:cs="仿宋_GB2312"/>
          <w:color w:val="auto"/>
          <w:szCs w:val="24"/>
          <w:highlight w:val="none"/>
        </w:rPr>
      </w:pPr>
      <w:r>
        <w:rPr>
          <w:rFonts w:hint="eastAsia" w:cs="仿宋_GB2312"/>
          <w:color w:val="auto"/>
          <w:szCs w:val="24"/>
          <w:highlight w:val="none"/>
          <w:lang w:val="en-US" w:eastAsia="zh-CN"/>
        </w:rPr>
        <w:t xml:space="preserve">兹证明， </w:t>
      </w:r>
    </w:p>
    <w:p w14:paraId="1D36B9E0">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姓名：____性别：____年龄：____职务：____ </w:t>
      </w:r>
    </w:p>
    <w:p w14:paraId="38746EB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系 </w:t>
      </w:r>
      <w:r>
        <w:rPr>
          <w:rFonts w:hint="eastAsia" w:cs="仿宋_GB2312"/>
          <w:color w:val="auto"/>
          <w:szCs w:val="24"/>
          <w:highlight w:val="none"/>
          <w:u w:val="single"/>
          <w:lang w:val="en-US" w:eastAsia="zh-CN"/>
        </w:rPr>
        <w:t xml:space="preserve">            </w:t>
      </w:r>
      <w:r>
        <w:rPr>
          <w:rFonts w:hint="eastAsia" w:cs="仿宋_GB2312"/>
          <w:color w:val="auto"/>
          <w:szCs w:val="24"/>
          <w:highlight w:val="none"/>
          <w:lang w:val="en-US" w:eastAsia="zh-CN"/>
        </w:rPr>
        <w:t xml:space="preserve">（投标人名称）的法定代表人（单位负责人）。 </w:t>
      </w:r>
    </w:p>
    <w:p w14:paraId="3B002BC6">
      <w:pPr>
        <w:spacing w:line="480" w:lineRule="auto"/>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附：法定代表人（单位负责人）身份证、护照等身份证明文件电子件： </w:t>
      </w:r>
    </w:p>
    <w:p w14:paraId="60A8C36F">
      <w:pPr>
        <w:spacing w:line="480" w:lineRule="auto"/>
        <w:ind w:firstLine="480" w:firstLineChars="200"/>
        <w:rPr>
          <w:rFonts w:cs="仿宋_GB2312"/>
          <w:color w:val="auto"/>
          <w:szCs w:val="24"/>
          <w:highlight w:val="none"/>
        </w:rPr>
      </w:pPr>
    </w:p>
    <w:p w14:paraId="473563CD">
      <w:pPr>
        <w:rPr>
          <w:rFonts w:cs="Arial"/>
          <w:color w:val="auto"/>
          <w:sz w:val="21"/>
          <w:szCs w:val="21"/>
          <w:highlight w:val="none"/>
        </w:rPr>
      </w:pP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cs="Arial"/>
                <w:color w:val="auto"/>
                <w:highlight w:val="none"/>
              </w:rPr>
            </w:pPr>
          </w:p>
        </w:tc>
      </w:tr>
    </w:tbl>
    <w:p w14:paraId="76B5C725">
      <w:pPr>
        <w:ind w:firstLine="840" w:firstLineChars="350"/>
        <w:jc w:val="center"/>
        <w:rPr>
          <w:rFonts w:cs="Arial"/>
          <w:color w:val="auto"/>
          <w:highlight w:val="none"/>
        </w:rPr>
      </w:pPr>
    </w:p>
    <w:p w14:paraId="4AD74708">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ascii="DejaVuSans" w:hAnsi="DejaVuSans" w:eastAsia="DejaVuSans" w:cs="DejaVuSans"/>
          <w:color w:val="auto"/>
          <w:kern w:val="0"/>
          <w:sz w:val="24"/>
          <w:szCs w:val="24"/>
          <w:highlight w:val="none"/>
          <w:lang w:val="en-US" w:eastAsia="zh-CN" w:bidi="ar"/>
        </w:rPr>
        <w:t xml:space="preserve">________________ </w:t>
      </w:r>
    </w:p>
    <w:p w14:paraId="364A1245">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 </w:t>
      </w:r>
    </w:p>
    <w:p w14:paraId="10B3C29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239FE13">
      <w:pPr>
        <w:keepNext w:val="0"/>
        <w:keepLines w:val="0"/>
        <w:widowControl/>
        <w:suppressLineNumbers w:val="0"/>
        <w:jc w:val="left"/>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日</w:t>
      </w:r>
    </w:p>
    <w:p w14:paraId="6948CD78">
      <w:pPr>
        <w:rPr>
          <w:b/>
          <w:color w:val="auto"/>
          <w:sz w:val="28"/>
          <w:szCs w:val="28"/>
          <w:highlight w:val="none"/>
        </w:rPr>
      </w:pPr>
    </w:p>
    <w:p w14:paraId="04FDD702">
      <w:pPr>
        <w:rPr>
          <w:b/>
          <w:color w:val="auto"/>
          <w:sz w:val="28"/>
          <w:szCs w:val="28"/>
          <w:highlight w:val="none"/>
        </w:rPr>
      </w:pPr>
      <w:r>
        <w:rPr>
          <w:b/>
          <w:color w:val="auto"/>
          <w:sz w:val="28"/>
          <w:szCs w:val="28"/>
          <w:highlight w:val="none"/>
        </w:rPr>
        <w:br w:type="page"/>
      </w:r>
    </w:p>
    <w:p w14:paraId="0EEE8A23">
      <w:pPr>
        <w:pStyle w:val="4"/>
        <w:bidi w:val="0"/>
        <w:jc w:val="center"/>
        <w:rPr>
          <w:rFonts w:hint="eastAsia"/>
          <w:highlight w:val="none"/>
          <w:lang w:val="en-US" w:eastAsia="zh-CN"/>
        </w:rPr>
      </w:pPr>
      <w:bookmarkStart w:id="614" w:name="_Toc155185925"/>
      <w:bookmarkStart w:id="615" w:name="_Toc13994"/>
      <w:r>
        <w:rPr>
          <w:rFonts w:hint="eastAsia"/>
          <w:highlight w:val="none"/>
          <w:lang w:val="en-US" w:eastAsia="zh-CN"/>
        </w:rPr>
        <w:t>三、授权委托书</w:t>
      </w:r>
      <w:bookmarkEnd w:id="614"/>
      <w:bookmarkEnd w:id="615"/>
    </w:p>
    <w:p w14:paraId="593F068D">
      <w:pPr>
        <w:ind w:firstLine="480" w:firstLineChars="200"/>
        <w:rPr>
          <w:rFonts w:cs="仿宋_GB2312"/>
          <w:color w:val="auto"/>
          <w:szCs w:val="24"/>
          <w:highlight w:val="none"/>
        </w:rPr>
      </w:pPr>
      <w:r>
        <w:rPr>
          <w:rFonts w:hint="eastAsia" w:cs="仿宋_GB2312"/>
          <w:color w:val="auto"/>
          <w:szCs w:val="24"/>
          <w:highlight w:val="none"/>
        </w:rPr>
        <w:t>本人</w:t>
      </w:r>
      <w:r>
        <w:rPr>
          <w:rFonts w:cs="仿宋_GB2312"/>
          <w:color w:val="auto"/>
          <w:szCs w:val="24"/>
          <w:highlight w:val="none"/>
          <w:u w:val="single"/>
        </w:rPr>
        <w:t xml:space="preserve">     </w:t>
      </w:r>
      <w:r>
        <w:rPr>
          <w:rFonts w:hint="eastAsia" w:cs="仿宋_GB2312"/>
          <w:color w:val="auto"/>
          <w:szCs w:val="24"/>
          <w:highlight w:val="none"/>
          <w:u w:val="none"/>
        </w:rPr>
        <w:t>（姓名）</w:t>
      </w:r>
      <w:r>
        <w:rPr>
          <w:rFonts w:hint="eastAsia" w:cs="仿宋_GB2312"/>
          <w:color w:val="auto"/>
          <w:szCs w:val="24"/>
          <w:highlight w:val="none"/>
        </w:rPr>
        <w:t>系</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u w:val="none"/>
        </w:rPr>
        <w:t>（投标人名称）</w:t>
      </w:r>
      <w:r>
        <w:rPr>
          <w:rFonts w:hint="eastAsia" w:cs="仿宋_GB2312"/>
          <w:color w:val="auto"/>
          <w:szCs w:val="24"/>
          <w:highlight w:val="none"/>
        </w:rPr>
        <w:t>的法定代表人</w:t>
      </w:r>
      <w:r>
        <w:rPr>
          <w:rFonts w:hint="eastAsia"/>
          <w:color w:val="auto"/>
          <w:highlight w:val="none"/>
        </w:rPr>
        <w:t>（</w:t>
      </w:r>
      <w:r>
        <w:rPr>
          <w:rFonts w:hint="eastAsia"/>
          <w:color w:val="auto"/>
          <w:highlight w:val="none"/>
          <w:lang w:val="en-US" w:eastAsia="zh-CN"/>
        </w:rPr>
        <w:t>单位</w:t>
      </w:r>
      <w:r>
        <w:rPr>
          <w:rFonts w:hint="eastAsia"/>
          <w:color w:val="auto"/>
          <w:highlight w:val="none"/>
        </w:rPr>
        <w:t>负责人）</w:t>
      </w:r>
      <w:r>
        <w:rPr>
          <w:rFonts w:hint="eastAsia" w:cs="仿宋_GB2312"/>
          <w:color w:val="auto"/>
          <w:szCs w:val="24"/>
          <w:highlight w:val="none"/>
        </w:rPr>
        <w:t>，现委托</w:t>
      </w:r>
      <w:r>
        <w:rPr>
          <w:rFonts w:hint="eastAsia" w:cs="仿宋_GB2312"/>
          <w:color w:val="auto"/>
          <w:szCs w:val="24"/>
          <w:highlight w:val="none"/>
          <w:u w:val="single"/>
        </w:rPr>
        <w:t xml:space="preserve">     </w:t>
      </w:r>
      <w:r>
        <w:rPr>
          <w:rFonts w:hint="eastAsia" w:cs="仿宋_GB2312"/>
          <w:color w:val="auto"/>
          <w:szCs w:val="24"/>
          <w:highlight w:val="none"/>
        </w:rPr>
        <w:t>（姓名）为我方代理人。代理人根据授权，以我方名义签署、澄清</w:t>
      </w:r>
      <w:r>
        <w:rPr>
          <w:rFonts w:hint="eastAsia" w:cs="仿宋_GB2312"/>
          <w:color w:val="auto"/>
          <w:szCs w:val="24"/>
          <w:highlight w:val="none"/>
          <w:lang w:val="en-US" w:eastAsia="zh-CN"/>
        </w:rPr>
        <w:t>确认</w:t>
      </w:r>
      <w:r>
        <w:rPr>
          <w:rFonts w:hint="eastAsia" w:cs="仿宋_GB2312"/>
          <w:color w:val="auto"/>
          <w:szCs w:val="24"/>
          <w:highlight w:val="none"/>
        </w:rPr>
        <w:t>、说明、补正、递交、撤回、修改</w:t>
      </w:r>
      <w:r>
        <w:rPr>
          <w:rFonts w:hint="eastAsia" w:cs="仿宋_GB2312"/>
          <w:color w:val="auto"/>
          <w:szCs w:val="24"/>
          <w:highlight w:val="none"/>
          <w:u w:val="single"/>
        </w:rPr>
        <w:t xml:space="preserve">   </w:t>
      </w:r>
      <w:r>
        <w:rPr>
          <w:rFonts w:hint="eastAsia" w:cs="仿宋_GB2312"/>
          <w:color w:val="auto"/>
          <w:szCs w:val="24"/>
          <w:highlight w:val="none"/>
          <w:u w:val="single"/>
          <w:lang w:val="en-US" w:eastAsia="zh-CN"/>
        </w:rPr>
        <w:t xml:space="preserve">      </w:t>
      </w:r>
      <w:r>
        <w:rPr>
          <w:rFonts w:hint="eastAsia" w:cs="仿宋_GB2312"/>
          <w:color w:val="auto"/>
          <w:szCs w:val="24"/>
          <w:highlight w:val="none"/>
          <w:u w:val="single"/>
        </w:rPr>
        <w:t xml:space="preserve">  </w:t>
      </w:r>
      <w:r>
        <w:rPr>
          <w:rFonts w:hint="eastAsia" w:cs="仿宋_GB2312"/>
          <w:color w:val="auto"/>
          <w:szCs w:val="24"/>
          <w:highlight w:val="none"/>
        </w:rPr>
        <w:t>（项目名称）投标文件、签订合同和处理有关事宜，其法律后果由我方承担。</w:t>
      </w:r>
    </w:p>
    <w:p w14:paraId="56B80D1C">
      <w:pPr>
        <w:ind w:firstLine="480" w:firstLineChars="200"/>
        <w:rPr>
          <w:rFonts w:hint="eastAsia" w:cs="仿宋_GB2312"/>
          <w:color w:val="auto"/>
          <w:szCs w:val="24"/>
          <w:highlight w:val="none"/>
        </w:rPr>
      </w:pPr>
      <w:r>
        <w:rPr>
          <w:rFonts w:hint="eastAsia" w:cs="仿宋_GB2312"/>
          <w:color w:val="auto"/>
          <w:szCs w:val="24"/>
          <w:highlight w:val="none"/>
        </w:rPr>
        <w:t>委托期限：</w:t>
      </w:r>
      <w:r>
        <w:rPr>
          <w:rFonts w:hint="eastAsia" w:cs="仿宋_GB2312"/>
          <w:color w:val="auto"/>
          <w:szCs w:val="24"/>
          <w:highlight w:val="none"/>
          <w:lang w:val="en-US" w:eastAsia="zh-CN"/>
        </w:rPr>
        <w:t>自本授权委托书签署之日起至投标有效期届满之日止。</w:t>
      </w:r>
    </w:p>
    <w:p w14:paraId="0A605ABE">
      <w:pPr>
        <w:ind w:firstLine="480" w:firstLineChars="200"/>
        <w:rPr>
          <w:rFonts w:cs="仿宋_GB2312"/>
          <w:color w:val="auto"/>
          <w:szCs w:val="24"/>
          <w:highlight w:val="none"/>
        </w:rPr>
      </w:pPr>
      <w:r>
        <w:rPr>
          <w:rFonts w:hint="eastAsia" w:cs="仿宋_GB2312"/>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ascii="DejaVuSans" w:hAnsi="DejaVuSans" w:eastAsia="DejaVuSans" w:cs="DejaVuSans"/>
          <w:color w:val="auto"/>
          <w:kern w:val="0"/>
          <w:sz w:val="24"/>
          <w:szCs w:val="24"/>
          <w:highlight w:val="none"/>
          <w:lang w:val="en-US" w:eastAsia="zh-CN" w:bidi="ar"/>
        </w:rPr>
        <w:t xml:space="preserve">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法定代表人（单位负责人）（签字或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color w:val="auto"/>
          <w:highlight w:val="none"/>
          <w:lang w:val="en-US"/>
        </w:rPr>
      </w:pPr>
      <w:r>
        <w:rPr>
          <w:rFonts w:hint="eastAsia" w:ascii="宋体" w:hAnsi="宋体" w:eastAsia="宋体" w:cs="宋体"/>
          <w:color w:val="auto"/>
          <w:kern w:val="0"/>
          <w:sz w:val="24"/>
          <w:szCs w:val="24"/>
          <w:highlight w:val="none"/>
          <w:lang w:val="en-US" w:eastAsia="zh-CN" w:bidi="ar"/>
        </w:rPr>
        <w:t>委托代理人（签字或</w:t>
      </w:r>
      <w:r>
        <w:rPr>
          <w:rFonts w:hint="eastAsia" w:cs="宋体"/>
          <w:color w:val="auto"/>
          <w:kern w:val="0"/>
          <w:sz w:val="24"/>
          <w:szCs w:val="24"/>
          <w:highlight w:val="none"/>
          <w:lang w:eastAsia="zh-CN"/>
        </w:rPr>
        <w:t>盖</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szCs w:val="24"/>
          <w:highlight w:val="none"/>
          <w:lang w:val="en-US" w:eastAsia="zh-CN" w:bidi="ar"/>
        </w:rPr>
        <w:t>：</w:t>
      </w:r>
      <w:r>
        <w:rPr>
          <w:rFonts w:hint="default" w:ascii="DejaVuSans" w:hAnsi="DejaVuSans" w:eastAsia="DejaVuSans" w:cs="DejaVuSans"/>
          <w:color w:val="auto"/>
          <w:kern w:val="0"/>
          <w:sz w:val="24"/>
          <w:szCs w:val="24"/>
          <w:highlight w:val="none"/>
          <w:lang w:val="en-US" w:eastAsia="zh-CN" w:bidi="ar"/>
        </w:rPr>
        <w:t xml:space="preserve">________________ </w:t>
      </w:r>
      <w:r>
        <w:rPr>
          <w:rFonts w:hint="eastAsia" w:ascii="DejaVuSans" w:hAnsi="DejaVuSans" w:eastAsia="DejaVuSans" w:cs="DejaVuSans"/>
          <w:color w:val="auto"/>
          <w:kern w:val="0"/>
          <w:sz w:val="24"/>
          <w:szCs w:val="24"/>
          <w:highlight w:val="none"/>
          <w:lang w:val="en-US" w:eastAsia="zh-CN" w:bidi="ar"/>
        </w:rPr>
        <w:t xml:space="preserve">   联系电话：</w:t>
      </w:r>
      <w:r>
        <w:rPr>
          <w:rFonts w:hint="default" w:ascii="DejaVuSans" w:hAnsi="DejaVuSans" w:eastAsia="DejaVuSans" w:cs="DejaVuSans"/>
          <w:color w:val="auto"/>
          <w:kern w:val="0"/>
          <w:sz w:val="24"/>
          <w:szCs w:val="24"/>
          <w:highlight w:val="none"/>
          <w:lang w:val="en-US" w:eastAsia="zh-CN" w:bidi="ar"/>
        </w:rPr>
        <w:t>________</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日期：</w:t>
      </w:r>
      <w:r>
        <w:rPr>
          <w:rFonts w:hint="default" w:ascii="DejaVuSans" w:hAnsi="DejaVuSans" w:eastAsia="DejaVuSans" w:cs="DejaVuSans"/>
          <w:color w:val="auto"/>
          <w:kern w:val="0"/>
          <w:sz w:val="24"/>
          <w:szCs w:val="24"/>
          <w:highlight w:val="none"/>
          <w:lang w:val="en-US" w:eastAsia="zh-CN" w:bidi="ar"/>
        </w:rPr>
        <w:t>_____</w:t>
      </w:r>
      <w:r>
        <w:rPr>
          <w:rFonts w:hint="eastAsia" w:ascii="宋体" w:hAnsi="宋体" w:eastAsia="宋体" w:cs="宋体"/>
          <w:color w:val="auto"/>
          <w:kern w:val="0"/>
          <w:sz w:val="24"/>
          <w:szCs w:val="24"/>
          <w:highlight w:val="none"/>
          <w:lang w:val="en-US" w:eastAsia="zh-CN" w:bidi="ar"/>
        </w:rPr>
        <w:t>年</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月</w:t>
      </w:r>
      <w:r>
        <w:rPr>
          <w:rFonts w:hint="default" w:ascii="DejaVuSans" w:hAnsi="DejaVuSans" w:eastAsia="DejaVuSans" w:cs="DejaVuSans"/>
          <w:color w:val="auto"/>
          <w:kern w:val="0"/>
          <w:sz w:val="24"/>
          <w:szCs w:val="24"/>
          <w:highlight w:val="none"/>
          <w:lang w:val="en-US" w:eastAsia="zh-CN" w:bidi="ar"/>
        </w:rPr>
        <w:t>______</w:t>
      </w:r>
      <w:r>
        <w:rPr>
          <w:rFonts w:hint="eastAsia" w:ascii="宋体" w:hAnsi="宋体" w:eastAsia="宋体" w:cs="宋体"/>
          <w:color w:val="auto"/>
          <w:kern w:val="0"/>
          <w:sz w:val="24"/>
          <w:szCs w:val="24"/>
          <w:highlight w:val="none"/>
          <w:lang w:val="en-US" w:eastAsia="zh-CN" w:bidi="ar"/>
        </w:rPr>
        <w:t xml:space="preserve">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80" w:firstLineChars="200"/>
        <w:textAlignment w:val="auto"/>
        <w:rPr>
          <w:rFonts w:hint="eastAsia" w:cs="仿宋_GB2312"/>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 xml:space="preserve">附：法定代表人及委托代理人身份证明文件电子件： </w:t>
      </w:r>
    </w:p>
    <w:tbl>
      <w:tblPr>
        <w:tblStyle w:val="29"/>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cs="Arial"/>
                <w:color w:val="auto"/>
                <w:highlight w:val="none"/>
              </w:rPr>
            </w:pPr>
          </w:p>
        </w:tc>
      </w:tr>
    </w:tbl>
    <w:p w14:paraId="003FC2D7">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说明： </w:t>
      </w:r>
    </w:p>
    <w:p w14:paraId="6A6FAC65">
      <w:pPr>
        <w:ind w:firstLine="480" w:firstLineChars="200"/>
        <w:rPr>
          <w:rFonts w:hint="eastAsia" w:cs="仿宋_GB2312"/>
          <w:color w:val="auto"/>
          <w:szCs w:val="24"/>
          <w:highlight w:val="none"/>
        </w:rPr>
      </w:pPr>
      <w:r>
        <w:rPr>
          <w:rFonts w:hint="eastAsia" w:cs="仿宋_GB2312"/>
          <w:color w:val="auto"/>
          <w:szCs w:val="24"/>
          <w:highlight w:val="none"/>
          <w:lang w:val="en-US" w:eastAsia="zh-CN"/>
        </w:rPr>
        <w:t xml:space="preserve">1.若投标人为事业单位或其他组织或分支机构，则法定代表人（单位负责人）处的签署人可为单位负责人。 </w:t>
      </w:r>
    </w:p>
    <w:p w14:paraId="7579C425">
      <w:pPr>
        <w:ind w:firstLine="480" w:firstLineChars="200"/>
        <w:rPr>
          <w:rFonts w:hint="eastAsia" w:cs="仿宋_GB2312"/>
          <w:color w:val="auto"/>
          <w:szCs w:val="24"/>
          <w:highlight w:val="none"/>
        </w:rPr>
      </w:pPr>
      <w:r>
        <w:rPr>
          <w:rFonts w:hint="default" w:cs="仿宋_GB2312"/>
          <w:color w:val="auto"/>
          <w:szCs w:val="24"/>
          <w:highlight w:val="none"/>
          <w:lang w:val="en-US" w:eastAsia="zh-CN"/>
        </w:rPr>
        <w:t>2.</w:t>
      </w:r>
      <w:r>
        <w:rPr>
          <w:rFonts w:hint="eastAsia" w:cs="仿宋_GB2312"/>
          <w:color w:val="auto"/>
          <w:szCs w:val="24"/>
          <w:highlight w:val="none"/>
          <w:lang w:val="en-US" w:eastAsia="zh-CN"/>
        </w:rPr>
        <w:t xml:space="preserve">若投标文件中签字之处均为法定代表人（单位负责人）本人签署，则可不提供本《授权委托书》，但须提供《法定代表人（单位负责人）身份证明》。 </w:t>
      </w:r>
    </w:p>
    <w:p w14:paraId="7D81952A">
      <w:pPr>
        <w:ind w:firstLine="480" w:firstLineChars="200"/>
        <w:rPr>
          <w:rFonts w:hint="eastAsia" w:cs="仿宋_GB2312"/>
          <w:color w:val="auto"/>
          <w:szCs w:val="24"/>
          <w:highlight w:val="none"/>
        </w:rPr>
      </w:pPr>
      <w:r>
        <w:rPr>
          <w:rFonts w:hint="default" w:cs="仿宋_GB2312"/>
          <w:color w:val="auto"/>
          <w:szCs w:val="24"/>
          <w:highlight w:val="none"/>
          <w:lang w:val="en-US" w:eastAsia="zh-CN"/>
        </w:rPr>
        <w:t>3.</w:t>
      </w:r>
      <w:r>
        <w:rPr>
          <w:rFonts w:hint="eastAsia" w:cs="仿宋_GB2312"/>
          <w:color w:val="auto"/>
          <w:szCs w:val="24"/>
          <w:highlight w:val="none"/>
          <w:lang w:val="en-US" w:eastAsia="zh-CN"/>
        </w:rPr>
        <w:t xml:space="preserve">投标人为自然人的情形，可不提供本《授权委托书》。 </w:t>
      </w:r>
    </w:p>
    <w:p w14:paraId="16E91B57">
      <w:pPr>
        <w:ind w:firstLine="480" w:firstLineChars="200"/>
        <w:rPr>
          <w:rFonts w:hint="eastAsia" w:cs="仿宋_GB2312"/>
          <w:color w:val="auto"/>
          <w:szCs w:val="24"/>
          <w:highlight w:val="none"/>
        </w:rPr>
      </w:pPr>
      <w:r>
        <w:rPr>
          <w:rFonts w:hint="default" w:cs="仿宋_GB2312"/>
          <w:color w:val="auto"/>
          <w:szCs w:val="24"/>
          <w:highlight w:val="none"/>
          <w:lang w:val="en-US" w:eastAsia="zh-CN"/>
        </w:rPr>
        <w:t>4.</w:t>
      </w:r>
      <w:r>
        <w:rPr>
          <w:rFonts w:hint="eastAsia" w:cs="仿宋_GB2312"/>
          <w:color w:val="auto"/>
          <w:szCs w:val="24"/>
          <w:highlight w:val="none"/>
          <w:lang w:val="en-US" w:eastAsia="zh-CN"/>
        </w:rPr>
        <w:t>投标人应随本《授权委托书》同时提供法定代表人（单位负责人）及委托代理人的有效的身份证、护照等身份证明文件电子件。提供身份证的，应同时提供身份证</w:t>
      </w:r>
      <w:r>
        <w:rPr>
          <w:rFonts w:hint="eastAsia" w:cs="仿宋_GB2312"/>
          <w:b/>
          <w:bCs/>
          <w:color w:val="auto"/>
          <w:szCs w:val="24"/>
          <w:highlight w:val="none"/>
          <w:lang w:val="en-US" w:eastAsia="zh-CN"/>
        </w:rPr>
        <w:t>双面</w:t>
      </w:r>
      <w:r>
        <w:rPr>
          <w:rFonts w:hint="eastAsia" w:cs="仿宋_GB2312"/>
          <w:color w:val="auto"/>
          <w:szCs w:val="24"/>
          <w:highlight w:val="none"/>
          <w:lang w:val="en-US" w:eastAsia="zh-CN"/>
        </w:rPr>
        <w:t>电子件。</w:t>
      </w:r>
    </w:p>
    <w:p w14:paraId="0B2EBA16">
      <w:pPr>
        <w:rPr>
          <w:color w:val="auto"/>
          <w:highlight w:val="none"/>
        </w:rPr>
      </w:pPr>
      <w:r>
        <w:rPr>
          <w:color w:val="auto"/>
          <w:highlight w:val="none"/>
        </w:rPr>
        <w:br w:type="page"/>
      </w:r>
    </w:p>
    <w:p w14:paraId="117D25C9">
      <w:pPr>
        <w:pStyle w:val="4"/>
        <w:bidi w:val="0"/>
        <w:jc w:val="center"/>
        <w:rPr>
          <w:rFonts w:hint="eastAsia"/>
          <w:highlight w:val="none"/>
          <w:lang w:val="en-US" w:eastAsia="zh-CN"/>
        </w:rPr>
      </w:pPr>
      <w:bookmarkStart w:id="616" w:name="_Toc163492928"/>
      <w:bookmarkStart w:id="617" w:name="_Toc155185934"/>
      <w:bookmarkStart w:id="618" w:name="_Toc11798"/>
      <w:r>
        <w:rPr>
          <w:rFonts w:hint="eastAsia"/>
          <w:highlight w:val="none"/>
          <w:lang w:val="en-US" w:eastAsia="zh-CN"/>
        </w:rPr>
        <w:t>四、</w:t>
      </w:r>
      <w:bookmarkEnd w:id="616"/>
      <w:bookmarkEnd w:id="617"/>
      <w:r>
        <w:rPr>
          <w:rFonts w:hint="eastAsia"/>
          <w:highlight w:val="none"/>
          <w:lang w:val="zh-CN" w:eastAsia="zh-CN"/>
        </w:rPr>
        <w:t>政府采购</w:t>
      </w:r>
      <w:r>
        <w:rPr>
          <w:rFonts w:hint="eastAsia"/>
          <w:highlight w:val="none"/>
          <w:lang w:val="en-US" w:eastAsia="zh-CN"/>
        </w:rPr>
        <w:t>投标人</w:t>
      </w:r>
      <w:r>
        <w:rPr>
          <w:rFonts w:hint="eastAsia"/>
          <w:highlight w:val="none"/>
          <w:lang w:val="zh-CN" w:eastAsia="zh-CN"/>
        </w:rPr>
        <w:t>廉洁自律承诺书</w:t>
      </w:r>
      <w:bookmarkEnd w:id="618"/>
    </w:p>
    <w:p w14:paraId="2AB445CF">
      <w:pPr>
        <w:pStyle w:val="13"/>
        <w:rPr>
          <w:color w:val="auto"/>
          <w:highlight w:val="none"/>
        </w:rPr>
      </w:pPr>
    </w:p>
    <w:p w14:paraId="2CE177B4">
      <w:pPr>
        <w:snapToGrid w:val="0"/>
        <w:spacing w:line="360" w:lineRule="auto"/>
        <w:rPr>
          <w:rFonts w:ascii="宋体" w:hAnsi="宋体" w:cs="宋体"/>
          <w:color w:val="auto"/>
          <w:kern w:val="0"/>
          <w:sz w:val="24"/>
          <w:szCs w:val="24"/>
          <w:highlight w:val="none"/>
        </w:rPr>
      </w:pPr>
      <w:r>
        <w:rPr>
          <w:rFonts w:hint="eastAsia" w:ascii="宋体" w:hAnsi="宋体" w:cs="宋体"/>
          <w:color w:val="auto"/>
          <w:sz w:val="24"/>
          <w:szCs w:val="24"/>
          <w:highlight w:val="none"/>
        </w:rPr>
        <w:t>（采购人）、（采购代理机构）</w:t>
      </w:r>
      <w:r>
        <w:rPr>
          <w:rFonts w:hint="eastAsia" w:ascii="宋体" w:hAnsi="宋体" w:cs="宋体"/>
          <w:color w:val="auto"/>
          <w:kern w:val="0"/>
          <w:sz w:val="24"/>
          <w:szCs w:val="24"/>
          <w:highlight w:val="none"/>
          <w:lang w:val="zh-CN"/>
        </w:rPr>
        <w:t>：</w:t>
      </w:r>
    </w:p>
    <w:p w14:paraId="2139BFB4">
      <w:pPr>
        <w:autoSpaceDE w:val="0"/>
        <w:autoSpaceDN w:val="0"/>
        <w:spacing w:line="360" w:lineRule="auto"/>
        <w:ind w:left="2" w:leftChars="1" w:firstLine="480" w:firstLineChars="2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我单位响应你</w:t>
      </w:r>
      <w:r>
        <w:rPr>
          <w:rFonts w:hint="eastAsia" w:ascii="宋体" w:hAnsi="宋体" w:cs="宋体"/>
          <w:color w:val="auto"/>
          <w:sz w:val="24"/>
          <w:szCs w:val="24"/>
          <w:highlight w:val="none"/>
        </w:rPr>
        <w:t>单位</w:t>
      </w:r>
      <w:r>
        <w:rPr>
          <w:rFonts w:hint="eastAsia" w:ascii="宋体" w:hAnsi="宋体" w:cs="宋体"/>
          <w:color w:val="auto"/>
          <w:kern w:val="0"/>
          <w:sz w:val="24"/>
          <w:szCs w:val="24"/>
          <w:highlight w:val="none"/>
          <w:lang w:val="zh-CN"/>
        </w:rPr>
        <w:t>项目招标要求参加投标。在这次投标过程中和中标后，我们将严格遵守国家法律法规要求，并郑重承诺：</w:t>
      </w:r>
    </w:p>
    <w:p w14:paraId="2B87D13C">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一、不向项目有关人员及部门赠送礼金礼物、有价证券、回扣以及中介费、介绍费、咨询费等好处费； </w:t>
      </w:r>
    </w:p>
    <w:p w14:paraId="063D62B4">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 xml:space="preserve">二、不为项目有关人员及部门报销应由你方单位或个人支付的费用； </w:t>
      </w:r>
    </w:p>
    <w:p w14:paraId="5ADDE615">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三、不向项目有关人员及部门提供有可能影响公正的宴请和健身娱乐等活动；</w:t>
      </w:r>
    </w:p>
    <w:p w14:paraId="6B70337F">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四、不为项目有关人员及部门出国（境）、旅游等提供方便；</w:t>
      </w:r>
    </w:p>
    <w:p w14:paraId="6421E616">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五、不为项目有关人员个人装修住房、婚丧嫁娶、配偶子女工作安排等提供好处；</w:t>
      </w:r>
    </w:p>
    <w:p w14:paraId="663761CE">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六、严格遵守《中华人民共和国政府采购法》《中华人民共和国政府采购法</w:t>
      </w:r>
      <w:r>
        <w:rPr>
          <w:rFonts w:hint="eastAsia" w:cs="宋体"/>
          <w:color w:val="auto"/>
          <w:kern w:val="0"/>
          <w:sz w:val="24"/>
          <w:szCs w:val="24"/>
          <w:highlight w:val="none"/>
          <w:lang w:val="en-US" w:eastAsia="zh-CN"/>
        </w:rPr>
        <w:t>实施条例</w:t>
      </w:r>
      <w:r>
        <w:rPr>
          <w:rFonts w:hint="eastAsia" w:ascii="宋体" w:hAnsi="宋体" w:cs="宋体"/>
          <w:color w:val="auto"/>
          <w:kern w:val="0"/>
          <w:sz w:val="24"/>
          <w:szCs w:val="24"/>
          <w:highlight w:val="none"/>
          <w:lang w:val="zh-CN"/>
        </w:rPr>
        <w:t xml:space="preserve">》《中华人民共和国民法典》等法律法规，诚实守信，合法经营，坚决抵制各种违法违纪行为。 </w:t>
      </w:r>
    </w:p>
    <w:p w14:paraId="5C8FD2B8">
      <w:pPr>
        <w:autoSpaceDE w:val="0"/>
        <w:autoSpaceDN w:val="0"/>
        <w:spacing w:line="360" w:lineRule="auto"/>
        <w:ind w:left="2" w:leftChars="1" w:firstLine="480" w:firstLineChars="20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如违反上述承诺，你单位有权立即取消我单位投标、中标或在建项目的建设资格，有权拒绝我单位在一定时期内进入你单位进行项目建设或其他经营活动，并通报</w:t>
      </w:r>
      <w:r>
        <w:rPr>
          <w:rFonts w:hint="eastAsia" w:cs="宋体"/>
          <w:color w:val="auto"/>
          <w:kern w:val="0"/>
          <w:sz w:val="24"/>
          <w:szCs w:val="24"/>
          <w:highlight w:val="none"/>
          <w:lang w:val="en-US" w:eastAsia="zh-CN"/>
        </w:rPr>
        <w:t>财政局</w:t>
      </w:r>
      <w:r>
        <w:rPr>
          <w:rFonts w:hint="eastAsia" w:ascii="宋体" w:hAnsi="宋体" w:cs="宋体"/>
          <w:color w:val="auto"/>
          <w:kern w:val="0"/>
          <w:sz w:val="24"/>
          <w:szCs w:val="24"/>
          <w:highlight w:val="none"/>
          <w:lang w:val="zh-CN"/>
        </w:rPr>
        <w:t>。由此引起的相应损失均由我单位承担。</w:t>
      </w:r>
    </w:p>
    <w:p w14:paraId="5E22ECB4">
      <w:pPr>
        <w:autoSpaceDE w:val="0"/>
        <w:autoSpaceDN w:val="0"/>
        <w:spacing w:line="360" w:lineRule="auto"/>
        <w:ind w:left="2"/>
        <w:jc w:val="left"/>
        <w:rPr>
          <w:rFonts w:ascii="宋体" w:hAnsi="宋体" w:cs="宋体"/>
          <w:color w:val="auto"/>
          <w:kern w:val="0"/>
          <w:sz w:val="24"/>
          <w:szCs w:val="24"/>
          <w:highlight w:val="none"/>
          <w:lang w:val="zh-CN"/>
        </w:rPr>
      </w:pPr>
    </w:p>
    <w:p w14:paraId="0914ACDE">
      <w:pPr>
        <w:autoSpaceDE w:val="0"/>
        <w:autoSpaceDN w:val="0"/>
        <w:spacing w:line="360" w:lineRule="auto"/>
        <w:ind w:left="2"/>
        <w:jc w:val="left"/>
        <w:rPr>
          <w:rFonts w:ascii="宋体" w:hAnsi="宋体" w:cs="宋体"/>
          <w:color w:val="auto"/>
          <w:kern w:val="0"/>
          <w:sz w:val="24"/>
          <w:szCs w:val="24"/>
          <w:highlight w:val="none"/>
          <w:lang w:val="zh-CN"/>
        </w:rPr>
      </w:pPr>
    </w:p>
    <w:p w14:paraId="02E01AF0">
      <w:pPr>
        <w:autoSpaceDE w:val="0"/>
        <w:autoSpaceDN w:val="0"/>
        <w:spacing w:line="360" w:lineRule="auto"/>
        <w:ind w:left="2"/>
        <w:jc w:val="left"/>
        <w:rPr>
          <w:rFonts w:ascii="宋体" w:hAnsi="宋体" w:cs="宋体"/>
          <w:color w:val="auto"/>
          <w:kern w:val="0"/>
          <w:sz w:val="24"/>
          <w:szCs w:val="24"/>
          <w:highlight w:val="none"/>
          <w:lang w:val="zh-CN"/>
        </w:rPr>
      </w:pPr>
    </w:p>
    <w:p w14:paraId="3EA46769">
      <w:pPr>
        <w:autoSpaceDE w:val="0"/>
        <w:autoSpaceDN w:val="0"/>
        <w:spacing w:line="360" w:lineRule="auto"/>
        <w:ind w:left="2" w:leftChars="1" w:right="1120" w:firstLine="4560" w:firstLineChars="1900"/>
        <w:jc w:val="left"/>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ascii="宋体" w:hAnsi="宋体" w:cs="宋体"/>
          <w:color w:val="auto"/>
          <w:kern w:val="0"/>
          <w:sz w:val="24"/>
          <w:szCs w:val="24"/>
          <w:highlight w:val="none"/>
          <w:lang w:val="zh-CN"/>
        </w:rPr>
        <w:t xml:space="preserve">：                                                                                                                                                                                                               </w:t>
      </w:r>
    </w:p>
    <w:p w14:paraId="0FD8A2DC">
      <w:pPr>
        <w:ind w:firstLine="4560" w:firstLineChars="1900"/>
        <w:rPr>
          <w:rFonts w:hint="eastAsia" w:eastAsia="宋体" w:asciiTheme="majorHAnsi" w:hAnsiTheme="majorHAnsi" w:cstheme="majorBidi"/>
          <w:b/>
          <w:bCs/>
          <w:color w:val="auto"/>
          <w:kern w:val="2"/>
          <w:sz w:val="24"/>
          <w:szCs w:val="24"/>
          <w:highlight w:val="none"/>
          <w:lang w:val="en-US" w:eastAsia="zh-CN" w:bidi="ar-SA"/>
        </w:rPr>
      </w:pPr>
      <w:r>
        <w:rPr>
          <w:rFonts w:hint="eastAsia" w:ascii="宋体" w:hAnsi="宋体" w:cs="宋体"/>
          <w:color w:val="auto"/>
          <w:kern w:val="0"/>
          <w:sz w:val="24"/>
          <w:szCs w:val="24"/>
          <w:highlight w:val="none"/>
          <w:lang w:val="zh-CN"/>
        </w:rPr>
        <w:t>日期</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val="zh-CN"/>
        </w:rPr>
        <w:t xml:space="preserve">   年   月   日</w:t>
      </w:r>
    </w:p>
    <w:p w14:paraId="5AA40BF9">
      <w:pPr>
        <w:rPr>
          <w:rFonts w:hint="eastAsia" w:eastAsia="宋体" w:asciiTheme="majorHAnsi" w:hAnsiTheme="majorHAnsi" w:cstheme="majorBidi"/>
          <w:b/>
          <w:bCs/>
          <w:color w:val="auto"/>
          <w:kern w:val="2"/>
          <w:sz w:val="24"/>
          <w:szCs w:val="24"/>
          <w:highlight w:val="none"/>
          <w:lang w:val="en-US" w:eastAsia="zh-CN" w:bidi="ar-SA"/>
        </w:rPr>
      </w:pPr>
    </w:p>
    <w:p w14:paraId="2917743B">
      <w:pPr>
        <w:pStyle w:val="13"/>
        <w:rPr>
          <w:rFonts w:hint="eastAsia" w:eastAsia="宋体" w:asciiTheme="majorHAnsi" w:hAnsiTheme="majorHAnsi" w:cstheme="majorBidi"/>
          <w:b/>
          <w:bCs/>
          <w:color w:val="auto"/>
          <w:kern w:val="2"/>
          <w:sz w:val="24"/>
          <w:szCs w:val="24"/>
          <w:highlight w:val="none"/>
          <w:lang w:val="en-US" w:eastAsia="zh-CN" w:bidi="ar-SA"/>
        </w:rPr>
      </w:pPr>
    </w:p>
    <w:p w14:paraId="2CC927CA">
      <w:pPr>
        <w:pStyle w:val="13"/>
        <w:rPr>
          <w:rFonts w:hint="eastAsia" w:eastAsia="宋体" w:asciiTheme="majorHAnsi" w:hAnsiTheme="majorHAnsi" w:cstheme="majorBidi"/>
          <w:b/>
          <w:bCs/>
          <w:color w:val="auto"/>
          <w:kern w:val="2"/>
          <w:sz w:val="24"/>
          <w:szCs w:val="24"/>
          <w:highlight w:val="none"/>
          <w:lang w:val="en-US" w:eastAsia="zh-CN" w:bidi="ar-SA"/>
        </w:rPr>
      </w:pPr>
    </w:p>
    <w:p w14:paraId="18FDCDE0">
      <w:pPr>
        <w:pStyle w:val="13"/>
        <w:rPr>
          <w:rFonts w:hint="eastAsia" w:eastAsia="宋体" w:asciiTheme="majorHAnsi" w:hAnsiTheme="majorHAnsi" w:cstheme="majorBidi"/>
          <w:b/>
          <w:bCs/>
          <w:color w:val="auto"/>
          <w:kern w:val="2"/>
          <w:sz w:val="24"/>
          <w:szCs w:val="24"/>
          <w:highlight w:val="none"/>
          <w:lang w:val="en-US" w:eastAsia="zh-CN" w:bidi="ar-SA"/>
        </w:rPr>
      </w:pPr>
    </w:p>
    <w:p w14:paraId="74E8B7C7">
      <w:pPr>
        <w:pStyle w:val="4"/>
        <w:bidi w:val="0"/>
        <w:jc w:val="center"/>
        <w:rPr>
          <w:rFonts w:hint="default"/>
          <w:highlight w:val="none"/>
          <w:lang w:val="en-US" w:eastAsia="zh-CN"/>
        </w:rPr>
      </w:pPr>
      <w:bookmarkStart w:id="619" w:name="_Toc20842"/>
      <w:r>
        <w:rPr>
          <w:rFonts w:hint="eastAsia"/>
          <w:highlight w:val="none"/>
          <w:lang w:val="en-US" w:eastAsia="zh-CN"/>
        </w:rPr>
        <w:t>五、</w:t>
      </w:r>
      <w:r>
        <w:rPr>
          <w:rFonts w:hint="eastAsia"/>
          <w:highlight w:val="none"/>
          <w:lang w:val="zh-CN" w:eastAsia="zh-CN"/>
        </w:rPr>
        <w:t>实质性响应一览表【</w:t>
      </w:r>
      <w:r>
        <w:rPr>
          <w:rFonts w:hint="eastAsia"/>
          <w:highlight w:val="none"/>
          <w:lang w:val="en-US" w:eastAsia="zh-CN"/>
        </w:rPr>
        <w:t>本表须与第五章的一致】</w:t>
      </w:r>
      <w:bookmarkEnd w:id="619"/>
    </w:p>
    <w:p w14:paraId="3FC7E450">
      <w:pPr>
        <w:shd w:val="clear" w:color="auto" w:fill="FFFFFF"/>
        <w:tabs>
          <w:tab w:val="left" w:pos="3045"/>
        </w:tabs>
        <w:autoSpaceDE w:val="0"/>
        <w:autoSpaceDN w:val="0"/>
        <w:adjustRightInd w:val="0"/>
        <w:snapToGrid w:val="0"/>
        <w:spacing w:line="360" w:lineRule="exact"/>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w:t>
      </w:r>
      <w:r>
        <w:rPr>
          <w:rFonts w:hint="eastAsia" w:cs="宋体"/>
          <w:b w:val="0"/>
          <w:bCs/>
          <w:color w:val="auto"/>
          <w:sz w:val="24"/>
          <w:highlight w:val="none"/>
          <w:lang w:val="en-US" w:eastAsia="zh-CN"/>
        </w:rPr>
        <w:t>投标人</w:t>
      </w:r>
      <w:r>
        <w:rPr>
          <w:rFonts w:hint="eastAsia" w:ascii="宋体" w:hAnsi="宋体" w:cs="宋体"/>
          <w:b w:val="0"/>
          <w:bCs/>
          <w:color w:val="auto"/>
          <w:sz w:val="24"/>
          <w:highlight w:val="none"/>
        </w:rPr>
        <w:t>须对本附表所有内容逐条响应且无负偏离，否则</w:t>
      </w:r>
      <w:r>
        <w:rPr>
          <w:rFonts w:hint="eastAsia" w:cs="宋体"/>
          <w:b w:val="0"/>
          <w:bCs/>
          <w:color w:val="auto"/>
          <w:sz w:val="24"/>
          <w:highlight w:val="none"/>
          <w:lang w:val="en-US" w:eastAsia="zh-CN"/>
        </w:rPr>
        <w:t>其</w:t>
      </w:r>
      <w:r>
        <w:rPr>
          <w:rFonts w:hint="eastAsia" w:ascii="宋体" w:hAnsi="宋体" w:cs="宋体"/>
          <w:b/>
          <w:bCs w:val="0"/>
          <w:color w:val="auto"/>
          <w:sz w:val="24"/>
          <w:highlight w:val="none"/>
        </w:rPr>
        <w:t>投标无效</w:t>
      </w:r>
      <w:r>
        <w:rPr>
          <w:rFonts w:hint="eastAsia" w:ascii="宋体" w:hAnsi="宋体" w:cs="宋体"/>
          <w:b w:val="0"/>
          <w:bCs/>
          <w:color w:val="auto"/>
          <w:sz w:val="24"/>
          <w:highlight w:val="none"/>
        </w:rPr>
        <w:t>）</w:t>
      </w:r>
    </w:p>
    <w:p w14:paraId="3B3C031E">
      <w:pPr>
        <w:pStyle w:val="23"/>
        <w:rPr>
          <w:rFonts w:hint="eastAsia" w:ascii="宋体" w:hAnsi="宋体" w:cs="宋体"/>
          <w:color w:val="auto"/>
          <w:highlight w:val="none"/>
        </w:rPr>
      </w:pPr>
    </w:p>
    <w:tbl>
      <w:tblPr>
        <w:tblStyle w:val="29"/>
        <w:tblW w:w="5294" w:type="pct"/>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1992"/>
        <w:gridCol w:w="3744"/>
        <w:gridCol w:w="1956"/>
        <w:gridCol w:w="924"/>
      </w:tblGrid>
      <w:tr w14:paraId="2EF50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6" w:type="pct"/>
            <w:vMerge w:val="restart"/>
            <w:noWrap w:val="0"/>
            <w:vAlign w:val="center"/>
          </w:tcPr>
          <w:p w14:paraId="101C805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8" w:type="pct"/>
            <w:gridSpan w:val="2"/>
            <w:noWrap w:val="0"/>
            <w:vAlign w:val="center"/>
          </w:tcPr>
          <w:p w14:paraId="02D6053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文件要求的实质性响应内容</w:t>
            </w:r>
          </w:p>
        </w:tc>
        <w:tc>
          <w:tcPr>
            <w:tcW w:w="1083" w:type="pct"/>
            <w:vMerge w:val="restart"/>
            <w:noWrap w:val="0"/>
            <w:vAlign w:val="center"/>
          </w:tcPr>
          <w:p w14:paraId="56144F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投标文件响应</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具体内容</w:t>
            </w:r>
          </w:p>
        </w:tc>
        <w:tc>
          <w:tcPr>
            <w:tcW w:w="511" w:type="pct"/>
            <w:vMerge w:val="restart"/>
            <w:noWrap w:val="0"/>
            <w:vAlign w:val="center"/>
          </w:tcPr>
          <w:p w14:paraId="3D4BAC2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48FB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26" w:type="pct"/>
            <w:vMerge w:val="continue"/>
            <w:noWrap w:val="0"/>
            <w:vAlign w:val="center"/>
          </w:tcPr>
          <w:p w14:paraId="61353542">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1103" w:type="pct"/>
            <w:noWrap w:val="0"/>
            <w:vAlign w:val="center"/>
          </w:tcPr>
          <w:p w14:paraId="6B0E1646">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实质性要求</w:t>
            </w:r>
          </w:p>
        </w:tc>
        <w:tc>
          <w:tcPr>
            <w:tcW w:w="2074" w:type="pct"/>
            <w:noWrap w:val="0"/>
            <w:vAlign w:val="center"/>
          </w:tcPr>
          <w:p w14:paraId="3466A6AA">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招标文件中的规定</w:t>
            </w:r>
          </w:p>
        </w:tc>
        <w:tc>
          <w:tcPr>
            <w:tcW w:w="1083" w:type="pct"/>
            <w:vMerge w:val="continue"/>
            <w:noWrap w:val="0"/>
            <w:vAlign w:val="center"/>
          </w:tcPr>
          <w:p w14:paraId="230A57B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c>
          <w:tcPr>
            <w:tcW w:w="511" w:type="pct"/>
            <w:vMerge w:val="continue"/>
            <w:noWrap w:val="0"/>
            <w:vAlign w:val="center"/>
          </w:tcPr>
          <w:p w14:paraId="1401563E">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p>
        </w:tc>
      </w:tr>
      <w:tr w14:paraId="0FCF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5D4136A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103" w:type="pct"/>
            <w:shd w:val="clear" w:color="auto" w:fill="auto"/>
            <w:noWrap w:val="0"/>
            <w:vAlign w:val="center"/>
          </w:tcPr>
          <w:p w14:paraId="11E3D909">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2D62742B">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1E4B729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2ED2EBD7">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9B1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708A3B90">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103" w:type="pct"/>
            <w:shd w:val="clear" w:color="auto" w:fill="auto"/>
            <w:noWrap w:val="0"/>
            <w:vAlign w:val="center"/>
          </w:tcPr>
          <w:p w14:paraId="7DC773B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011D967C">
            <w:pPr>
              <w:keepNext w:val="0"/>
              <w:keepLines w:val="0"/>
              <w:pageBreakBefore w:val="0"/>
              <w:widowControl w:val="0"/>
              <w:shd w:val="clear" w:color="auto" w:fill="FFFFFF"/>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58F62CE4">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94CC2D3">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47B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6A2DB15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1103" w:type="pct"/>
            <w:shd w:val="clear" w:color="auto" w:fill="auto"/>
            <w:noWrap w:val="0"/>
            <w:vAlign w:val="center"/>
          </w:tcPr>
          <w:p w14:paraId="46BFE239">
            <w:pPr>
              <w:pStyle w:val="48"/>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486ABA85">
            <w:pPr>
              <w:pStyle w:val="48"/>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59491DC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511A2D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B874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12289F6C">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c>
          <w:tcPr>
            <w:tcW w:w="1103" w:type="pct"/>
            <w:shd w:val="clear" w:color="auto" w:fill="auto"/>
            <w:noWrap w:val="0"/>
            <w:vAlign w:val="center"/>
          </w:tcPr>
          <w:p w14:paraId="1D3E0310">
            <w:pPr>
              <w:pStyle w:val="48"/>
              <w:rPr>
                <w:rFonts w:hint="eastAsia" w:ascii="宋体" w:hAnsi="宋体" w:eastAsia="宋体" w:cs="宋体"/>
                <w:color w:val="auto"/>
                <w:kern w:val="2"/>
                <w:sz w:val="24"/>
                <w:szCs w:val="24"/>
                <w:highlight w:val="none"/>
                <w:lang w:val="en-US" w:eastAsia="zh-CN" w:bidi="ar-SA"/>
              </w:rPr>
            </w:pPr>
          </w:p>
        </w:tc>
        <w:tc>
          <w:tcPr>
            <w:tcW w:w="2074" w:type="pct"/>
            <w:shd w:val="clear" w:color="auto" w:fill="auto"/>
            <w:noWrap w:val="0"/>
            <w:vAlign w:val="center"/>
          </w:tcPr>
          <w:p w14:paraId="281089E1">
            <w:pPr>
              <w:pStyle w:val="48"/>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6CCA3E7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0A8FC1EC">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70A7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36B59CD3">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1103" w:type="pct"/>
            <w:noWrap w:val="0"/>
            <w:vAlign w:val="center"/>
          </w:tcPr>
          <w:p w14:paraId="43A0BEF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310F1D1A">
            <w:pPr>
              <w:pStyle w:val="73"/>
              <w:keepNext w:val="0"/>
              <w:keepLines w:val="0"/>
              <w:pageBreakBefore w:val="0"/>
              <w:widowControl w:val="0"/>
              <w:shd w:val="clear" w:color="auto" w:fill="FFFFFF"/>
              <w:kinsoku/>
              <w:wordWrap/>
              <w:overflowPunct/>
              <w:topLinePunct w:val="0"/>
              <w:bidi w:val="0"/>
              <w:adjustRightInd/>
              <w:snapToGrid/>
              <w:spacing w:line="360" w:lineRule="exact"/>
              <w:ind w:firstLine="0" w:firstLineChars="0"/>
              <w:textAlignment w:val="auto"/>
              <w:rPr>
                <w:rFonts w:hint="eastAsia" w:ascii="宋体" w:hAnsi="宋体" w:eastAsia="宋体" w:cs="宋体"/>
                <w:color w:val="auto"/>
                <w:kern w:val="0"/>
                <w:sz w:val="24"/>
                <w:szCs w:val="24"/>
                <w:highlight w:val="none"/>
                <w:lang w:val="en-US" w:eastAsia="zh-CN" w:bidi="ar-SA"/>
              </w:rPr>
            </w:pPr>
          </w:p>
        </w:tc>
        <w:tc>
          <w:tcPr>
            <w:tcW w:w="1083" w:type="pct"/>
            <w:noWrap w:val="0"/>
            <w:vAlign w:val="center"/>
          </w:tcPr>
          <w:p w14:paraId="492A3FE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7AFD0B5E">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366B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0C145DE9">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1103" w:type="pct"/>
            <w:noWrap w:val="0"/>
            <w:vAlign w:val="center"/>
          </w:tcPr>
          <w:p w14:paraId="24DF7F3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5482D5FB">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kern w:val="2"/>
                <w:sz w:val="24"/>
                <w:szCs w:val="24"/>
                <w:highlight w:val="none"/>
                <w:lang w:val="en-US" w:eastAsia="zh-CN" w:bidi="ar-SA"/>
              </w:rPr>
            </w:pPr>
          </w:p>
        </w:tc>
        <w:tc>
          <w:tcPr>
            <w:tcW w:w="1083" w:type="pct"/>
            <w:noWrap w:val="0"/>
            <w:vAlign w:val="center"/>
          </w:tcPr>
          <w:p w14:paraId="24D82CE2">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190A3A2D">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2E09A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shd w:val="clear" w:color="auto" w:fill="auto"/>
            <w:noWrap w:val="0"/>
            <w:vAlign w:val="center"/>
          </w:tcPr>
          <w:p w14:paraId="2F26FC6B">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1103" w:type="pct"/>
            <w:noWrap w:val="0"/>
            <w:vAlign w:val="center"/>
          </w:tcPr>
          <w:p w14:paraId="7BD1DFF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0998D7BE">
            <w:pPr>
              <w:keepNext w:val="0"/>
              <w:keepLines w:val="0"/>
              <w:pageBreakBefore w:val="0"/>
              <w:widowControl w:val="0"/>
              <w:shd w:val="clear" w:color="auto" w:fill="FFFFFF"/>
              <w:kinsoku/>
              <w:wordWrap/>
              <w:overflowPunct/>
              <w:topLinePunct w:val="0"/>
              <w:autoSpaceDE/>
              <w:autoSpaceDN/>
              <w:bidi w:val="0"/>
              <w:adjustRightInd/>
              <w:snapToGrid/>
              <w:spacing w:line="400" w:lineRule="atLeast"/>
              <w:textAlignment w:val="auto"/>
              <w:rPr>
                <w:rFonts w:hint="eastAsia" w:ascii="宋体" w:hAnsi="宋体" w:eastAsia="宋体" w:cs="宋体"/>
                <w:color w:val="auto"/>
                <w:sz w:val="24"/>
                <w:szCs w:val="24"/>
                <w:highlight w:val="none"/>
                <w:lang w:val="en-US" w:eastAsia="zh-CN"/>
              </w:rPr>
            </w:pPr>
          </w:p>
        </w:tc>
        <w:tc>
          <w:tcPr>
            <w:tcW w:w="1083" w:type="pct"/>
            <w:noWrap w:val="0"/>
            <w:vAlign w:val="center"/>
          </w:tcPr>
          <w:p w14:paraId="4CB98610">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015D30C8">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r w14:paraId="5EA1B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226" w:type="pct"/>
            <w:noWrap w:val="0"/>
            <w:vAlign w:val="center"/>
          </w:tcPr>
          <w:p w14:paraId="4ED2BCC7">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宋体" w:hAnsi="宋体" w:eastAsia="宋体" w:cs="宋体"/>
                <w:color w:val="auto"/>
                <w:sz w:val="24"/>
                <w:szCs w:val="24"/>
                <w:highlight w:val="none"/>
                <w:lang w:val="en-US" w:eastAsia="zh-CN"/>
              </w:rPr>
            </w:pPr>
          </w:p>
        </w:tc>
        <w:tc>
          <w:tcPr>
            <w:tcW w:w="1103" w:type="pct"/>
            <w:shd w:val="clear" w:color="auto" w:fill="auto"/>
            <w:noWrap w:val="0"/>
            <w:vAlign w:val="center"/>
          </w:tcPr>
          <w:p w14:paraId="28BAA9A6">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w:t>
            </w:r>
          </w:p>
        </w:tc>
        <w:tc>
          <w:tcPr>
            <w:tcW w:w="2074" w:type="pct"/>
            <w:noWrap w:val="0"/>
            <w:vAlign w:val="center"/>
          </w:tcPr>
          <w:p w14:paraId="6246E55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lang w:eastAsia="zh-CN"/>
              </w:rPr>
            </w:pPr>
          </w:p>
        </w:tc>
        <w:tc>
          <w:tcPr>
            <w:tcW w:w="1083" w:type="pct"/>
            <w:noWrap w:val="0"/>
            <w:vAlign w:val="center"/>
          </w:tcPr>
          <w:p w14:paraId="18530101">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c>
          <w:tcPr>
            <w:tcW w:w="511" w:type="pct"/>
            <w:noWrap w:val="0"/>
            <w:vAlign w:val="center"/>
          </w:tcPr>
          <w:p w14:paraId="796ECCFA">
            <w:pPr>
              <w:keepNext w:val="0"/>
              <w:keepLines w:val="0"/>
              <w:pageBreakBefore w:val="0"/>
              <w:widowControl w:val="0"/>
              <w:kinsoku/>
              <w:wordWrap/>
              <w:overflowPunct/>
              <w:topLinePunct w:val="0"/>
              <w:bidi w:val="0"/>
              <w:adjustRightInd/>
              <w:snapToGrid/>
              <w:spacing w:line="360" w:lineRule="exact"/>
              <w:textAlignment w:val="auto"/>
              <w:rPr>
                <w:rFonts w:hint="eastAsia" w:ascii="宋体" w:hAnsi="宋体" w:eastAsia="宋体" w:cs="宋体"/>
                <w:color w:val="auto"/>
                <w:sz w:val="24"/>
                <w:szCs w:val="24"/>
                <w:highlight w:val="none"/>
              </w:rPr>
            </w:pPr>
          </w:p>
        </w:tc>
      </w:tr>
    </w:tbl>
    <w:p w14:paraId="1BAA11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color w:val="auto"/>
          <w:kern w:val="2"/>
          <w:sz w:val="28"/>
          <w:szCs w:val="28"/>
          <w:highlight w:val="none"/>
          <w:lang w:val="en-US" w:eastAsia="zh-CN" w:bidi="ar-SA"/>
        </w:rPr>
      </w:pPr>
    </w:p>
    <w:p w14:paraId="61F3D6B1">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01639337">
      <w:pPr>
        <w:pStyle w:val="4"/>
        <w:keepNext w:val="0"/>
        <w:keepLines w:val="0"/>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cstheme="majorBidi"/>
          <w:b/>
          <w:bCs/>
          <w:color w:val="auto"/>
          <w:kern w:val="2"/>
          <w:sz w:val="32"/>
          <w:szCs w:val="32"/>
          <w:highlight w:val="none"/>
          <w:lang w:val="en-US" w:eastAsia="zh-CN" w:bidi="ar-SA"/>
        </w:rPr>
      </w:pPr>
    </w:p>
    <w:p w14:paraId="626EF50E">
      <w:pPr>
        <w:pStyle w:val="4"/>
        <w:bidi w:val="0"/>
        <w:jc w:val="center"/>
        <w:rPr>
          <w:rFonts w:hint="eastAsia"/>
          <w:highlight w:val="none"/>
          <w:lang w:val="en-US" w:eastAsia="zh-CN"/>
        </w:rPr>
      </w:pPr>
      <w:bookmarkStart w:id="620" w:name="_Toc26965"/>
      <w:r>
        <w:rPr>
          <w:rFonts w:hint="eastAsia"/>
          <w:highlight w:val="none"/>
          <w:lang w:val="en-US" w:eastAsia="zh-CN"/>
        </w:rPr>
        <w:t>六、商务响应偏离表</w:t>
      </w:r>
      <w:bookmarkEnd w:id="620"/>
    </w:p>
    <w:p w14:paraId="21AF32D6">
      <w:pPr>
        <w:rPr>
          <w:rFonts w:cs="仿宋_GB2312"/>
          <w:color w:val="auto"/>
          <w:szCs w:val="24"/>
          <w:highlight w:val="none"/>
        </w:rPr>
      </w:pPr>
      <w:r>
        <w:rPr>
          <w:rFonts w:hint="eastAsia" w:cs="仿宋_GB2312"/>
          <w:color w:val="auto"/>
          <w:szCs w:val="24"/>
          <w:highlight w:val="none"/>
        </w:rPr>
        <w:t xml:space="preserve">项目名称：                                         </w:t>
      </w:r>
    </w:p>
    <w:p w14:paraId="0424C095">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29"/>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394"/>
        <w:gridCol w:w="1720"/>
        <w:gridCol w:w="1871"/>
        <w:gridCol w:w="1871"/>
      </w:tblGrid>
      <w:tr w14:paraId="16BE7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420" w:type="pct"/>
            <w:vAlign w:val="center"/>
          </w:tcPr>
          <w:p w14:paraId="1A4BE3A9">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95" w:type="pct"/>
            <w:vAlign w:val="center"/>
          </w:tcPr>
          <w:p w14:paraId="7CB83CD6">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招标文件的商务条款</w:t>
            </w:r>
          </w:p>
        </w:tc>
        <w:tc>
          <w:tcPr>
            <w:tcW w:w="1002" w:type="pct"/>
            <w:vAlign w:val="center"/>
          </w:tcPr>
          <w:p w14:paraId="55A47B57">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投标文件的响应内容</w:t>
            </w:r>
          </w:p>
        </w:tc>
        <w:tc>
          <w:tcPr>
            <w:tcW w:w="1090" w:type="pct"/>
            <w:vAlign w:val="center"/>
          </w:tcPr>
          <w:p w14:paraId="2572E859">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090" w:type="pct"/>
            <w:vAlign w:val="center"/>
          </w:tcPr>
          <w:p w14:paraId="7884F206">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说明及索引</w:t>
            </w:r>
          </w:p>
        </w:tc>
      </w:tr>
      <w:tr w14:paraId="07285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56411A">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95" w:type="pct"/>
            <w:vAlign w:val="center"/>
          </w:tcPr>
          <w:p w14:paraId="34566CA0">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1C6482B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1BBD0417">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响应/偏离</w:t>
            </w:r>
          </w:p>
        </w:tc>
        <w:tc>
          <w:tcPr>
            <w:tcW w:w="1090" w:type="pct"/>
            <w:vAlign w:val="center"/>
          </w:tcPr>
          <w:p w14:paraId="1A90E39C">
            <w:pPr>
              <w:pStyle w:val="48"/>
              <w:jc w:val="center"/>
              <w:rPr>
                <w:rFonts w:hint="eastAsia" w:ascii="宋体" w:hAnsi="宋体" w:eastAsia="宋体" w:cs="宋体"/>
                <w:color w:val="auto"/>
                <w:sz w:val="21"/>
                <w:szCs w:val="21"/>
                <w:highlight w:val="none"/>
              </w:rPr>
            </w:pPr>
          </w:p>
        </w:tc>
      </w:tr>
      <w:tr w14:paraId="7C83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5821036">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95" w:type="pct"/>
            <w:vAlign w:val="center"/>
          </w:tcPr>
          <w:p w14:paraId="2A717A55">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20EC7575">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5923E58D">
            <w:pPr>
              <w:pStyle w:val="48"/>
              <w:jc w:val="center"/>
              <w:rPr>
                <w:rFonts w:hint="eastAsia" w:ascii="宋体" w:hAnsi="宋体" w:eastAsia="宋体" w:cs="宋体"/>
                <w:color w:val="auto"/>
                <w:sz w:val="21"/>
                <w:szCs w:val="21"/>
                <w:highlight w:val="none"/>
              </w:rPr>
            </w:pPr>
          </w:p>
        </w:tc>
        <w:tc>
          <w:tcPr>
            <w:tcW w:w="1090" w:type="pct"/>
            <w:vAlign w:val="center"/>
          </w:tcPr>
          <w:p w14:paraId="59C2C317">
            <w:pPr>
              <w:pStyle w:val="48"/>
              <w:jc w:val="center"/>
              <w:rPr>
                <w:rFonts w:hint="eastAsia" w:ascii="宋体" w:hAnsi="宋体" w:eastAsia="宋体" w:cs="宋体"/>
                <w:color w:val="auto"/>
                <w:sz w:val="21"/>
                <w:szCs w:val="21"/>
                <w:highlight w:val="none"/>
              </w:rPr>
            </w:pPr>
          </w:p>
        </w:tc>
      </w:tr>
      <w:tr w14:paraId="6435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563CA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95" w:type="pct"/>
            <w:vAlign w:val="center"/>
          </w:tcPr>
          <w:p w14:paraId="595245DB">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0A16B4B6">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58535F72">
            <w:pPr>
              <w:pStyle w:val="48"/>
              <w:jc w:val="center"/>
              <w:rPr>
                <w:rFonts w:hint="eastAsia" w:ascii="宋体" w:hAnsi="宋体" w:eastAsia="宋体" w:cs="宋体"/>
                <w:color w:val="auto"/>
                <w:sz w:val="21"/>
                <w:szCs w:val="21"/>
                <w:highlight w:val="none"/>
              </w:rPr>
            </w:pPr>
          </w:p>
        </w:tc>
        <w:tc>
          <w:tcPr>
            <w:tcW w:w="1090" w:type="pct"/>
            <w:vAlign w:val="center"/>
          </w:tcPr>
          <w:p w14:paraId="50AB520B">
            <w:pPr>
              <w:pStyle w:val="48"/>
              <w:jc w:val="center"/>
              <w:rPr>
                <w:rFonts w:hint="eastAsia" w:ascii="宋体" w:hAnsi="宋体" w:eastAsia="宋体" w:cs="宋体"/>
                <w:color w:val="auto"/>
                <w:sz w:val="21"/>
                <w:szCs w:val="21"/>
                <w:highlight w:val="none"/>
              </w:rPr>
            </w:pPr>
          </w:p>
        </w:tc>
      </w:tr>
      <w:tr w14:paraId="669E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4127D5E">
            <w:pPr>
              <w:pStyle w:val="48"/>
              <w:jc w:val="center"/>
              <w:rPr>
                <w:rFonts w:hint="eastAsia" w:ascii="宋体" w:hAnsi="宋体" w:eastAsia="宋体" w:cs="宋体"/>
                <w:color w:val="auto"/>
                <w:sz w:val="21"/>
                <w:szCs w:val="21"/>
                <w:highlight w:val="none"/>
              </w:rPr>
            </w:pPr>
          </w:p>
        </w:tc>
        <w:tc>
          <w:tcPr>
            <w:tcW w:w="1395" w:type="pct"/>
            <w:vAlign w:val="center"/>
          </w:tcPr>
          <w:p w14:paraId="14968038">
            <w:pPr>
              <w:pStyle w:val="48"/>
              <w:jc w:val="center"/>
              <w:rPr>
                <w:rFonts w:hint="eastAsia" w:ascii="宋体" w:hAnsi="宋体" w:eastAsia="宋体" w:cs="宋体"/>
                <w:color w:val="auto"/>
                <w:sz w:val="21"/>
                <w:szCs w:val="21"/>
                <w:highlight w:val="none"/>
              </w:rPr>
            </w:pPr>
          </w:p>
        </w:tc>
        <w:tc>
          <w:tcPr>
            <w:tcW w:w="1002" w:type="pct"/>
            <w:vAlign w:val="center"/>
          </w:tcPr>
          <w:p w14:paraId="10A6B59E">
            <w:pPr>
              <w:pStyle w:val="48"/>
              <w:jc w:val="center"/>
              <w:rPr>
                <w:rFonts w:hint="eastAsia" w:ascii="宋体" w:hAnsi="宋体" w:eastAsia="宋体" w:cs="宋体"/>
                <w:color w:val="auto"/>
                <w:sz w:val="21"/>
                <w:szCs w:val="21"/>
                <w:highlight w:val="none"/>
              </w:rPr>
            </w:pPr>
          </w:p>
        </w:tc>
        <w:tc>
          <w:tcPr>
            <w:tcW w:w="1090" w:type="pct"/>
            <w:vAlign w:val="center"/>
          </w:tcPr>
          <w:p w14:paraId="61702DF6">
            <w:pPr>
              <w:pStyle w:val="48"/>
              <w:jc w:val="center"/>
              <w:rPr>
                <w:rFonts w:hint="eastAsia" w:ascii="宋体" w:hAnsi="宋体" w:eastAsia="宋体" w:cs="宋体"/>
                <w:color w:val="auto"/>
                <w:sz w:val="21"/>
                <w:szCs w:val="21"/>
                <w:highlight w:val="none"/>
              </w:rPr>
            </w:pPr>
          </w:p>
        </w:tc>
        <w:tc>
          <w:tcPr>
            <w:tcW w:w="1090" w:type="pct"/>
            <w:vAlign w:val="center"/>
          </w:tcPr>
          <w:p w14:paraId="0CC18FC2">
            <w:pPr>
              <w:pStyle w:val="48"/>
              <w:jc w:val="center"/>
              <w:rPr>
                <w:rFonts w:hint="eastAsia" w:ascii="宋体" w:hAnsi="宋体" w:eastAsia="宋体" w:cs="宋体"/>
                <w:color w:val="auto"/>
                <w:sz w:val="21"/>
                <w:szCs w:val="21"/>
                <w:highlight w:val="none"/>
              </w:rPr>
            </w:pPr>
          </w:p>
        </w:tc>
      </w:tr>
      <w:tr w14:paraId="57F3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4561F269">
            <w:pPr>
              <w:pStyle w:val="48"/>
              <w:jc w:val="center"/>
              <w:rPr>
                <w:rFonts w:hint="eastAsia" w:ascii="宋体" w:hAnsi="宋体" w:eastAsia="宋体" w:cs="宋体"/>
                <w:color w:val="auto"/>
                <w:sz w:val="21"/>
                <w:szCs w:val="21"/>
                <w:highlight w:val="none"/>
              </w:rPr>
            </w:pPr>
          </w:p>
        </w:tc>
        <w:tc>
          <w:tcPr>
            <w:tcW w:w="1395" w:type="pct"/>
            <w:vAlign w:val="center"/>
          </w:tcPr>
          <w:p w14:paraId="5DDD9937">
            <w:pPr>
              <w:pStyle w:val="48"/>
              <w:jc w:val="center"/>
              <w:rPr>
                <w:rFonts w:hint="eastAsia" w:ascii="宋体" w:hAnsi="宋体" w:eastAsia="宋体" w:cs="宋体"/>
                <w:color w:val="auto"/>
                <w:sz w:val="21"/>
                <w:szCs w:val="21"/>
                <w:highlight w:val="none"/>
              </w:rPr>
            </w:pPr>
          </w:p>
        </w:tc>
        <w:tc>
          <w:tcPr>
            <w:tcW w:w="1002" w:type="pct"/>
            <w:vAlign w:val="center"/>
          </w:tcPr>
          <w:p w14:paraId="0B29A018">
            <w:pPr>
              <w:pStyle w:val="48"/>
              <w:jc w:val="center"/>
              <w:rPr>
                <w:rFonts w:hint="eastAsia" w:ascii="宋体" w:hAnsi="宋体" w:eastAsia="宋体" w:cs="宋体"/>
                <w:color w:val="auto"/>
                <w:sz w:val="21"/>
                <w:szCs w:val="21"/>
                <w:highlight w:val="none"/>
              </w:rPr>
            </w:pPr>
          </w:p>
        </w:tc>
        <w:tc>
          <w:tcPr>
            <w:tcW w:w="1090" w:type="pct"/>
            <w:vAlign w:val="center"/>
          </w:tcPr>
          <w:p w14:paraId="1FA693DE">
            <w:pPr>
              <w:pStyle w:val="48"/>
              <w:jc w:val="center"/>
              <w:rPr>
                <w:rFonts w:hint="eastAsia" w:ascii="宋体" w:hAnsi="宋体" w:eastAsia="宋体" w:cs="宋体"/>
                <w:color w:val="auto"/>
                <w:sz w:val="21"/>
                <w:szCs w:val="21"/>
                <w:highlight w:val="none"/>
              </w:rPr>
            </w:pPr>
          </w:p>
        </w:tc>
        <w:tc>
          <w:tcPr>
            <w:tcW w:w="1090" w:type="pct"/>
            <w:vAlign w:val="center"/>
          </w:tcPr>
          <w:p w14:paraId="3D633AB6">
            <w:pPr>
              <w:pStyle w:val="48"/>
              <w:jc w:val="center"/>
              <w:rPr>
                <w:rFonts w:hint="eastAsia" w:ascii="宋体" w:hAnsi="宋体" w:eastAsia="宋体" w:cs="宋体"/>
                <w:color w:val="auto"/>
                <w:sz w:val="21"/>
                <w:szCs w:val="21"/>
                <w:highlight w:val="none"/>
              </w:rPr>
            </w:pPr>
          </w:p>
        </w:tc>
      </w:tr>
      <w:tr w14:paraId="1244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59A5171A">
            <w:pPr>
              <w:pStyle w:val="48"/>
              <w:jc w:val="center"/>
              <w:rPr>
                <w:rFonts w:hint="eastAsia" w:ascii="宋体" w:hAnsi="宋体" w:eastAsia="宋体" w:cs="宋体"/>
                <w:color w:val="auto"/>
                <w:sz w:val="21"/>
                <w:szCs w:val="21"/>
                <w:highlight w:val="none"/>
              </w:rPr>
            </w:pPr>
          </w:p>
        </w:tc>
        <w:tc>
          <w:tcPr>
            <w:tcW w:w="1395" w:type="pct"/>
            <w:vAlign w:val="center"/>
          </w:tcPr>
          <w:p w14:paraId="014A297F">
            <w:pPr>
              <w:pStyle w:val="48"/>
              <w:jc w:val="center"/>
              <w:rPr>
                <w:rFonts w:hint="eastAsia" w:ascii="宋体" w:hAnsi="宋体" w:eastAsia="宋体" w:cs="宋体"/>
                <w:color w:val="auto"/>
                <w:sz w:val="21"/>
                <w:szCs w:val="21"/>
                <w:highlight w:val="none"/>
              </w:rPr>
            </w:pPr>
          </w:p>
        </w:tc>
        <w:tc>
          <w:tcPr>
            <w:tcW w:w="1002" w:type="pct"/>
            <w:vAlign w:val="center"/>
          </w:tcPr>
          <w:p w14:paraId="51467013">
            <w:pPr>
              <w:pStyle w:val="48"/>
              <w:jc w:val="center"/>
              <w:rPr>
                <w:rFonts w:hint="eastAsia" w:ascii="宋体" w:hAnsi="宋体" w:eastAsia="宋体" w:cs="宋体"/>
                <w:color w:val="auto"/>
                <w:sz w:val="21"/>
                <w:szCs w:val="21"/>
                <w:highlight w:val="none"/>
              </w:rPr>
            </w:pPr>
          </w:p>
        </w:tc>
        <w:tc>
          <w:tcPr>
            <w:tcW w:w="1090" w:type="pct"/>
            <w:vAlign w:val="center"/>
          </w:tcPr>
          <w:p w14:paraId="011E40CA">
            <w:pPr>
              <w:pStyle w:val="48"/>
              <w:jc w:val="center"/>
              <w:rPr>
                <w:rFonts w:hint="eastAsia" w:ascii="宋体" w:hAnsi="宋体" w:eastAsia="宋体" w:cs="宋体"/>
                <w:color w:val="auto"/>
                <w:sz w:val="21"/>
                <w:szCs w:val="21"/>
                <w:highlight w:val="none"/>
              </w:rPr>
            </w:pPr>
          </w:p>
        </w:tc>
        <w:tc>
          <w:tcPr>
            <w:tcW w:w="1090" w:type="pct"/>
            <w:vAlign w:val="center"/>
          </w:tcPr>
          <w:p w14:paraId="7062C313">
            <w:pPr>
              <w:pStyle w:val="48"/>
              <w:jc w:val="center"/>
              <w:rPr>
                <w:rFonts w:hint="eastAsia" w:ascii="宋体" w:hAnsi="宋体" w:eastAsia="宋体" w:cs="宋体"/>
                <w:color w:val="auto"/>
                <w:sz w:val="21"/>
                <w:szCs w:val="21"/>
                <w:highlight w:val="none"/>
              </w:rPr>
            </w:pPr>
          </w:p>
        </w:tc>
      </w:tr>
      <w:tr w14:paraId="7994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0B6F410">
            <w:pPr>
              <w:pStyle w:val="48"/>
              <w:jc w:val="center"/>
              <w:rPr>
                <w:rFonts w:hint="eastAsia" w:ascii="宋体" w:hAnsi="宋体" w:eastAsia="宋体" w:cs="宋体"/>
                <w:color w:val="auto"/>
                <w:sz w:val="21"/>
                <w:szCs w:val="21"/>
                <w:highlight w:val="none"/>
              </w:rPr>
            </w:pPr>
          </w:p>
        </w:tc>
        <w:tc>
          <w:tcPr>
            <w:tcW w:w="1395" w:type="pct"/>
            <w:vAlign w:val="center"/>
          </w:tcPr>
          <w:p w14:paraId="010A1BB0">
            <w:pPr>
              <w:pStyle w:val="48"/>
              <w:jc w:val="center"/>
              <w:rPr>
                <w:rFonts w:hint="eastAsia" w:ascii="宋体" w:hAnsi="宋体" w:eastAsia="宋体" w:cs="宋体"/>
                <w:color w:val="auto"/>
                <w:sz w:val="21"/>
                <w:szCs w:val="21"/>
                <w:highlight w:val="none"/>
              </w:rPr>
            </w:pPr>
          </w:p>
        </w:tc>
        <w:tc>
          <w:tcPr>
            <w:tcW w:w="1002" w:type="pct"/>
            <w:vAlign w:val="center"/>
          </w:tcPr>
          <w:p w14:paraId="1EE22C75">
            <w:pPr>
              <w:pStyle w:val="48"/>
              <w:jc w:val="center"/>
              <w:rPr>
                <w:rFonts w:hint="eastAsia" w:ascii="宋体" w:hAnsi="宋体" w:eastAsia="宋体" w:cs="宋体"/>
                <w:color w:val="auto"/>
                <w:sz w:val="21"/>
                <w:szCs w:val="21"/>
                <w:highlight w:val="none"/>
              </w:rPr>
            </w:pPr>
          </w:p>
        </w:tc>
        <w:tc>
          <w:tcPr>
            <w:tcW w:w="1090" w:type="pct"/>
            <w:vAlign w:val="center"/>
          </w:tcPr>
          <w:p w14:paraId="3C86F2CC">
            <w:pPr>
              <w:pStyle w:val="48"/>
              <w:jc w:val="center"/>
              <w:rPr>
                <w:rFonts w:hint="eastAsia" w:ascii="宋体" w:hAnsi="宋体" w:eastAsia="宋体" w:cs="宋体"/>
                <w:color w:val="auto"/>
                <w:sz w:val="21"/>
                <w:szCs w:val="21"/>
                <w:highlight w:val="none"/>
              </w:rPr>
            </w:pPr>
          </w:p>
        </w:tc>
        <w:tc>
          <w:tcPr>
            <w:tcW w:w="1090" w:type="pct"/>
            <w:vAlign w:val="center"/>
          </w:tcPr>
          <w:p w14:paraId="515EA04E">
            <w:pPr>
              <w:pStyle w:val="48"/>
              <w:jc w:val="center"/>
              <w:rPr>
                <w:rFonts w:hint="eastAsia" w:ascii="宋体" w:hAnsi="宋体" w:eastAsia="宋体" w:cs="宋体"/>
                <w:color w:val="auto"/>
                <w:sz w:val="21"/>
                <w:szCs w:val="21"/>
                <w:highlight w:val="none"/>
              </w:rPr>
            </w:pPr>
          </w:p>
        </w:tc>
      </w:tr>
      <w:tr w14:paraId="2D7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7EFA1E0">
            <w:pPr>
              <w:pStyle w:val="48"/>
              <w:jc w:val="center"/>
              <w:rPr>
                <w:rFonts w:hint="eastAsia" w:ascii="宋体" w:hAnsi="宋体" w:eastAsia="宋体" w:cs="宋体"/>
                <w:color w:val="auto"/>
                <w:sz w:val="21"/>
                <w:szCs w:val="21"/>
                <w:highlight w:val="none"/>
              </w:rPr>
            </w:pPr>
          </w:p>
        </w:tc>
        <w:tc>
          <w:tcPr>
            <w:tcW w:w="1395" w:type="pct"/>
            <w:vAlign w:val="center"/>
          </w:tcPr>
          <w:p w14:paraId="1C7A6406">
            <w:pPr>
              <w:pStyle w:val="48"/>
              <w:jc w:val="center"/>
              <w:rPr>
                <w:rFonts w:hint="eastAsia" w:ascii="宋体" w:hAnsi="宋体" w:eastAsia="宋体" w:cs="宋体"/>
                <w:color w:val="auto"/>
                <w:sz w:val="21"/>
                <w:szCs w:val="21"/>
                <w:highlight w:val="none"/>
              </w:rPr>
            </w:pPr>
          </w:p>
        </w:tc>
        <w:tc>
          <w:tcPr>
            <w:tcW w:w="1002" w:type="pct"/>
            <w:vAlign w:val="center"/>
          </w:tcPr>
          <w:p w14:paraId="7F774DAF">
            <w:pPr>
              <w:pStyle w:val="48"/>
              <w:jc w:val="center"/>
              <w:rPr>
                <w:rFonts w:hint="eastAsia" w:ascii="宋体" w:hAnsi="宋体" w:eastAsia="宋体" w:cs="宋体"/>
                <w:color w:val="auto"/>
                <w:sz w:val="21"/>
                <w:szCs w:val="21"/>
                <w:highlight w:val="none"/>
              </w:rPr>
            </w:pPr>
          </w:p>
        </w:tc>
        <w:tc>
          <w:tcPr>
            <w:tcW w:w="1090" w:type="pct"/>
            <w:vAlign w:val="center"/>
          </w:tcPr>
          <w:p w14:paraId="66A55C54">
            <w:pPr>
              <w:pStyle w:val="48"/>
              <w:jc w:val="center"/>
              <w:rPr>
                <w:rFonts w:hint="eastAsia" w:ascii="宋体" w:hAnsi="宋体" w:eastAsia="宋体" w:cs="宋体"/>
                <w:color w:val="auto"/>
                <w:sz w:val="21"/>
                <w:szCs w:val="21"/>
                <w:highlight w:val="none"/>
              </w:rPr>
            </w:pPr>
          </w:p>
        </w:tc>
        <w:tc>
          <w:tcPr>
            <w:tcW w:w="1090" w:type="pct"/>
            <w:vAlign w:val="center"/>
          </w:tcPr>
          <w:p w14:paraId="6FC3A7DB">
            <w:pPr>
              <w:pStyle w:val="48"/>
              <w:jc w:val="center"/>
              <w:rPr>
                <w:rFonts w:hint="eastAsia" w:ascii="宋体" w:hAnsi="宋体" w:eastAsia="宋体" w:cs="宋体"/>
                <w:color w:val="auto"/>
                <w:sz w:val="21"/>
                <w:szCs w:val="21"/>
                <w:highlight w:val="none"/>
              </w:rPr>
            </w:pPr>
          </w:p>
        </w:tc>
      </w:tr>
      <w:tr w14:paraId="2B93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D84A230">
            <w:pPr>
              <w:pStyle w:val="48"/>
              <w:jc w:val="center"/>
              <w:rPr>
                <w:rFonts w:hint="eastAsia" w:ascii="宋体" w:hAnsi="宋体" w:eastAsia="宋体" w:cs="宋体"/>
                <w:color w:val="auto"/>
                <w:sz w:val="21"/>
                <w:szCs w:val="21"/>
                <w:highlight w:val="none"/>
              </w:rPr>
            </w:pPr>
          </w:p>
        </w:tc>
        <w:tc>
          <w:tcPr>
            <w:tcW w:w="1395" w:type="pct"/>
            <w:vAlign w:val="center"/>
          </w:tcPr>
          <w:p w14:paraId="5A1690B5">
            <w:pPr>
              <w:pStyle w:val="48"/>
              <w:jc w:val="center"/>
              <w:rPr>
                <w:rFonts w:hint="eastAsia" w:ascii="宋体" w:hAnsi="宋体" w:eastAsia="宋体" w:cs="宋体"/>
                <w:color w:val="auto"/>
                <w:sz w:val="21"/>
                <w:szCs w:val="21"/>
                <w:highlight w:val="none"/>
              </w:rPr>
            </w:pPr>
          </w:p>
        </w:tc>
        <w:tc>
          <w:tcPr>
            <w:tcW w:w="1002" w:type="pct"/>
            <w:vAlign w:val="center"/>
          </w:tcPr>
          <w:p w14:paraId="735418C2">
            <w:pPr>
              <w:pStyle w:val="48"/>
              <w:jc w:val="center"/>
              <w:rPr>
                <w:rFonts w:hint="eastAsia" w:ascii="宋体" w:hAnsi="宋体" w:eastAsia="宋体" w:cs="宋体"/>
                <w:color w:val="auto"/>
                <w:sz w:val="21"/>
                <w:szCs w:val="21"/>
                <w:highlight w:val="none"/>
              </w:rPr>
            </w:pPr>
          </w:p>
        </w:tc>
        <w:tc>
          <w:tcPr>
            <w:tcW w:w="1090" w:type="pct"/>
            <w:vAlign w:val="center"/>
          </w:tcPr>
          <w:p w14:paraId="13F6671D">
            <w:pPr>
              <w:pStyle w:val="48"/>
              <w:jc w:val="center"/>
              <w:rPr>
                <w:rFonts w:hint="eastAsia" w:ascii="宋体" w:hAnsi="宋体" w:eastAsia="宋体" w:cs="宋体"/>
                <w:color w:val="auto"/>
                <w:sz w:val="21"/>
                <w:szCs w:val="21"/>
                <w:highlight w:val="none"/>
              </w:rPr>
            </w:pPr>
          </w:p>
        </w:tc>
        <w:tc>
          <w:tcPr>
            <w:tcW w:w="1090" w:type="pct"/>
            <w:vAlign w:val="center"/>
          </w:tcPr>
          <w:p w14:paraId="3DC0B3BB">
            <w:pPr>
              <w:pStyle w:val="48"/>
              <w:jc w:val="center"/>
              <w:rPr>
                <w:rFonts w:hint="eastAsia" w:ascii="宋体" w:hAnsi="宋体" w:eastAsia="宋体" w:cs="宋体"/>
                <w:color w:val="auto"/>
                <w:sz w:val="21"/>
                <w:szCs w:val="21"/>
                <w:highlight w:val="none"/>
              </w:rPr>
            </w:pPr>
          </w:p>
        </w:tc>
      </w:tr>
      <w:tr w14:paraId="23E0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01109CF1">
            <w:pPr>
              <w:pStyle w:val="48"/>
              <w:jc w:val="center"/>
              <w:rPr>
                <w:rFonts w:hint="eastAsia" w:ascii="宋体" w:hAnsi="宋体" w:eastAsia="宋体" w:cs="宋体"/>
                <w:color w:val="auto"/>
                <w:sz w:val="21"/>
                <w:szCs w:val="21"/>
                <w:highlight w:val="none"/>
              </w:rPr>
            </w:pPr>
          </w:p>
        </w:tc>
        <w:tc>
          <w:tcPr>
            <w:tcW w:w="1395" w:type="pct"/>
            <w:vAlign w:val="center"/>
          </w:tcPr>
          <w:p w14:paraId="4E1F25E0">
            <w:pPr>
              <w:pStyle w:val="48"/>
              <w:jc w:val="center"/>
              <w:rPr>
                <w:rFonts w:hint="eastAsia" w:ascii="宋体" w:hAnsi="宋体" w:eastAsia="宋体" w:cs="宋体"/>
                <w:color w:val="auto"/>
                <w:sz w:val="21"/>
                <w:szCs w:val="21"/>
                <w:highlight w:val="none"/>
              </w:rPr>
            </w:pPr>
          </w:p>
        </w:tc>
        <w:tc>
          <w:tcPr>
            <w:tcW w:w="1002" w:type="pct"/>
            <w:vAlign w:val="center"/>
          </w:tcPr>
          <w:p w14:paraId="4F1707F4">
            <w:pPr>
              <w:pStyle w:val="48"/>
              <w:jc w:val="center"/>
              <w:rPr>
                <w:rFonts w:hint="eastAsia" w:ascii="宋体" w:hAnsi="宋体" w:eastAsia="宋体" w:cs="宋体"/>
                <w:color w:val="auto"/>
                <w:sz w:val="21"/>
                <w:szCs w:val="21"/>
                <w:highlight w:val="none"/>
              </w:rPr>
            </w:pPr>
          </w:p>
        </w:tc>
        <w:tc>
          <w:tcPr>
            <w:tcW w:w="1090" w:type="pct"/>
            <w:vAlign w:val="center"/>
          </w:tcPr>
          <w:p w14:paraId="59E61A3B">
            <w:pPr>
              <w:pStyle w:val="48"/>
              <w:jc w:val="center"/>
              <w:rPr>
                <w:rFonts w:hint="eastAsia" w:ascii="宋体" w:hAnsi="宋体" w:eastAsia="宋体" w:cs="宋体"/>
                <w:color w:val="auto"/>
                <w:sz w:val="21"/>
                <w:szCs w:val="21"/>
                <w:highlight w:val="none"/>
              </w:rPr>
            </w:pPr>
          </w:p>
        </w:tc>
        <w:tc>
          <w:tcPr>
            <w:tcW w:w="1090" w:type="pct"/>
            <w:vAlign w:val="center"/>
          </w:tcPr>
          <w:p w14:paraId="33E07ECA">
            <w:pPr>
              <w:pStyle w:val="48"/>
              <w:jc w:val="center"/>
              <w:rPr>
                <w:rFonts w:hint="eastAsia" w:ascii="宋体" w:hAnsi="宋体" w:eastAsia="宋体" w:cs="宋体"/>
                <w:color w:val="auto"/>
                <w:sz w:val="21"/>
                <w:szCs w:val="21"/>
                <w:highlight w:val="none"/>
              </w:rPr>
            </w:pPr>
          </w:p>
        </w:tc>
      </w:tr>
      <w:tr w14:paraId="6B92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71CB3DA8">
            <w:pPr>
              <w:pStyle w:val="48"/>
              <w:jc w:val="center"/>
              <w:rPr>
                <w:rFonts w:hint="eastAsia" w:ascii="宋体" w:hAnsi="宋体" w:eastAsia="宋体" w:cs="宋体"/>
                <w:color w:val="auto"/>
                <w:sz w:val="21"/>
                <w:szCs w:val="21"/>
                <w:highlight w:val="none"/>
              </w:rPr>
            </w:pPr>
          </w:p>
        </w:tc>
        <w:tc>
          <w:tcPr>
            <w:tcW w:w="1395" w:type="pct"/>
            <w:vAlign w:val="center"/>
          </w:tcPr>
          <w:p w14:paraId="494F1780">
            <w:pPr>
              <w:pStyle w:val="48"/>
              <w:jc w:val="center"/>
              <w:rPr>
                <w:rFonts w:hint="eastAsia" w:ascii="宋体" w:hAnsi="宋体" w:eastAsia="宋体" w:cs="宋体"/>
                <w:color w:val="auto"/>
                <w:sz w:val="21"/>
                <w:szCs w:val="21"/>
                <w:highlight w:val="none"/>
              </w:rPr>
            </w:pPr>
          </w:p>
        </w:tc>
        <w:tc>
          <w:tcPr>
            <w:tcW w:w="1002" w:type="pct"/>
            <w:vAlign w:val="center"/>
          </w:tcPr>
          <w:p w14:paraId="02E24AFD">
            <w:pPr>
              <w:pStyle w:val="48"/>
              <w:jc w:val="center"/>
              <w:rPr>
                <w:rFonts w:hint="eastAsia" w:ascii="宋体" w:hAnsi="宋体" w:eastAsia="宋体" w:cs="宋体"/>
                <w:color w:val="auto"/>
                <w:sz w:val="21"/>
                <w:szCs w:val="21"/>
                <w:highlight w:val="none"/>
              </w:rPr>
            </w:pPr>
          </w:p>
        </w:tc>
        <w:tc>
          <w:tcPr>
            <w:tcW w:w="1090" w:type="pct"/>
            <w:vAlign w:val="center"/>
          </w:tcPr>
          <w:p w14:paraId="15C952B3">
            <w:pPr>
              <w:pStyle w:val="48"/>
              <w:jc w:val="center"/>
              <w:rPr>
                <w:rFonts w:hint="eastAsia" w:ascii="宋体" w:hAnsi="宋体" w:eastAsia="宋体" w:cs="宋体"/>
                <w:color w:val="auto"/>
                <w:sz w:val="21"/>
                <w:szCs w:val="21"/>
                <w:highlight w:val="none"/>
              </w:rPr>
            </w:pPr>
          </w:p>
        </w:tc>
        <w:tc>
          <w:tcPr>
            <w:tcW w:w="1090" w:type="pct"/>
            <w:vAlign w:val="center"/>
          </w:tcPr>
          <w:p w14:paraId="042480C5">
            <w:pPr>
              <w:pStyle w:val="48"/>
              <w:jc w:val="center"/>
              <w:rPr>
                <w:rFonts w:hint="eastAsia" w:ascii="宋体" w:hAnsi="宋体" w:eastAsia="宋体" w:cs="宋体"/>
                <w:color w:val="auto"/>
                <w:sz w:val="21"/>
                <w:szCs w:val="21"/>
                <w:highlight w:val="none"/>
              </w:rPr>
            </w:pPr>
          </w:p>
        </w:tc>
      </w:tr>
      <w:tr w14:paraId="13BE0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6D3D8B34">
            <w:pPr>
              <w:pStyle w:val="48"/>
              <w:jc w:val="center"/>
              <w:rPr>
                <w:rFonts w:hint="eastAsia" w:ascii="宋体" w:hAnsi="宋体" w:eastAsia="宋体" w:cs="宋体"/>
                <w:color w:val="auto"/>
                <w:sz w:val="21"/>
                <w:szCs w:val="21"/>
                <w:highlight w:val="none"/>
              </w:rPr>
            </w:pPr>
          </w:p>
        </w:tc>
        <w:tc>
          <w:tcPr>
            <w:tcW w:w="1395" w:type="pct"/>
            <w:vAlign w:val="center"/>
          </w:tcPr>
          <w:p w14:paraId="3FA50495">
            <w:pPr>
              <w:pStyle w:val="48"/>
              <w:jc w:val="center"/>
              <w:rPr>
                <w:rFonts w:hint="eastAsia" w:ascii="宋体" w:hAnsi="宋体" w:eastAsia="宋体" w:cs="宋体"/>
                <w:color w:val="auto"/>
                <w:sz w:val="21"/>
                <w:szCs w:val="21"/>
                <w:highlight w:val="none"/>
              </w:rPr>
            </w:pPr>
          </w:p>
        </w:tc>
        <w:tc>
          <w:tcPr>
            <w:tcW w:w="1002" w:type="pct"/>
            <w:vAlign w:val="center"/>
          </w:tcPr>
          <w:p w14:paraId="65521973">
            <w:pPr>
              <w:pStyle w:val="48"/>
              <w:jc w:val="center"/>
              <w:rPr>
                <w:rFonts w:hint="eastAsia" w:ascii="宋体" w:hAnsi="宋体" w:eastAsia="宋体" w:cs="宋体"/>
                <w:color w:val="auto"/>
                <w:sz w:val="21"/>
                <w:szCs w:val="21"/>
                <w:highlight w:val="none"/>
              </w:rPr>
            </w:pPr>
          </w:p>
        </w:tc>
        <w:tc>
          <w:tcPr>
            <w:tcW w:w="1090" w:type="pct"/>
            <w:vAlign w:val="center"/>
          </w:tcPr>
          <w:p w14:paraId="505486BC">
            <w:pPr>
              <w:pStyle w:val="48"/>
              <w:jc w:val="center"/>
              <w:rPr>
                <w:rFonts w:hint="eastAsia" w:ascii="宋体" w:hAnsi="宋体" w:eastAsia="宋体" w:cs="宋体"/>
                <w:color w:val="auto"/>
                <w:sz w:val="21"/>
                <w:szCs w:val="21"/>
                <w:highlight w:val="none"/>
              </w:rPr>
            </w:pPr>
          </w:p>
        </w:tc>
        <w:tc>
          <w:tcPr>
            <w:tcW w:w="1090" w:type="pct"/>
            <w:vAlign w:val="center"/>
          </w:tcPr>
          <w:p w14:paraId="40E41834">
            <w:pPr>
              <w:pStyle w:val="48"/>
              <w:jc w:val="center"/>
              <w:rPr>
                <w:rFonts w:hint="eastAsia" w:ascii="宋体" w:hAnsi="宋体" w:eastAsia="宋体" w:cs="宋体"/>
                <w:color w:val="auto"/>
                <w:sz w:val="21"/>
                <w:szCs w:val="21"/>
                <w:highlight w:val="none"/>
              </w:rPr>
            </w:pPr>
          </w:p>
        </w:tc>
      </w:tr>
      <w:tr w14:paraId="322E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0" w:type="pct"/>
            <w:vAlign w:val="center"/>
          </w:tcPr>
          <w:p w14:paraId="3E27F183">
            <w:pPr>
              <w:pStyle w:val="48"/>
              <w:jc w:val="center"/>
              <w:rPr>
                <w:rFonts w:hint="eastAsia" w:ascii="宋体" w:hAnsi="宋体" w:eastAsia="宋体" w:cs="宋体"/>
                <w:color w:val="auto"/>
                <w:sz w:val="21"/>
                <w:szCs w:val="21"/>
                <w:highlight w:val="none"/>
              </w:rPr>
            </w:pPr>
          </w:p>
        </w:tc>
        <w:tc>
          <w:tcPr>
            <w:tcW w:w="1395" w:type="pct"/>
            <w:vAlign w:val="center"/>
          </w:tcPr>
          <w:p w14:paraId="199507E1">
            <w:pPr>
              <w:pStyle w:val="48"/>
              <w:jc w:val="center"/>
              <w:rPr>
                <w:rFonts w:hint="eastAsia" w:ascii="宋体" w:hAnsi="宋体" w:eastAsia="宋体" w:cs="宋体"/>
                <w:color w:val="auto"/>
                <w:sz w:val="21"/>
                <w:szCs w:val="21"/>
                <w:highlight w:val="none"/>
              </w:rPr>
            </w:pPr>
          </w:p>
        </w:tc>
        <w:tc>
          <w:tcPr>
            <w:tcW w:w="1002" w:type="pct"/>
            <w:vAlign w:val="center"/>
          </w:tcPr>
          <w:p w14:paraId="6691FD82">
            <w:pPr>
              <w:pStyle w:val="48"/>
              <w:jc w:val="center"/>
              <w:rPr>
                <w:rFonts w:hint="eastAsia" w:ascii="宋体" w:hAnsi="宋体" w:eastAsia="宋体" w:cs="宋体"/>
                <w:color w:val="auto"/>
                <w:sz w:val="21"/>
                <w:szCs w:val="21"/>
                <w:highlight w:val="none"/>
              </w:rPr>
            </w:pPr>
          </w:p>
        </w:tc>
        <w:tc>
          <w:tcPr>
            <w:tcW w:w="1090" w:type="pct"/>
            <w:vAlign w:val="center"/>
          </w:tcPr>
          <w:p w14:paraId="6E35002B">
            <w:pPr>
              <w:pStyle w:val="48"/>
              <w:jc w:val="center"/>
              <w:rPr>
                <w:rFonts w:hint="eastAsia" w:ascii="宋体" w:hAnsi="宋体" w:eastAsia="宋体" w:cs="宋体"/>
                <w:color w:val="auto"/>
                <w:sz w:val="21"/>
                <w:szCs w:val="21"/>
                <w:highlight w:val="none"/>
              </w:rPr>
            </w:pPr>
          </w:p>
        </w:tc>
        <w:tc>
          <w:tcPr>
            <w:tcW w:w="1090" w:type="pct"/>
            <w:vAlign w:val="center"/>
          </w:tcPr>
          <w:p w14:paraId="69818ED1">
            <w:pPr>
              <w:pStyle w:val="48"/>
              <w:jc w:val="center"/>
              <w:rPr>
                <w:rFonts w:hint="eastAsia" w:ascii="宋体" w:hAnsi="宋体" w:eastAsia="宋体" w:cs="宋体"/>
                <w:color w:val="auto"/>
                <w:sz w:val="21"/>
                <w:szCs w:val="21"/>
                <w:highlight w:val="none"/>
              </w:rPr>
            </w:pPr>
          </w:p>
        </w:tc>
      </w:tr>
      <w:tr w14:paraId="79F3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0" w:type="pct"/>
            <w:vAlign w:val="center"/>
          </w:tcPr>
          <w:p w14:paraId="71E185D4">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95" w:type="pct"/>
            <w:vAlign w:val="center"/>
          </w:tcPr>
          <w:p w14:paraId="6324A49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02" w:type="pct"/>
            <w:vAlign w:val="center"/>
          </w:tcPr>
          <w:p w14:paraId="0EE83785">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7A24BB2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90" w:type="pct"/>
            <w:vAlign w:val="center"/>
          </w:tcPr>
          <w:p w14:paraId="7CC08218">
            <w:pPr>
              <w:pStyle w:val="48"/>
              <w:jc w:val="center"/>
              <w:rPr>
                <w:rFonts w:hint="eastAsia" w:ascii="宋体" w:hAnsi="宋体" w:eastAsia="宋体" w:cs="宋体"/>
                <w:color w:val="auto"/>
                <w:sz w:val="21"/>
                <w:szCs w:val="21"/>
                <w:highlight w:val="none"/>
              </w:rPr>
            </w:pPr>
          </w:p>
        </w:tc>
      </w:tr>
    </w:tbl>
    <w:p w14:paraId="5516D2ED">
      <w:pPr>
        <w:ind w:firstLine="420" w:firstLineChars="200"/>
        <w:rPr>
          <w:rFonts w:hint="eastAsia" w:cs="仿宋_GB2312"/>
          <w:color w:val="auto"/>
          <w:sz w:val="21"/>
          <w:szCs w:val="21"/>
          <w:highlight w:val="none"/>
        </w:rPr>
      </w:pPr>
    </w:p>
    <w:p w14:paraId="79243E57">
      <w:pPr>
        <w:ind w:firstLine="420" w:firstLineChars="200"/>
        <w:rPr>
          <w:rFonts w:cs="仿宋_GB2312"/>
          <w:color w:val="auto"/>
          <w:szCs w:val="24"/>
          <w:highlight w:val="none"/>
        </w:rPr>
      </w:pPr>
      <w:r>
        <w:rPr>
          <w:rFonts w:hint="eastAsia" w:cs="仿宋_GB2312"/>
          <w:color w:val="auto"/>
          <w:sz w:val="21"/>
          <w:szCs w:val="21"/>
          <w:highlight w:val="none"/>
        </w:rPr>
        <w:t>注：投标人应按照招标文件“第三章 采购需求”</w:t>
      </w:r>
      <w:r>
        <w:rPr>
          <w:rFonts w:hint="eastAsia" w:cs="仿宋_GB2312"/>
          <w:color w:val="auto"/>
          <w:sz w:val="21"/>
          <w:szCs w:val="21"/>
          <w:highlight w:val="none"/>
          <w:lang w:val="en-US" w:eastAsia="zh-CN"/>
        </w:rPr>
        <w:t>中的商务要求</w:t>
      </w:r>
      <w:r>
        <w:rPr>
          <w:rFonts w:hint="eastAsia" w:cs="仿宋_GB2312"/>
          <w:color w:val="auto"/>
          <w:sz w:val="21"/>
          <w:szCs w:val="21"/>
          <w:highlight w:val="none"/>
        </w:rPr>
        <w:t>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“响应/偏离”应据实填写“响应”、“正偏离”或“负偏离”</w:t>
      </w:r>
      <w:r>
        <w:rPr>
          <w:rFonts w:hint="eastAsia" w:cs="仿宋_GB2312"/>
          <w:color w:val="auto"/>
          <w:sz w:val="21"/>
          <w:szCs w:val="21"/>
          <w:highlight w:val="none"/>
        </w:rPr>
        <w:t>。</w:t>
      </w:r>
    </w:p>
    <w:p w14:paraId="1A3EAC71">
      <w:pPr>
        <w:rPr>
          <w:rFonts w:cs="仿宋_GB2312"/>
          <w:color w:val="auto"/>
          <w:szCs w:val="24"/>
          <w:highlight w:val="none"/>
        </w:rPr>
      </w:pPr>
    </w:p>
    <w:p w14:paraId="5CB06622">
      <w:pPr>
        <w:ind w:firstLine="480" w:firstLineChars="200"/>
        <w:rPr>
          <w:rFonts w:cs="仿宋_GB2312"/>
          <w:color w:val="auto"/>
          <w:szCs w:val="24"/>
          <w:highlight w:val="none"/>
        </w:rPr>
      </w:pPr>
    </w:p>
    <w:p w14:paraId="2E8083B6">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77655944">
      <w:pPr>
        <w:ind w:firstLine="420"/>
        <w:rPr>
          <w:rFonts w:cs="仿宋_GB2312"/>
          <w:color w:val="auto"/>
          <w:szCs w:val="24"/>
          <w:highlight w:val="none"/>
        </w:rPr>
      </w:pPr>
      <w:r>
        <w:rPr>
          <w:rFonts w:hint="eastAsia" w:cs="仿宋_GB2312"/>
          <w:color w:val="auto"/>
          <w:szCs w:val="24"/>
          <w:highlight w:val="none"/>
        </w:rPr>
        <w:t>日      期：</w:t>
      </w:r>
    </w:p>
    <w:p w14:paraId="598C43A6">
      <w:pPr>
        <w:ind w:firstLine="420"/>
        <w:rPr>
          <w:rFonts w:cs="仿宋_GB2312"/>
          <w:color w:val="auto"/>
          <w:szCs w:val="24"/>
          <w:highlight w:val="none"/>
        </w:rPr>
      </w:pPr>
      <w:r>
        <w:rPr>
          <w:rFonts w:cs="仿宋_GB2312"/>
          <w:color w:val="auto"/>
          <w:szCs w:val="24"/>
          <w:highlight w:val="none"/>
        </w:rPr>
        <w:br w:type="page"/>
      </w:r>
    </w:p>
    <w:p w14:paraId="3BEF2EC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宋体" w:asciiTheme="majorHAnsi" w:hAnsiTheme="majorHAnsi" w:cstheme="majorBidi"/>
          <w:b/>
          <w:bCs/>
          <w:color w:val="auto"/>
          <w:kern w:val="2"/>
          <w:sz w:val="28"/>
          <w:szCs w:val="28"/>
          <w:highlight w:val="none"/>
          <w:lang w:val="en-US" w:eastAsia="zh-CN" w:bidi="ar-SA"/>
        </w:rPr>
      </w:pPr>
    </w:p>
    <w:p w14:paraId="287724FC">
      <w:pPr>
        <w:pStyle w:val="4"/>
        <w:bidi w:val="0"/>
        <w:jc w:val="center"/>
        <w:rPr>
          <w:rFonts w:hint="eastAsia"/>
          <w:highlight w:val="none"/>
          <w:lang w:val="en-US" w:eastAsia="zh-CN"/>
        </w:rPr>
      </w:pPr>
      <w:bookmarkStart w:id="621" w:name="_Toc32716"/>
      <w:r>
        <w:rPr>
          <w:rFonts w:hint="eastAsia"/>
          <w:highlight w:val="none"/>
          <w:lang w:val="en-US" w:eastAsia="zh-CN"/>
        </w:rPr>
        <w:t>七、业绩证明文件</w:t>
      </w:r>
      <w:bookmarkEnd w:id="621"/>
    </w:p>
    <w:p w14:paraId="4541380C">
      <w:pPr>
        <w:rPr>
          <w:rFonts w:cs="仿宋_GB2312"/>
          <w:color w:val="auto"/>
          <w:szCs w:val="24"/>
          <w:highlight w:val="none"/>
        </w:rPr>
      </w:pPr>
      <w:r>
        <w:rPr>
          <w:rFonts w:cs="Arial"/>
          <w:bCs/>
          <w:color w:val="auto"/>
          <w:szCs w:val="21"/>
          <w:highlight w:val="none"/>
        </w:rPr>
        <w:fldChar w:fldCharType="begin"/>
      </w:r>
      <w:r>
        <w:rPr>
          <w:rFonts w:cs="Arial"/>
          <w:bCs/>
          <w:color w:val="auto"/>
          <w:szCs w:val="21"/>
          <w:highlight w:val="none"/>
        </w:rPr>
        <w:instrText xml:space="preserve"> LINK Word.Document.8 "D:\\音乐厅\\4通用设备\\招标文件\\音乐厅空调设备招标文件v1.0.doc" "OLE_LINK8" \r  \* MERGEFORMAT </w:instrText>
      </w:r>
      <w:r>
        <w:rPr>
          <w:rFonts w:cs="Arial"/>
          <w:bCs/>
          <w:color w:val="auto"/>
          <w:szCs w:val="21"/>
          <w:highlight w:val="none"/>
        </w:rPr>
        <w:fldChar w:fldCharType="separate"/>
      </w:r>
      <w:r>
        <w:rPr>
          <w:rFonts w:hint="eastAsia" w:cs="仿宋_GB2312"/>
          <w:color w:val="auto"/>
          <w:szCs w:val="24"/>
          <w:highlight w:val="none"/>
        </w:rPr>
        <w:t xml:space="preserve">项目名称：                                         </w:t>
      </w:r>
    </w:p>
    <w:p w14:paraId="159B24BA">
      <w:pPr>
        <w:rPr>
          <w:rFonts w:cs="Arial"/>
          <w:bCs/>
          <w:color w:val="auto"/>
          <w:szCs w:val="21"/>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r>
        <w:rPr>
          <w:rFonts w:cs="Arial"/>
          <w:bCs/>
          <w:color w:val="auto"/>
          <w:szCs w:val="21"/>
          <w:highlight w:val="none"/>
        </w:rPr>
        <w:fldChar w:fldCharType="end"/>
      </w:r>
    </w:p>
    <w:tbl>
      <w:tblPr>
        <w:tblStyle w:val="29"/>
        <w:tblW w:w="8988"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080"/>
        <w:gridCol w:w="1248"/>
        <w:gridCol w:w="1129"/>
        <w:gridCol w:w="1283"/>
        <w:gridCol w:w="1368"/>
        <w:gridCol w:w="960"/>
        <w:gridCol w:w="1176"/>
      </w:tblGrid>
      <w:tr w14:paraId="387D3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E9572F9">
            <w:pPr>
              <w:jc w:val="center"/>
              <w:rPr>
                <w:rFonts w:hint="eastAsia" w:ascii="宋体" w:hAnsi="宋体" w:eastAsia="宋体" w:cs="宋体"/>
                <w:color w:val="auto"/>
                <w:sz w:val="21"/>
                <w:szCs w:val="21"/>
                <w:highlight w:val="none"/>
              </w:rPr>
            </w:pPr>
            <w:bookmarkStart w:id="622" w:name="_Hlk46779239"/>
            <w:r>
              <w:rPr>
                <w:rFonts w:hint="eastAsia" w:ascii="宋体" w:hAnsi="宋体" w:eastAsia="宋体" w:cs="宋体"/>
                <w:color w:val="auto"/>
                <w:sz w:val="21"/>
                <w:szCs w:val="21"/>
                <w:highlight w:val="none"/>
              </w:rPr>
              <w:t>序号</w:t>
            </w:r>
          </w:p>
        </w:tc>
        <w:tc>
          <w:tcPr>
            <w:tcW w:w="1080" w:type="dxa"/>
            <w:vAlign w:val="center"/>
          </w:tcPr>
          <w:p w14:paraId="51F55A4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完成时间</w:t>
            </w:r>
          </w:p>
        </w:tc>
        <w:tc>
          <w:tcPr>
            <w:tcW w:w="1248" w:type="dxa"/>
            <w:vAlign w:val="center"/>
          </w:tcPr>
          <w:p w14:paraId="4D5C38D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129" w:type="dxa"/>
            <w:vAlign w:val="center"/>
          </w:tcPr>
          <w:p w14:paraId="69717F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标的</w:t>
            </w:r>
            <w:r>
              <w:rPr>
                <w:rFonts w:hint="eastAsia" w:ascii="宋体" w:hAnsi="宋体" w:eastAsia="宋体" w:cs="宋体"/>
                <w:color w:val="auto"/>
                <w:sz w:val="21"/>
                <w:szCs w:val="21"/>
                <w:highlight w:val="none"/>
              </w:rPr>
              <w:t>内容</w:t>
            </w:r>
          </w:p>
        </w:tc>
        <w:tc>
          <w:tcPr>
            <w:tcW w:w="1283" w:type="dxa"/>
            <w:vAlign w:val="center"/>
          </w:tcPr>
          <w:p w14:paraId="57C350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名称</w:t>
            </w:r>
          </w:p>
        </w:tc>
        <w:tc>
          <w:tcPr>
            <w:tcW w:w="1368" w:type="dxa"/>
            <w:vAlign w:val="center"/>
          </w:tcPr>
          <w:p w14:paraId="55D436A5">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中标（成交）金额</w:t>
            </w:r>
          </w:p>
        </w:tc>
        <w:tc>
          <w:tcPr>
            <w:tcW w:w="960" w:type="dxa"/>
            <w:vAlign w:val="center"/>
          </w:tcPr>
          <w:p w14:paraId="01352CB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176" w:type="dxa"/>
            <w:vAlign w:val="center"/>
          </w:tcPr>
          <w:p w14:paraId="2DA424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r>
      <w:tr w14:paraId="259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27508E8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80" w:type="dxa"/>
            <w:vAlign w:val="center"/>
          </w:tcPr>
          <w:p w14:paraId="27562AF7">
            <w:pPr>
              <w:rPr>
                <w:rFonts w:hint="eastAsia" w:ascii="宋体" w:hAnsi="宋体" w:eastAsia="宋体" w:cs="宋体"/>
                <w:color w:val="auto"/>
                <w:sz w:val="21"/>
                <w:szCs w:val="21"/>
                <w:highlight w:val="none"/>
              </w:rPr>
            </w:pPr>
          </w:p>
        </w:tc>
        <w:tc>
          <w:tcPr>
            <w:tcW w:w="1248" w:type="dxa"/>
            <w:vAlign w:val="center"/>
          </w:tcPr>
          <w:p w14:paraId="02799269">
            <w:pPr>
              <w:rPr>
                <w:rFonts w:hint="eastAsia" w:ascii="宋体" w:hAnsi="宋体" w:eastAsia="宋体" w:cs="宋体"/>
                <w:color w:val="auto"/>
                <w:sz w:val="21"/>
                <w:szCs w:val="21"/>
                <w:highlight w:val="none"/>
              </w:rPr>
            </w:pPr>
          </w:p>
        </w:tc>
        <w:tc>
          <w:tcPr>
            <w:tcW w:w="1129" w:type="dxa"/>
            <w:vAlign w:val="center"/>
          </w:tcPr>
          <w:p w14:paraId="6449ADDF">
            <w:pPr>
              <w:rPr>
                <w:rFonts w:hint="eastAsia" w:ascii="宋体" w:hAnsi="宋体" w:eastAsia="宋体" w:cs="宋体"/>
                <w:color w:val="auto"/>
                <w:sz w:val="21"/>
                <w:szCs w:val="21"/>
                <w:highlight w:val="none"/>
              </w:rPr>
            </w:pPr>
          </w:p>
        </w:tc>
        <w:tc>
          <w:tcPr>
            <w:tcW w:w="1283" w:type="dxa"/>
            <w:vAlign w:val="center"/>
          </w:tcPr>
          <w:p w14:paraId="183C0714">
            <w:pPr>
              <w:rPr>
                <w:rFonts w:hint="eastAsia" w:ascii="宋体" w:hAnsi="宋体" w:eastAsia="宋体" w:cs="宋体"/>
                <w:color w:val="auto"/>
                <w:sz w:val="21"/>
                <w:szCs w:val="21"/>
                <w:highlight w:val="none"/>
              </w:rPr>
            </w:pPr>
          </w:p>
        </w:tc>
        <w:tc>
          <w:tcPr>
            <w:tcW w:w="1368" w:type="dxa"/>
            <w:vAlign w:val="center"/>
          </w:tcPr>
          <w:p w14:paraId="4F169081">
            <w:pPr>
              <w:rPr>
                <w:rFonts w:hint="eastAsia" w:ascii="宋体" w:hAnsi="宋体" w:eastAsia="宋体" w:cs="宋体"/>
                <w:color w:val="auto"/>
                <w:sz w:val="21"/>
                <w:szCs w:val="21"/>
                <w:highlight w:val="none"/>
              </w:rPr>
            </w:pPr>
          </w:p>
        </w:tc>
        <w:tc>
          <w:tcPr>
            <w:tcW w:w="960" w:type="dxa"/>
            <w:vAlign w:val="center"/>
          </w:tcPr>
          <w:p w14:paraId="4A8D26BB">
            <w:pPr>
              <w:rPr>
                <w:rFonts w:hint="eastAsia" w:ascii="宋体" w:hAnsi="宋体" w:eastAsia="宋体" w:cs="宋体"/>
                <w:color w:val="auto"/>
                <w:sz w:val="21"/>
                <w:szCs w:val="21"/>
                <w:highlight w:val="none"/>
              </w:rPr>
            </w:pPr>
          </w:p>
        </w:tc>
        <w:tc>
          <w:tcPr>
            <w:tcW w:w="1176" w:type="dxa"/>
            <w:vAlign w:val="center"/>
          </w:tcPr>
          <w:p w14:paraId="09D0936A">
            <w:pPr>
              <w:rPr>
                <w:rFonts w:hint="eastAsia" w:ascii="宋体" w:hAnsi="宋体" w:eastAsia="宋体" w:cs="宋体"/>
                <w:color w:val="auto"/>
                <w:sz w:val="21"/>
                <w:szCs w:val="21"/>
                <w:highlight w:val="none"/>
              </w:rPr>
            </w:pPr>
          </w:p>
        </w:tc>
      </w:tr>
      <w:tr w14:paraId="7936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A21BB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80" w:type="dxa"/>
            <w:vAlign w:val="center"/>
          </w:tcPr>
          <w:p w14:paraId="7CA4B3F3">
            <w:pPr>
              <w:rPr>
                <w:rFonts w:hint="eastAsia" w:ascii="宋体" w:hAnsi="宋体" w:eastAsia="宋体" w:cs="宋体"/>
                <w:color w:val="auto"/>
                <w:sz w:val="21"/>
                <w:szCs w:val="21"/>
                <w:highlight w:val="none"/>
              </w:rPr>
            </w:pPr>
          </w:p>
        </w:tc>
        <w:tc>
          <w:tcPr>
            <w:tcW w:w="1248" w:type="dxa"/>
            <w:vAlign w:val="center"/>
          </w:tcPr>
          <w:p w14:paraId="59CCECB1">
            <w:pPr>
              <w:rPr>
                <w:rFonts w:hint="eastAsia" w:ascii="宋体" w:hAnsi="宋体" w:eastAsia="宋体" w:cs="宋体"/>
                <w:color w:val="auto"/>
                <w:sz w:val="21"/>
                <w:szCs w:val="21"/>
                <w:highlight w:val="none"/>
              </w:rPr>
            </w:pPr>
          </w:p>
        </w:tc>
        <w:tc>
          <w:tcPr>
            <w:tcW w:w="1129" w:type="dxa"/>
            <w:vAlign w:val="center"/>
          </w:tcPr>
          <w:p w14:paraId="4E8043C4">
            <w:pPr>
              <w:rPr>
                <w:rFonts w:hint="eastAsia" w:ascii="宋体" w:hAnsi="宋体" w:eastAsia="宋体" w:cs="宋体"/>
                <w:color w:val="auto"/>
                <w:sz w:val="21"/>
                <w:szCs w:val="21"/>
                <w:highlight w:val="none"/>
              </w:rPr>
            </w:pPr>
          </w:p>
        </w:tc>
        <w:tc>
          <w:tcPr>
            <w:tcW w:w="1283" w:type="dxa"/>
            <w:vAlign w:val="center"/>
          </w:tcPr>
          <w:p w14:paraId="2E195778">
            <w:pPr>
              <w:rPr>
                <w:rFonts w:hint="eastAsia" w:ascii="宋体" w:hAnsi="宋体" w:eastAsia="宋体" w:cs="宋体"/>
                <w:color w:val="auto"/>
                <w:sz w:val="21"/>
                <w:szCs w:val="21"/>
                <w:highlight w:val="none"/>
              </w:rPr>
            </w:pPr>
          </w:p>
        </w:tc>
        <w:tc>
          <w:tcPr>
            <w:tcW w:w="1368" w:type="dxa"/>
            <w:vAlign w:val="center"/>
          </w:tcPr>
          <w:p w14:paraId="49A8CC13">
            <w:pPr>
              <w:rPr>
                <w:rFonts w:hint="eastAsia" w:ascii="宋体" w:hAnsi="宋体" w:eastAsia="宋体" w:cs="宋体"/>
                <w:color w:val="auto"/>
                <w:sz w:val="21"/>
                <w:szCs w:val="21"/>
                <w:highlight w:val="none"/>
              </w:rPr>
            </w:pPr>
          </w:p>
        </w:tc>
        <w:tc>
          <w:tcPr>
            <w:tcW w:w="960" w:type="dxa"/>
            <w:vAlign w:val="center"/>
          </w:tcPr>
          <w:p w14:paraId="3DDF15B1">
            <w:pPr>
              <w:rPr>
                <w:rFonts w:hint="eastAsia" w:ascii="宋体" w:hAnsi="宋体" w:eastAsia="宋体" w:cs="宋体"/>
                <w:color w:val="auto"/>
                <w:sz w:val="21"/>
                <w:szCs w:val="21"/>
                <w:highlight w:val="none"/>
              </w:rPr>
            </w:pPr>
          </w:p>
        </w:tc>
        <w:tc>
          <w:tcPr>
            <w:tcW w:w="1176" w:type="dxa"/>
            <w:vAlign w:val="center"/>
          </w:tcPr>
          <w:p w14:paraId="185645D3">
            <w:pPr>
              <w:rPr>
                <w:rFonts w:hint="eastAsia" w:ascii="宋体" w:hAnsi="宋体" w:eastAsia="宋体" w:cs="宋体"/>
                <w:color w:val="auto"/>
                <w:sz w:val="21"/>
                <w:szCs w:val="21"/>
                <w:highlight w:val="none"/>
              </w:rPr>
            </w:pPr>
          </w:p>
        </w:tc>
      </w:tr>
      <w:tr w14:paraId="624A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4428D3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80" w:type="dxa"/>
            <w:vAlign w:val="center"/>
          </w:tcPr>
          <w:p w14:paraId="46AEF6AC">
            <w:pPr>
              <w:rPr>
                <w:rFonts w:hint="eastAsia" w:ascii="宋体" w:hAnsi="宋体" w:eastAsia="宋体" w:cs="宋体"/>
                <w:color w:val="auto"/>
                <w:sz w:val="21"/>
                <w:szCs w:val="21"/>
                <w:highlight w:val="none"/>
              </w:rPr>
            </w:pPr>
          </w:p>
        </w:tc>
        <w:tc>
          <w:tcPr>
            <w:tcW w:w="1248" w:type="dxa"/>
            <w:vAlign w:val="center"/>
          </w:tcPr>
          <w:p w14:paraId="601B0208">
            <w:pPr>
              <w:rPr>
                <w:rFonts w:hint="eastAsia" w:ascii="宋体" w:hAnsi="宋体" w:eastAsia="宋体" w:cs="宋体"/>
                <w:color w:val="auto"/>
                <w:sz w:val="21"/>
                <w:szCs w:val="21"/>
                <w:highlight w:val="none"/>
              </w:rPr>
            </w:pPr>
          </w:p>
        </w:tc>
        <w:tc>
          <w:tcPr>
            <w:tcW w:w="1129" w:type="dxa"/>
            <w:vAlign w:val="center"/>
          </w:tcPr>
          <w:p w14:paraId="56885EE6">
            <w:pPr>
              <w:rPr>
                <w:rFonts w:hint="eastAsia" w:ascii="宋体" w:hAnsi="宋体" w:eastAsia="宋体" w:cs="宋体"/>
                <w:color w:val="auto"/>
                <w:sz w:val="21"/>
                <w:szCs w:val="21"/>
                <w:highlight w:val="none"/>
              </w:rPr>
            </w:pPr>
          </w:p>
        </w:tc>
        <w:tc>
          <w:tcPr>
            <w:tcW w:w="1283" w:type="dxa"/>
            <w:vAlign w:val="center"/>
          </w:tcPr>
          <w:p w14:paraId="00552B19">
            <w:pPr>
              <w:rPr>
                <w:rFonts w:hint="eastAsia" w:ascii="宋体" w:hAnsi="宋体" w:eastAsia="宋体" w:cs="宋体"/>
                <w:color w:val="auto"/>
                <w:sz w:val="21"/>
                <w:szCs w:val="21"/>
                <w:highlight w:val="none"/>
              </w:rPr>
            </w:pPr>
          </w:p>
        </w:tc>
        <w:tc>
          <w:tcPr>
            <w:tcW w:w="1368" w:type="dxa"/>
            <w:vAlign w:val="center"/>
          </w:tcPr>
          <w:p w14:paraId="77BC6128">
            <w:pPr>
              <w:rPr>
                <w:rFonts w:hint="eastAsia" w:ascii="宋体" w:hAnsi="宋体" w:eastAsia="宋体" w:cs="宋体"/>
                <w:color w:val="auto"/>
                <w:sz w:val="21"/>
                <w:szCs w:val="21"/>
                <w:highlight w:val="none"/>
              </w:rPr>
            </w:pPr>
          </w:p>
        </w:tc>
        <w:tc>
          <w:tcPr>
            <w:tcW w:w="960" w:type="dxa"/>
            <w:vAlign w:val="center"/>
          </w:tcPr>
          <w:p w14:paraId="38FE3D5D">
            <w:pPr>
              <w:rPr>
                <w:rFonts w:hint="eastAsia" w:ascii="宋体" w:hAnsi="宋体" w:eastAsia="宋体" w:cs="宋体"/>
                <w:color w:val="auto"/>
                <w:sz w:val="21"/>
                <w:szCs w:val="21"/>
                <w:highlight w:val="none"/>
              </w:rPr>
            </w:pPr>
          </w:p>
        </w:tc>
        <w:tc>
          <w:tcPr>
            <w:tcW w:w="1176" w:type="dxa"/>
            <w:vAlign w:val="center"/>
          </w:tcPr>
          <w:p w14:paraId="20173386">
            <w:pPr>
              <w:rPr>
                <w:rFonts w:hint="eastAsia" w:ascii="宋体" w:hAnsi="宋体" w:eastAsia="宋体" w:cs="宋体"/>
                <w:color w:val="auto"/>
                <w:sz w:val="21"/>
                <w:szCs w:val="21"/>
                <w:highlight w:val="none"/>
              </w:rPr>
            </w:pPr>
          </w:p>
        </w:tc>
      </w:tr>
      <w:tr w14:paraId="45C01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7D25913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080" w:type="dxa"/>
            <w:vAlign w:val="center"/>
          </w:tcPr>
          <w:p w14:paraId="12629B54">
            <w:pPr>
              <w:rPr>
                <w:rFonts w:hint="eastAsia" w:ascii="宋体" w:hAnsi="宋体" w:eastAsia="宋体" w:cs="宋体"/>
                <w:color w:val="auto"/>
                <w:sz w:val="21"/>
                <w:szCs w:val="21"/>
                <w:highlight w:val="none"/>
              </w:rPr>
            </w:pPr>
          </w:p>
        </w:tc>
        <w:tc>
          <w:tcPr>
            <w:tcW w:w="1248" w:type="dxa"/>
            <w:vAlign w:val="center"/>
          </w:tcPr>
          <w:p w14:paraId="278EE304">
            <w:pPr>
              <w:rPr>
                <w:rFonts w:hint="eastAsia" w:ascii="宋体" w:hAnsi="宋体" w:eastAsia="宋体" w:cs="宋体"/>
                <w:color w:val="auto"/>
                <w:sz w:val="21"/>
                <w:szCs w:val="21"/>
                <w:highlight w:val="none"/>
              </w:rPr>
            </w:pPr>
          </w:p>
        </w:tc>
        <w:tc>
          <w:tcPr>
            <w:tcW w:w="1129" w:type="dxa"/>
            <w:vAlign w:val="center"/>
          </w:tcPr>
          <w:p w14:paraId="502FE2B6">
            <w:pPr>
              <w:rPr>
                <w:rFonts w:hint="eastAsia" w:ascii="宋体" w:hAnsi="宋体" w:eastAsia="宋体" w:cs="宋体"/>
                <w:color w:val="auto"/>
                <w:sz w:val="21"/>
                <w:szCs w:val="21"/>
                <w:highlight w:val="none"/>
              </w:rPr>
            </w:pPr>
          </w:p>
        </w:tc>
        <w:tc>
          <w:tcPr>
            <w:tcW w:w="1283" w:type="dxa"/>
            <w:vAlign w:val="center"/>
          </w:tcPr>
          <w:p w14:paraId="44F7BE63">
            <w:pPr>
              <w:rPr>
                <w:rFonts w:hint="eastAsia" w:ascii="宋体" w:hAnsi="宋体" w:eastAsia="宋体" w:cs="宋体"/>
                <w:color w:val="auto"/>
                <w:sz w:val="21"/>
                <w:szCs w:val="21"/>
                <w:highlight w:val="none"/>
              </w:rPr>
            </w:pPr>
          </w:p>
        </w:tc>
        <w:tc>
          <w:tcPr>
            <w:tcW w:w="1368" w:type="dxa"/>
            <w:vAlign w:val="center"/>
          </w:tcPr>
          <w:p w14:paraId="463BDC1B">
            <w:pPr>
              <w:rPr>
                <w:rFonts w:hint="eastAsia" w:ascii="宋体" w:hAnsi="宋体" w:eastAsia="宋体" w:cs="宋体"/>
                <w:color w:val="auto"/>
                <w:sz w:val="21"/>
                <w:szCs w:val="21"/>
                <w:highlight w:val="none"/>
              </w:rPr>
            </w:pPr>
          </w:p>
        </w:tc>
        <w:tc>
          <w:tcPr>
            <w:tcW w:w="960" w:type="dxa"/>
            <w:vAlign w:val="center"/>
          </w:tcPr>
          <w:p w14:paraId="5208210B">
            <w:pPr>
              <w:rPr>
                <w:rFonts w:hint="eastAsia" w:ascii="宋体" w:hAnsi="宋体" w:eastAsia="宋体" w:cs="宋体"/>
                <w:color w:val="auto"/>
                <w:sz w:val="21"/>
                <w:szCs w:val="21"/>
                <w:highlight w:val="none"/>
              </w:rPr>
            </w:pPr>
          </w:p>
        </w:tc>
        <w:tc>
          <w:tcPr>
            <w:tcW w:w="1176" w:type="dxa"/>
            <w:vAlign w:val="center"/>
          </w:tcPr>
          <w:p w14:paraId="7EC41624">
            <w:pPr>
              <w:rPr>
                <w:rFonts w:hint="eastAsia" w:ascii="宋体" w:hAnsi="宋体" w:eastAsia="宋体" w:cs="宋体"/>
                <w:color w:val="auto"/>
                <w:sz w:val="21"/>
                <w:szCs w:val="21"/>
                <w:highlight w:val="none"/>
              </w:rPr>
            </w:pPr>
          </w:p>
        </w:tc>
      </w:tr>
      <w:tr w14:paraId="6F11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44" w:type="dxa"/>
            <w:vAlign w:val="center"/>
          </w:tcPr>
          <w:p w14:paraId="1FCCAE38">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080" w:type="dxa"/>
            <w:vAlign w:val="center"/>
          </w:tcPr>
          <w:p w14:paraId="1728B663">
            <w:pPr>
              <w:rPr>
                <w:rFonts w:hint="eastAsia" w:ascii="宋体" w:hAnsi="宋体" w:eastAsia="宋体" w:cs="宋体"/>
                <w:color w:val="auto"/>
                <w:sz w:val="21"/>
                <w:szCs w:val="21"/>
                <w:highlight w:val="none"/>
              </w:rPr>
            </w:pPr>
          </w:p>
        </w:tc>
        <w:tc>
          <w:tcPr>
            <w:tcW w:w="1248" w:type="dxa"/>
            <w:vAlign w:val="center"/>
          </w:tcPr>
          <w:p w14:paraId="5B701B38">
            <w:pPr>
              <w:rPr>
                <w:rFonts w:hint="eastAsia" w:ascii="宋体" w:hAnsi="宋体" w:eastAsia="宋体" w:cs="宋体"/>
                <w:color w:val="auto"/>
                <w:sz w:val="21"/>
                <w:szCs w:val="21"/>
                <w:highlight w:val="none"/>
              </w:rPr>
            </w:pPr>
          </w:p>
        </w:tc>
        <w:tc>
          <w:tcPr>
            <w:tcW w:w="1129" w:type="dxa"/>
            <w:vAlign w:val="center"/>
          </w:tcPr>
          <w:p w14:paraId="0BFD5658">
            <w:pPr>
              <w:rPr>
                <w:rFonts w:hint="eastAsia" w:ascii="宋体" w:hAnsi="宋体" w:eastAsia="宋体" w:cs="宋体"/>
                <w:color w:val="auto"/>
                <w:sz w:val="21"/>
                <w:szCs w:val="21"/>
                <w:highlight w:val="none"/>
              </w:rPr>
            </w:pPr>
          </w:p>
        </w:tc>
        <w:tc>
          <w:tcPr>
            <w:tcW w:w="1283" w:type="dxa"/>
            <w:vAlign w:val="center"/>
          </w:tcPr>
          <w:p w14:paraId="56955758">
            <w:pPr>
              <w:rPr>
                <w:rFonts w:hint="eastAsia" w:ascii="宋体" w:hAnsi="宋体" w:eastAsia="宋体" w:cs="宋体"/>
                <w:color w:val="auto"/>
                <w:sz w:val="21"/>
                <w:szCs w:val="21"/>
                <w:highlight w:val="none"/>
              </w:rPr>
            </w:pPr>
          </w:p>
        </w:tc>
        <w:tc>
          <w:tcPr>
            <w:tcW w:w="1368" w:type="dxa"/>
            <w:vAlign w:val="center"/>
          </w:tcPr>
          <w:p w14:paraId="6AF4F252">
            <w:pPr>
              <w:rPr>
                <w:rFonts w:hint="eastAsia" w:ascii="宋体" w:hAnsi="宋体" w:eastAsia="宋体" w:cs="宋体"/>
                <w:color w:val="auto"/>
                <w:sz w:val="21"/>
                <w:szCs w:val="21"/>
                <w:highlight w:val="none"/>
              </w:rPr>
            </w:pPr>
          </w:p>
        </w:tc>
        <w:tc>
          <w:tcPr>
            <w:tcW w:w="960" w:type="dxa"/>
            <w:vAlign w:val="center"/>
          </w:tcPr>
          <w:p w14:paraId="0E461DD3">
            <w:pPr>
              <w:rPr>
                <w:rFonts w:hint="eastAsia" w:ascii="宋体" w:hAnsi="宋体" w:eastAsia="宋体" w:cs="宋体"/>
                <w:color w:val="auto"/>
                <w:sz w:val="21"/>
                <w:szCs w:val="21"/>
                <w:highlight w:val="none"/>
              </w:rPr>
            </w:pPr>
          </w:p>
        </w:tc>
        <w:tc>
          <w:tcPr>
            <w:tcW w:w="1176" w:type="dxa"/>
            <w:vAlign w:val="center"/>
          </w:tcPr>
          <w:p w14:paraId="5804A0BF">
            <w:pPr>
              <w:rPr>
                <w:rFonts w:hint="eastAsia" w:ascii="宋体" w:hAnsi="宋体" w:eastAsia="宋体" w:cs="宋体"/>
                <w:color w:val="auto"/>
                <w:sz w:val="21"/>
                <w:szCs w:val="21"/>
                <w:highlight w:val="none"/>
              </w:rPr>
            </w:pPr>
          </w:p>
        </w:tc>
      </w:tr>
      <w:tr w14:paraId="3BC2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44" w:type="dxa"/>
            <w:vAlign w:val="center"/>
          </w:tcPr>
          <w:p w14:paraId="433A34E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80" w:type="dxa"/>
            <w:vAlign w:val="center"/>
          </w:tcPr>
          <w:p w14:paraId="5D94CAA1">
            <w:pPr>
              <w:rPr>
                <w:rFonts w:hint="eastAsia" w:ascii="宋体" w:hAnsi="宋体" w:eastAsia="宋体" w:cs="宋体"/>
                <w:color w:val="auto"/>
                <w:sz w:val="21"/>
                <w:szCs w:val="21"/>
                <w:highlight w:val="none"/>
              </w:rPr>
            </w:pPr>
          </w:p>
        </w:tc>
        <w:tc>
          <w:tcPr>
            <w:tcW w:w="1248" w:type="dxa"/>
            <w:vAlign w:val="center"/>
          </w:tcPr>
          <w:p w14:paraId="48AC7386">
            <w:pPr>
              <w:rPr>
                <w:rFonts w:hint="eastAsia" w:ascii="宋体" w:hAnsi="宋体" w:eastAsia="宋体" w:cs="宋体"/>
                <w:color w:val="auto"/>
                <w:sz w:val="21"/>
                <w:szCs w:val="21"/>
                <w:highlight w:val="none"/>
              </w:rPr>
            </w:pPr>
          </w:p>
        </w:tc>
        <w:tc>
          <w:tcPr>
            <w:tcW w:w="1129" w:type="dxa"/>
            <w:vAlign w:val="center"/>
          </w:tcPr>
          <w:p w14:paraId="20172F35">
            <w:pPr>
              <w:rPr>
                <w:rFonts w:hint="eastAsia" w:ascii="宋体" w:hAnsi="宋体" w:eastAsia="宋体" w:cs="宋体"/>
                <w:color w:val="auto"/>
                <w:sz w:val="21"/>
                <w:szCs w:val="21"/>
                <w:highlight w:val="none"/>
              </w:rPr>
            </w:pPr>
          </w:p>
        </w:tc>
        <w:tc>
          <w:tcPr>
            <w:tcW w:w="1283" w:type="dxa"/>
            <w:vAlign w:val="center"/>
          </w:tcPr>
          <w:p w14:paraId="75CF74D1">
            <w:pPr>
              <w:rPr>
                <w:rFonts w:hint="eastAsia" w:ascii="宋体" w:hAnsi="宋体" w:eastAsia="宋体" w:cs="宋体"/>
                <w:color w:val="auto"/>
                <w:sz w:val="21"/>
                <w:szCs w:val="21"/>
                <w:highlight w:val="none"/>
              </w:rPr>
            </w:pPr>
          </w:p>
        </w:tc>
        <w:tc>
          <w:tcPr>
            <w:tcW w:w="1368" w:type="dxa"/>
            <w:vAlign w:val="center"/>
          </w:tcPr>
          <w:p w14:paraId="52CF4BF0">
            <w:pPr>
              <w:rPr>
                <w:rFonts w:hint="eastAsia" w:ascii="宋体" w:hAnsi="宋体" w:eastAsia="宋体" w:cs="宋体"/>
                <w:color w:val="auto"/>
                <w:sz w:val="21"/>
                <w:szCs w:val="21"/>
                <w:highlight w:val="none"/>
              </w:rPr>
            </w:pPr>
          </w:p>
        </w:tc>
        <w:tc>
          <w:tcPr>
            <w:tcW w:w="960" w:type="dxa"/>
            <w:vAlign w:val="center"/>
          </w:tcPr>
          <w:p w14:paraId="4A3F6BEC">
            <w:pPr>
              <w:rPr>
                <w:rFonts w:hint="eastAsia" w:ascii="宋体" w:hAnsi="宋体" w:eastAsia="宋体" w:cs="宋体"/>
                <w:color w:val="auto"/>
                <w:sz w:val="21"/>
                <w:szCs w:val="21"/>
                <w:highlight w:val="none"/>
              </w:rPr>
            </w:pPr>
          </w:p>
        </w:tc>
        <w:tc>
          <w:tcPr>
            <w:tcW w:w="1176" w:type="dxa"/>
            <w:vAlign w:val="center"/>
          </w:tcPr>
          <w:p w14:paraId="52BCFD5F">
            <w:pPr>
              <w:rPr>
                <w:rFonts w:hint="eastAsia" w:ascii="宋体" w:hAnsi="宋体" w:eastAsia="宋体" w:cs="宋体"/>
                <w:color w:val="auto"/>
                <w:sz w:val="21"/>
                <w:szCs w:val="21"/>
                <w:highlight w:val="none"/>
              </w:rPr>
            </w:pPr>
          </w:p>
        </w:tc>
      </w:tr>
      <w:bookmarkEnd w:id="622"/>
    </w:tbl>
    <w:p w14:paraId="0D2F5038">
      <w:pPr>
        <w:rPr>
          <w:rFonts w:hint="eastAsia" w:cs="仿宋_GB2312"/>
          <w:color w:val="auto"/>
          <w:szCs w:val="24"/>
          <w:highlight w:val="none"/>
        </w:rPr>
      </w:pPr>
    </w:p>
    <w:p w14:paraId="58FF379C">
      <w:pPr>
        <w:rPr>
          <w:rFonts w:cs="仿宋_GB2312"/>
          <w:color w:val="auto"/>
          <w:sz w:val="21"/>
          <w:szCs w:val="21"/>
          <w:highlight w:val="none"/>
        </w:rPr>
      </w:pPr>
      <w:r>
        <w:rPr>
          <w:rFonts w:hint="eastAsia" w:cs="仿宋_GB2312"/>
          <w:color w:val="auto"/>
          <w:sz w:val="21"/>
          <w:szCs w:val="21"/>
          <w:highlight w:val="none"/>
        </w:rPr>
        <w:t>注：投标人须按</w:t>
      </w:r>
      <w:r>
        <w:rPr>
          <w:rFonts w:hint="eastAsia" w:cs="仿宋_GB2312"/>
          <w:color w:val="auto"/>
          <w:sz w:val="21"/>
          <w:szCs w:val="21"/>
          <w:highlight w:val="none"/>
          <w:lang w:val="en-US" w:eastAsia="zh-CN"/>
        </w:rPr>
        <w:t>相关要求</w:t>
      </w:r>
      <w:r>
        <w:rPr>
          <w:rFonts w:hint="eastAsia" w:cs="仿宋_GB2312"/>
          <w:color w:val="auto"/>
          <w:sz w:val="21"/>
          <w:szCs w:val="21"/>
          <w:highlight w:val="none"/>
        </w:rPr>
        <w:t>提供相应的</w:t>
      </w:r>
      <w:r>
        <w:rPr>
          <w:rFonts w:hint="eastAsia" w:cs="仿宋_GB2312"/>
          <w:color w:val="auto"/>
          <w:sz w:val="21"/>
          <w:szCs w:val="21"/>
          <w:highlight w:val="none"/>
          <w:lang w:val="en-US" w:eastAsia="zh-CN"/>
        </w:rPr>
        <w:t>中标（成交）通知书、采购合同等</w:t>
      </w:r>
      <w:r>
        <w:rPr>
          <w:rFonts w:hint="eastAsia" w:cs="仿宋_GB2312"/>
          <w:color w:val="auto"/>
          <w:sz w:val="21"/>
          <w:szCs w:val="21"/>
          <w:highlight w:val="none"/>
        </w:rPr>
        <w:t>业绩证明资料。</w:t>
      </w:r>
    </w:p>
    <w:p w14:paraId="5DB99613">
      <w:pPr>
        <w:widowControl/>
        <w:spacing w:before="100" w:beforeAutospacing="1" w:after="100" w:afterAutospacing="1"/>
        <w:rPr>
          <w:rFonts w:cs="Arial"/>
          <w:color w:val="auto"/>
          <w:szCs w:val="21"/>
          <w:highlight w:val="none"/>
        </w:rPr>
      </w:pPr>
    </w:p>
    <w:p w14:paraId="68FCBA1E">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r>
        <w:rPr>
          <w:rFonts w:cs="仿宋_GB2312"/>
          <w:color w:val="auto"/>
          <w:szCs w:val="24"/>
          <w:highlight w:val="none"/>
        </w:rPr>
        <w:t xml:space="preserve"> </w:t>
      </w:r>
    </w:p>
    <w:p w14:paraId="360811C8">
      <w:pPr>
        <w:ind w:firstLine="420"/>
        <w:rPr>
          <w:rFonts w:cs="仿宋_GB2312"/>
          <w:color w:val="auto"/>
          <w:szCs w:val="24"/>
          <w:highlight w:val="none"/>
        </w:rPr>
      </w:pPr>
      <w:r>
        <w:rPr>
          <w:rFonts w:hint="eastAsia" w:cs="仿宋_GB2312"/>
          <w:color w:val="auto"/>
          <w:szCs w:val="24"/>
          <w:highlight w:val="none"/>
        </w:rPr>
        <w:t>日      期：</w:t>
      </w:r>
    </w:p>
    <w:p w14:paraId="095105C8">
      <w:pPr>
        <w:ind w:firstLine="420"/>
        <w:rPr>
          <w:rFonts w:cs="仿宋_GB2312"/>
          <w:color w:val="auto"/>
          <w:szCs w:val="24"/>
          <w:highlight w:val="none"/>
        </w:rPr>
      </w:pPr>
      <w:r>
        <w:rPr>
          <w:rFonts w:cs="仿宋_GB2312"/>
          <w:color w:val="auto"/>
          <w:szCs w:val="24"/>
          <w:highlight w:val="none"/>
        </w:rPr>
        <w:br w:type="page"/>
      </w:r>
    </w:p>
    <w:p w14:paraId="4E924C81">
      <w:pPr>
        <w:pStyle w:val="4"/>
        <w:bidi w:val="0"/>
        <w:jc w:val="center"/>
        <w:rPr>
          <w:rFonts w:hint="eastAsia"/>
          <w:highlight w:val="none"/>
          <w:lang w:val="en-US" w:eastAsia="zh-CN"/>
        </w:rPr>
      </w:pPr>
      <w:bookmarkStart w:id="623" w:name="_Toc13809"/>
      <w:r>
        <w:rPr>
          <w:rFonts w:hint="eastAsia"/>
          <w:highlight w:val="none"/>
          <w:lang w:val="en-US" w:eastAsia="zh-CN"/>
        </w:rPr>
        <w:t>八、拟派项目团队</w:t>
      </w:r>
      <w:bookmarkEnd w:id="623"/>
    </w:p>
    <w:tbl>
      <w:tblPr>
        <w:tblStyle w:val="29"/>
        <w:tblW w:w="9252" w:type="dxa"/>
        <w:tblInd w:w="-4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3"/>
        <w:gridCol w:w="1267"/>
        <w:gridCol w:w="1296"/>
        <w:gridCol w:w="1080"/>
        <w:gridCol w:w="804"/>
        <w:gridCol w:w="1860"/>
        <w:gridCol w:w="1356"/>
        <w:gridCol w:w="816"/>
      </w:tblGrid>
      <w:tr w14:paraId="377CE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773" w:type="dxa"/>
            <w:vAlign w:val="center"/>
          </w:tcPr>
          <w:p w14:paraId="6B0F7825">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67" w:type="dxa"/>
            <w:vAlign w:val="center"/>
          </w:tcPr>
          <w:p w14:paraId="1096055A">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团队成员</w:t>
            </w:r>
          </w:p>
          <w:p w14:paraId="09FA2F86">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296" w:type="dxa"/>
            <w:tcBorders>
              <w:right w:val="single" w:color="auto" w:sz="4" w:space="0"/>
            </w:tcBorders>
            <w:vAlign w:val="center"/>
          </w:tcPr>
          <w:p w14:paraId="4D802FFD">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1080" w:type="dxa"/>
            <w:tcBorders>
              <w:left w:val="single" w:color="auto" w:sz="4" w:space="0"/>
            </w:tcBorders>
            <w:vAlign w:val="center"/>
          </w:tcPr>
          <w:p w14:paraId="3116E3D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p>
        </w:tc>
        <w:tc>
          <w:tcPr>
            <w:tcW w:w="804" w:type="dxa"/>
            <w:tcBorders>
              <w:left w:val="single" w:color="auto" w:sz="4" w:space="0"/>
            </w:tcBorders>
            <w:vAlign w:val="center"/>
          </w:tcPr>
          <w:p w14:paraId="1115941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860" w:type="dxa"/>
            <w:vAlign w:val="center"/>
          </w:tcPr>
          <w:p w14:paraId="57503923">
            <w:pPr>
              <w:pStyle w:val="48"/>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注册证书（岗位证书）名称及编号</w:t>
            </w:r>
          </w:p>
        </w:tc>
        <w:tc>
          <w:tcPr>
            <w:tcW w:w="1356" w:type="dxa"/>
            <w:vAlign w:val="center"/>
          </w:tcPr>
          <w:p w14:paraId="422D7D9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在团队中职务（岗位）</w:t>
            </w:r>
          </w:p>
        </w:tc>
        <w:tc>
          <w:tcPr>
            <w:tcW w:w="816" w:type="dxa"/>
            <w:vAlign w:val="center"/>
          </w:tcPr>
          <w:p w14:paraId="79229F16">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自有/外聘</w:t>
            </w:r>
          </w:p>
        </w:tc>
      </w:tr>
      <w:tr w14:paraId="34A62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239BDB40">
            <w:pPr>
              <w:pStyle w:val="48"/>
              <w:jc w:val="center"/>
              <w:rPr>
                <w:rFonts w:hint="eastAsia" w:ascii="宋体" w:hAnsi="宋体" w:eastAsia="宋体" w:cs="宋体"/>
                <w:color w:val="auto"/>
                <w:sz w:val="21"/>
                <w:szCs w:val="21"/>
                <w:highlight w:val="none"/>
              </w:rPr>
            </w:pPr>
            <w:bookmarkStart w:id="624" w:name="_Toc100090784"/>
            <w:bookmarkStart w:id="625" w:name="_Toc99533292"/>
            <w:r>
              <w:rPr>
                <w:rFonts w:hint="eastAsia" w:ascii="宋体" w:hAnsi="宋体" w:eastAsia="宋体" w:cs="宋体"/>
                <w:color w:val="auto"/>
                <w:sz w:val="21"/>
                <w:szCs w:val="21"/>
                <w:highlight w:val="none"/>
              </w:rPr>
              <w:t>1</w:t>
            </w:r>
            <w:bookmarkEnd w:id="624"/>
            <w:bookmarkEnd w:id="625"/>
          </w:p>
        </w:tc>
        <w:tc>
          <w:tcPr>
            <w:tcW w:w="1267" w:type="dxa"/>
            <w:vAlign w:val="center"/>
          </w:tcPr>
          <w:p w14:paraId="04D72608">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735158">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EF6F977">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3483447B">
            <w:pPr>
              <w:pStyle w:val="48"/>
              <w:jc w:val="center"/>
              <w:rPr>
                <w:rFonts w:hint="eastAsia" w:ascii="宋体" w:hAnsi="宋体" w:eastAsia="宋体" w:cs="宋体"/>
                <w:color w:val="auto"/>
                <w:sz w:val="21"/>
                <w:szCs w:val="21"/>
                <w:highlight w:val="none"/>
              </w:rPr>
            </w:pPr>
          </w:p>
        </w:tc>
        <w:tc>
          <w:tcPr>
            <w:tcW w:w="1860" w:type="dxa"/>
            <w:vAlign w:val="center"/>
          </w:tcPr>
          <w:p w14:paraId="7F355EC3">
            <w:pPr>
              <w:pStyle w:val="48"/>
              <w:jc w:val="center"/>
              <w:rPr>
                <w:rFonts w:hint="eastAsia" w:ascii="宋体" w:hAnsi="宋体" w:eastAsia="宋体" w:cs="宋体"/>
                <w:color w:val="auto"/>
                <w:sz w:val="21"/>
                <w:szCs w:val="21"/>
                <w:highlight w:val="none"/>
              </w:rPr>
            </w:pPr>
          </w:p>
        </w:tc>
        <w:tc>
          <w:tcPr>
            <w:tcW w:w="1356" w:type="dxa"/>
            <w:vAlign w:val="center"/>
          </w:tcPr>
          <w:p w14:paraId="2148FD62">
            <w:pPr>
              <w:pStyle w:val="48"/>
              <w:jc w:val="center"/>
              <w:rPr>
                <w:rFonts w:hint="eastAsia" w:ascii="宋体" w:hAnsi="宋体" w:eastAsia="宋体" w:cs="宋体"/>
                <w:color w:val="auto"/>
                <w:sz w:val="21"/>
                <w:szCs w:val="21"/>
                <w:highlight w:val="none"/>
              </w:rPr>
            </w:pPr>
          </w:p>
        </w:tc>
        <w:tc>
          <w:tcPr>
            <w:tcW w:w="816" w:type="dxa"/>
            <w:vAlign w:val="center"/>
          </w:tcPr>
          <w:p w14:paraId="30F5864D">
            <w:pPr>
              <w:pStyle w:val="48"/>
              <w:jc w:val="center"/>
              <w:rPr>
                <w:rFonts w:hint="eastAsia" w:ascii="宋体" w:hAnsi="宋体" w:eastAsia="宋体" w:cs="宋体"/>
                <w:color w:val="auto"/>
                <w:sz w:val="21"/>
                <w:szCs w:val="21"/>
                <w:highlight w:val="none"/>
              </w:rPr>
            </w:pPr>
          </w:p>
        </w:tc>
      </w:tr>
      <w:tr w14:paraId="19E4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7F12C5C">
            <w:pPr>
              <w:pStyle w:val="48"/>
              <w:jc w:val="center"/>
              <w:rPr>
                <w:rFonts w:hint="eastAsia" w:ascii="宋体" w:hAnsi="宋体" w:eastAsia="宋体" w:cs="宋体"/>
                <w:color w:val="auto"/>
                <w:sz w:val="21"/>
                <w:szCs w:val="21"/>
                <w:highlight w:val="none"/>
              </w:rPr>
            </w:pPr>
            <w:bookmarkStart w:id="626" w:name="_Toc100090785"/>
            <w:bookmarkStart w:id="627" w:name="_Toc99533293"/>
            <w:r>
              <w:rPr>
                <w:rFonts w:hint="eastAsia" w:ascii="宋体" w:hAnsi="宋体" w:eastAsia="宋体" w:cs="宋体"/>
                <w:color w:val="auto"/>
                <w:sz w:val="21"/>
                <w:szCs w:val="21"/>
                <w:highlight w:val="none"/>
              </w:rPr>
              <w:t>2</w:t>
            </w:r>
            <w:bookmarkEnd w:id="626"/>
            <w:bookmarkEnd w:id="627"/>
          </w:p>
        </w:tc>
        <w:tc>
          <w:tcPr>
            <w:tcW w:w="1267" w:type="dxa"/>
            <w:vAlign w:val="center"/>
          </w:tcPr>
          <w:p w14:paraId="3AE14FF6">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06FFE829">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A33E450">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76ECD82">
            <w:pPr>
              <w:pStyle w:val="48"/>
              <w:jc w:val="center"/>
              <w:rPr>
                <w:rFonts w:hint="eastAsia" w:ascii="宋体" w:hAnsi="宋体" w:eastAsia="宋体" w:cs="宋体"/>
                <w:color w:val="auto"/>
                <w:sz w:val="21"/>
                <w:szCs w:val="21"/>
                <w:highlight w:val="none"/>
              </w:rPr>
            </w:pPr>
          </w:p>
        </w:tc>
        <w:tc>
          <w:tcPr>
            <w:tcW w:w="1860" w:type="dxa"/>
            <w:vAlign w:val="center"/>
          </w:tcPr>
          <w:p w14:paraId="390E678F">
            <w:pPr>
              <w:pStyle w:val="48"/>
              <w:jc w:val="center"/>
              <w:rPr>
                <w:rFonts w:hint="eastAsia" w:ascii="宋体" w:hAnsi="宋体" w:eastAsia="宋体" w:cs="宋体"/>
                <w:color w:val="auto"/>
                <w:sz w:val="21"/>
                <w:szCs w:val="21"/>
                <w:highlight w:val="none"/>
              </w:rPr>
            </w:pPr>
          </w:p>
        </w:tc>
        <w:tc>
          <w:tcPr>
            <w:tcW w:w="1356" w:type="dxa"/>
            <w:vAlign w:val="center"/>
          </w:tcPr>
          <w:p w14:paraId="77E48E09">
            <w:pPr>
              <w:pStyle w:val="48"/>
              <w:jc w:val="center"/>
              <w:rPr>
                <w:rFonts w:hint="eastAsia" w:ascii="宋体" w:hAnsi="宋体" w:eastAsia="宋体" w:cs="宋体"/>
                <w:color w:val="auto"/>
                <w:sz w:val="21"/>
                <w:szCs w:val="21"/>
                <w:highlight w:val="none"/>
              </w:rPr>
            </w:pPr>
          </w:p>
        </w:tc>
        <w:tc>
          <w:tcPr>
            <w:tcW w:w="816" w:type="dxa"/>
            <w:vAlign w:val="center"/>
          </w:tcPr>
          <w:p w14:paraId="3D8C0BFB">
            <w:pPr>
              <w:pStyle w:val="48"/>
              <w:jc w:val="center"/>
              <w:rPr>
                <w:rFonts w:hint="eastAsia" w:ascii="宋体" w:hAnsi="宋体" w:eastAsia="宋体" w:cs="宋体"/>
                <w:color w:val="auto"/>
                <w:sz w:val="21"/>
                <w:szCs w:val="21"/>
                <w:highlight w:val="none"/>
              </w:rPr>
            </w:pPr>
          </w:p>
        </w:tc>
      </w:tr>
      <w:tr w14:paraId="5F5E2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824241E">
            <w:pPr>
              <w:pStyle w:val="48"/>
              <w:jc w:val="center"/>
              <w:rPr>
                <w:rFonts w:hint="eastAsia" w:ascii="宋体" w:hAnsi="宋体" w:eastAsia="宋体" w:cs="宋体"/>
                <w:color w:val="auto"/>
                <w:sz w:val="21"/>
                <w:szCs w:val="21"/>
                <w:highlight w:val="none"/>
              </w:rPr>
            </w:pPr>
            <w:bookmarkStart w:id="628" w:name="_Toc100090786"/>
            <w:bookmarkStart w:id="629" w:name="_Toc99533294"/>
            <w:r>
              <w:rPr>
                <w:rFonts w:hint="eastAsia" w:ascii="宋体" w:hAnsi="宋体" w:eastAsia="宋体" w:cs="宋体"/>
                <w:color w:val="auto"/>
                <w:sz w:val="21"/>
                <w:szCs w:val="21"/>
                <w:highlight w:val="none"/>
              </w:rPr>
              <w:t>3</w:t>
            </w:r>
            <w:bookmarkEnd w:id="628"/>
            <w:bookmarkEnd w:id="629"/>
          </w:p>
        </w:tc>
        <w:tc>
          <w:tcPr>
            <w:tcW w:w="1267" w:type="dxa"/>
            <w:vAlign w:val="center"/>
          </w:tcPr>
          <w:p w14:paraId="19C12411">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E33B914">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70C10384">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57B47D5">
            <w:pPr>
              <w:pStyle w:val="48"/>
              <w:jc w:val="center"/>
              <w:rPr>
                <w:rFonts w:hint="eastAsia" w:ascii="宋体" w:hAnsi="宋体" w:eastAsia="宋体" w:cs="宋体"/>
                <w:color w:val="auto"/>
                <w:sz w:val="21"/>
                <w:szCs w:val="21"/>
                <w:highlight w:val="none"/>
              </w:rPr>
            </w:pPr>
          </w:p>
        </w:tc>
        <w:tc>
          <w:tcPr>
            <w:tcW w:w="1860" w:type="dxa"/>
            <w:vAlign w:val="center"/>
          </w:tcPr>
          <w:p w14:paraId="3F31D2CD">
            <w:pPr>
              <w:pStyle w:val="48"/>
              <w:jc w:val="center"/>
              <w:rPr>
                <w:rFonts w:hint="eastAsia" w:ascii="宋体" w:hAnsi="宋体" w:eastAsia="宋体" w:cs="宋体"/>
                <w:color w:val="auto"/>
                <w:sz w:val="21"/>
                <w:szCs w:val="21"/>
                <w:highlight w:val="none"/>
              </w:rPr>
            </w:pPr>
          </w:p>
        </w:tc>
        <w:tc>
          <w:tcPr>
            <w:tcW w:w="1356" w:type="dxa"/>
            <w:vAlign w:val="center"/>
          </w:tcPr>
          <w:p w14:paraId="107FDE9E">
            <w:pPr>
              <w:pStyle w:val="48"/>
              <w:jc w:val="center"/>
              <w:rPr>
                <w:rFonts w:hint="eastAsia" w:ascii="宋体" w:hAnsi="宋体" w:eastAsia="宋体" w:cs="宋体"/>
                <w:color w:val="auto"/>
                <w:sz w:val="21"/>
                <w:szCs w:val="21"/>
                <w:highlight w:val="none"/>
              </w:rPr>
            </w:pPr>
          </w:p>
        </w:tc>
        <w:tc>
          <w:tcPr>
            <w:tcW w:w="816" w:type="dxa"/>
            <w:vAlign w:val="center"/>
          </w:tcPr>
          <w:p w14:paraId="0ED9D4FB">
            <w:pPr>
              <w:pStyle w:val="48"/>
              <w:jc w:val="center"/>
              <w:rPr>
                <w:rFonts w:hint="eastAsia" w:ascii="宋体" w:hAnsi="宋体" w:eastAsia="宋体" w:cs="宋体"/>
                <w:color w:val="auto"/>
                <w:sz w:val="21"/>
                <w:szCs w:val="21"/>
                <w:highlight w:val="none"/>
              </w:rPr>
            </w:pPr>
          </w:p>
        </w:tc>
      </w:tr>
      <w:tr w14:paraId="72391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329A399B">
            <w:pPr>
              <w:pStyle w:val="48"/>
              <w:jc w:val="center"/>
              <w:rPr>
                <w:rFonts w:hint="eastAsia" w:ascii="宋体" w:hAnsi="宋体" w:eastAsia="宋体" w:cs="宋体"/>
                <w:color w:val="auto"/>
                <w:sz w:val="21"/>
                <w:szCs w:val="21"/>
                <w:highlight w:val="none"/>
              </w:rPr>
            </w:pPr>
            <w:bookmarkStart w:id="630" w:name="_Toc99533295"/>
            <w:bookmarkStart w:id="631" w:name="_Toc100090787"/>
            <w:r>
              <w:rPr>
                <w:rFonts w:hint="eastAsia" w:ascii="宋体" w:hAnsi="宋体" w:eastAsia="宋体" w:cs="宋体"/>
                <w:color w:val="auto"/>
                <w:sz w:val="21"/>
                <w:szCs w:val="21"/>
                <w:highlight w:val="none"/>
              </w:rPr>
              <w:t>4</w:t>
            </w:r>
            <w:bookmarkEnd w:id="630"/>
            <w:bookmarkEnd w:id="631"/>
          </w:p>
        </w:tc>
        <w:tc>
          <w:tcPr>
            <w:tcW w:w="1267" w:type="dxa"/>
            <w:vAlign w:val="center"/>
          </w:tcPr>
          <w:p w14:paraId="42DE0F63">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CA0809C">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D63F4E6">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96384D0">
            <w:pPr>
              <w:pStyle w:val="48"/>
              <w:jc w:val="center"/>
              <w:rPr>
                <w:rFonts w:hint="eastAsia" w:ascii="宋体" w:hAnsi="宋体" w:eastAsia="宋体" w:cs="宋体"/>
                <w:color w:val="auto"/>
                <w:sz w:val="21"/>
                <w:szCs w:val="21"/>
                <w:highlight w:val="none"/>
              </w:rPr>
            </w:pPr>
          </w:p>
        </w:tc>
        <w:tc>
          <w:tcPr>
            <w:tcW w:w="1860" w:type="dxa"/>
            <w:vAlign w:val="center"/>
          </w:tcPr>
          <w:p w14:paraId="068007BF">
            <w:pPr>
              <w:pStyle w:val="48"/>
              <w:jc w:val="center"/>
              <w:rPr>
                <w:rFonts w:hint="eastAsia" w:ascii="宋体" w:hAnsi="宋体" w:eastAsia="宋体" w:cs="宋体"/>
                <w:color w:val="auto"/>
                <w:sz w:val="21"/>
                <w:szCs w:val="21"/>
                <w:highlight w:val="none"/>
              </w:rPr>
            </w:pPr>
          </w:p>
        </w:tc>
        <w:tc>
          <w:tcPr>
            <w:tcW w:w="1356" w:type="dxa"/>
            <w:vAlign w:val="center"/>
          </w:tcPr>
          <w:p w14:paraId="7A6D63FA">
            <w:pPr>
              <w:pStyle w:val="48"/>
              <w:jc w:val="center"/>
              <w:rPr>
                <w:rFonts w:hint="eastAsia" w:ascii="宋体" w:hAnsi="宋体" w:eastAsia="宋体" w:cs="宋体"/>
                <w:color w:val="auto"/>
                <w:sz w:val="21"/>
                <w:szCs w:val="21"/>
                <w:highlight w:val="none"/>
              </w:rPr>
            </w:pPr>
          </w:p>
        </w:tc>
        <w:tc>
          <w:tcPr>
            <w:tcW w:w="816" w:type="dxa"/>
            <w:vAlign w:val="center"/>
          </w:tcPr>
          <w:p w14:paraId="01F1E6DB">
            <w:pPr>
              <w:pStyle w:val="48"/>
              <w:jc w:val="center"/>
              <w:rPr>
                <w:rFonts w:hint="eastAsia" w:ascii="宋体" w:hAnsi="宋体" w:eastAsia="宋体" w:cs="宋体"/>
                <w:color w:val="auto"/>
                <w:sz w:val="21"/>
                <w:szCs w:val="21"/>
                <w:highlight w:val="none"/>
              </w:rPr>
            </w:pPr>
          </w:p>
        </w:tc>
      </w:tr>
      <w:tr w14:paraId="67CF6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1FE3797">
            <w:pPr>
              <w:pStyle w:val="48"/>
              <w:jc w:val="center"/>
              <w:rPr>
                <w:rFonts w:hint="eastAsia" w:ascii="宋体" w:hAnsi="宋体" w:eastAsia="宋体" w:cs="宋体"/>
                <w:color w:val="auto"/>
                <w:sz w:val="21"/>
                <w:szCs w:val="21"/>
                <w:highlight w:val="none"/>
              </w:rPr>
            </w:pPr>
            <w:bookmarkStart w:id="632" w:name="_Toc99533296"/>
            <w:bookmarkStart w:id="633" w:name="_Toc100090788"/>
            <w:r>
              <w:rPr>
                <w:rFonts w:hint="eastAsia" w:ascii="宋体" w:hAnsi="宋体" w:eastAsia="宋体" w:cs="宋体"/>
                <w:color w:val="auto"/>
                <w:sz w:val="21"/>
                <w:szCs w:val="21"/>
                <w:highlight w:val="none"/>
              </w:rPr>
              <w:t>5</w:t>
            </w:r>
            <w:bookmarkEnd w:id="632"/>
            <w:bookmarkEnd w:id="633"/>
          </w:p>
        </w:tc>
        <w:tc>
          <w:tcPr>
            <w:tcW w:w="1267" w:type="dxa"/>
            <w:vAlign w:val="center"/>
          </w:tcPr>
          <w:p w14:paraId="3241008C">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999E45B">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4009478">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75153765">
            <w:pPr>
              <w:pStyle w:val="48"/>
              <w:jc w:val="center"/>
              <w:rPr>
                <w:rFonts w:hint="eastAsia" w:ascii="宋体" w:hAnsi="宋体" w:eastAsia="宋体" w:cs="宋体"/>
                <w:color w:val="auto"/>
                <w:sz w:val="21"/>
                <w:szCs w:val="21"/>
                <w:highlight w:val="none"/>
              </w:rPr>
            </w:pPr>
          </w:p>
        </w:tc>
        <w:tc>
          <w:tcPr>
            <w:tcW w:w="1860" w:type="dxa"/>
            <w:vAlign w:val="center"/>
          </w:tcPr>
          <w:p w14:paraId="12AB49C0">
            <w:pPr>
              <w:pStyle w:val="48"/>
              <w:jc w:val="center"/>
              <w:rPr>
                <w:rFonts w:hint="eastAsia" w:ascii="宋体" w:hAnsi="宋体" w:eastAsia="宋体" w:cs="宋体"/>
                <w:color w:val="auto"/>
                <w:sz w:val="21"/>
                <w:szCs w:val="21"/>
                <w:highlight w:val="none"/>
              </w:rPr>
            </w:pPr>
          </w:p>
        </w:tc>
        <w:tc>
          <w:tcPr>
            <w:tcW w:w="1356" w:type="dxa"/>
            <w:vAlign w:val="center"/>
          </w:tcPr>
          <w:p w14:paraId="3943C72A">
            <w:pPr>
              <w:pStyle w:val="48"/>
              <w:jc w:val="center"/>
              <w:rPr>
                <w:rFonts w:hint="eastAsia" w:ascii="宋体" w:hAnsi="宋体" w:eastAsia="宋体" w:cs="宋体"/>
                <w:color w:val="auto"/>
                <w:sz w:val="21"/>
                <w:szCs w:val="21"/>
                <w:highlight w:val="none"/>
              </w:rPr>
            </w:pPr>
          </w:p>
        </w:tc>
        <w:tc>
          <w:tcPr>
            <w:tcW w:w="816" w:type="dxa"/>
            <w:vAlign w:val="center"/>
          </w:tcPr>
          <w:p w14:paraId="5FBE7410">
            <w:pPr>
              <w:pStyle w:val="48"/>
              <w:jc w:val="center"/>
              <w:rPr>
                <w:rFonts w:hint="eastAsia" w:ascii="宋体" w:hAnsi="宋体" w:eastAsia="宋体" w:cs="宋体"/>
                <w:color w:val="auto"/>
                <w:sz w:val="21"/>
                <w:szCs w:val="21"/>
                <w:highlight w:val="none"/>
              </w:rPr>
            </w:pPr>
          </w:p>
        </w:tc>
      </w:tr>
      <w:tr w14:paraId="053F8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07DED61F">
            <w:pPr>
              <w:pStyle w:val="48"/>
              <w:jc w:val="center"/>
              <w:rPr>
                <w:rFonts w:hint="eastAsia" w:ascii="宋体" w:hAnsi="宋体" w:eastAsia="宋体" w:cs="宋体"/>
                <w:color w:val="auto"/>
                <w:sz w:val="21"/>
                <w:szCs w:val="21"/>
                <w:highlight w:val="none"/>
              </w:rPr>
            </w:pPr>
            <w:bookmarkStart w:id="634" w:name="_Toc100090789"/>
            <w:bookmarkStart w:id="635" w:name="_Toc99533297"/>
            <w:r>
              <w:rPr>
                <w:rFonts w:hint="eastAsia" w:ascii="宋体" w:hAnsi="宋体" w:eastAsia="宋体" w:cs="宋体"/>
                <w:color w:val="auto"/>
                <w:sz w:val="21"/>
                <w:szCs w:val="21"/>
                <w:highlight w:val="none"/>
              </w:rPr>
              <w:t>6</w:t>
            </w:r>
            <w:bookmarkEnd w:id="634"/>
            <w:bookmarkEnd w:id="635"/>
          </w:p>
        </w:tc>
        <w:tc>
          <w:tcPr>
            <w:tcW w:w="1267" w:type="dxa"/>
            <w:vAlign w:val="center"/>
          </w:tcPr>
          <w:p w14:paraId="40527E11">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16947C68">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666B8AD">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45256EB9">
            <w:pPr>
              <w:pStyle w:val="48"/>
              <w:jc w:val="center"/>
              <w:rPr>
                <w:rFonts w:hint="eastAsia" w:ascii="宋体" w:hAnsi="宋体" w:eastAsia="宋体" w:cs="宋体"/>
                <w:color w:val="auto"/>
                <w:sz w:val="21"/>
                <w:szCs w:val="21"/>
                <w:highlight w:val="none"/>
              </w:rPr>
            </w:pPr>
          </w:p>
        </w:tc>
        <w:tc>
          <w:tcPr>
            <w:tcW w:w="1860" w:type="dxa"/>
            <w:vAlign w:val="center"/>
          </w:tcPr>
          <w:p w14:paraId="51ADEB68">
            <w:pPr>
              <w:pStyle w:val="48"/>
              <w:jc w:val="center"/>
              <w:rPr>
                <w:rFonts w:hint="eastAsia" w:ascii="宋体" w:hAnsi="宋体" w:eastAsia="宋体" w:cs="宋体"/>
                <w:color w:val="auto"/>
                <w:sz w:val="21"/>
                <w:szCs w:val="21"/>
                <w:highlight w:val="none"/>
              </w:rPr>
            </w:pPr>
          </w:p>
        </w:tc>
        <w:tc>
          <w:tcPr>
            <w:tcW w:w="1356" w:type="dxa"/>
            <w:vAlign w:val="center"/>
          </w:tcPr>
          <w:p w14:paraId="6FF03D95">
            <w:pPr>
              <w:pStyle w:val="48"/>
              <w:jc w:val="center"/>
              <w:rPr>
                <w:rFonts w:hint="eastAsia" w:ascii="宋体" w:hAnsi="宋体" w:eastAsia="宋体" w:cs="宋体"/>
                <w:color w:val="auto"/>
                <w:sz w:val="21"/>
                <w:szCs w:val="21"/>
                <w:highlight w:val="none"/>
              </w:rPr>
            </w:pPr>
          </w:p>
        </w:tc>
        <w:tc>
          <w:tcPr>
            <w:tcW w:w="816" w:type="dxa"/>
            <w:vAlign w:val="center"/>
          </w:tcPr>
          <w:p w14:paraId="4EF8AB8A">
            <w:pPr>
              <w:pStyle w:val="48"/>
              <w:jc w:val="center"/>
              <w:rPr>
                <w:rFonts w:hint="eastAsia" w:ascii="宋体" w:hAnsi="宋体" w:eastAsia="宋体" w:cs="宋体"/>
                <w:color w:val="auto"/>
                <w:sz w:val="21"/>
                <w:szCs w:val="21"/>
                <w:highlight w:val="none"/>
              </w:rPr>
            </w:pPr>
          </w:p>
        </w:tc>
      </w:tr>
      <w:tr w14:paraId="661CA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AA4734C">
            <w:pPr>
              <w:pStyle w:val="48"/>
              <w:jc w:val="center"/>
              <w:rPr>
                <w:rFonts w:hint="eastAsia" w:ascii="宋体" w:hAnsi="宋体" w:eastAsia="宋体" w:cs="宋体"/>
                <w:color w:val="auto"/>
                <w:sz w:val="21"/>
                <w:szCs w:val="21"/>
                <w:highlight w:val="none"/>
              </w:rPr>
            </w:pPr>
            <w:bookmarkStart w:id="636" w:name="_Toc100090790"/>
            <w:bookmarkStart w:id="637" w:name="_Toc99533298"/>
            <w:r>
              <w:rPr>
                <w:rFonts w:hint="eastAsia" w:ascii="宋体" w:hAnsi="宋体" w:eastAsia="宋体" w:cs="宋体"/>
                <w:color w:val="auto"/>
                <w:sz w:val="21"/>
                <w:szCs w:val="21"/>
                <w:highlight w:val="none"/>
              </w:rPr>
              <w:t>7</w:t>
            </w:r>
            <w:bookmarkEnd w:id="636"/>
            <w:bookmarkEnd w:id="637"/>
          </w:p>
        </w:tc>
        <w:tc>
          <w:tcPr>
            <w:tcW w:w="1267" w:type="dxa"/>
            <w:vAlign w:val="center"/>
          </w:tcPr>
          <w:p w14:paraId="3F3B684D">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8032A99">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601AE572">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1172C19">
            <w:pPr>
              <w:pStyle w:val="48"/>
              <w:jc w:val="center"/>
              <w:rPr>
                <w:rFonts w:hint="eastAsia" w:ascii="宋体" w:hAnsi="宋体" w:eastAsia="宋体" w:cs="宋体"/>
                <w:color w:val="auto"/>
                <w:sz w:val="21"/>
                <w:szCs w:val="21"/>
                <w:highlight w:val="none"/>
              </w:rPr>
            </w:pPr>
          </w:p>
        </w:tc>
        <w:tc>
          <w:tcPr>
            <w:tcW w:w="1860" w:type="dxa"/>
            <w:vAlign w:val="center"/>
          </w:tcPr>
          <w:p w14:paraId="7E9B2A2D">
            <w:pPr>
              <w:pStyle w:val="48"/>
              <w:jc w:val="center"/>
              <w:rPr>
                <w:rFonts w:hint="eastAsia" w:ascii="宋体" w:hAnsi="宋体" w:eastAsia="宋体" w:cs="宋体"/>
                <w:color w:val="auto"/>
                <w:sz w:val="21"/>
                <w:szCs w:val="21"/>
                <w:highlight w:val="none"/>
              </w:rPr>
            </w:pPr>
          </w:p>
        </w:tc>
        <w:tc>
          <w:tcPr>
            <w:tcW w:w="1356" w:type="dxa"/>
            <w:vAlign w:val="center"/>
          </w:tcPr>
          <w:p w14:paraId="5FBF328E">
            <w:pPr>
              <w:pStyle w:val="48"/>
              <w:jc w:val="center"/>
              <w:rPr>
                <w:rFonts w:hint="eastAsia" w:ascii="宋体" w:hAnsi="宋体" w:eastAsia="宋体" w:cs="宋体"/>
                <w:color w:val="auto"/>
                <w:sz w:val="21"/>
                <w:szCs w:val="21"/>
                <w:highlight w:val="none"/>
              </w:rPr>
            </w:pPr>
          </w:p>
        </w:tc>
        <w:tc>
          <w:tcPr>
            <w:tcW w:w="816" w:type="dxa"/>
            <w:vAlign w:val="center"/>
          </w:tcPr>
          <w:p w14:paraId="718DD530">
            <w:pPr>
              <w:pStyle w:val="48"/>
              <w:jc w:val="center"/>
              <w:rPr>
                <w:rFonts w:hint="eastAsia" w:ascii="宋体" w:hAnsi="宋体" w:eastAsia="宋体" w:cs="宋体"/>
                <w:color w:val="auto"/>
                <w:sz w:val="21"/>
                <w:szCs w:val="21"/>
                <w:highlight w:val="none"/>
              </w:rPr>
            </w:pPr>
          </w:p>
        </w:tc>
      </w:tr>
      <w:tr w14:paraId="5E0A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603F7F8C">
            <w:pPr>
              <w:pStyle w:val="48"/>
              <w:jc w:val="center"/>
              <w:rPr>
                <w:rFonts w:hint="eastAsia" w:ascii="宋体" w:hAnsi="宋体" w:eastAsia="宋体" w:cs="宋体"/>
                <w:color w:val="auto"/>
                <w:sz w:val="21"/>
                <w:szCs w:val="21"/>
                <w:highlight w:val="none"/>
              </w:rPr>
            </w:pPr>
            <w:bookmarkStart w:id="638" w:name="_Toc99533299"/>
            <w:bookmarkStart w:id="639" w:name="_Toc100090791"/>
            <w:r>
              <w:rPr>
                <w:rFonts w:hint="eastAsia" w:ascii="宋体" w:hAnsi="宋体" w:eastAsia="宋体" w:cs="宋体"/>
                <w:color w:val="auto"/>
                <w:sz w:val="21"/>
                <w:szCs w:val="21"/>
                <w:highlight w:val="none"/>
              </w:rPr>
              <w:t>8</w:t>
            </w:r>
            <w:bookmarkEnd w:id="638"/>
            <w:bookmarkEnd w:id="639"/>
          </w:p>
        </w:tc>
        <w:tc>
          <w:tcPr>
            <w:tcW w:w="1267" w:type="dxa"/>
            <w:vAlign w:val="center"/>
          </w:tcPr>
          <w:p w14:paraId="20BD29D0">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C9D455C">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3548599B">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2842C962">
            <w:pPr>
              <w:pStyle w:val="48"/>
              <w:jc w:val="center"/>
              <w:rPr>
                <w:rFonts w:hint="eastAsia" w:ascii="宋体" w:hAnsi="宋体" w:eastAsia="宋体" w:cs="宋体"/>
                <w:color w:val="auto"/>
                <w:sz w:val="21"/>
                <w:szCs w:val="21"/>
                <w:highlight w:val="none"/>
              </w:rPr>
            </w:pPr>
          </w:p>
        </w:tc>
        <w:tc>
          <w:tcPr>
            <w:tcW w:w="1860" w:type="dxa"/>
            <w:vAlign w:val="center"/>
          </w:tcPr>
          <w:p w14:paraId="292DF220">
            <w:pPr>
              <w:pStyle w:val="48"/>
              <w:jc w:val="center"/>
              <w:rPr>
                <w:rFonts w:hint="eastAsia" w:ascii="宋体" w:hAnsi="宋体" w:eastAsia="宋体" w:cs="宋体"/>
                <w:color w:val="auto"/>
                <w:sz w:val="21"/>
                <w:szCs w:val="21"/>
                <w:highlight w:val="none"/>
              </w:rPr>
            </w:pPr>
          </w:p>
        </w:tc>
        <w:tc>
          <w:tcPr>
            <w:tcW w:w="1356" w:type="dxa"/>
            <w:vAlign w:val="center"/>
          </w:tcPr>
          <w:p w14:paraId="7107F6B0">
            <w:pPr>
              <w:pStyle w:val="48"/>
              <w:jc w:val="center"/>
              <w:rPr>
                <w:rFonts w:hint="eastAsia" w:ascii="宋体" w:hAnsi="宋体" w:eastAsia="宋体" w:cs="宋体"/>
                <w:color w:val="auto"/>
                <w:sz w:val="21"/>
                <w:szCs w:val="21"/>
                <w:highlight w:val="none"/>
              </w:rPr>
            </w:pPr>
          </w:p>
        </w:tc>
        <w:tc>
          <w:tcPr>
            <w:tcW w:w="816" w:type="dxa"/>
            <w:vAlign w:val="center"/>
          </w:tcPr>
          <w:p w14:paraId="247AF589">
            <w:pPr>
              <w:pStyle w:val="48"/>
              <w:jc w:val="center"/>
              <w:rPr>
                <w:rFonts w:hint="eastAsia" w:ascii="宋体" w:hAnsi="宋体" w:eastAsia="宋体" w:cs="宋体"/>
                <w:color w:val="auto"/>
                <w:sz w:val="21"/>
                <w:szCs w:val="21"/>
                <w:highlight w:val="none"/>
              </w:rPr>
            </w:pPr>
          </w:p>
        </w:tc>
      </w:tr>
      <w:tr w14:paraId="17D5B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73" w:type="dxa"/>
            <w:vAlign w:val="center"/>
          </w:tcPr>
          <w:p w14:paraId="4F7A90D9">
            <w:pPr>
              <w:pStyle w:val="48"/>
              <w:jc w:val="center"/>
              <w:rPr>
                <w:rFonts w:hint="eastAsia" w:ascii="宋体" w:hAnsi="宋体" w:eastAsia="宋体" w:cs="宋体"/>
                <w:color w:val="auto"/>
                <w:sz w:val="21"/>
                <w:szCs w:val="21"/>
                <w:highlight w:val="none"/>
              </w:rPr>
            </w:pPr>
            <w:bookmarkStart w:id="640" w:name="_Toc99533300"/>
            <w:bookmarkStart w:id="641" w:name="_Toc100090792"/>
            <w:r>
              <w:rPr>
                <w:rFonts w:hint="eastAsia" w:ascii="宋体" w:hAnsi="宋体" w:eastAsia="宋体" w:cs="宋体"/>
                <w:color w:val="auto"/>
                <w:sz w:val="21"/>
                <w:szCs w:val="21"/>
                <w:highlight w:val="none"/>
              </w:rPr>
              <w:t>9</w:t>
            </w:r>
            <w:bookmarkEnd w:id="640"/>
            <w:bookmarkEnd w:id="641"/>
          </w:p>
        </w:tc>
        <w:tc>
          <w:tcPr>
            <w:tcW w:w="1267" w:type="dxa"/>
            <w:vAlign w:val="center"/>
          </w:tcPr>
          <w:p w14:paraId="6C5090EC">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32CD2ADB">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0DD9EDDC">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05650614">
            <w:pPr>
              <w:pStyle w:val="48"/>
              <w:jc w:val="center"/>
              <w:rPr>
                <w:rFonts w:hint="eastAsia" w:ascii="宋体" w:hAnsi="宋体" w:eastAsia="宋体" w:cs="宋体"/>
                <w:color w:val="auto"/>
                <w:sz w:val="21"/>
                <w:szCs w:val="21"/>
                <w:highlight w:val="none"/>
              </w:rPr>
            </w:pPr>
          </w:p>
        </w:tc>
        <w:tc>
          <w:tcPr>
            <w:tcW w:w="1860" w:type="dxa"/>
            <w:vAlign w:val="center"/>
          </w:tcPr>
          <w:p w14:paraId="337B4053">
            <w:pPr>
              <w:pStyle w:val="48"/>
              <w:jc w:val="center"/>
              <w:rPr>
                <w:rFonts w:hint="eastAsia" w:ascii="宋体" w:hAnsi="宋体" w:eastAsia="宋体" w:cs="宋体"/>
                <w:color w:val="auto"/>
                <w:sz w:val="21"/>
                <w:szCs w:val="21"/>
                <w:highlight w:val="none"/>
              </w:rPr>
            </w:pPr>
          </w:p>
        </w:tc>
        <w:tc>
          <w:tcPr>
            <w:tcW w:w="1356" w:type="dxa"/>
            <w:vAlign w:val="center"/>
          </w:tcPr>
          <w:p w14:paraId="6968EA5F">
            <w:pPr>
              <w:pStyle w:val="48"/>
              <w:jc w:val="center"/>
              <w:rPr>
                <w:rFonts w:hint="eastAsia" w:ascii="宋体" w:hAnsi="宋体" w:eastAsia="宋体" w:cs="宋体"/>
                <w:color w:val="auto"/>
                <w:sz w:val="21"/>
                <w:szCs w:val="21"/>
                <w:highlight w:val="none"/>
              </w:rPr>
            </w:pPr>
          </w:p>
        </w:tc>
        <w:tc>
          <w:tcPr>
            <w:tcW w:w="816" w:type="dxa"/>
            <w:vAlign w:val="center"/>
          </w:tcPr>
          <w:p w14:paraId="45D99552">
            <w:pPr>
              <w:pStyle w:val="48"/>
              <w:jc w:val="center"/>
              <w:rPr>
                <w:rFonts w:hint="eastAsia" w:ascii="宋体" w:hAnsi="宋体" w:eastAsia="宋体" w:cs="宋体"/>
                <w:color w:val="auto"/>
                <w:sz w:val="21"/>
                <w:szCs w:val="21"/>
                <w:highlight w:val="none"/>
              </w:rPr>
            </w:pPr>
          </w:p>
        </w:tc>
      </w:tr>
      <w:tr w14:paraId="5F497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773" w:type="dxa"/>
            <w:vAlign w:val="center"/>
          </w:tcPr>
          <w:p w14:paraId="406250BE">
            <w:pPr>
              <w:pStyle w:val="48"/>
              <w:jc w:val="center"/>
              <w:rPr>
                <w:rFonts w:hint="eastAsia" w:ascii="宋体" w:hAnsi="宋体" w:eastAsia="宋体" w:cs="宋体"/>
                <w:color w:val="auto"/>
                <w:sz w:val="21"/>
                <w:szCs w:val="21"/>
                <w:highlight w:val="none"/>
              </w:rPr>
            </w:pPr>
            <w:bookmarkStart w:id="642" w:name="_Toc100090793"/>
            <w:bookmarkStart w:id="643" w:name="_Toc99533301"/>
            <w:r>
              <w:rPr>
                <w:rFonts w:hint="eastAsia" w:ascii="宋体" w:hAnsi="宋体" w:eastAsia="宋体" w:cs="宋体"/>
                <w:color w:val="auto"/>
                <w:sz w:val="21"/>
                <w:szCs w:val="21"/>
                <w:highlight w:val="none"/>
              </w:rPr>
              <w:t>10</w:t>
            </w:r>
            <w:bookmarkEnd w:id="642"/>
            <w:bookmarkEnd w:id="643"/>
          </w:p>
        </w:tc>
        <w:tc>
          <w:tcPr>
            <w:tcW w:w="1267" w:type="dxa"/>
            <w:vAlign w:val="center"/>
          </w:tcPr>
          <w:p w14:paraId="0D84E205">
            <w:pPr>
              <w:pStyle w:val="48"/>
              <w:jc w:val="center"/>
              <w:rPr>
                <w:rFonts w:hint="eastAsia" w:ascii="宋体" w:hAnsi="宋体" w:eastAsia="宋体" w:cs="宋体"/>
                <w:color w:val="auto"/>
                <w:sz w:val="21"/>
                <w:szCs w:val="21"/>
                <w:highlight w:val="none"/>
              </w:rPr>
            </w:pPr>
          </w:p>
        </w:tc>
        <w:tc>
          <w:tcPr>
            <w:tcW w:w="1296" w:type="dxa"/>
            <w:tcBorders>
              <w:right w:val="single" w:color="auto" w:sz="4" w:space="0"/>
            </w:tcBorders>
            <w:vAlign w:val="center"/>
          </w:tcPr>
          <w:p w14:paraId="79F36313">
            <w:pPr>
              <w:pStyle w:val="48"/>
              <w:jc w:val="center"/>
              <w:rPr>
                <w:rFonts w:hint="eastAsia" w:ascii="宋体" w:hAnsi="宋体" w:eastAsia="宋体" w:cs="宋体"/>
                <w:color w:val="auto"/>
                <w:sz w:val="21"/>
                <w:szCs w:val="21"/>
                <w:highlight w:val="none"/>
              </w:rPr>
            </w:pPr>
          </w:p>
        </w:tc>
        <w:tc>
          <w:tcPr>
            <w:tcW w:w="1080" w:type="dxa"/>
            <w:tcBorders>
              <w:left w:val="single" w:color="auto" w:sz="4" w:space="0"/>
            </w:tcBorders>
            <w:vAlign w:val="center"/>
          </w:tcPr>
          <w:p w14:paraId="193C6909">
            <w:pPr>
              <w:pStyle w:val="48"/>
              <w:jc w:val="center"/>
              <w:rPr>
                <w:rFonts w:hint="eastAsia" w:ascii="宋体" w:hAnsi="宋体" w:eastAsia="宋体" w:cs="宋体"/>
                <w:color w:val="auto"/>
                <w:sz w:val="21"/>
                <w:szCs w:val="21"/>
                <w:highlight w:val="none"/>
              </w:rPr>
            </w:pPr>
          </w:p>
        </w:tc>
        <w:tc>
          <w:tcPr>
            <w:tcW w:w="804" w:type="dxa"/>
            <w:tcBorders>
              <w:left w:val="single" w:color="auto" w:sz="4" w:space="0"/>
            </w:tcBorders>
            <w:vAlign w:val="center"/>
          </w:tcPr>
          <w:p w14:paraId="6C34049E">
            <w:pPr>
              <w:pStyle w:val="48"/>
              <w:jc w:val="center"/>
              <w:rPr>
                <w:rFonts w:hint="eastAsia" w:ascii="宋体" w:hAnsi="宋体" w:eastAsia="宋体" w:cs="宋体"/>
                <w:color w:val="auto"/>
                <w:sz w:val="21"/>
                <w:szCs w:val="21"/>
                <w:highlight w:val="none"/>
              </w:rPr>
            </w:pPr>
          </w:p>
        </w:tc>
        <w:tc>
          <w:tcPr>
            <w:tcW w:w="1860" w:type="dxa"/>
            <w:vAlign w:val="center"/>
          </w:tcPr>
          <w:p w14:paraId="7790D037">
            <w:pPr>
              <w:pStyle w:val="48"/>
              <w:jc w:val="center"/>
              <w:rPr>
                <w:rFonts w:hint="eastAsia" w:ascii="宋体" w:hAnsi="宋体" w:eastAsia="宋体" w:cs="宋体"/>
                <w:color w:val="auto"/>
                <w:sz w:val="21"/>
                <w:szCs w:val="21"/>
                <w:highlight w:val="none"/>
              </w:rPr>
            </w:pPr>
          </w:p>
        </w:tc>
        <w:tc>
          <w:tcPr>
            <w:tcW w:w="1356" w:type="dxa"/>
            <w:vAlign w:val="center"/>
          </w:tcPr>
          <w:p w14:paraId="292E64B7">
            <w:pPr>
              <w:pStyle w:val="48"/>
              <w:jc w:val="center"/>
              <w:rPr>
                <w:rFonts w:hint="eastAsia" w:ascii="宋体" w:hAnsi="宋体" w:eastAsia="宋体" w:cs="宋体"/>
                <w:color w:val="auto"/>
                <w:sz w:val="21"/>
                <w:szCs w:val="21"/>
                <w:highlight w:val="none"/>
              </w:rPr>
            </w:pPr>
          </w:p>
        </w:tc>
        <w:tc>
          <w:tcPr>
            <w:tcW w:w="816" w:type="dxa"/>
            <w:vAlign w:val="center"/>
          </w:tcPr>
          <w:p w14:paraId="77E1C162">
            <w:pPr>
              <w:pStyle w:val="48"/>
              <w:jc w:val="center"/>
              <w:rPr>
                <w:rFonts w:hint="eastAsia" w:ascii="宋体" w:hAnsi="宋体" w:eastAsia="宋体" w:cs="宋体"/>
                <w:color w:val="auto"/>
                <w:sz w:val="21"/>
                <w:szCs w:val="21"/>
                <w:highlight w:val="none"/>
              </w:rPr>
            </w:pPr>
          </w:p>
        </w:tc>
      </w:tr>
    </w:tbl>
    <w:p w14:paraId="51ED7B0D">
      <w:pPr>
        <w:rPr>
          <w:color w:val="auto"/>
          <w:highlight w:val="none"/>
        </w:rPr>
      </w:pPr>
      <w:r>
        <w:rPr>
          <w:color w:val="auto"/>
          <w:highlight w:val="none"/>
        </w:rPr>
        <w:br w:type="page"/>
      </w:r>
    </w:p>
    <w:p w14:paraId="1358285E">
      <w:pPr>
        <w:pStyle w:val="4"/>
        <w:bidi w:val="0"/>
        <w:jc w:val="center"/>
        <w:rPr>
          <w:rFonts w:hint="eastAsia"/>
          <w:highlight w:val="none"/>
          <w:lang w:val="en-US" w:eastAsia="zh-CN"/>
        </w:rPr>
      </w:pPr>
      <w:bookmarkStart w:id="644" w:name="_Toc10837"/>
      <w:r>
        <w:rPr>
          <w:rFonts w:hint="eastAsia"/>
          <w:highlight w:val="none"/>
          <w:lang w:val="en-US" w:eastAsia="zh-CN"/>
        </w:rPr>
        <w:t>九、技术响应偏离表</w:t>
      </w:r>
      <w:bookmarkEnd w:id="644"/>
    </w:p>
    <w:p w14:paraId="7EE50E6A">
      <w:pPr>
        <w:rPr>
          <w:rFonts w:cs="仿宋_GB2312"/>
          <w:color w:val="auto"/>
          <w:szCs w:val="24"/>
          <w:highlight w:val="none"/>
        </w:rPr>
      </w:pPr>
      <w:r>
        <w:rPr>
          <w:rFonts w:hint="eastAsia" w:cs="仿宋_GB2312"/>
          <w:color w:val="auto"/>
          <w:szCs w:val="24"/>
          <w:highlight w:val="none"/>
        </w:rPr>
        <w:t xml:space="preserve">项目名称：                                         </w:t>
      </w:r>
    </w:p>
    <w:p w14:paraId="10CF1BE4">
      <w:pPr>
        <w:rPr>
          <w:rFonts w:cs="仿宋_GB2312"/>
          <w:color w:val="auto"/>
          <w:szCs w:val="24"/>
          <w:highlight w:val="none"/>
        </w:rPr>
      </w:pPr>
      <w:r>
        <w:rPr>
          <w:rFonts w:hint="eastAsia" w:cs="仿宋_GB2312"/>
          <w:color w:val="auto"/>
          <w:szCs w:val="24"/>
          <w:highlight w:val="none"/>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cs="仿宋_GB2312"/>
          <w:color w:val="auto"/>
          <w:szCs w:val="24"/>
          <w:highlight w:val="none"/>
        </w:rPr>
        <w:t xml:space="preserve">：         </w:t>
      </w:r>
    </w:p>
    <w:tbl>
      <w:tblPr>
        <w:tblStyle w:val="2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976"/>
        <w:gridCol w:w="1758"/>
        <w:gridCol w:w="2157"/>
        <w:gridCol w:w="1935"/>
      </w:tblGrid>
      <w:tr w14:paraId="23CC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5F892E5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59" w:type="pct"/>
            <w:vAlign w:val="center"/>
          </w:tcPr>
          <w:p w14:paraId="48E48677">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招标文件技术</w:t>
            </w:r>
          </w:p>
          <w:p w14:paraId="0C5608DB">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要求条款</w:t>
            </w:r>
          </w:p>
        </w:tc>
        <w:tc>
          <w:tcPr>
            <w:tcW w:w="1031" w:type="pct"/>
            <w:vAlign w:val="center"/>
          </w:tcPr>
          <w:p w14:paraId="0B845CF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投标文件内容</w:t>
            </w:r>
          </w:p>
          <w:p w14:paraId="4F79E07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对应简述</w:t>
            </w:r>
          </w:p>
        </w:tc>
        <w:tc>
          <w:tcPr>
            <w:tcW w:w="1265" w:type="pct"/>
            <w:vAlign w:val="center"/>
          </w:tcPr>
          <w:p w14:paraId="4AB4E9C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tc>
        <w:tc>
          <w:tcPr>
            <w:tcW w:w="1135" w:type="pct"/>
            <w:vAlign w:val="center"/>
          </w:tcPr>
          <w:p w14:paraId="09D725B9">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证明资料</w:t>
            </w:r>
            <w:r>
              <w:rPr>
                <w:rFonts w:hint="eastAsia" w:ascii="宋体" w:hAnsi="宋体" w:eastAsia="宋体" w:cs="宋体"/>
                <w:color w:val="auto"/>
                <w:sz w:val="21"/>
                <w:szCs w:val="21"/>
                <w:highlight w:val="none"/>
              </w:rPr>
              <w:t>及索引</w:t>
            </w:r>
          </w:p>
        </w:tc>
      </w:tr>
      <w:tr w14:paraId="39EC0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29950C57">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59" w:type="pct"/>
            <w:vAlign w:val="center"/>
          </w:tcPr>
          <w:p w14:paraId="69B288A0">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0E04AD72">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85AEA1C">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02D97874">
            <w:pPr>
              <w:pStyle w:val="48"/>
              <w:jc w:val="center"/>
              <w:rPr>
                <w:rFonts w:hint="eastAsia" w:ascii="宋体" w:hAnsi="宋体" w:eastAsia="宋体" w:cs="宋体"/>
                <w:color w:val="auto"/>
                <w:sz w:val="21"/>
                <w:szCs w:val="21"/>
                <w:highlight w:val="none"/>
              </w:rPr>
            </w:pPr>
          </w:p>
        </w:tc>
      </w:tr>
      <w:tr w14:paraId="4EC68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07" w:type="pct"/>
            <w:vAlign w:val="center"/>
          </w:tcPr>
          <w:p w14:paraId="195B6778">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159" w:type="pct"/>
            <w:vAlign w:val="center"/>
          </w:tcPr>
          <w:p w14:paraId="30E52A7F">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29A6C1E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D92E460">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响应/正偏离/负偏离</w:t>
            </w:r>
          </w:p>
        </w:tc>
        <w:tc>
          <w:tcPr>
            <w:tcW w:w="1135" w:type="pct"/>
            <w:vAlign w:val="center"/>
          </w:tcPr>
          <w:p w14:paraId="63E16449">
            <w:pPr>
              <w:pStyle w:val="48"/>
              <w:jc w:val="center"/>
              <w:rPr>
                <w:rFonts w:hint="eastAsia" w:ascii="宋体" w:hAnsi="宋体" w:eastAsia="宋体" w:cs="宋体"/>
                <w:color w:val="auto"/>
                <w:sz w:val="21"/>
                <w:szCs w:val="21"/>
                <w:highlight w:val="none"/>
              </w:rPr>
            </w:pPr>
          </w:p>
        </w:tc>
      </w:tr>
      <w:tr w14:paraId="0C00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C45FE18">
            <w:pPr>
              <w:pStyle w:val="48"/>
              <w:jc w:val="center"/>
              <w:rPr>
                <w:rFonts w:hint="eastAsia" w:ascii="宋体" w:hAnsi="宋体" w:eastAsia="宋体" w:cs="宋体"/>
                <w:color w:val="auto"/>
                <w:sz w:val="21"/>
                <w:szCs w:val="21"/>
                <w:highlight w:val="none"/>
              </w:rPr>
            </w:pPr>
          </w:p>
        </w:tc>
        <w:tc>
          <w:tcPr>
            <w:tcW w:w="1159" w:type="pct"/>
            <w:vAlign w:val="center"/>
          </w:tcPr>
          <w:p w14:paraId="6D1DD644">
            <w:pPr>
              <w:pStyle w:val="48"/>
              <w:jc w:val="center"/>
              <w:rPr>
                <w:rFonts w:hint="eastAsia" w:ascii="宋体" w:hAnsi="宋体" w:eastAsia="宋体" w:cs="宋体"/>
                <w:color w:val="auto"/>
                <w:sz w:val="21"/>
                <w:szCs w:val="21"/>
                <w:highlight w:val="none"/>
              </w:rPr>
            </w:pPr>
          </w:p>
        </w:tc>
        <w:tc>
          <w:tcPr>
            <w:tcW w:w="1031" w:type="pct"/>
            <w:vAlign w:val="center"/>
          </w:tcPr>
          <w:p w14:paraId="2982168B">
            <w:pPr>
              <w:pStyle w:val="48"/>
              <w:jc w:val="center"/>
              <w:rPr>
                <w:rFonts w:hint="eastAsia" w:ascii="宋体" w:hAnsi="宋体" w:eastAsia="宋体" w:cs="宋体"/>
                <w:color w:val="auto"/>
                <w:sz w:val="21"/>
                <w:szCs w:val="21"/>
                <w:highlight w:val="none"/>
              </w:rPr>
            </w:pPr>
          </w:p>
        </w:tc>
        <w:tc>
          <w:tcPr>
            <w:tcW w:w="1265" w:type="pct"/>
            <w:vAlign w:val="center"/>
          </w:tcPr>
          <w:p w14:paraId="78EC7D09">
            <w:pPr>
              <w:pStyle w:val="48"/>
              <w:jc w:val="center"/>
              <w:rPr>
                <w:rFonts w:hint="eastAsia" w:ascii="宋体" w:hAnsi="宋体" w:eastAsia="宋体" w:cs="宋体"/>
                <w:color w:val="auto"/>
                <w:sz w:val="21"/>
                <w:szCs w:val="21"/>
                <w:highlight w:val="none"/>
              </w:rPr>
            </w:pPr>
          </w:p>
        </w:tc>
        <w:tc>
          <w:tcPr>
            <w:tcW w:w="1135" w:type="pct"/>
            <w:vAlign w:val="center"/>
          </w:tcPr>
          <w:p w14:paraId="46369488">
            <w:pPr>
              <w:pStyle w:val="48"/>
              <w:jc w:val="center"/>
              <w:rPr>
                <w:rFonts w:hint="eastAsia" w:ascii="宋体" w:hAnsi="宋体" w:eastAsia="宋体" w:cs="宋体"/>
                <w:color w:val="auto"/>
                <w:sz w:val="21"/>
                <w:szCs w:val="21"/>
                <w:highlight w:val="none"/>
              </w:rPr>
            </w:pPr>
          </w:p>
        </w:tc>
      </w:tr>
      <w:tr w14:paraId="28C8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3874C19">
            <w:pPr>
              <w:pStyle w:val="48"/>
              <w:jc w:val="center"/>
              <w:rPr>
                <w:rFonts w:hint="eastAsia" w:ascii="宋体" w:hAnsi="宋体" w:eastAsia="宋体" w:cs="宋体"/>
                <w:color w:val="auto"/>
                <w:sz w:val="21"/>
                <w:szCs w:val="21"/>
                <w:highlight w:val="none"/>
              </w:rPr>
            </w:pPr>
          </w:p>
        </w:tc>
        <w:tc>
          <w:tcPr>
            <w:tcW w:w="1159" w:type="pct"/>
            <w:vAlign w:val="center"/>
          </w:tcPr>
          <w:p w14:paraId="529041E2">
            <w:pPr>
              <w:pStyle w:val="48"/>
              <w:jc w:val="center"/>
              <w:rPr>
                <w:rFonts w:hint="eastAsia" w:ascii="宋体" w:hAnsi="宋体" w:eastAsia="宋体" w:cs="宋体"/>
                <w:color w:val="auto"/>
                <w:sz w:val="21"/>
                <w:szCs w:val="21"/>
                <w:highlight w:val="none"/>
              </w:rPr>
            </w:pPr>
          </w:p>
        </w:tc>
        <w:tc>
          <w:tcPr>
            <w:tcW w:w="1031" w:type="pct"/>
            <w:vAlign w:val="center"/>
          </w:tcPr>
          <w:p w14:paraId="301E476D">
            <w:pPr>
              <w:pStyle w:val="48"/>
              <w:jc w:val="center"/>
              <w:rPr>
                <w:rFonts w:hint="eastAsia" w:ascii="宋体" w:hAnsi="宋体" w:eastAsia="宋体" w:cs="宋体"/>
                <w:color w:val="auto"/>
                <w:sz w:val="21"/>
                <w:szCs w:val="21"/>
                <w:highlight w:val="none"/>
              </w:rPr>
            </w:pPr>
          </w:p>
        </w:tc>
        <w:tc>
          <w:tcPr>
            <w:tcW w:w="1265" w:type="pct"/>
            <w:vAlign w:val="center"/>
          </w:tcPr>
          <w:p w14:paraId="06F8AED7">
            <w:pPr>
              <w:pStyle w:val="48"/>
              <w:jc w:val="center"/>
              <w:rPr>
                <w:rFonts w:hint="eastAsia" w:ascii="宋体" w:hAnsi="宋体" w:eastAsia="宋体" w:cs="宋体"/>
                <w:color w:val="auto"/>
                <w:sz w:val="21"/>
                <w:szCs w:val="21"/>
                <w:highlight w:val="none"/>
              </w:rPr>
            </w:pPr>
          </w:p>
        </w:tc>
        <w:tc>
          <w:tcPr>
            <w:tcW w:w="1135" w:type="pct"/>
            <w:vAlign w:val="center"/>
          </w:tcPr>
          <w:p w14:paraId="0CE9DF45">
            <w:pPr>
              <w:pStyle w:val="48"/>
              <w:jc w:val="center"/>
              <w:rPr>
                <w:rFonts w:hint="eastAsia" w:ascii="宋体" w:hAnsi="宋体" w:eastAsia="宋体" w:cs="宋体"/>
                <w:color w:val="auto"/>
                <w:sz w:val="21"/>
                <w:szCs w:val="21"/>
                <w:highlight w:val="none"/>
              </w:rPr>
            </w:pPr>
          </w:p>
        </w:tc>
      </w:tr>
      <w:tr w14:paraId="72916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41433E5C">
            <w:pPr>
              <w:pStyle w:val="48"/>
              <w:jc w:val="center"/>
              <w:rPr>
                <w:rFonts w:hint="eastAsia" w:ascii="宋体" w:hAnsi="宋体" w:eastAsia="宋体" w:cs="宋体"/>
                <w:color w:val="auto"/>
                <w:sz w:val="21"/>
                <w:szCs w:val="21"/>
                <w:highlight w:val="none"/>
              </w:rPr>
            </w:pPr>
          </w:p>
        </w:tc>
        <w:tc>
          <w:tcPr>
            <w:tcW w:w="1159" w:type="pct"/>
            <w:vAlign w:val="center"/>
          </w:tcPr>
          <w:p w14:paraId="77107295">
            <w:pPr>
              <w:pStyle w:val="48"/>
              <w:jc w:val="center"/>
              <w:rPr>
                <w:rFonts w:hint="eastAsia" w:ascii="宋体" w:hAnsi="宋体" w:eastAsia="宋体" w:cs="宋体"/>
                <w:color w:val="auto"/>
                <w:sz w:val="21"/>
                <w:szCs w:val="21"/>
                <w:highlight w:val="none"/>
              </w:rPr>
            </w:pPr>
          </w:p>
        </w:tc>
        <w:tc>
          <w:tcPr>
            <w:tcW w:w="1031" w:type="pct"/>
            <w:vAlign w:val="center"/>
          </w:tcPr>
          <w:p w14:paraId="4D01D78E">
            <w:pPr>
              <w:pStyle w:val="48"/>
              <w:jc w:val="center"/>
              <w:rPr>
                <w:rFonts w:hint="eastAsia" w:ascii="宋体" w:hAnsi="宋体" w:eastAsia="宋体" w:cs="宋体"/>
                <w:color w:val="auto"/>
                <w:sz w:val="21"/>
                <w:szCs w:val="21"/>
                <w:highlight w:val="none"/>
              </w:rPr>
            </w:pPr>
          </w:p>
        </w:tc>
        <w:tc>
          <w:tcPr>
            <w:tcW w:w="1265" w:type="pct"/>
            <w:vAlign w:val="center"/>
          </w:tcPr>
          <w:p w14:paraId="6D546857">
            <w:pPr>
              <w:pStyle w:val="48"/>
              <w:jc w:val="center"/>
              <w:rPr>
                <w:rFonts w:hint="eastAsia" w:ascii="宋体" w:hAnsi="宋体" w:eastAsia="宋体" w:cs="宋体"/>
                <w:color w:val="auto"/>
                <w:sz w:val="21"/>
                <w:szCs w:val="21"/>
                <w:highlight w:val="none"/>
              </w:rPr>
            </w:pPr>
          </w:p>
        </w:tc>
        <w:tc>
          <w:tcPr>
            <w:tcW w:w="1135" w:type="pct"/>
            <w:vAlign w:val="center"/>
          </w:tcPr>
          <w:p w14:paraId="2E1B7D0B">
            <w:pPr>
              <w:pStyle w:val="48"/>
              <w:jc w:val="center"/>
              <w:rPr>
                <w:rFonts w:hint="eastAsia" w:ascii="宋体" w:hAnsi="宋体" w:eastAsia="宋体" w:cs="宋体"/>
                <w:color w:val="auto"/>
                <w:sz w:val="21"/>
                <w:szCs w:val="21"/>
                <w:highlight w:val="none"/>
              </w:rPr>
            </w:pPr>
          </w:p>
        </w:tc>
      </w:tr>
      <w:tr w14:paraId="39F8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6AF16AFE">
            <w:pPr>
              <w:pStyle w:val="48"/>
              <w:jc w:val="center"/>
              <w:rPr>
                <w:rFonts w:hint="eastAsia" w:ascii="宋体" w:hAnsi="宋体" w:eastAsia="宋体" w:cs="宋体"/>
                <w:color w:val="auto"/>
                <w:sz w:val="21"/>
                <w:szCs w:val="21"/>
                <w:highlight w:val="none"/>
              </w:rPr>
            </w:pPr>
          </w:p>
        </w:tc>
        <w:tc>
          <w:tcPr>
            <w:tcW w:w="1159" w:type="pct"/>
            <w:vAlign w:val="center"/>
          </w:tcPr>
          <w:p w14:paraId="5C7E043B">
            <w:pPr>
              <w:pStyle w:val="48"/>
              <w:jc w:val="center"/>
              <w:rPr>
                <w:rFonts w:hint="eastAsia" w:ascii="宋体" w:hAnsi="宋体" w:eastAsia="宋体" w:cs="宋体"/>
                <w:color w:val="auto"/>
                <w:sz w:val="21"/>
                <w:szCs w:val="21"/>
                <w:highlight w:val="none"/>
              </w:rPr>
            </w:pPr>
          </w:p>
        </w:tc>
        <w:tc>
          <w:tcPr>
            <w:tcW w:w="1031" w:type="pct"/>
            <w:vAlign w:val="center"/>
          </w:tcPr>
          <w:p w14:paraId="64166C7A">
            <w:pPr>
              <w:pStyle w:val="48"/>
              <w:jc w:val="center"/>
              <w:rPr>
                <w:rFonts w:hint="eastAsia" w:ascii="宋体" w:hAnsi="宋体" w:eastAsia="宋体" w:cs="宋体"/>
                <w:color w:val="auto"/>
                <w:sz w:val="21"/>
                <w:szCs w:val="21"/>
                <w:highlight w:val="none"/>
              </w:rPr>
            </w:pPr>
          </w:p>
        </w:tc>
        <w:tc>
          <w:tcPr>
            <w:tcW w:w="1265" w:type="pct"/>
            <w:vAlign w:val="center"/>
          </w:tcPr>
          <w:p w14:paraId="2817CCE5">
            <w:pPr>
              <w:pStyle w:val="48"/>
              <w:jc w:val="center"/>
              <w:rPr>
                <w:rFonts w:hint="eastAsia" w:ascii="宋体" w:hAnsi="宋体" w:eastAsia="宋体" w:cs="宋体"/>
                <w:color w:val="auto"/>
                <w:sz w:val="21"/>
                <w:szCs w:val="21"/>
                <w:highlight w:val="none"/>
              </w:rPr>
            </w:pPr>
          </w:p>
        </w:tc>
        <w:tc>
          <w:tcPr>
            <w:tcW w:w="1135" w:type="pct"/>
            <w:vAlign w:val="center"/>
          </w:tcPr>
          <w:p w14:paraId="184E3F96">
            <w:pPr>
              <w:pStyle w:val="48"/>
              <w:jc w:val="center"/>
              <w:rPr>
                <w:rFonts w:hint="eastAsia" w:ascii="宋体" w:hAnsi="宋体" w:eastAsia="宋体" w:cs="宋体"/>
                <w:color w:val="auto"/>
                <w:sz w:val="21"/>
                <w:szCs w:val="21"/>
                <w:highlight w:val="none"/>
              </w:rPr>
            </w:pPr>
          </w:p>
        </w:tc>
      </w:tr>
      <w:tr w14:paraId="60C9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F23FFC2">
            <w:pPr>
              <w:pStyle w:val="48"/>
              <w:jc w:val="center"/>
              <w:rPr>
                <w:rFonts w:hint="eastAsia" w:ascii="宋体" w:hAnsi="宋体" w:eastAsia="宋体" w:cs="宋体"/>
                <w:color w:val="auto"/>
                <w:sz w:val="21"/>
                <w:szCs w:val="21"/>
                <w:highlight w:val="none"/>
              </w:rPr>
            </w:pPr>
          </w:p>
        </w:tc>
        <w:tc>
          <w:tcPr>
            <w:tcW w:w="1159" w:type="pct"/>
            <w:vAlign w:val="center"/>
          </w:tcPr>
          <w:p w14:paraId="565EC642">
            <w:pPr>
              <w:pStyle w:val="48"/>
              <w:jc w:val="center"/>
              <w:rPr>
                <w:rFonts w:hint="eastAsia" w:ascii="宋体" w:hAnsi="宋体" w:eastAsia="宋体" w:cs="宋体"/>
                <w:color w:val="auto"/>
                <w:sz w:val="21"/>
                <w:szCs w:val="21"/>
                <w:highlight w:val="none"/>
              </w:rPr>
            </w:pPr>
          </w:p>
        </w:tc>
        <w:tc>
          <w:tcPr>
            <w:tcW w:w="1031" w:type="pct"/>
            <w:vAlign w:val="center"/>
          </w:tcPr>
          <w:p w14:paraId="4813DEC4">
            <w:pPr>
              <w:pStyle w:val="48"/>
              <w:jc w:val="center"/>
              <w:rPr>
                <w:rFonts w:hint="eastAsia" w:ascii="宋体" w:hAnsi="宋体" w:eastAsia="宋体" w:cs="宋体"/>
                <w:color w:val="auto"/>
                <w:sz w:val="21"/>
                <w:szCs w:val="21"/>
                <w:highlight w:val="none"/>
              </w:rPr>
            </w:pPr>
          </w:p>
        </w:tc>
        <w:tc>
          <w:tcPr>
            <w:tcW w:w="1265" w:type="pct"/>
            <w:vAlign w:val="center"/>
          </w:tcPr>
          <w:p w14:paraId="6FC99520">
            <w:pPr>
              <w:pStyle w:val="48"/>
              <w:jc w:val="center"/>
              <w:rPr>
                <w:rFonts w:hint="eastAsia" w:ascii="宋体" w:hAnsi="宋体" w:eastAsia="宋体" w:cs="宋体"/>
                <w:color w:val="auto"/>
                <w:sz w:val="21"/>
                <w:szCs w:val="21"/>
                <w:highlight w:val="none"/>
              </w:rPr>
            </w:pPr>
          </w:p>
        </w:tc>
        <w:tc>
          <w:tcPr>
            <w:tcW w:w="1135" w:type="pct"/>
            <w:vAlign w:val="center"/>
          </w:tcPr>
          <w:p w14:paraId="6C388A43">
            <w:pPr>
              <w:pStyle w:val="48"/>
              <w:jc w:val="center"/>
              <w:rPr>
                <w:rFonts w:hint="eastAsia" w:ascii="宋体" w:hAnsi="宋体" w:eastAsia="宋体" w:cs="宋体"/>
                <w:color w:val="auto"/>
                <w:sz w:val="21"/>
                <w:szCs w:val="21"/>
                <w:highlight w:val="none"/>
              </w:rPr>
            </w:pPr>
          </w:p>
        </w:tc>
      </w:tr>
      <w:tr w14:paraId="668F3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0AF398B2">
            <w:pPr>
              <w:pStyle w:val="48"/>
              <w:jc w:val="center"/>
              <w:rPr>
                <w:rFonts w:hint="eastAsia" w:ascii="宋体" w:hAnsi="宋体" w:eastAsia="宋体" w:cs="宋体"/>
                <w:color w:val="auto"/>
                <w:sz w:val="21"/>
                <w:szCs w:val="21"/>
                <w:highlight w:val="none"/>
              </w:rPr>
            </w:pPr>
          </w:p>
        </w:tc>
        <w:tc>
          <w:tcPr>
            <w:tcW w:w="1159" w:type="pct"/>
            <w:vAlign w:val="center"/>
          </w:tcPr>
          <w:p w14:paraId="7E5C6D21">
            <w:pPr>
              <w:pStyle w:val="48"/>
              <w:jc w:val="center"/>
              <w:rPr>
                <w:rFonts w:hint="eastAsia" w:ascii="宋体" w:hAnsi="宋体" w:eastAsia="宋体" w:cs="宋体"/>
                <w:color w:val="auto"/>
                <w:sz w:val="21"/>
                <w:szCs w:val="21"/>
                <w:highlight w:val="none"/>
              </w:rPr>
            </w:pPr>
          </w:p>
        </w:tc>
        <w:tc>
          <w:tcPr>
            <w:tcW w:w="1031" w:type="pct"/>
            <w:vAlign w:val="center"/>
          </w:tcPr>
          <w:p w14:paraId="449C5534">
            <w:pPr>
              <w:pStyle w:val="48"/>
              <w:jc w:val="center"/>
              <w:rPr>
                <w:rFonts w:hint="eastAsia" w:ascii="宋体" w:hAnsi="宋体" w:eastAsia="宋体" w:cs="宋体"/>
                <w:color w:val="auto"/>
                <w:sz w:val="21"/>
                <w:szCs w:val="21"/>
                <w:highlight w:val="none"/>
              </w:rPr>
            </w:pPr>
          </w:p>
        </w:tc>
        <w:tc>
          <w:tcPr>
            <w:tcW w:w="1265" w:type="pct"/>
            <w:vAlign w:val="center"/>
          </w:tcPr>
          <w:p w14:paraId="43936EF1">
            <w:pPr>
              <w:pStyle w:val="48"/>
              <w:jc w:val="center"/>
              <w:rPr>
                <w:rFonts w:hint="eastAsia" w:ascii="宋体" w:hAnsi="宋体" w:eastAsia="宋体" w:cs="宋体"/>
                <w:color w:val="auto"/>
                <w:sz w:val="21"/>
                <w:szCs w:val="21"/>
                <w:highlight w:val="none"/>
              </w:rPr>
            </w:pPr>
          </w:p>
        </w:tc>
        <w:tc>
          <w:tcPr>
            <w:tcW w:w="1135" w:type="pct"/>
            <w:vAlign w:val="center"/>
          </w:tcPr>
          <w:p w14:paraId="015081ED">
            <w:pPr>
              <w:pStyle w:val="48"/>
              <w:jc w:val="center"/>
              <w:rPr>
                <w:rFonts w:hint="eastAsia" w:ascii="宋体" w:hAnsi="宋体" w:eastAsia="宋体" w:cs="宋体"/>
                <w:color w:val="auto"/>
                <w:sz w:val="21"/>
                <w:szCs w:val="21"/>
                <w:highlight w:val="none"/>
              </w:rPr>
            </w:pPr>
          </w:p>
        </w:tc>
      </w:tr>
      <w:tr w14:paraId="576C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3BE7E344">
            <w:pPr>
              <w:pStyle w:val="48"/>
              <w:jc w:val="center"/>
              <w:rPr>
                <w:rFonts w:hint="eastAsia" w:ascii="宋体" w:hAnsi="宋体" w:eastAsia="宋体" w:cs="宋体"/>
                <w:color w:val="auto"/>
                <w:sz w:val="21"/>
                <w:szCs w:val="21"/>
                <w:highlight w:val="none"/>
              </w:rPr>
            </w:pPr>
          </w:p>
        </w:tc>
        <w:tc>
          <w:tcPr>
            <w:tcW w:w="1159" w:type="pct"/>
            <w:vAlign w:val="center"/>
          </w:tcPr>
          <w:p w14:paraId="4E7FED0B">
            <w:pPr>
              <w:pStyle w:val="48"/>
              <w:jc w:val="center"/>
              <w:rPr>
                <w:rFonts w:hint="eastAsia" w:ascii="宋体" w:hAnsi="宋体" w:eastAsia="宋体" w:cs="宋体"/>
                <w:color w:val="auto"/>
                <w:sz w:val="21"/>
                <w:szCs w:val="21"/>
                <w:highlight w:val="none"/>
              </w:rPr>
            </w:pPr>
          </w:p>
        </w:tc>
        <w:tc>
          <w:tcPr>
            <w:tcW w:w="1031" w:type="pct"/>
            <w:vAlign w:val="center"/>
          </w:tcPr>
          <w:p w14:paraId="07398BD3">
            <w:pPr>
              <w:pStyle w:val="48"/>
              <w:jc w:val="center"/>
              <w:rPr>
                <w:rFonts w:hint="eastAsia" w:ascii="宋体" w:hAnsi="宋体" w:eastAsia="宋体" w:cs="宋体"/>
                <w:color w:val="auto"/>
                <w:sz w:val="21"/>
                <w:szCs w:val="21"/>
                <w:highlight w:val="none"/>
              </w:rPr>
            </w:pPr>
          </w:p>
        </w:tc>
        <w:tc>
          <w:tcPr>
            <w:tcW w:w="1265" w:type="pct"/>
            <w:vAlign w:val="center"/>
          </w:tcPr>
          <w:p w14:paraId="085E5102">
            <w:pPr>
              <w:pStyle w:val="48"/>
              <w:jc w:val="center"/>
              <w:rPr>
                <w:rFonts w:hint="eastAsia" w:ascii="宋体" w:hAnsi="宋体" w:eastAsia="宋体" w:cs="宋体"/>
                <w:color w:val="auto"/>
                <w:sz w:val="21"/>
                <w:szCs w:val="21"/>
                <w:highlight w:val="none"/>
              </w:rPr>
            </w:pPr>
          </w:p>
        </w:tc>
        <w:tc>
          <w:tcPr>
            <w:tcW w:w="1135" w:type="pct"/>
            <w:vAlign w:val="center"/>
          </w:tcPr>
          <w:p w14:paraId="74B87043">
            <w:pPr>
              <w:pStyle w:val="48"/>
              <w:jc w:val="center"/>
              <w:rPr>
                <w:rFonts w:hint="eastAsia" w:ascii="宋体" w:hAnsi="宋体" w:eastAsia="宋体" w:cs="宋体"/>
                <w:color w:val="auto"/>
                <w:sz w:val="21"/>
                <w:szCs w:val="21"/>
                <w:highlight w:val="none"/>
              </w:rPr>
            </w:pPr>
          </w:p>
        </w:tc>
      </w:tr>
      <w:tr w14:paraId="4BD9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07" w:type="pct"/>
            <w:vAlign w:val="center"/>
          </w:tcPr>
          <w:p w14:paraId="5DBDBE11">
            <w:pPr>
              <w:pStyle w:val="48"/>
              <w:jc w:val="center"/>
              <w:rPr>
                <w:rFonts w:hint="eastAsia" w:ascii="宋体" w:hAnsi="宋体" w:eastAsia="宋体" w:cs="宋体"/>
                <w:color w:val="auto"/>
                <w:sz w:val="21"/>
                <w:szCs w:val="21"/>
                <w:highlight w:val="none"/>
              </w:rPr>
            </w:pPr>
          </w:p>
        </w:tc>
        <w:tc>
          <w:tcPr>
            <w:tcW w:w="1159" w:type="pct"/>
            <w:vAlign w:val="center"/>
          </w:tcPr>
          <w:p w14:paraId="1F11A7BE">
            <w:pPr>
              <w:pStyle w:val="48"/>
              <w:jc w:val="center"/>
              <w:rPr>
                <w:rFonts w:hint="eastAsia" w:ascii="宋体" w:hAnsi="宋体" w:eastAsia="宋体" w:cs="宋体"/>
                <w:color w:val="auto"/>
                <w:sz w:val="21"/>
                <w:szCs w:val="21"/>
                <w:highlight w:val="none"/>
              </w:rPr>
            </w:pPr>
          </w:p>
        </w:tc>
        <w:tc>
          <w:tcPr>
            <w:tcW w:w="1031" w:type="pct"/>
            <w:vAlign w:val="center"/>
          </w:tcPr>
          <w:p w14:paraId="09342B6E">
            <w:pPr>
              <w:pStyle w:val="48"/>
              <w:jc w:val="center"/>
              <w:rPr>
                <w:rFonts w:hint="eastAsia" w:ascii="宋体" w:hAnsi="宋体" w:eastAsia="宋体" w:cs="宋体"/>
                <w:color w:val="auto"/>
                <w:sz w:val="21"/>
                <w:szCs w:val="21"/>
                <w:highlight w:val="none"/>
              </w:rPr>
            </w:pPr>
          </w:p>
        </w:tc>
        <w:tc>
          <w:tcPr>
            <w:tcW w:w="1265" w:type="pct"/>
            <w:vAlign w:val="center"/>
          </w:tcPr>
          <w:p w14:paraId="6742B646">
            <w:pPr>
              <w:pStyle w:val="48"/>
              <w:jc w:val="center"/>
              <w:rPr>
                <w:rFonts w:hint="eastAsia" w:ascii="宋体" w:hAnsi="宋体" w:eastAsia="宋体" w:cs="宋体"/>
                <w:color w:val="auto"/>
                <w:sz w:val="21"/>
                <w:szCs w:val="21"/>
                <w:highlight w:val="none"/>
              </w:rPr>
            </w:pPr>
          </w:p>
        </w:tc>
        <w:tc>
          <w:tcPr>
            <w:tcW w:w="1135" w:type="pct"/>
            <w:vAlign w:val="center"/>
          </w:tcPr>
          <w:p w14:paraId="4C72FCC2">
            <w:pPr>
              <w:pStyle w:val="48"/>
              <w:jc w:val="center"/>
              <w:rPr>
                <w:rFonts w:hint="eastAsia" w:ascii="宋体" w:hAnsi="宋体" w:eastAsia="宋体" w:cs="宋体"/>
                <w:color w:val="auto"/>
                <w:sz w:val="21"/>
                <w:szCs w:val="21"/>
                <w:highlight w:val="none"/>
              </w:rPr>
            </w:pPr>
          </w:p>
        </w:tc>
      </w:tr>
      <w:tr w14:paraId="26694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407" w:type="pct"/>
            <w:vAlign w:val="center"/>
          </w:tcPr>
          <w:p w14:paraId="0D811F11">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59" w:type="pct"/>
            <w:vAlign w:val="center"/>
          </w:tcPr>
          <w:p w14:paraId="7D0AF02A">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031" w:type="pct"/>
            <w:vAlign w:val="center"/>
          </w:tcPr>
          <w:p w14:paraId="6EC8C4F3">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65" w:type="pct"/>
            <w:vAlign w:val="center"/>
          </w:tcPr>
          <w:p w14:paraId="59EB3DF9">
            <w:pPr>
              <w:pStyle w:val="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135" w:type="pct"/>
            <w:vAlign w:val="center"/>
          </w:tcPr>
          <w:p w14:paraId="1BF96619">
            <w:pPr>
              <w:pStyle w:val="48"/>
              <w:jc w:val="center"/>
              <w:rPr>
                <w:rFonts w:hint="eastAsia" w:ascii="宋体" w:hAnsi="宋体" w:eastAsia="宋体" w:cs="宋体"/>
                <w:color w:val="auto"/>
                <w:sz w:val="21"/>
                <w:szCs w:val="21"/>
                <w:highlight w:val="none"/>
              </w:rPr>
            </w:pPr>
          </w:p>
        </w:tc>
      </w:tr>
    </w:tbl>
    <w:p w14:paraId="7A96DC4C">
      <w:pPr>
        <w:ind w:firstLine="420" w:firstLineChars="200"/>
        <w:rPr>
          <w:rFonts w:hint="eastAsia" w:cs="仿宋_GB2312"/>
          <w:color w:val="auto"/>
          <w:sz w:val="21"/>
          <w:szCs w:val="21"/>
          <w:highlight w:val="none"/>
        </w:rPr>
      </w:pPr>
    </w:p>
    <w:p w14:paraId="2B5EBACC">
      <w:pPr>
        <w:ind w:firstLine="420" w:firstLineChars="200"/>
        <w:rPr>
          <w:rFonts w:cs="仿宋_GB2312"/>
          <w:color w:val="auto"/>
          <w:sz w:val="21"/>
          <w:szCs w:val="21"/>
          <w:highlight w:val="none"/>
        </w:rPr>
      </w:pPr>
      <w:r>
        <w:rPr>
          <w:rFonts w:hint="eastAsia" w:cs="仿宋_GB2312"/>
          <w:color w:val="auto"/>
          <w:sz w:val="21"/>
          <w:szCs w:val="21"/>
          <w:highlight w:val="none"/>
        </w:rPr>
        <w:t>说明：投标人应按照招标文件“第三章 采购需求”</w:t>
      </w:r>
      <w:r>
        <w:rPr>
          <w:rFonts w:hint="eastAsia" w:cs="仿宋_GB2312"/>
          <w:color w:val="auto"/>
          <w:sz w:val="21"/>
          <w:szCs w:val="21"/>
          <w:highlight w:val="none"/>
          <w:lang w:val="en-US" w:eastAsia="zh-CN"/>
        </w:rPr>
        <w:t>中的技术要求</w:t>
      </w:r>
      <w:r>
        <w:rPr>
          <w:rFonts w:hint="eastAsia" w:cs="仿宋_GB2312"/>
          <w:color w:val="auto"/>
          <w:sz w:val="21"/>
          <w:szCs w:val="21"/>
          <w:highlight w:val="none"/>
        </w:rPr>
        <w:t>填写</w:t>
      </w:r>
      <w:r>
        <w:rPr>
          <w:rFonts w:hint="eastAsia" w:cs="仿宋_GB2312"/>
          <w:color w:val="auto"/>
          <w:sz w:val="21"/>
          <w:szCs w:val="21"/>
          <w:highlight w:val="none"/>
          <w:lang w:eastAsia="zh-CN"/>
        </w:rPr>
        <w:t>，</w:t>
      </w:r>
      <w:r>
        <w:rPr>
          <w:rFonts w:hint="eastAsia" w:cs="仿宋_GB2312"/>
          <w:color w:val="auto"/>
          <w:sz w:val="21"/>
          <w:szCs w:val="21"/>
          <w:highlight w:val="none"/>
          <w:lang w:val="en-US" w:eastAsia="zh-CN"/>
        </w:rPr>
        <w:t>“响应/正偏离/负偏离”应据实填写“响应”、“正偏离”或“负偏离”</w:t>
      </w:r>
      <w:r>
        <w:rPr>
          <w:rFonts w:hint="eastAsia" w:cs="仿宋_GB2312"/>
          <w:color w:val="auto"/>
          <w:sz w:val="21"/>
          <w:szCs w:val="21"/>
          <w:highlight w:val="none"/>
        </w:rPr>
        <w:t>。</w:t>
      </w:r>
    </w:p>
    <w:p w14:paraId="12AEBD40">
      <w:pPr>
        <w:ind w:firstLine="480" w:firstLineChars="200"/>
        <w:rPr>
          <w:rFonts w:cs="仿宋_GB2312"/>
          <w:color w:val="auto"/>
          <w:szCs w:val="24"/>
          <w:highlight w:val="none"/>
        </w:rPr>
      </w:pPr>
    </w:p>
    <w:p w14:paraId="53059121">
      <w:pPr>
        <w:ind w:firstLine="480" w:firstLineChars="200"/>
        <w:rPr>
          <w:rFonts w:cs="仿宋_GB2312"/>
          <w:color w:val="auto"/>
          <w:szCs w:val="24"/>
          <w:highlight w:val="none"/>
        </w:rPr>
      </w:pPr>
      <w:r>
        <w:rPr>
          <w:rFonts w:hint="eastAsia" w:cs="仿宋_GB2312"/>
          <w:color w:val="auto"/>
          <w:szCs w:val="24"/>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hint="eastAsia" w:cs="仿宋_GB2312"/>
          <w:color w:val="auto"/>
          <w:szCs w:val="24"/>
          <w:highlight w:val="none"/>
        </w:rPr>
        <w:t>：</w:t>
      </w:r>
    </w:p>
    <w:p w14:paraId="27EF6D84">
      <w:pPr>
        <w:ind w:firstLine="420"/>
        <w:rPr>
          <w:rFonts w:cs="仿宋_GB2312"/>
          <w:color w:val="auto"/>
          <w:szCs w:val="24"/>
          <w:highlight w:val="none"/>
        </w:rPr>
      </w:pPr>
      <w:r>
        <w:rPr>
          <w:rFonts w:hint="eastAsia" w:cs="仿宋_GB2312"/>
          <w:color w:val="auto"/>
          <w:szCs w:val="24"/>
          <w:highlight w:val="none"/>
        </w:rPr>
        <w:t>日      期：</w:t>
      </w:r>
    </w:p>
    <w:p w14:paraId="3689B270">
      <w:pPr>
        <w:ind w:firstLine="420"/>
        <w:rPr>
          <w:rFonts w:cs="仿宋_GB2312"/>
          <w:color w:val="auto"/>
          <w:szCs w:val="24"/>
          <w:highlight w:val="none"/>
        </w:rPr>
      </w:pPr>
    </w:p>
    <w:p w14:paraId="05FE41C4">
      <w:pPr>
        <w:ind w:firstLine="420"/>
        <w:rPr>
          <w:rFonts w:cs="仿宋_GB2312"/>
          <w:color w:val="auto"/>
          <w:szCs w:val="24"/>
          <w:highlight w:val="none"/>
        </w:rPr>
      </w:pPr>
    </w:p>
    <w:p w14:paraId="5228E054">
      <w:pPr>
        <w:ind w:firstLine="420"/>
        <w:rPr>
          <w:rFonts w:hint="eastAsia" w:cs="仿宋_GB2312"/>
          <w:color w:val="auto"/>
          <w:sz w:val="21"/>
          <w:szCs w:val="21"/>
          <w:highlight w:val="none"/>
          <w:lang w:val="en-US" w:eastAsia="zh-CN"/>
        </w:rPr>
      </w:pPr>
      <w:r>
        <w:rPr>
          <w:rFonts w:hint="eastAsia" w:cs="仿宋_GB2312"/>
          <w:b/>
          <w:bCs/>
          <w:color w:val="auto"/>
          <w:sz w:val="21"/>
          <w:szCs w:val="21"/>
          <w:highlight w:val="none"/>
          <w:lang w:val="en-US" w:eastAsia="zh-CN"/>
        </w:rPr>
        <w:t>备注：投标人在本表中须标注产品实际参数数值，照搬照抄采购文件参数、不注明实际数值者视为未响应。</w:t>
      </w:r>
    </w:p>
    <w:p w14:paraId="5E3B4625">
      <w:pPr>
        <w:ind w:firstLine="420"/>
        <w:rPr>
          <w:rFonts w:hint="eastAsia" w:cs="仿宋_GB2312"/>
          <w:color w:val="auto"/>
          <w:sz w:val="21"/>
          <w:szCs w:val="21"/>
          <w:highlight w:val="none"/>
          <w:lang w:val="en-US" w:eastAsia="zh-CN"/>
        </w:rPr>
      </w:pPr>
    </w:p>
    <w:p w14:paraId="49372E23">
      <w:pPr>
        <w:ind w:firstLine="420"/>
        <w:rPr>
          <w:rFonts w:hint="eastAsia" w:cs="仿宋_GB2312"/>
          <w:color w:val="auto"/>
          <w:sz w:val="21"/>
          <w:szCs w:val="21"/>
          <w:highlight w:val="none"/>
          <w:lang w:val="en-US" w:eastAsia="zh-CN"/>
        </w:rPr>
      </w:pPr>
    </w:p>
    <w:p w14:paraId="06C98EB9">
      <w:pPr>
        <w:pStyle w:val="4"/>
        <w:bidi w:val="0"/>
        <w:jc w:val="center"/>
        <w:rPr>
          <w:rFonts w:hint="eastAsia"/>
          <w:highlight w:val="none"/>
          <w:lang w:val="en-US" w:eastAsia="zh-CN"/>
        </w:rPr>
      </w:pPr>
      <w:bookmarkStart w:id="645" w:name="_Toc15970"/>
      <w:r>
        <w:rPr>
          <w:rFonts w:hint="eastAsia"/>
          <w:highlight w:val="none"/>
          <w:lang w:val="en-US" w:eastAsia="zh-CN"/>
        </w:rPr>
        <w:t>十、技术方案</w:t>
      </w:r>
      <w:bookmarkEnd w:id="645"/>
    </w:p>
    <w:p w14:paraId="3878D3F5">
      <w:pPr>
        <w:pStyle w:val="36"/>
        <w:rPr>
          <w:color w:val="auto"/>
          <w:highlight w:val="none"/>
        </w:rPr>
      </w:pPr>
      <w:r>
        <w:rPr>
          <w:rFonts w:hint="eastAsia"/>
          <w:color w:val="auto"/>
          <w:highlight w:val="none"/>
        </w:rPr>
        <w:t>投标人应按照招标文件的要求，提供详细的</w:t>
      </w:r>
      <w:r>
        <w:rPr>
          <w:rFonts w:hint="eastAsia"/>
          <w:color w:val="auto"/>
          <w:highlight w:val="none"/>
          <w:lang w:val="en-US" w:eastAsia="zh-CN"/>
        </w:rPr>
        <w:t>供货及相关</w:t>
      </w:r>
      <w:r>
        <w:rPr>
          <w:rFonts w:hint="eastAsia"/>
          <w:color w:val="auto"/>
          <w:highlight w:val="none"/>
        </w:rPr>
        <w:t>服务方案，包括文字描述或图表显示。格式自拟。</w:t>
      </w:r>
    </w:p>
    <w:p w14:paraId="7EE77353">
      <w:pPr>
        <w:pStyle w:val="36"/>
        <w:rPr>
          <w:color w:val="auto"/>
          <w:highlight w:val="none"/>
        </w:rPr>
      </w:pPr>
      <w:r>
        <w:rPr>
          <w:color w:val="auto"/>
          <w:highlight w:val="none"/>
        </w:rPr>
        <w:br w:type="page"/>
      </w:r>
    </w:p>
    <w:p w14:paraId="7AD86D6F">
      <w:pPr>
        <w:ind w:firstLine="420"/>
        <w:rPr>
          <w:rFonts w:hint="eastAsia" w:cs="仿宋_GB2312"/>
          <w:color w:val="auto"/>
          <w:sz w:val="21"/>
          <w:szCs w:val="21"/>
          <w:highlight w:val="none"/>
          <w:lang w:val="en-US" w:eastAsia="zh-CN"/>
        </w:rPr>
      </w:pPr>
    </w:p>
    <w:p w14:paraId="68D392B1">
      <w:pPr>
        <w:pStyle w:val="4"/>
        <w:bidi w:val="0"/>
        <w:jc w:val="center"/>
        <w:rPr>
          <w:rFonts w:hint="eastAsia"/>
          <w:highlight w:val="none"/>
          <w:lang w:val="en-US" w:eastAsia="zh-CN"/>
        </w:rPr>
      </w:pPr>
      <w:bookmarkStart w:id="646" w:name="_Toc19835"/>
      <w:r>
        <w:rPr>
          <w:rFonts w:hint="eastAsia"/>
          <w:highlight w:val="none"/>
          <w:lang w:val="en-US" w:eastAsia="zh-CN"/>
        </w:rPr>
        <w:t>十一、其他文件</w:t>
      </w:r>
      <w:bookmarkEnd w:id="646"/>
    </w:p>
    <w:p w14:paraId="6EF40482">
      <w:pPr>
        <w:pStyle w:val="36"/>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一）</w:t>
      </w:r>
      <w:r>
        <w:rPr>
          <w:rFonts w:hint="eastAsia"/>
          <w:b/>
          <w:bCs/>
          <w:color w:val="auto"/>
          <w:sz w:val="24"/>
          <w:szCs w:val="24"/>
          <w:highlight w:val="none"/>
        </w:rPr>
        <w:t>招标文件要求提供的其它商务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技术资料和证明材料；</w:t>
      </w:r>
    </w:p>
    <w:p w14:paraId="1AB0431C">
      <w:pPr>
        <w:pStyle w:val="36"/>
        <w:rPr>
          <w:rFonts w:hint="eastAsia"/>
          <w:color w:val="auto"/>
          <w:sz w:val="24"/>
          <w:szCs w:val="24"/>
          <w:highlight w:val="none"/>
          <w:lang w:val="en-US" w:eastAsia="zh-CN"/>
        </w:rPr>
      </w:pPr>
      <w:r>
        <w:rPr>
          <w:rFonts w:hint="eastAsia"/>
          <w:color w:val="auto"/>
          <w:sz w:val="24"/>
          <w:szCs w:val="24"/>
          <w:highlight w:val="none"/>
          <w:lang w:val="en-US" w:eastAsia="zh-CN"/>
        </w:rPr>
        <w:t>1.1供应商信息采集表</w:t>
      </w:r>
    </w:p>
    <w:tbl>
      <w:tblPr>
        <w:tblStyle w:val="30"/>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08"/>
        <w:gridCol w:w="2841"/>
        <w:gridCol w:w="2743"/>
      </w:tblGrid>
      <w:tr w14:paraId="321A6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trPr>
        <w:tc>
          <w:tcPr>
            <w:tcW w:w="2708" w:type="dxa"/>
            <w:vAlign w:val="center"/>
          </w:tcPr>
          <w:p w14:paraId="1508E63E">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供应商名称</w:t>
            </w:r>
          </w:p>
        </w:tc>
        <w:tc>
          <w:tcPr>
            <w:tcW w:w="2841" w:type="dxa"/>
            <w:vAlign w:val="center"/>
          </w:tcPr>
          <w:p w14:paraId="525F160D">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供应商实际控制人性别</w:t>
            </w:r>
          </w:p>
        </w:tc>
        <w:tc>
          <w:tcPr>
            <w:tcW w:w="2743" w:type="dxa"/>
            <w:vAlign w:val="center"/>
          </w:tcPr>
          <w:p w14:paraId="6288AB90">
            <w:pPr>
              <w:keepNext w:val="0"/>
              <w:keepLines w:val="0"/>
              <w:widowControl/>
              <w:suppressLineNumbers w:val="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
              </w:rPr>
              <w:t>外商投资类型</w:t>
            </w:r>
          </w:p>
        </w:tc>
      </w:tr>
      <w:tr w14:paraId="0694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5BC16E3C">
            <w:pPr>
              <w:pStyle w:val="36"/>
              <w:rPr>
                <w:rFonts w:hint="eastAsia" w:ascii="宋体" w:hAnsi="宋体" w:eastAsia="宋体" w:cs="宋体"/>
                <w:color w:val="auto"/>
                <w:sz w:val="24"/>
                <w:szCs w:val="24"/>
                <w:highlight w:val="none"/>
                <w:vertAlign w:val="baseline"/>
                <w:lang w:val="en-US" w:eastAsia="zh-CN"/>
              </w:rPr>
            </w:pPr>
          </w:p>
        </w:tc>
        <w:tc>
          <w:tcPr>
            <w:tcW w:w="2841" w:type="dxa"/>
          </w:tcPr>
          <w:p w14:paraId="471F983C">
            <w:pPr>
              <w:pStyle w:val="36"/>
              <w:rPr>
                <w:rFonts w:hint="eastAsia" w:ascii="宋体" w:hAnsi="宋体" w:eastAsia="宋体" w:cs="宋体"/>
                <w:color w:val="auto"/>
                <w:sz w:val="24"/>
                <w:szCs w:val="24"/>
                <w:highlight w:val="none"/>
                <w:vertAlign w:val="baseline"/>
                <w:lang w:val="en-US" w:eastAsia="zh-CN"/>
              </w:rPr>
            </w:pPr>
          </w:p>
        </w:tc>
        <w:tc>
          <w:tcPr>
            <w:tcW w:w="2743" w:type="dxa"/>
          </w:tcPr>
          <w:p w14:paraId="59E9D0CB">
            <w:pPr>
              <w:pStyle w:val="36"/>
              <w:rPr>
                <w:rFonts w:hint="eastAsia" w:ascii="宋体" w:hAnsi="宋体" w:eastAsia="宋体" w:cs="宋体"/>
                <w:color w:val="auto"/>
                <w:sz w:val="24"/>
                <w:szCs w:val="24"/>
                <w:highlight w:val="none"/>
                <w:vertAlign w:val="baseline"/>
                <w:lang w:val="en-US" w:eastAsia="zh-CN"/>
              </w:rPr>
            </w:pPr>
          </w:p>
        </w:tc>
      </w:tr>
      <w:tr w14:paraId="6D8F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BE5BC20">
            <w:pPr>
              <w:pStyle w:val="36"/>
              <w:rPr>
                <w:rFonts w:hint="eastAsia" w:ascii="宋体" w:hAnsi="宋体" w:eastAsia="宋体" w:cs="宋体"/>
                <w:color w:val="auto"/>
                <w:sz w:val="24"/>
                <w:szCs w:val="24"/>
                <w:highlight w:val="none"/>
                <w:vertAlign w:val="baseline"/>
                <w:lang w:val="en-US" w:eastAsia="zh-CN"/>
              </w:rPr>
            </w:pPr>
          </w:p>
        </w:tc>
        <w:tc>
          <w:tcPr>
            <w:tcW w:w="2841" w:type="dxa"/>
          </w:tcPr>
          <w:p w14:paraId="65335BA2">
            <w:pPr>
              <w:pStyle w:val="36"/>
              <w:rPr>
                <w:rFonts w:hint="eastAsia" w:ascii="宋体" w:hAnsi="宋体" w:eastAsia="宋体" w:cs="宋体"/>
                <w:color w:val="auto"/>
                <w:sz w:val="24"/>
                <w:szCs w:val="24"/>
                <w:highlight w:val="none"/>
                <w:vertAlign w:val="baseline"/>
                <w:lang w:val="en-US" w:eastAsia="zh-CN"/>
              </w:rPr>
            </w:pPr>
          </w:p>
        </w:tc>
        <w:tc>
          <w:tcPr>
            <w:tcW w:w="2743" w:type="dxa"/>
          </w:tcPr>
          <w:p w14:paraId="331FBFA7">
            <w:pPr>
              <w:pStyle w:val="36"/>
              <w:rPr>
                <w:rFonts w:hint="eastAsia" w:ascii="宋体" w:hAnsi="宋体" w:eastAsia="宋体" w:cs="宋体"/>
                <w:color w:val="auto"/>
                <w:sz w:val="24"/>
                <w:szCs w:val="24"/>
                <w:highlight w:val="none"/>
                <w:vertAlign w:val="baseline"/>
                <w:lang w:val="en-US" w:eastAsia="zh-CN"/>
              </w:rPr>
            </w:pPr>
          </w:p>
        </w:tc>
      </w:tr>
      <w:tr w14:paraId="1A91A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399AB141">
            <w:pPr>
              <w:pStyle w:val="36"/>
              <w:rPr>
                <w:rFonts w:hint="eastAsia" w:ascii="宋体" w:hAnsi="宋体" w:eastAsia="宋体" w:cs="宋体"/>
                <w:color w:val="auto"/>
                <w:sz w:val="24"/>
                <w:szCs w:val="24"/>
                <w:highlight w:val="none"/>
                <w:vertAlign w:val="baseline"/>
                <w:lang w:val="en-US" w:eastAsia="zh-CN"/>
              </w:rPr>
            </w:pPr>
          </w:p>
        </w:tc>
        <w:tc>
          <w:tcPr>
            <w:tcW w:w="2841" w:type="dxa"/>
          </w:tcPr>
          <w:p w14:paraId="00E4C5E8">
            <w:pPr>
              <w:pStyle w:val="36"/>
              <w:rPr>
                <w:rFonts w:hint="eastAsia" w:ascii="宋体" w:hAnsi="宋体" w:eastAsia="宋体" w:cs="宋体"/>
                <w:color w:val="auto"/>
                <w:sz w:val="24"/>
                <w:szCs w:val="24"/>
                <w:highlight w:val="none"/>
                <w:vertAlign w:val="baseline"/>
                <w:lang w:val="en-US" w:eastAsia="zh-CN"/>
              </w:rPr>
            </w:pPr>
          </w:p>
        </w:tc>
        <w:tc>
          <w:tcPr>
            <w:tcW w:w="2743" w:type="dxa"/>
          </w:tcPr>
          <w:p w14:paraId="42125693">
            <w:pPr>
              <w:pStyle w:val="36"/>
              <w:rPr>
                <w:rFonts w:hint="eastAsia" w:ascii="宋体" w:hAnsi="宋体" w:eastAsia="宋体" w:cs="宋体"/>
                <w:color w:val="auto"/>
                <w:sz w:val="24"/>
                <w:szCs w:val="24"/>
                <w:highlight w:val="none"/>
                <w:vertAlign w:val="baseline"/>
                <w:lang w:val="en-US" w:eastAsia="zh-CN"/>
              </w:rPr>
            </w:pPr>
          </w:p>
        </w:tc>
      </w:tr>
      <w:tr w14:paraId="24B4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8" w:type="dxa"/>
          </w:tcPr>
          <w:p w14:paraId="2995954E">
            <w:pPr>
              <w:pStyle w:val="36"/>
              <w:rPr>
                <w:rFonts w:hint="eastAsia" w:ascii="宋体" w:hAnsi="宋体" w:eastAsia="宋体" w:cs="宋体"/>
                <w:color w:val="auto"/>
                <w:sz w:val="24"/>
                <w:szCs w:val="24"/>
                <w:highlight w:val="none"/>
                <w:vertAlign w:val="baseline"/>
                <w:lang w:val="en-US" w:eastAsia="zh-CN"/>
              </w:rPr>
            </w:pPr>
          </w:p>
        </w:tc>
        <w:tc>
          <w:tcPr>
            <w:tcW w:w="2841" w:type="dxa"/>
          </w:tcPr>
          <w:p w14:paraId="75889361">
            <w:pPr>
              <w:pStyle w:val="36"/>
              <w:rPr>
                <w:rFonts w:hint="eastAsia" w:ascii="宋体" w:hAnsi="宋体" w:eastAsia="宋体" w:cs="宋体"/>
                <w:color w:val="auto"/>
                <w:sz w:val="24"/>
                <w:szCs w:val="24"/>
                <w:highlight w:val="none"/>
                <w:vertAlign w:val="baseline"/>
                <w:lang w:val="en-US" w:eastAsia="zh-CN"/>
              </w:rPr>
            </w:pPr>
          </w:p>
        </w:tc>
        <w:tc>
          <w:tcPr>
            <w:tcW w:w="2743" w:type="dxa"/>
          </w:tcPr>
          <w:p w14:paraId="760C7D5C">
            <w:pPr>
              <w:pStyle w:val="36"/>
              <w:rPr>
                <w:rFonts w:hint="eastAsia" w:ascii="宋体" w:hAnsi="宋体" w:eastAsia="宋体" w:cs="宋体"/>
                <w:color w:val="auto"/>
                <w:sz w:val="24"/>
                <w:szCs w:val="24"/>
                <w:highlight w:val="none"/>
                <w:vertAlign w:val="baseline"/>
                <w:lang w:val="en-US" w:eastAsia="zh-CN"/>
              </w:rPr>
            </w:pPr>
          </w:p>
        </w:tc>
      </w:tr>
    </w:tbl>
    <w:p w14:paraId="799D1172">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注：1.供应商如为联合体，则应填写联合体各成员信息。 </w:t>
      </w:r>
    </w:p>
    <w:p w14:paraId="429C5533">
      <w:pPr>
        <w:keepNext w:val="0"/>
        <w:keepLines w:val="0"/>
        <w:widowControl/>
        <w:suppressLineNumbers w:val="0"/>
        <w:ind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cs="宋体"/>
          <w:color w:val="auto"/>
          <w:kern w:val="0"/>
          <w:sz w:val="21"/>
          <w:szCs w:val="21"/>
          <w:highlight w:val="none"/>
          <w:lang w:val="en-US" w:eastAsia="zh-CN" w:bidi="ar"/>
        </w:rPr>
        <w:t>“供应商实际控制人性别”</w:t>
      </w:r>
      <w:r>
        <w:rPr>
          <w:rFonts w:hint="eastAsia" w:ascii="宋体" w:hAnsi="宋体" w:eastAsia="宋体" w:cs="宋体"/>
          <w:color w:val="auto"/>
          <w:kern w:val="0"/>
          <w:sz w:val="21"/>
          <w:szCs w:val="21"/>
          <w:highlight w:val="none"/>
          <w:lang w:val="en-US" w:eastAsia="zh-CN" w:bidi="ar"/>
        </w:rPr>
        <w:t>按供应商实际控制人性别划分请填写“男”或“女”，指拥有供应商 51%以上绝对所有权的性；绝对所有权拥有者可以是一个人，也可以是多人合计计算。</w:t>
      </w:r>
    </w:p>
    <w:p w14:paraId="6C85D95C">
      <w:pPr>
        <w:pStyle w:val="36"/>
        <w:ind w:left="0" w:leftChars="0" w:firstLine="420" w:firstLineChars="200"/>
        <w:rPr>
          <w:rFonts w:hint="eastAsia"/>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外商投资类型</w:t>
      </w:r>
      <w:r>
        <w:rPr>
          <w:rFonts w:hint="eastAsia"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请填写“外商单独投资”、“外商部分投资”或“内资”。</w:t>
      </w:r>
    </w:p>
    <w:p w14:paraId="74B37C36">
      <w:pPr>
        <w:pStyle w:val="36"/>
        <w:rPr>
          <w:rFonts w:hint="eastAsia"/>
          <w:color w:val="auto"/>
          <w:sz w:val="28"/>
          <w:szCs w:val="28"/>
          <w:highlight w:val="none"/>
          <w:lang w:val="en-US" w:eastAsia="zh-CN"/>
        </w:rPr>
      </w:pPr>
    </w:p>
    <w:p w14:paraId="3F26FF37">
      <w:pPr>
        <w:pStyle w:val="36"/>
        <w:rPr>
          <w:rFonts w:hint="eastAsia"/>
          <w:color w:val="auto"/>
          <w:sz w:val="24"/>
          <w:szCs w:val="24"/>
          <w:highlight w:val="none"/>
          <w:lang w:val="en-US" w:eastAsia="zh-CN"/>
        </w:rPr>
      </w:pPr>
      <w:r>
        <w:rPr>
          <w:rFonts w:hint="eastAsia"/>
          <w:color w:val="auto"/>
          <w:sz w:val="24"/>
          <w:szCs w:val="24"/>
          <w:highlight w:val="none"/>
          <w:lang w:val="en-US" w:eastAsia="zh-CN"/>
        </w:rPr>
        <w:t>1.2其它商务、技术资料和证明材料</w:t>
      </w:r>
    </w:p>
    <w:p w14:paraId="110B54DA">
      <w:pPr>
        <w:pStyle w:val="36"/>
        <w:ind w:left="0" w:leftChars="0" w:firstLine="0" w:firstLineChars="0"/>
        <w:rPr>
          <w:rFonts w:hint="eastAsia"/>
          <w:b/>
          <w:bCs/>
          <w:color w:val="auto"/>
          <w:sz w:val="24"/>
          <w:szCs w:val="24"/>
          <w:highlight w:val="none"/>
          <w:lang w:eastAsia="zh-CN"/>
        </w:rPr>
      </w:pPr>
    </w:p>
    <w:p w14:paraId="7DF13FE9">
      <w:pPr>
        <w:pStyle w:val="36"/>
        <w:ind w:left="0" w:leftChars="0" w:firstLine="0" w:firstLineChars="0"/>
        <w:rPr>
          <w:rFonts w:hint="eastAsia"/>
          <w:b/>
          <w:bCs/>
          <w:color w:val="auto"/>
          <w:sz w:val="24"/>
          <w:szCs w:val="24"/>
          <w:highlight w:val="none"/>
        </w:rPr>
      </w:pPr>
      <w:r>
        <w:rPr>
          <w:rFonts w:hint="eastAsia"/>
          <w:b/>
          <w:bCs/>
          <w:color w:val="auto"/>
          <w:sz w:val="24"/>
          <w:szCs w:val="24"/>
          <w:highlight w:val="none"/>
          <w:lang w:eastAsia="zh-CN"/>
        </w:rPr>
        <w:t>（</w:t>
      </w:r>
      <w:r>
        <w:rPr>
          <w:rFonts w:hint="eastAsia"/>
          <w:b/>
          <w:bCs/>
          <w:color w:val="auto"/>
          <w:sz w:val="24"/>
          <w:szCs w:val="24"/>
          <w:highlight w:val="none"/>
          <w:lang w:val="en-US" w:eastAsia="zh-CN"/>
        </w:rPr>
        <w:t>二）</w:t>
      </w:r>
      <w:r>
        <w:rPr>
          <w:rFonts w:hint="eastAsia"/>
          <w:b/>
          <w:bCs/>
          <w:color w:val="auto"/>
          <w:sz w:val="24"/>
          <w:szCs w:val="24"/>
          <w:highlight w:val="none"/>
        </w:rPr>
        <w:t>投标人认为需要提供的其它商务</w:t>
      </w:r>
      <w:r>
        <w:rPr>
          <w:rFonts w:hint="eastAsia"/>
          <w:b/>
          <w:bCs/>
          <w:color w:val="auto"/>
          <w:sz w:val="24"/>
          <w:szCs w:val="24"/>
          <w:highlight w:val="none"/>
          <w:lang w:eastAsia="zh-CN"/>
        </w:rPr>
        <w:t>、</w:t>
      </w:r>
      <w:r>
        <w:rPr>
          <w:rFonts w:hint="eastAsia"/>
          <w:b/>
          <w:bCs/>
          <w:color w:val="auto"/>
          <w:sz w:val="24"/>
          <w:szCs w:val="24"/>
          <w:highlight w:val="none"/>
        </w:rPr>
        <w:t>技术资料和说明。</w:t>
      </w:r>
    </w:p>
    <w:p w14:paraId="65F798E4">
      <w:pPr>
        <w:pStyle w:val="36"/>
        <w:rPr>
          <w:rFonts w:hint="eastAsia"/>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FZShuSong-Z0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DejaVuSan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75237">
    <w:pPr>
      <w:pStyle w:val="1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4804"/>
                          </w:sdtPr>
                          <w:sdtContent>
                            <w:p w14:paraId="43E63C1D">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18A90B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54804"/>
                    </w:sdtPr>
                    <w:sdtContent>
                      <w:p w14:paraId="43E63C1D">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718A90BE"/>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8C5A1">
    <w:pPr>
      <w:pStyle w:val="1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2D5C">
    <w:pPr>
      <w:pStyle w:val="1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3757FD">
                          <w:pPr>
                            <w:pStyle w:val="1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13757FD">
                    <w:pPr>
                      <w:pStyle w:val="1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1052">
    <w:pPr>
      <w:pStyle w:val="1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8428888"/>
                          </w:sdtPr>
                          <w:sdtContent>
                            <w:p w14:paraId="1087FA9B">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48A793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78428888"/>
                    </w:sdtPr>
                    <w:sdtContent>
                      <w:p w14:paraId="1087FA9B">
                        <w:pPr>
                          <w:pStyle w:val="19"/>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448A7938"/>
                </w:txbxContent>
              </v:textbox>
            </v:shape>
          </w:pict>
        </mc:Fallback>
      </mc:AlternateContent>
    </w:r>
  </w:p>
  <w:p w14:paraId="4005E617">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7AC4">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2F3D0">
    <w:pPr>
      <w:pStyle w:val="20"/>
    </w:pPr>
    <w:r>
      <w:rPr>
        <w:rFonts w:hint="eastAsia"/>
        <w:sz w:val="24"/>
        <w:szCs w:val="24"/>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70575"/>
    <w:multiLevelType w:val="singleLevel"/>
    <w:tmpl w:val="9C070575"/>
    <w:lvl w:ilvl="0" w:tentative="0">
      <w:start w:val="1"/>
      <w:numFmt w:val="decimal"/>
      <w:pStyle w:val="7"/>
      <w:lvlText w:val="%1."/>
      <w:lvlJc w:val="left"/>
      <w:pPr>
        <w:tabs>
          <w:tab w:val="left" w:pos="780"/>
        </w:tabs>
        <w:ind w:left="780" w:hanging="360"/>
      </w:pPr>
    </w:lvl>
  </w:abstractNum>
  <w:abstractNum w:abstractNumId="1">
    <w:nsid w:val="447B6378"/>
    <w:multiLevelType w:val="multilevel"/>
    <w:tmpl w:val="447B6378"/>
    <w:lvl w:ilvl="0" w:tentative="0">
      <w:start w:val="1"/>
      <w:numFmt w:val="decimal"/>
      <w:pStyle w:val="38"/>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NTg1OTJkZTA1ZDVhNGYzMmVkNzJiZGI5ZmNhNzAifQ=="/>
  </w:docVars>
  <w:rsids>
    <w:rsidRoot w:val="00172A27"/>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0EAD"/>
    <w:rsid w:val="00156600"/>
    <w:rsid w:val="00160E9C"/>
    <w:rsid w:val="00172190"/>
    <w:rsid w:val="00173480"/>
    <w:rsid w:val="00181988"/>
    <w:rsid w:val="00182557"/>
    <w:rsid w:val="0018304A"/>
    <w:rsid w:val="001904E9"/>
    <w:rsid w:val="001A77DE"/>
    <w:rsid w:val="001B36EC"/>
    <w:rsid w:val="001D7B23"/>
    <w:rsid w:val="001E2F56"/>
    <w:rsid w:val="00204A2D"/>
    <w:rsid w:val="002062E6"/>
    <w:rsid w:val="00207131"/>
    <w:rsid w:val="0022214D"/>
    <w:rsid w:val="00223585"/>
    <w:rsid w:val="002257E4"/>
    <w:rsid w:val="002317DB"/>
    <w:rsid w:val="00232245"/>
    <w:rsid w:val="0023265E"/>
    <w:rsid w:val="00235B5A"/>
    <w:rsid w:val="00251060"/>
    <w:rsid w:val="002514A3"/>
    <w:rsid w:val="00256B32"/>
    <w:rsid w:val="00256D01"/>
    <w:rsid w:val="002706F2"/>
    <w:rsid w:val="00271135"/>
    <w:rsid w:val="00285E30"/>
    <w:rsid w:val="00292BAB"/>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D6656"/>
    <w:rsid w:val="003E057C"/>
    <w:rsid w:val="003E2B14"/>
    <w:rsid w:val="003E314B"/>
    <w:rsid w:val="003F5655"/>
    <w:rsid w:val="003F5BC6"/>
    <w:rsid w:val="004021C6"/>
    <w:rsid w:val="00406BEF"/>
    <w:rsid w:val="00410595"/>
    <w:rsid w:val="00420F7C"/>
    <w:rsid w:val="0043307A"/>
    <w:rsid w:val="00433514"/>
    <w:rsid w:val="00446BB3"/>
    <w:rsid w:val="0045353D"/>
    <w:rsid w:val="004771C7"/>
    <w:rsid w:val="00481283"/>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714C6"/>
    <w:rsid w:val="00594E7A"/>
    <w:rsid w:val="005A146E"/>
    <w:rsid w:val="005A7208"/>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2EF7"/>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0750"/>
    <w:rsid w:val="00923C36"/>
    <w:rsid w:val="00924B8E"/>
    <w:rsid w:val="00930024"/>
    <w:rsid w:val="009344DE"/>
    <w:rsid w:val="009357E5"/>
    <w:rsid w:val="00936087"/>
    <w:rsid w:val="00945D17"/>
    <w:rsid w:val="00951FEE"/>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295D"/>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32474"/>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57B"/>
    <w:rsid w:val="00BC7ED2"/>
    <w:rsid w:val="00BD0190"/>
    <w:rsid w:val="00BE212E"/>
    <w:rsid w:val="00BE4AAB"/>
    <w:rsid w:val="00BE5086"/>
    <w:rsid w:val="00BF4971"/>
    <w:rsid w:val="00C07F40"/>
    <w:rsid w:val="00C12E85"/>
    <w:rsid w:val="00C16A79"/>
    <w:rsid w:val="00C20278"/>
    <w:rsid w:val="00C22791"/>
    <w:rsid w:val="00C236DC"/>
    <w:rsid w:val="00C31B7F"/>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A0745"/>
    <w:rsid w:val="00EC7C64"/>
    <w:rsid w:val="00ED00D6"/>
    <w:rsid w:val="00EE26DC"/>
    <w:rsid w:val="00EE3FF1"/>
    <w:rsid w:val="00EE5816"/>
    <w:rsid w:val="00F03292"/>
    <w:rsid w:val="00F0565C"/>
    <w:rsid w:val="00F121AE"/>
    <w:rsid w:val="00F15852"/>
    <w:rsid w:val="00F23F4B"/>
    <w:rsid w:val="00F462F0"/>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064C9A"/>
    <w:rsid w:val="01303AC5"/>
    <w:rsid w:val="013E61E2"/>
    <w:rsid w:val="014F4893"/>
    <w:rsid w:val="01554610"/>
    <w:rsid w:val="01781929"/>
    <w:rsid w:val="017C564F"/>
    <w:rsid w:val="01877B89"/>
    <w:rsid w:val="019E3125"/>
    <w:rsid w:val="01BA39DE"/>
    <w:rsid w:val="01CA216C"/>
    <w:rsid w:val="01D0068D"/>
    <w:rsid w:val="01D775B9"/>
    <w:rsid w:val="01DD3C4D"/>
    <w:rsid w:val="02026E30"/>
    <w:rsid w:val="02132174"/>
    <w:rsid w:val="02186A33"/>
    <w:rsid w:val="022278B2"/>
    <w:rsid w:val="023130F5"/>
    <w:rsid w:val="024737BC"/>
    <w:rsid w:val="024C2B81"/>
    <w:rsid w:val="026D3223"/>
    <w:rsid w:val="028604AE"/>
    <w:rsid w:val="028B75EF"/>
    <w:rsid w:val="028D5673"/>
    <w:rsid w:val="02922C89"/>
    <w:rsid w:val="029D33DC"/>
    <w:rsid w:val="02AD3196"/>
    <w:rsid w:val="02C44E0D"/>
    <w:rsid w:val="02C9326F"/>
    <w:rsid w:val="02DA63DE"/>
    <w:rsid w:val="02DF39F5"/>
    <w:rsid w:val="02EF5EA2"/>
    <w:rsid w:val="03200295"/>
    <w:rsid w:val="0361440A"/>
    <w:rsid w:val="036D7252"/>
    <w:rsid w:val="03747EC0"/>
    <w:rsid w:val="03922815"/>
    <w:rsid w:val="03990047"/>
    <w:rsid w:val="039A531A"/>
    <w:rsid w:val="03AF1619"/>
    <w:rsid w:val="03B7227C"/>
    <w:rsid w:val="03C07382"/>
    <w:rsid w:val="03C350C4"/>
    <w:rsid w:val="03E07A24"/>
    <w:rsid w:val="03E2554B"/>
    <w:rsid w:val="03E30F7F"/>
    <w:rsid w:val="03EA08A3"/>
    <w:rsid w:val="03F62DA4"/>
    <w:rsid w:val="04001E75"/>
    <w:rsid w:val="040E4592"/>
    <w:rsid w:val="04293179"/>
    <w:rsid w:val="043833BC"/>
    <w:rsid w:val="04446205"/>
    <w:rsid w:val="04506958"/>
    <w:rsid w:val="045126D0"/>
    <w:rsid w:val="045D72C7"/>
    <w:rsid w:val="045F303F"/>
    <w:rsid w:val="04820ADC"/>
    <w:rsid w:val="04893C18"/>
    <w:rsid w:val="04951C17"/>
    <w:rsid w:val="049F343C"/>
    <w:rsid w:val="04B14F1D"/>
    <w:rsid w:val="04F01EE9"/>
    <w:rsid w:val="04F574FF"/>
    <w:rsid w:val="05025778"/>
    <w:rsid w:val="052E656D"/>
    <w:rsid w:val="053A4F12"/>
    <w:rsid w:val="053F247C"/>
    <w:rsid w:val="05595CE0"/>
    <w:rsid w:val="057C377D"/>
    <w:rsid w:val="057E74F5"/>
    <w:rsid w:val="05810D93"/>
    <w:rsid w:val="05812B41"/>
    <w:rsid w:val="05B362B9"/>
    <w:rsid w:val="05C2565F"/>
    <w:rsid w:val="05C72C4A"/>
    <w:rsid w:val="05CB2336"/>
    <w:rsid w:val="05D15877"/>
    <w:rsid w:val="05D215EF"/>
    <w:rsid w:val="05D2339D"/>
    <w:rsid w:val="05D37841"/>
    <w:rsid w:val="05E530D0"/>
    <w:rsid w:val="05EA4B8A"/>
    <w:rsid w:val="05FD48BE"/>
    <w:rsid w:val="06231E4A"/>
    <w:rsid w:val="06253E14"/>
    <w:rsid w:val="0633208D"/>
    <w:rsid w:val="063A16EC"/>
    <w:rsid w:val="063B53E6"/>
    <w:rsid w:val="065B7836"/>
    <w:rsid w:val="06856661"/>
    <w:rsid w:val="069114AA"/>
    <w:rsid w:val="0698763E"/>
    <w:rsid w:val="06A66D03"/>
    <w:rsid w:val="06AE7966"/>
    <w:rsid w:val="06AF6DD1"/>
    <w:rsid w:val="06B07B82"/>
    <w:rsid w:val="06B64A6C"/>
    <w:rsid w:val="06DD649D"/>
    <w:rsid w:val="06E8731C"/>
    <w:rsid w:val="06F04422"/>
    <w:rsid w:val="07047ECE"/>
    <w:rsid w:val="071C5217"/>
    <w:rsid w:val="071D4AEC"/>
    <w:rsid w:val="07210A39"/>
    <w:rsid w:val="072242D3"/>
    <w:rsid w:val="072440CC"/>
    <w:rsid w:val="0737795B"/>
    <w:rsid w:val="073F4A62"/>
    <w:rsid w:val="07442078"/>
    <w:rsid w:val="07585B24"/>
    <w:rsid w:val="078A2181"/>
    <w:rsid w:val="07941252"/>
    <w:rsid w:val="07B54D24"/>
    <w:rsid w:val="07EA70C4"/>
    <w:rsid w:val="081E0B1B"/>
    <w:rsid w:val="08534C69"/>
    <w:rsid w:val="085D7896"/>
    <w:rsid w:val="08687FE8"/>
    <w:rsid w:val="08935065"/>
    <w:rsid w:val="08997D8A"/>
    <w:rsid w:val="089A2898"/>
    <w:rsid w:val="08AD2074"/>
    <w:rsid w:val="08D306C7"/>
    <w:rsid w:val="08D538D0"/>
    <w:rsid w:val="08D77648"/>
    <w:rsid w:val="08E04023"/>
    <w:rsid w:val="08F2265D"/>
    <w:rsid w:val="09077801"/>
    <w:rsid w:val="091C32AD"/>
    <w:rsid w:val="09212671"/>
    <w:rsid w:val="0926010A"/>
    <w:rsid w:val="093D1475"/>
    <w:rsid w:val="093F343F"/>
    <w:rsid w:val="09412D13"/>
    <w:rsid w:val="095B3C9B"/>
    <w:rsid w:val="095E1B17"/>
    <w:rsid w:val="09664528"/>
    <w:rsid w:val="09704318"/>
    <w:rsid w:val="09AC1C5B"/>
    <w:rsid w:val="09B039F5"/>
    <w:rsid w:val="09BD105E"/>
    <w:rsid w:val="09CE174C"/>
    <w:rsid w:val="09EA6F07"/>
    <w:rsid w:val="09EB2C7F"/>
    <w:rsid w:val="09FE29B2"/>
    <w:rsid w:val="0A140428"/>
    <w:rsid w:val="0A1C108A"/>
    <w:rsid w:val="0A2148F3"/>
    <w:rsid w:val="0A2C5771"/>
    <w:rsid w:val="0A391C3C"/>
    <w:rsid w:val="0A3D172D"/>
    <w:rsid w:val="0A3E680D"/>
    <w:rsid w:val="0A6749FB"/>
    <w:rsid w:val="0A740EC6"/>
    <w:rsid w:val="0A7964DD"/>
    <w:rsid w:val="0A825391"/>
    <w:rsid w:val="0A9D29C6"/>
    <w:rsid w:val="0A9F4195"/>
    <w:rsid w:val="0AAB338B"/>
    <w:rsid w:val="0AD6392F"/>
    <w:rsid w:val="0AD83203"/>
    <w:rsid w:val="0AEF054D"/>
    <w:rsid w:val="0AF049F1"/>
    <w:rsid w:val="0B05734A"/>
    <w:rsid w:val="0B08583F"/>
    <w:rsid w:val="0B095AB3"/>
    <w:rsid w:val="0B0E131B"/>
    <w:rsid w:val="0B115FB9"/>
    <w:rsid w:val="0B1A381C"/>
    <w:rsid w:val="0B265A74"/>
    <w:rsid w:val="0B352404"/>
    <w:rsid w:val="0B376893"/>
    <w:rsid w:val="0B381EF4"/>
    <w:rsid w:val="0B386398"/>
    <w:rsid w:val="0B3A0D5F"/>
    <w:rsid w:val="0B3A3EBE"/>
    <w:rsid w:val="0B460AB5"/>
    <w:rsid w:val="0B536D2E"/>
    <w:rsid w:val="0B5C2086"/>
    <w:rsid w:val="0B674587"/>
    <w:rsid w:val="0B6A776A"/>
    <w:rsid w:val="0B6E5916"/>
    <w:rsid w:val="0BB24C22"/>
    <w:rsid w:val="0BD87233"/>
    <w:rsid w:val="0BF0642E"/>
    <w:rsid w:val="0BF202F5"/>
    <w:rsid w:val="0BFE313E"/>
    <w:rsid w:val="0C02649C"/>
    <w:rsid w:val="0C0B25B3"/>
    <w:rsid w:val="0C104C1F"/>
    <w:rsid w:val="0C1E6205"/>
    <w:rsid w:val="0C28640C"/>
    <w:rsid w:val="0C3C5A14"/>
    <w:rsid w:val="0C5A4DAC"/>
    <w:rsid w:val="0C5E47B4"/>
    <w:rsid w:val="0C8A677F"/>
    <w:rsid w:val="0CC04897"/>
    <w:rsid w:val="0CD12600"/>
    <w:rsid w:val="0CD520F0"/>
    <w:rsid w:val="0CD67C16"/>
    <w:rsid w:val="0CD81BE1"/>
    <w:rsid w:val="0CFB142B"/>
    <w:rsid w:val="0D0C53E6"/>
    <w:rsid w:val="0D2210AE"/>
    <w:rsid w:val="0D466B4A"/>
    <w:rsid w:val="0D611BD6"/>
    <w:rsid w:val="0D865A79"/>
    <w:rsid w:val="0D95205B"/>
    <w:rsid w:val="0D957AD2"/>
    <w:rsid w:val="0D9D0734"/>
    <w:rsid w:val="0DA90E87"/>
    <w:rsid w:val="0DB74AC1"/>
    <w:rsid w:val="0DEF71E2"/>
    <w:rsid w:val="0E0D58BA"/>
    <w:rsid w:val="0E0F1632"/>
    <w:rsid w:val="0E19425F"/>
    <w:rsid w:val="0E237412"/>
    <w:rsid w:val="0E2449B2"/>
    <w:rsid w:val="0E342E47"/>
    <w:rsid w:val="0E460DCC"/>
    <w:rsid w:val="0E50599A"/>
    <w:rsid w:val="0E653000"/>
    <w:rsid w:val="0E6D45AA"/>
    <w:rsid w:val="0E72396F"/>
    <w:rsid w:val="0E796AAB"/>
    <w:rsid w:val="0E7B2A67"/>
    <w:rsid w:val="0E7C0027"/>
    <w:rsid w:val="0E7E0566"/>
    <w:rsid w:val="0E7F6315"/>
    <w:rsid w:val="0E8D07A9"/>
    <w:rsid w:val="0EB36461"/>
    <w:rsid w:val="0EB45D35"/>
    <w:rsid w:val="0EBD75FE"/>
    <w:rsid w:val="0ECA5559"/>
    <w:rsid w:val="0ED87C76"/>
    <w:rsid w:val="0EF600FC"/>
    <w:rsid w:val="0F1B5913"/>
    <w:rsid w:val="0F4C0664"/>
    <w:rsid w:val="0F5337A0"/>
    <w:rsid w:val="0F711E78"/>
    <w:rsid w:val="0F917E25"/>
    <w:rsid w:val="0F96368D"/>
    <w:rsid w:val="0F9D4A1B"/>
    <w:rsid w:val="0FA062BA"/>
    <w:rsid w:val="0FA638D0"/>
    <w:rsid w:val="0FB35FED"/>
    <w:rsid w:val="0FD33C3D"/>
    <w:rsid w:val="0FE8213B"/>
    <w:rsid w:val="0FF52AA9"/>
    <w:rsid w:val="0FF860F6"/>
    <w:rsid w:val="0FF94348"/>
    <w:rsid w:val="0FFF1232"/>
    <w:rsid w:val="10047D52"/>
    <w:rsid w:val="10086339"/>
    <w:rsid w:val="10150A56"/>
    <w:rsid w:val="10240C99"/>
    <w:rsid w:val="102723E9"/>
    <w:rsid w:val="102B566C"/>
    <w:rsid w:val="104841C5"/>
    <w:rsid w:val="107439CE"/>
    <w:rsid w:val="10861954"/>
    <w:rsid w:val="1090632E"/>
    <w:rsid w:val="10A92DD3"/>
    <w:rsid w:val="10BD54A5"/>
    <w:rsid w:val="10C55FD8"/>
    <w:rsid w:val="10F845FF"/>
    <w:rsid w:val="1103023A"/>
    <w:rsid w:val="11036B00"/>
    <w:rsid w:val="11082369"/>
    <w:rsid w:val="11357D2A"/>
    <w:rsid w:val="113849FC"/>
    <w:rsid w:val="113A4C18"/>
    <w:rsid w:val="11421E5E"/>
    <w:rsid w:val="11422FE1"/>
    <w:rsid w:val="116E48C1"/>
    <w:rsid w:val="11845E93"/>
    <w:rsid w:val="11867E5D"/>
    <w:rsid w:val="11877731"/>
    <w:rsid w:val="11967974"/>
    <w:rsid w:val="11A2456B"/>
    <w:rsid w:val="11AE5258"/>
    <w:rsid w:val="11DF30C9"/>
    <w:rsid w:val="11FA6155"/>
    <w:rsid w:val="12130FC5"/>
    <w:rsid w:val="121C60CC"/>
    <w:rsid w:val="1222745A"/>
    <w:rsid w:val="12371157"/>
    <w:rsid w:val="127001C5"/>
    <w:rsid w:val="127759F8"/>
    <w:rsid w:val="127A0C92"/>
    <w:rsid w:val="127F48AC"/>
    <w:rsid w:val="128819B3"/>
    <w:rsid w:val="128F2D41"/>
    <w:rsid w:val="12942106"/>
    <w:rsid w:val="129E4D32"/>
    <w:rsid w:val="12A548F1"/>
    <w:rsid w:val="12B91B6C"/>
    <w:rsid w:val="12BA7692"/>
    <w:rsid w:val="12EF558E"/>
    <w:rsid w:val="12F9640D"/>
    <w:rsid w:val="13021765"/>
    <w:rsid w:val="13037AFF"/>
    <w:rsid w:val="132A4818"/>
    <w:rsid w:val="13456351"/>
    <w:rsid w:val="134C0C32"/>
    <w:rsid w:val="13541895"/>
    <w:rsid w:val="135D4BEE"/>
    <w:rsid w:val="137B79E1"/>
    <w:rsid w:val="13833F28"/>
    <w:rsid w:val="13E7095B"/>
    <w:rsid w:val="13E83E5F"/>
    <w:rsid w:val="14065285"/>
    <w:rsid w:val="144731A8"/>
    <w:rsid w:val="14717C9A"/>
    <w:rsid w:val="147F2942"/>
    <w:rsid w:val="14991C55"/>
    <w:rsid w:val="14AF7789"/>
    <w:rsid w:val="14D50D33"/>
    <w:rsid w:val="14DA401C"/>
    <w:rsid w:val="14EA0703"/>
    <w:rsid w:val="14EF1875"/>
    <w:rsid w:val="151E65FF"/>
    <w:rsid w:val="1537321C"/>
    <w:rsid w:val="154020D1"/>
    <w:rsid w:val="157B7F4A"/>
    <w:rsid w:val="1585042C"/>
    <w:rsid w:val="15A840F3"/>
    <w:rsid w:val="15AE1730"/>
    <w:rsid w:val="15B11221"/>
    <w:rsid w:val="15E37F2A"/>
    <w:rsid w:val="15FB249C"/>
    <w:rsid w:val="15FF3D3A"/>
    <w:rsid w:val="16383AE2"/>
    <w:rsid w:val="16565924"/>
    <w:rsid w:val="16571DC8"/>
    <w:rsid w:val="16646293"/>
    <w:rsid w:val="16685D83"/>
    <w:rsid w:val="167C182F"/>
    <w:rsid w:val="167C538B"/>
    <w:rsid w:val="167D1103"/>
    <w:rsid w:val="167D2FDD"/>
    <w:rsid w:val="16AE5760"/>
    <w:rsid w:val="16AE750E"/>
    <w:rsid w:val="16AF2A39"/>
    <w:rsid w:val="16B40FC8"/>
    <w:rsid w:val="16BC1C2B"/>
    <w:rsid w:val="16BD0A63"/>
    <w:rsid w:val="16C46D32"/>
    <w:rsid w:val="16E3540A"/>
    <w:rsid w:val="16E442B3"/>
    <w:rsid w:val="17003D4F"/>
    <w:rsid w:val="1711641B"/>
    <w:rsid w:val="1719707D"/>
    <w:rsid w:val="17215F32"/>
    <w:rsid w:val="172872C1"/>
    <w:rsid w:val="17457E73"/>
    <w:rsid w:val="174F6F43"/>
    <w:rsid w:val="175814CF"/>
    <w:rsid w:val="176821F4"/>
    <w:rsid w:val="177E1C86"/>
    <w:rsid w:val="17944956"/>
    <w:rsid w:val="179B7A92"/>
    <w:rsid w:val="17AD77C6"/>
    <w:rsid w:val="17B62B1E"/>
    <w:rsid w:val="17CB7119"/>
    <w:rsid w:val="17DB67AF"/>
    <w:rsid w:val="18041ADC"/>
    <w:rsid w:val="18495740"/>
    <w:rsid w:val="185A794E"/>
    <w:rsid w:val="18891474"/>
    <w:rsid w:val="188E6B63"/>
    <w:rsid w:val="188F0B1E"/>
    <w:rsid w:val="18C272A1"/>
    <w:rsid w:val="18D314AE"/>
    <w:rsid w:val="18DA283C"/>
    <w:rsid w:val="18F90F15"/>
    <w:rsid w:val="192D6E10"/>
    <w:rsid w:val="19373862"/>
    <w:rsid w:val="193D1CBA"/>
    <w:rsid w:val="19520625"/>
    <w:rsid w:val="19526877"/>
    <w:rsid w:val="19856C4C"/>
    <w:rsid w:val="199665EC"/>
    <w:rsid w:val="19CC03D7"/>
    <w:rsid w:val="19D2300F"/>
    <w:rsid w:val="19EC5173"/>
    <w:rsid w:val="19F872A0"/>
    <w:rsid w:val="1A352420"/>
    <w:rsid w:val="1A377809"/>
    <w:rsid w:val="1A452ACF"/>
    <w:rsid w:val="1A512FD2"/>
    <w:rsid w:val="1A5D54D3"/>
    <w:rsid w:val="1ADA2FC8"/>
    <w:rsid w:val="1AE259D8"/>
    <w:rsid w:val="1AE35507"/>
    <w:rsid w:val="1AEB2ADF"/>
    <w:rsid w:val="1AF04599"/>
    <w:rsid w:val="1AFC1190"/>
    <w:rsid w:val="1B2129A5"/>
    <w:rsid w:val="1B3B1964"/>
    <w:rsid w:val="1B3E3557"/>
    <w:rsid w:val="1B5E7755"/>
    <w:rsid w:val="1B636B19"/>
    <w:rsid w:val="1B6805D3"/>
    <w:rsid w:val="1B7E1468"/>
    <w:rsid w:val="1B825739"/>
    <w:rsid w:val="1B83540D"/>
    <w:rsid w:val="1BA62EAA"/>
    <w:rsid w:val="1BC17CE4"/>
    <w:rsid w:val="1BCC0B62"/>
    <w:rsid w:val="1BDD4B1E"/>
    <w:rsid w:val="1BE35EAC"/>
    <w:rsid w:val="1BE718C7"/>
    <w:rsid w:val="1BF43C15"/>
    <w:rsid w:val="1C146065"/>
    <w:rsid w:val="1C1B73F4"/>
    <w:rsid w:val="1C2F10F1"/>
    <w:rsid w:val="1C3B1844"/>
    <w:rsid w:val="1C406E5A"/>
    <w:rsid w:val="1C495921"/>
    <w:rsid w:val="1C744D56"/>
    <w:rsid w:val="1C7A6810"/>
    <w:rsid w:val="1C7B7E93"/>
    <w:rsid w:val="1C7D1E5D"/>
    <w:rsid w:val="1C8036FB"/>
    <w:rsid w:val="1C9C6787"/>
    <w:rsid w:val="1CD770EC"/>
    <w:rsid w:val="1CE43C8A"/>
    <w:rsid w:val="1D183933"/>
    <w:rsid w:val="1D210A3A"/>
    <w:rsid w:val="1D3764AF"/>
    <w:rsid w:val="1D4F5570"/>
    <w:rsid w:val="1D5E1C8E"/>
    <w:rsid w:val="1D61177E"/>
    <w:rsid w:val="1D7E7C3A"/>
    <w:rsid w:val="1D8D4321"/>
    <w:rsid w:val="1D9C27B6"/>
    <w:rsid w:val="1DA35CDF"/>
    <w:rsid w:val="1DAA4ED3"/>
    <w:rsid w:val="1DC615E1"/>
    <w:rsid w:val="1DC835AB"/>
    <w:rsid w:val="1DFD14A7"/>
    <w:rsid w:val="1E037E3E"/>
    <w:rsid w:val="1E2F7187"/>
    <w:rsid w:val="1E340C41"/>
    <w:rsid w:val="1E401394"/>
    <w:rsid w:val="1E403BB4"/>
    <w:rsid w:val="1E435EE1"/>
    <w:rsid w:val="1E4A2212"/>
    <w:rsid w:val="1E6908EA"/>
    <w:rsid w:val="1E766B63"/>
    <w:rsid w:val="1E8A6AB3"/>
    <w:rsid w:val="1E9B2A6E"/>
    <w:rsid w:val="1EAF02C7"/>
    <w:rsid w:val="1EBA1146"/>
    <w:rsid w:val="1EC73863"/>
    <w:rsid w:val="1ED46823"/>
    <w:rsid w:val="1EDB24C3"/>
    <w:rsid w:val="1EDF295B"/>
    <w:rsid w:val="1F046865"/>
    <w:rsid w:val="1F1D16D5"/>
    <w:rsid w:val="1F204D21"/>
    <w:rsid w:val="1F2760B0"/>
    <w:rsid w:val="1F460C2C"/>
    <w:rsid w:val="1F525822"/>
    <w:rsid w:val="1F58270D"/>
    <w:rsid w:val="1F5F1CED"/>
    <w:rsid w:val="1F707A57"/>
    <w:rsid w:val="1F7237CF"/>
    <w:rsid w:val="1F770DE5"/>
    <w:rsid w:val="1F833C2E"/>
    <w:rsid w:val="1F890B18"/>
    <w:rsid w:val="1F8D0609"/>
    <w:rsid w:val="1FB82BC8"/>
    <w:rsid w:val="1FCA53B9"/>
    <w:rsid w:val="1FD47FE6"/>
    <w:rsid w:val="1FE31481"/>
    <w:rsid w:val="1FF16DE9"/>
    <w:rsid w:val="1FF468DA"/>
    <w:rsid w:val="200F54C2"/>
    <w:rsid w:val="201B5C14"/>
    <w:rsid w:val="20254CE5"/>
    <w:rsid w:val="2039253E"/>
    <w:rsid w:val="204A02A8"/>
    <w:rsid w:val="2059498F"/>
    <w:rsid w:val="20690166"/>
    <w:rsid w:val="20803CC9"/>
    <w:rsid w:val="209239FD"/>
    <w:rsid w:val="20CC482F"/>
    <w:rsid w:val="20E97AC1"/>
    <w:rsid w:val="20EA2A65"/>
    <w:rsid w:val="20EF2BFD"/>
    <w:rsid w:val="210112AE"/>
    <w:rsid w:val="21354AB4"/>
    <w:rsid w:val="214E2A84"/>
    <w:rsid w:val="21556257"/>
    <w:rsid w:val="215F4227"/>
    <w:rsid w:val="217F6677"/>
    <w:rsid w:val="21817CF9"/>
    <w:rsid w:val="21884BA0"/>
    <w:rsid w:val="219519F6"/>
    <w:rsid w:val="2197576F"/>
    <w:rsid w:val="219B1B95"/>
    <w:rsid w:val="21BA145D"/>
    <w:rsid w:val="21BF6A73"/>
    <w:rsid w:val="21C30312"/>
    <w:rsid w:val="21DE15EF"/>
    <w:rsid w:val="21ED1832"/>
    <w:rsid w:val="21F26E49"/>
    <w:rsid w:val="21F7445F"/>
    <w:rsid w:val="220151E4"/>
    <w:rsid w:val="22032E04"/>
    <w:rsid w:val="2217240B"/>
    <w:rsid w:val="22196184"/>
    <w:rsid w:val="222039B6"/>
    <w:rsid w:val="222B5EB7"/>
    <w:rsid w:val="2237485C"/>
    <w:rsid w:val="223E3E3C"/>
    <w:rsid w:val="227635D6"/>
    <w:rsid w:val="22794E74"/>
    <w:rsid w:val="228D26CE"/>
    <w:rsid w:val="22BB723B"/>
    <w:rsid w:val="22C87E24"/>
    <w:rsid w:val="22C95DFC"/>
    <w:rsid w:val="22EC5F17"/>
    <w:rsid w:val="22EE06E2"/>
    <w:rsid w:val="22F015DA"/>
    <w:rsid w:val="22F8223D"/>
    <w:rsid w:val="22F84FC6"/>
    <w:rsid w:val="22FD3CF7"/>
    <w:rsid w:val="230230BC"/>
    <w:rsid w:val="23243032"/>
    <w:rsid w:val="235A0EEE"/>
    <w:rsid w:val="235C6C70"/>
    <w:rsid w:val="23614286"/>
    <w:rsid w:val="23712585"/>
    <w:rsid w:val="23C93BD9"/>
    <w:rsid w:val="242B03F0"/>
    <w:rsid w:val="243472A5"/>
    <w:rsid w:val="2440076D"/>
    <w:rsid w:val="249E6E14"/>
    <w:rsid w:val="24A563F4"/>
    <w:rsid w:val="24B228BF"/>
    <w:rsid w:val="24D171E9"/>
    <w:rsid w:val="24EF141E"/>
    <w:rsid w:val="25034EC9"/>
    <w:rsid w:val="250C0222"/>
    <w:rsid w:val="25461985"/>
    <w:rsid w:val="25586D6C"/>
    <w:rsid w:val="256516E0"/>
    <w:rsid w:val="256B319A"/>
    <w:rsid w:val="25781413"/>
    <w:rsid w:val="257858B7"/>
    <w:rsid w:val="258B383C"/>
    <w:rsid w:val="259455FA"/>
    <w:rsid w:val="259F4BF2"/>
    <w:rsid w:val="25A246E2"/>
    <w:rsid w:val="25AD5EB4"/>
    <w:rsid w:val="25B662E5"/>
    <w:rsid w:val="25BF5294"/>
    <w:rsid w:val="25C2759F"/>
    <w:rsid w:val="25C63DCF"/>
    <w:rsid w:val="25C74149"/>
    <w:rsid w:val="25DE267C"/>
    <w:rsid w:val="25E46AA9"/>
    <w:rsid w:val="25E66CC5"/>
    <w:rsid w:val="25FA62CC"/>
    <w:rsid w:val="26143832"/>
    <w:rsid w:val="26207C3D"/>
    <w:rsid w:val="262275D1"/>
    <w:rsid w:val="26325A66"/>
    <w:rsid w:val="263712CE"/>
    <w:rsid w:val="26456C5F"/>
    <w:rsid w:val="264D6D44"/>
    <w:rsid w:val="26635DE5"/>
    <w:rsid w:val="26977FBF"/>
    <w:rsid w:val="26AF355A"/>
    <w:rsid w:val="26B50445"/>
    <w:rsid w:val="26B54405"/>
    <w:rsid w:val="26B835BD"/>
    <w:rsid w:val="26BC17D3"/>
    <w:rsid w:val="26DC11F6"/>
    <w:rsid w:val="26EC191F"/>
    <w:rsid w:val="26F251F5"/>
    <w:rsid w:val="270C62B7"/>
    <w:rsid w:val="27473793"/>
    <w:rsid w:val="27677991"/>
    <w:rsid w:val="27802801"/>
    <w:rsid w:val="278A123C"/>
    <w:rsid w:val="27963D10"/>
    <w:rsid w:val="279F537D"/>
    <w:rsid w:val="27DF5779"/>
    <w:rsid w:val="280451E0"/>
    <w:rsid w:val="280E7BD2"/>
    <w:rsid w:val="28177609"/>
    <w:rsid w:val="28186EDD"/>
    <w:rsid w:val="281C077C"/>
    <w:rsid w:val="28247630"/>
    <w:rsid w:val="282615FA"/>
    <w:rsid w:val="282910EA"/>
    <w:rsid w:val="28396E4B"/>
    <w:rsid w:val="283E4B96"/>
    <w:rsid w:val="28414686"/>
    <w:rsid w:val="28447CD2"/>
    <w:rsid w:val="284B2E0F"/>
    <w:rsid w:val="284D6B87"/>
    <w:rsid w:val="28550131"/>
    <w:rsid w:val="28642123"/>
    <w:rsid w:val="28757E8C"/>
    <w:rsid w:val="287E4F92"/>
    <w:rsid w:val="28B07116"/>
    <w:rsid w:val="28B9421C"/>
    <w:rsid w:val="28CB21A2"/>
    <w:rsid w:val="28CC2935"/>
    <w:rsid w:val="28E62B38"/>
    <w:rsid w:val="28E868B0"/>
    <w:rsid w:val="28F25980"/>
    <w:rsid w:val="28F96D0F"/>
    <w:rsid w:val="290673F2"/>
    <w:rsid w:val="290B7A2E"/>
    <w:rsid w:val="2944442E"/>
    <w:rsid w:val="29493E9D"/>
    <w:rsid w:val="29606D8E"/>
    <w:rsid w:val="2964062C"/>
    <w:rsid w:val="29787C34"/>
    <w:rsid w:val="298131E9"/>
    <w:rsid w:val="298760C9"/>
    <w:rsid w:val="29927747"/>
    <w:rsid w:val="29AE7AF9"/>
    <w:rsid w:val="29C54E43"/>
    <w:rsid w:val="29C9048F"/>
    <w:rsid w:val="29CB06AB"/>
    <w:rsid w:val="29FA689B"/>
    <w:rsid w:val="2A007C29"/>
    <w:rsid w:val="2A0108B7"/>
    <w:rsid w:val="2A04596B"/>
    <w:rsid w:val="2A133E00"/>
    <w:rsid w:val="2A1536D4"/>
    <w:rsid w:val="2A1A0CEB"/>
    <w:rsid w:val="2A202079"/>
    <w:rsid w:val="2A2E4796"/>
    <w:rsid w:val="2A500BB0"/>
    <w:rsid w:val="2A506E02"/>
    <w:rsid w:val="2A5C57A7"/>
    <w:rsid w:val="2A6B3832"/>
    <w:rsid w:val="2A88659C"/>
    <w:rsid w:val="2A906CB5"/>
    <w:rsid w:val="2A954815"/>
    <w:rsid w:val="2ABE1FBE"/>
    <w:rsid w:val="2AD0584D"/>
    <w:rsid w:val="2AEE4B12"/>
    <w:rsid w:val="2AFE685E"/>
    <w:rsid w:val="2B057BED"/>
    <w:rsid w:val="2B060A50"/>
    <w:rsid w:val="2B0A5203"/>
    <w:rsid w:val="2B116592"/>
    <w:rsid w:val="2B193698"/>
    <w:rsid w:val="2B1C4F36"/>
    <w:rsid w:val="2B2160A9"/>
    <w:rsid w:val="2B400C25"/>
    <w:rsid w:val="2B4714A0"/>
    <w:rsid w:val="2B471FB3"/>
    <w:rsid w:val="2B606BD1"/>
    <w:rsid w:val="2B612949"/>
    <w:rsid w:val="2B6C5576"/>
    <w:rsid w:val="2B717030"/>
    <w:rsid w:val="2B74267D"/>
    <w:rsid w:val="2B762899"/>
    <w:rsid w:val="2B7663F5"/>
    <w:rsid w:val="2B7E52A9"/>
    <w:rsid w:val="2BA50A88"/>
    <w:rsid w:val="2BAA2542"/>
    <w:rsid w:val="2BB60EE7"/>
    <w:rsid w:val="2BCA4992"/>
    <w:rsid w:val="2BE035C8"/>
    <w:rsid w:val="2BF24188"/>
    <w:rsid w:val="2BF65788"/>
    <w:rsid w:val="2BFD08C4"/>
    <w:rsid w:val="2C235EB7"/>
    <w:rsid w:val="2C2B5431"/>
    <w:rsid w:val="2C610E53"/>
    <w:rsid w:val="2C6646BB"/>
    <w:rsid w:val="2C9C1E8B"/>
    <w:rsid w:val="2C9F3729"/>
    <w:rsid w:val="2CAF267A"/>
    <w:rsid w:val="2CBE197F"/>
    <w:rsid w:val="2CCB6C14"/>
    <w:rsid w:val="2CE51A84"/>
    <w:rsid w:val="2CE90E48"/>
    <w:rsid w:val="2CED0939"/>
    <w:rsid w:val="2CF27CFD"/>
    <w:rsid w:val="2CF577ED"/>
    <w:rsid w:val="2CFA3055"/>
    <w:rsid w:val="2D012636"/>
    <w:rsid w:val="2D016C6B"/>
    <w:rsid w:val="2D0D2D89"/>
    <w:rsid w:val="2D2B1461"/>
    <w:rsid w:val="2D2D1B91"/>
    <w:rsid w:val="2D5B7F98"/>
    <w:rsid w:val="2D6A6CF3"/>
    <w:rsid w:val="2D8D7A26"/>
    <w:rsid w:val="2DB9081B"/>
    <w:rsid w:val="2DCE2518"/>
    <w:rsid w:val="2DD218DC"/>
    <w:rsid w:val="2DDB69E3"/>
    <w:rsid w:val="2DE735DA"/>
    <w:rsid w:val="2DEF7457"/>
    <w:rsid w:val="2E093AD9"/>
    <w:rsid w:val="2E0A0E72"/>
    <w:rsid w:val="2E426A62"/>
    <w:rsid w:val="2E6B420B"/>
    <w:rsid w:val="2E6C48D9"/>
    <w:rsid w:val="2E7035CF"/>
    <w:rsid w:val="2E7D3F3E"/>
    <w:rsid w:val="2E864BA1"/>
    <w:rsid w:val="2E8F4F19"/>
    <w:rsid w:val="2EA63495"/>
    <w:rsid w:val="2EB57234"/>
    <w:rsid w:val="2EC8340B"/>
    <w:rsid w:val="2ED303B5"/>
    <w:rsid w:val="2EF35FAE"/>
    <w:rsid w:val="2EF91817"/>
    <w:rsid w:val="2EFA6A37"/>
    <w:rsid w:val="2F167CA6"/>
    <w:rsid w:val="2F25260C"/>
    <w:rsid w:val="2F452CAE"/>
    <w:rsid w:val="2F4A3E20"/>
    <w:rsid w:val="2F5D70AC"/>
    <w:rsid w:val="2F8A246F"/>
    <w:rsid w:val="2F8B61E7"/>
    <w:rsid w:val="2F904855"/>
    <w:rsid w:val="2FA33530"/>
    <w:rsid w:val="2FA36C75"/>
    <w:rsid w:val="2FB83480"/>
    <w:rsid w:val="2FBE036A"/>
    <w:rsid w:val="2FFA41B9"/>
    <w:rsid w:val="301D6DE7"/>
    <w:rsid w:val="302428C3"/>
    <w:rsid w:val="30297EDA"/>
    <w:rsid w:val="303074BA"/>
    <w:rsid w:val="30601421"/>
    <w:rsid w:val="306929CC"/>
    <w:rsid w:val="30696528"/>
    <w:rsid w:val="306B405E"/>
    <w:rsid w:val="30832D34"/>
    <w:rsid w:val="308C4B30"/>
    <w:rsid w:val="309612E7"/>
    <w:rsid w:val="30C714A1"/>
    <w:rsid w:val="30D53BBD"/>
    <w:rsid w:val="30EB33E1"/>
    <w:rsid w:val="30F5600E"/>
    <w:rsid w:val="30FC114A"/>
    <w:rsid w:val="31012C04"/>
    <w:rsid w:val="310E0E7D"/>
    <w:rsid w:val="31104BF6"/>
    <w:rsid w:val="314A68DF"/>
    <w:rsid w:val="317A6D88"/>
    <w:rsid w:val="317F1D7B"/>
    <w:rsid w:val="319E66A5"/>
    <w:rsid w:val="31A737AC"/>
    <w:rsid w:val="31A87524"/>
    <w:rsid w:val="31B00187"/>
    <w:rsid w:val="31D200FD"/>
    <w:rsid w:val="31DB3455"/>
    <w:rsid w:val="31DE4CF4"/>
    <w:rsid w:val="31E56082"/>
    <w:rsid w:val="31E64732"/>
    <w:rsid w:val="31F84559"/>
    <w:rsid w:val="3207249C"/>
    <w:rsid w:val="320F4D4B"/>
    <w:rsid w:val="32140715"/>
    <w:rsid w:val="3236068C"/>
    <w:rsid w:val="324059AE"/>
    <w:rsid w:val="326351F9"/>
    <w:rsid w:val="32766A06"/>
    <w:rsid w:val="327D078A"/>
    <w:rsid w:val="32933D30"/>
    <w:rsid w:val="32A7158A"/>
    <w:rsid w:val="32B31CDC"/>
    <w:rsid w:val="32C75788"/>
    <w:rsid w:val="32E165BD"/>
    <w:rsid w:val="32FA3DAF"/>
    <w:rsid w:val="330469DC"/>
    <w:rsid w:val="33244988"/>
    <w:rsid w:val="33274478"/>
    <w:rsid w:val="332B3F69"/>
    <w:rsid w:val="334A3443"/>
    <w:rsid w:val="334F40FB"/>
    <w:rsid w:val="33641229"/>
    <w:rsid w:val="338673F1"/>
    <w:rsid w:val="339D48A3"/>
    <w:rsid w:val="33AC3A1C"/>
    <w:rsid w:val="33C74846"/>
    <w:rsid w:val="33CF6FEA"/>
    <w:rsid w:val="33F64577"/>
    <w:rsid w:val="34056568"/>
    <w:rsid w:val="343E7CCC"/>
    <w:rsid w:val="34525525"/>
    <w:rsid w:val="346040E6"/>
    <w:rsid w:val="34A0589E"/>
    <w:rsid w:val="34A67F96"/>
    <w:rsid w:val="34A9783B"/>
    <w:rsid w:val="34B0508B"/>
    <w:rsid w:val="34CE1050"/>
    <w:rsid w:val="34DF440A"/>
    <w:rsid w:val="350A581B"/>
    <w:rsid w:val="352E7D40"/>
    <w:rsid w:val="35426A60"/>
    <w:rsid w:val="35586B6B"/>
    <w:rsid w:val="355E7319"/>
    <w:rsid w:val="35690D78"/>
    <w:rsid w:val="358D36CE"/>
    <w:rsid w:val="3598340C"/>
    <w:rsid w:val="35CE6E2D"/>
    <w:rsid w:val="35DB7EC8"/>
    <w:rsid w:val="35EE2046"/>
    <w:rsid w:val="35F41640"/>
    <w:rsid w:val="361A6E50"/>
    <w:rsid w:val="362A0508"/>
    <w:rsid w:val="363967AA"/>
    <w:rsid w:val="36415851"/>
    <w:rsid w:val="36460158"/>
    <w:rsid w:val="36603F29"/>
    <w:rsid w:val="36745C27"/>
    <w:rsid w:val="36851BE2"/>
    <w:rsid w:val="368A0116"/>
    <w:rsid w:val="369116D0"/>
    <w:rsid w:val="36941E25"/>
    <w:rsid w:val="36965B9D"/>
    <w:rsid w:val="369F7E9A"/>
    <w:rsid w:val="36A4650C"/>
    <w:rsid w:val="36CC15BF"/>
    <w:rsid w:val="36EF34FF"/>
    <w:rsid w:val="370C4F32"/>
    <w:rsid w:val="370E607B"/>
    <w:rsid w:val="372907BF"/>
    <w:rsid w:val="37294C63"/>
    <w:rsid w:val="37353608"/>
    <w:rsid w:val="374D6BA3"/>
    <w:rsid w:val="37500442"/>
    <w:rsid w:val="375A6BCB"/>
    <w:rsid w:val="377A726D"/>
    <w:rsid w:val="377E4FAF"/>
    <w:rsid w:val="37971BCD"/>
    <w:rsid w:val="37A75B88"/>
    <w:rsid w:val="37BA3B0D"/>
    <w:rsid w:val="37D921E5"/>
    <w:rsid w:val="37F51788"/>
    <w:rsid w:val="37F92887"/>
    <w:rsid w:val="37FC2378"/>
    <w:rsid w:val="380C2A2C"/>
    <w:rsid w:val="384B3FA8"/>
    <w:rsid w:val="3854528C"/>
    <w:rsid w:val="38547ABE"/>
    <w:rsid w:val="38565141"/>
    <w:rsid w:val="38B41380"/>
    <w:rsid w:val="38B95B73"/>
    <w:rsid w:val="38C22C79"/>
    <w:rsid w:val="38C77A8E"/>
    <w:rsid w:val="38CF183A"/>
    <w:rsid w:val="38DF66DE"/>
    <w:rsid w:val="38E30E42"/>
    <w:rsid w:val="38E57239"/>
    <w:rsid w:val="38EF5A38"/>
    <w:rsid w:val="38F31085"/>
    <w:rsid w:val="39036257"/>
    <w:rsid w:val="390F1199"/>
    <w:rsid w:val="39367F12"/>
    <w:rsid w:val="393D0552"/>
    <w:rsid w:val="394538AA"/>
    <w:rsid w:val="394D5E49"/>
    <w:rsid w:val="39553AED"/>
    <w:rsid w:val="398F2E12"/>
    <w:rsid w:val="399531A9"/>
    <w:rsid w:val="39993E51"/>
    <w:rsid w:val="39A10631"/>
    <w:rsid w:val="39AD02F7"/>
    <w:rsid w:val="39B5458C"/>
    <w:rsid w:val="39B60304"/>
    <w:rsid w:val="39DA2245"/>
    <w:rsid w:val="39DA3FF3"/>
    <w:rsid w:val="39DF3CFF"/>
    <w:rsid w:val="39E81075"/>
    <w:rsid w:val="39EB5714"/>
    <w:rsid w:val="39F71049"/>
    <w:rsid w:val="39F96B6F"/>
    <w:rsid w:val="3A013C75"/>
    <w:rsid w:val="3A0472C2"/>
    <w:rsid w:val="3A073743"/>
    <w:rsid w:val="3A12378C"/>
    <w:rsid w:val="3A2B6F44"/>
    <w:rsid w:val="3A361B71"/>
    <w:rsid w:val="3A456E52"/>
    <w:rsid w:val="3A5A5133"/>
    <w:rsid w:val="3A631110"/>
    <w:rsid w:val="3A830B2E"/>
    <w:rsid w:val="3ABA2F86"/>
    <w:rsid w:val="3AC70A1B"/>
    <w:rsid w:val="3AEA64B7"/>
    <w:rsid w:val="3AF92B9E"/>
    <w:rsid w:val="3AFA0DF0"/>
    <w:rsid w:val="3B097226"/>
    <w:rsid w:val="3B111C96"/>
    <w:rsid w:val="3B194FEF"/>
    <w:rsid w:val="3B236ECD"/>
    <w:rsid w:val="3B497682"/>
    <w:rsid w:val="3B5F6EA5"/>
    <w:rsid w:val="3B6E70E8"/>
    <w:rsid w:val="3B765F9D"/>
    <w:rsid w:val="3B7F30A4"/>
    <w:rsid w:val="3B8561E0"/>
    <w:rsid w:val="3B8B1A48"/>
    <w:rsid w:val="3BB07701"/>
    <w:rsid w:val="3BB2349B"/>
    <w:rsid w:val="3BB54D17"/>
    <w:rsid w:val="3BBF7944"/>
    <w:rsid w:val="3BC82C9D"/>
    <w:rsid w:val="3BC9431F"/>
    <w:rsid w:val="3BE92C13"/>
    <w:rsid w:val="3C0D4B53"/>
    <w:rsid w:val="3C0E2679"/>
    <w:rsid w:val="3C2105FF"/>
    <w:rsid w:val="3C2D2B00"/>
    <w:rsid w:val="3C372D23"/>
    <w:rsid w:val="3C447E49"/>
    <w:rsid w:val="3C494757"/>
    <w:rsid w:val="3C4B11D8"/>
    <w:rsid w:val="3C4B380F"/>
    <w:rsid w:val="3C4F6F1A"/>
    <w:rsid w:val="3C720E5A"/>
    <w:rsid w:val="3CA408E8"/>
    <w:rsid w:val="3CA52FDE"/>
    <w:rsid w:val="3CC14C1F"/>
    <w:rsid w:val="3CD0758C"/>
    <w:rsid w:val="3CE358B4"/>
    <w:rsid w:val="3CE55188"/>
    <w:rsid w:val="3CF56BC9"/>
    <w:rsid w:val="3D0A4BEF"/>
    <w:rsid w:val="3D0E2E48"/>
    <w:rsid w:val="3D1D0DC6"/>
    <w:rsid w:val="3D1F37E4"/>
    <w:rsid w:val="3D211F38"/>
    <w:rsid w:val="3D235CB1"/>
    <w:rsid w:val="3D346110"/>
    <w:rsid w:val="3D37175C"/>
    <w:rsid w:val="3D4F2F4A"/>
    <w:rsid w:val="3D762284"/>
    <w:rsid w:val="3D826E7B"/>
    <w:rsid w:val="3D864BBD"/>
    <w:rsid w:val="3DDB0CD9"/>
    <w:rsid w:val="3DDD67A7"/>
    <w:rsid w:val="3DE23DBE"/>
    <w:rsid w:val="3DE90CA8"/>
    <w:rsid w:val="3E157CEF"/>
    <w:rsid w:val="3E667746"/>
    <w:rsid w:val="3E815385"/>
    <w:rsid w:val="3E885B96"/>
    <w:rsid w:val="3E952BDE"/>
    <w:rsid w:val="3EB43064"/>
    <w:rsid w:val="3EB92D70"/>
    <w:rsid w:val="3EBC22FE"/>
    <w:rsid w:val="3ECD4126"/>
    <w:rsid w:val="3EF1250A"/>
    <w:rsid w:val="3EF773F5"/>
    <w:rsid w:val="3F163D1F"/>
    <w:rsid w:val="3F450160"/>
    <w:rsid w:val="3F473ED8"/>
    <w:rsid w:val="3F4C14EF"/>
    <w:rsid w:val="3F4D019D"/>
    <w:rsid w:val="3F5860E5"/>
    <w:rsid w:val="3F591E5E"/>
    <w:rsid w:val="3F760C61"/>
    <w:rsid w:val="3F8213B4"/>
    <w:rsid w:val="3F827606"/>
    <w:rsid w:val="3F870779"/>
    <w:rsid w:val="3F890995"/>
    <w:rsid w:val="3F8A2017"/>
    <w:rsid w:val="3F917849"/>
    <w:rsid w:val="3F9B0612"/>
    <w:rsid w:val="3F9D1D4A"/>
    <w:rsid w:val="3FA241A2"/>
    <w:rsid w:val="3FAA4467"/>
    <w:rsid w:val="3FAC01DF"/>
    <w:rsid w:val="3FD85478"/>
    <w:rsid w:val="3FE536F1"/>
    <w:rsid w:val="3FE77469"/>
    <w:rsid w:val="40215D3E"/>
    <w:rsid w:val="403A57EB"/>
    <w:rsid w:val="404843AC"/>
    <w:rsid w:val="404B3E9C"/>
    <w:rsid w:val="4061546E"/>
    <w:rsid w:val="40664832"/>
    <w:rsid w:val="4079067E"/>
    <w:rsid w:val="4093139F"/>
    <w:rsid w:val="409343AF"/>
    <w:rsid w:val="409E3FCC"/>
    <w:rsid w:val="40D75730"/>
    <w:rsid w:val="40E63BC5"/>
    <w:rsid w:val="40EB4D37"/>
    <w:rsid w:val="40EC14AB"/>
    <w:rsid w:val="40FA4F7A"/>
    <w:rsid w:val="410D2F00"/>
    <w:rsid w:val="410D73A4"/>
    <w:rsid w:val="413C37E5"/>
    <w:rsid w:val="415648A7"/>
    <w:rsid w:val="415A71E1"/>
    <w:rsid w:val="41630D72"/>
    <w:rsid w:val="418807D8"/>
    <w:rsid w:val="419B675D"/>
    <w:rsid w:val="41AA69A0"/>
    <w:rsid w:val="41B15F81"/>
    <w:rsid w:val="41C31810"/>
    <w:rsid w:val="41C55588"/>
    <w:rsid w:val="41E225DE"/>
    <w:rsid w:val="41F8595E"/>
    <w:rsid w:val="42100EF9"/>
    <w:rsid w:val="4214206C"/>
    <w:rsid w:val="42454372"/>
    <w:rsid w:val="426179A2"/>
    <w:rsid w:val="427174BE"/>
    <w:rsid w:val="42786A9F"/>
    <w:rsid w:val="428B67D2"/>
    <w:rsid w:val="428E0070"/>
    <w:rsid w:val="4294310E"/>
    <w:rsid w:val="42943344"/>
    <w:rsid w:val="42975177"/>
    <w:rsid w:val="429A07C3"/>
    <w:rsid w:val="42C615B8"/>
    <w:rsid w:val="42D77C69"/>
    <w:rsid w:val="42DC0DDB"/>
    <w:rsid w:val="42DE0FF8"/>
    <w:rsid w:val="42E56A55"/>
    <w:rsid w:val="42FC322C"/>
    <w:rsid w:val="43193DDE"/>
    <w:rsid w:val="43372938"/>
    <w:rsid w:val="43484F88"/>
    <w:rsid w:val="434A1275"/>
    <w:rsid w:val="435C1F1C"/>
    <w:rsid w:val="4387343D"/>
    <w:rsid w:val="43972F54"/>
    <w:rsid w:val="439E42E3"/>
    <w:rsid w:val="43A124B3"/>
    <w:rsid w:val="43B65AD0"/>
    <w:rsid w:val="43BB4E95"/>
    <w:rsid w:val="43C55D14"/>
    <w:rsid w:val="43D85A47"/>
    <w:rsid w:val="43E837B0"/>
    <w:rsid w:val="43E97C54"/>
    <w:rsid w:val="43F11473"/>
    <w:rsid w:val="43F839F3"/>
    <w:rsid w:val="44022AC4"/>
    <w:rsid w:val="44024872"/>
    <w:rsid w:val="44044A8E"/>
    <w:rsid w:val="44184095"/>
    <w:rsid w:val="44236B1E"/>
    <w:rsid w:val="444158E6"/>
    <w:rsid w:val="44564BBE"/>
    <w:rsid w:val="44641089"/>
    <w:rsid w:val="446948F1"/>
    <w:rsid w:val="446F3961"/>
    <w:rsid w:val="44B95F17"/>
    <w:rsid w:val="44C11AA6"/>
    <w:rsid w:val="44C75831"/>
    <w:rsid w:val="44CD7477"/>
    <w:rsid w:val="44D04970"/>
    <w:rsid w:val="44D426B2"/>
    <w:rsid w:val="44DF4BB3"/>
    <w:rsid w:val="44E346A3"/>
    <w:rsid w:val="44F3240C"/>
    <w:rsid w:val="450048CC"/>
    <w:rsid w:val="451A208F"/>
    <w:rsid w:val="452457E1"/>
    <w:rsid w:val="45350C77"/>
    <w:rsid w:val="453A628D"/>
    <w:rsid w:val="45415D40"/>
    <w:rsid w:val="45435142"/>
    <w:rsid w:val="45451DF1"/>
    <w:rsid w:val="454A4722"/>
    <w:rsid w:val="454B2248"/>
    <w:rsid w:val="45513D03"/>
    <w:rsid w:val="4554734F"/>
    <w:rsid w:val="45570447"/>
    <w:rsid w:val="45723C79"/>
    <w:rsid w:val="45B46417"/>
    <w:rsid w:val="45B86522"/>
    <w:rsid w:val="45DB537A"/>
    <w:rsid w:val="45DE4E6B"/>
    <w:rsid w:val="45F43872"/>
    <w:rsid w:val="46113492"/>
    <w:rsid w:val="461B3AA5"/>
    <w:rsid w:val="462C5BD6"/>
    <w:rsid w:val="462E5DF2"/>
    <w:rsid w:val="464C0026"/>
    <w:rsid w:val="46655038"/>
    <w:rsid w:val="466C06C8"/>
    <w:rsid w:val="46843C64"/>
    <w:rsid w:val="46850285"/>
    <w:rsid w:val="46955E71"/>
    <w:rsid w:val="469F45FA"/>
    <w:rsid w:val="46A240EA"/>
    <w:rsid w:val="46A460B4"/>
    <w:rsid w:val="46AF05B5"/>
    <w:rsid w:val="46C94CDE"/>
    <w:rsid w:val="46D30747"/>
    <w:rsid w:val="46E14C12"/>
    <w:rsid w:val="4706474A"/>
    <w:rsid w:val="470703F1"/>
    <w:rsid w:val="470D3C59"/>
    <w:rsid w:val="471B28B4"/>
    <w:rsid w:val="473B0E1B"/>
    <w:rsid w:val="473F27FF"/>
    <w:rsid w:val="476017C6"/>
    <w:rsid w:val="47745A86"/>
    <w:rsid w:val="47811F51"/>
    <w:rsid w:val="47841A42"/>
    <w:rsid w:val="47863A0C"/>
    <w:rsid w:val="478E2D76"/>
    <w:rsid w:val="47916CB1"/>
    <w:rsid w:val="47A65E5C"/>
    <w:rsid w:val="47CA1B4A"/>
    <w:rsid w:val="47E67FE2"/>
    <w:rsid w:val="47F0014A"/>
    <w:rsid w:val="47F60B91"/>
    <w:rsid w:val="481903DC"/>
    <w:rsid w:val="486F26F2"/>
    <w:rsid w:val="48740AF8"/>
    <w:rsid w:val="487B247F"/>
    <w:rsid w:val="488E0DCA"/>
    <w:rsid w:val="48934632"/>
    <w:rsid w:val="48B56357"/>
    <w:rsid w:val="48B955C2"/>
    <w:rsid w:val="48B9571B"/>
    <w:rsid w:val="48BA396D"/>
    <w:rsid w:val="48BB76E5"/>
    <w:rsid w:val="48C657AA"/>
    <w:rsid w:val="48F30C2D"/>
    <w:rsid w:val="490177EE"/>
    <w:rsid w:val="490D6193"/>
    <w:rsid w:val="491F7C74"/>
    <w:rsid w:val="492B090F"/>
    <w:rsid w:val="492D6240"/>
    <w:rsid w:val="49382AE4"/>
    <w:rsid w:val="49417BEA"/>
    <w:rsid w:val="494852C1"/>
    <w:rsid w:val="494E0559"/>
    <w:rsid w:val="4968786D"/>
    <w:rsid w:val="496A7A12"/>
    <w:rsid w:val="496F0BFB"/>
    <w:rsid w:val="49843F7B"/>
    <w:rsid w:val="498E0956"/>
    <w:rsid w:val="49911DC2"/>
    <w:rsid w:val="499659CF"/>
    <w:rsid w:val="499A718B"/>
    <w:rsid w:val="49B52386"/>
    <w:rsid w:val="49C202E7"/>
    <w:rsid w:val="49EC3FFA"/>
    <w:rsid w:val="49F72751"/>
    <w:rsid w:val="4A1E3C56"/>
    <w:rsid w:val="4A1E617D"/>
    <w:rsid w:val="4A2D016F"/>
    <w:rsid w:val="4A421E6C"/>
    <w:rsid w:val="4A704B0B"/>
    <w:rsid w:val="4A730023"/>
    <w:rsid w:val="4A744C91"/>
    <w:rsid w:val="4A876DA6"/>
    <w:rsid w:val="4A8833F8"/>
    <w:rsid w:val="4A8A619F"/>
    <w:rsid w:val="4AA2290B"/>
    <w:rsid w:val="4AC05487"/>
    <w:rsid w:val="4AD46AF0"/>
    <w:rsid w:val="4ADF61DE"/>
    <w:rsid w:val="4ADF76BB"/>
    <w:rsid w:val="4B0071C8"/>
    <w:rsid w:val="4B125FF6"/>
    <w:rsid w:val="4B1B110F"/>
    <w:rsid w:val="4B3F45FD"/>
    <w:rsid w:val="4B4614E8"/>
    <w:rsid w:val="4B6C4CC7"/>
    <w:rsid w:val="4B7D0C82"/>
    <w:rsid w:val="4B8244EA"/>
    <w:rsid w:val="4B8B339F"/>
    <w:rsid w:val="4B92472D"/>
    <w:rsid w:val="4BA17066"/>
    <w:rsid w:val="4BDA7172"/>
    <w:rsid w:val="4C0575F5"/>
    <w:rsid w:val="4C2B503E"/>
    <w:rsid w:val="4C312198"/>
    <w:rsid w:val="4C3253A4"/>
    <w:rsid w:val="4C3677AE"/>
    <w:rsid w:val="4C40062D"/>
    <w:rsid w:val="4C481290"/>
    <w:rsid w:val="4C651E42"/>
    <w:rsid w:val="4C735D9E"/>
    <w:rsid w:val="4C787DC7"/>
    <w:rsid w:val="4C8229F4"/>
    <w:rsid w:val="4C8C3872"/>
    <w:rsid w:val="4C987D10"/>
    <w:rsid w:val="4CA94424"/>
    <w:rsid w:val="4CAA3CF8"/>
    <w:rsid w:val="4CD62D3F"/>
    <w:rsid w:val="4CE0771A"/>
    <w:rsid w:val="4D331F40"/>
    <w:rsid w:val="4D3B0DF4"/>
    <w:rsid w:val="4D534390"/>
    <w:rsid w:val="4D64659D"/>
    <w:rsid w:val="4D7F6F33"/>
    <w:rsid w:val="4D9549A9"/>
    <w:rsid w:val="4D9D16E6"/>
    <w:rsid w:val="4DA76875"/>
    <w:rsid w:val="4DB017E2"/>
    <w:rsid w:val="4DB82445"/>
    <w:rsid w:val="4DC25072"/>
    <w:rsid w:val="4DC96400"/>
    <w:rsid w:val="4DD76D6F"/>
    <w:rsid w:val="4DDC4D2C"/>
    <w:rsid w:val="4DEB281B"/>
    <w:rsid w:val="4E0D453F"/>
    <w:rsid w:val="4E10402F"/>
    <w:rsid w:val="4E121B55"/>
    <w:rsid w:val="4E1E176D"/>
    <w:rsid w:val="4E2B2C17"/>
    <w:rsid w:val="4E2D698F"/>
    <w:rsid w:val="4E505C68"/>
    <w:rsid w:val="4E573A0C"/>
    <w:rsid w:val="4E5C1022"/>
    <w:rsid w:val="4E613302"/>
    <w:rsid w:val="4E760336"/>
    <w:rsid w:val="4EAC01FC"/>
    <w:rsid w:val="4EB250E6"/>
    <w:rsid w:val="4EB33338"/>
    <w:rsid w:val="4EB946C7"/>
    <w:rsid w:val="4EBE1CDD"/>
    <w:rsid w:val="4EC05A55"/>
    <w:rsid w:val="4ECA0682"/>
    <w:rsid w:val="4ECD0674"/>
    <w:rsid w:val="4ED60DD5"/>
    <w:rsid w:val="4EE74D90"/>
    <w:rsid w:val="4EEF633A"/>
    <w:rsid w:val="4F134939"/>
    <w:rsid w:val="4F1D6A04"/>
    <w:rsid w:val="4F2935FA"/>
    <w:rsid w:val="4F2A7373"/>
    <w:rsid w:val="4F437111"/>
    <w:rsid w:val="4F495A4B"/>
    <w:rsid w:val="4F587A3C"/>
    <w:rsid w:val="4F7A3E56"/>
    <w:rsid w:val="4F8C3B89"/>
    <w:rsid w:val="4F9547EC"/>
    <w:rsid w:val="4FCC21D8"/>
    <w:rsid w:val="4FE6773D"/>
    <w:rsid w:val="4FEB6B02"/>
    <w:rsid w:val="4FEE65F2"/>
    <w:rsid w:val="4FF27E90"/>
    <w:rsid w:val="50106568"/>
    <w:rsid w:val="501222E0"/>
    <w:rsid w:val="501F0559"/>
    <w:rsid w:val="5023629C"/>
    <w:rsid w:val="503A5393"/>
    <w:rsid w:val="5043249A"/>
    <w:rsid w:val="504D50C7"/>
    <w:rsid w:val="505521CD"/>
    <w:rsid w:val="5060304C"/>
    <w:rsid w:val="506A211C"/>
    <w:rsid w:val="507C3BFE"/>
    <w:rsid w:val="50827466"/>
    <w:rsid w:val="50AC49D2"/>
    <w:rsid w:val="50CC248F"/>
    <w:rsid w:val="50D21A70"/>
    <w:rsid w:val="50D457E8"/>
    <w:rsid w:val="50F6750C"/>
    <w:rsid w:val="50FB4B23"/>
    <w:rsid w:val="51160A34"/>
    <w:rsid w:val="51163F32"/>
    <w:rsid w:val="51183927"/>
    <w:rsid w:val="51226553"/>
    <w:rsid w:val="51453FF0"/>
    <w:rsid w:val="516C77CE"/>
    <w:rsid w:val="5170282E"/>
    <w:rsid w:val="519A433C"/>
    <w:rsid w:val="519B0C10"/>
    <w:rsid w:val="51AE366B"/>
    <w:rsid w:val="51D71830"/>
    <w:rsid w:val="51DF0427"/>
    <w:rsid w:val="51E23F34"/>
    <w:rsid w:val="51F83758"/>
    <w:rsid w:val="520B3E30"/>
    <w:rsid w:val="520E5B76"/>
    <w:rsid w:val="5246001F"/>
    <w:rsid w:val="528C10A0"/>
    <w:rsid w:val="52972F71"/>
    <w:rsid w:val="52B0193D"/>
    <w:rsid w:val="52BC29D7"/>
    <w:rsid w:val="52C8312A"/>
    <w:rsid w:val="52DD4E28"/>
    <w:rsid w:val="52FB52AE"/>
    <w:rsid w:val="52FB705C"/>
    <w:rsid w:val="52FC4B82"/>
    <w:rsid w:val="532E2213"/>
    <w:rsid w:val="533026AA"/>
    <w:rsid w:val="533E2F7F"/>
    <w:rsid w:val="534D3630"/>
    <w:rsid w:val="535C60FE"/>
    <w:rsid w:val="53807561"/>
    <w:rsid w:val="538708F0"/>
    <w:rsid w:val="538E7D0E"/>
    <w:rsid w:val="53A56FC8"/>
    <w:rsid w:val="53B4545D"/>
    <w:rsid w:val="53B8319F"/>
    <w:rsid w:val="53C03E02"/>
    <w:rsid w:val="53DF24DA"/>
    <w:rsid w:val="53F65A75"/>
    <w:rsid w:val="53FB308C"/>
    <w:rsid w:val="5402441A"/>
    <w:rsid w:val="542F214A"/>
    <w:rsid w:val="54302D35"/>
    <w:rsid w:val="54316AAD"/>
    <w:rsid w:val="543A3BB4"/>
    <w:rsid w:val="54640C31"/>
    <w:rsid w:val="547F3CBD"/>
    <w:rsid w:val="54994D7E"/>
    <w:rsid w:val="549E786E"/>
    <w:rsid w:val="54AB6860"/>
    <w:rsid w:val="54BB2F47"/>
    <w:rsid w:val="54BE216E"/>
    <w:rsid w:val="54BF40B9"/>
    <w:rsid w:val="54D15BFA"/>
    <w:rsid w:val="550F3292"/>
    <w:rsid w:val="5512615B"/>
    <w:rsid w:val="551B6940"/>
    <w:rsid w:val="552A3C28"/>
    <w:rsid w:val="55563AD1"/>
    <w:rsid w:val="555F460E"/>
    <w:rsid w:val="556B5B8F"/>
    <w:rsid w:val="558722C8"/>
    <w:rsid w:val="558F536E"/>
    <w:rsid w:val="55C027DF"/>
    <w:rsid w:val="55C2628A"/>
    <w:rsid w:val="55CE2806"/>
    <w:rsid w:val="55D50038"/>
    <w:rsid w:val="55D63DB0"/>
    <w:rsid w:val="55DB3175"/>
    <w:rsid w:val="55E55DA1"/>
    <w:rsid w:val="55EE4C56"/>
    <w:rsid w:val="55F61D5C"/>
    <w:rsid w:val="56222B52"/>
    <w:rsid w:val="562A1B91"/>
    <w:rsid w:val="562B5B9A"/>
    <w:rsid w:val="56331D5B"/>
    <w:rsid w:val="56356D29"/>
    <w:rsid w:val="5637484F"/>
    <w:rsid w:val="5640122A"/>
    <w:rsid w:val="56570A4D"/>
    <w:rsid w:val="5661367A"/>
    <w:rsid w:val="56902358"/>
    <w:rsid w:val="56AB7BA5"/>
    <w:rsid w:val="56AF3861"/>
    <w:rsid w:val="56B85264"/>
    <w:rsid w:val="56C46C9A"/>
    <w:rsid w:val="56CA56C3"/>
    <w:rsid w:val="56CF0F2B"/>
    <w:rsid w:val="56DC53F6"/>
    <w:rsid w:val="56F40992"/>
    <w:rsid w:val="5714693E"/>
    <w:rsid w:val="575C2093"/>
    <w:rsid w:val="57664784"/>
    <w:rsid w:val="5781726E"/>
    <w:rsid w:val="578D049F"/>
    <w:rsid w:val="57BE4AFC"/>
    <w:rsid w:val="57C06AC6"/>
    <w:rsid w:val="57CE11E3"/>
    <w:rsid w:val="57CF2865"/>
    <w:rsid w:val="57E07028"/>
    <w:rsid w:val="57EC78BB"/>
    <w:rsid w:val="57F549C2"/>
    <w:rsid w:val="58010F61"/>
    <w:rsid w:val="58033583"/>
    <w:rsid w:val="581A7F84"/>
    <w:rsid w:val="58403763"/>
    <w:rsid w:val="58434227"/>
    <w:rsid w:val="584C2108"/>
    <w:rsid w:val="58550FBC"/>
    <w:rsid w:val="585D2567"/>
    <w:rsid w:val="586C6306"/>
    <w:rsid w:val="58737694"/>
    <w:rsid w:val="587F072F"/>
    <w:rsid w:val="58BA1767"/>
    <w:rsid w:val="58DC49CD"/>
    <w:rsid w:val="591A469F"/>
    <w:rsid w:val="59215342"/>
    <w:rsid w:val="59264A99"/>
    <w:rsid w:val="592941F7"/>
    <w:rsid w:val="592A3C50"/>
    <w:rsid w:val="593B46DD"/>
    <w:rsid w:val="594026BD"/>
    <w:rsid w:val="594159E5"/>
    <w:rsid w:val="59460076"/>
    <w:rsid w:val="595042A3"/>
    <w:rsid w:val="59515D8A"/>
    <w:rsid w:val="595C637A"/>
    <w:rsid w:val="5960477C"/>
    <w:rsid w:val="596B66F6"/>
    <w:rsid w:val="596D2336"/>
    <w:rsid w:val="596F6178"/>
    <w:rsid w:val="59A5674B"/>
    <w:rsid w:val="59BD150F"/>
    <w:rsid w:val="59C53F20"/>
    <w:rsid w:val="59ED3476"/>
    <w:rsid w:val="5A151F73"/>
    <w:rsid w:val="5A492DA3"/>
    <w:rsid w:val="5A53777D"/>
    <w:rsid w:val="5A582FE6"/>
    <w:rsid w:val="5A601E9A"/>
    <w:rsid w:val="5AA77AC9"/>
    <w:rsid w:val="5AA91A93"/>
    <w:rsid w:val="5ABD109B"/>
    <w:rsid w:val="5ABE4B07"/>
    <w:rsid w:val="5AC266B1"/>
    <w:rsid w:val="5AE44879"/>
    <w:rsid w:val="5AFA409D"/>
    <w:rsid w:val="5AFA5E4B"/>
    <w:rsid w:val="5B1769FD"/>
    <w:rsid w:val="5B2D6220"/>
    <w:rsid w:val="5B321A89"/>
    <w:rsid w:val="5B386973"/>
    <w:rsid w:val="5B4A6DD2"/>
    <w:rsid w:val="5B4E6197"/>
    <w:rsid w:val="5B657EA9"/>
    <w:rsid w:val="5B751975"/>
    <w:rsid w:val="5B8147BE"/>
    <w:rsid w:val="5B920779"/>
    <w:rsid w:val="5BA555B3"/>
    <w:rsid w:val="5BB47AC3"/>
    <w:rsid w:val="5BB74B2C"/>
    <w:rsid w:val="5BD41E6E"/>
    <w:rsid w:val="5BEA2363"/>
    <w:rsid w:val="5BEA5EBF"/>
    <w:rsid w:val="5BEF1728"/>
    <w:rsid w:val="5BF64864"/>
    <w:rsid w:val="5BFD3E45"/>
    <w:rsid w:val="5C2869E8"/>
    <w:rsid w:val="5C2C64D8"/>
    <w:rsid w:val="5C381321"/>
    <w:rsid w:val="5C3A6E47"/>
    <w:rsid w:val="5C3B1922"/>
    <w:rsid w:val="5C4F5402"/>
    <w:rsid w:val="5C5069F0"/>
    <w:rsid w:val="5C537F09"/>
    <w:rsid w:val="5C5477DD"/>
    <w:rsid w:val="5C5E2B95"/>
    <w:rsid w:val="5C7A1E91"/>
    <w:rsid w:val="5C8C6F77"/>
    <w:rsid w:val="5CA40764"/>
    <w:rsid w:val="5CAB5170"/>
    <w:rsid w:val="5CBD5382"/>
    <w:rsid w:val="5CCA5724"/>
    <w:rsid w:val="5CE62B2B"/>
    <w:rsid w:val="5CE70651"/>
    <w:rsid w:val="5CEE5E83"/>
    <w:rsid w:val="5D290C69"/>
    <w:rsid w:val="5D292A17"/>
    <w:rsid w:val="5D6972B8"/>
    <w:rsid w:val="5D706822"/>
    <w:rsid w:val="5D7F6ADB"/>
    <w:rsid w:val="5DAD53F7"/>
    <w:rsid w:val="5DB42C29"/>
    <w:rsid w:val="5DB669A1"/>
    <w:rsid w:val="5DBD1FCA"/>
    <w:rsid w:val="5DC0337C"/>
    <w:rsid w:val="5E084D23"/>
    <w:rsid w:val="5E092890"/>
    <w:rsid w:val="5E192A8C"/>
    <w:rsid w:val="5E1C432A"/>
    <w:rsid w:val="5E257683"/>
    <w:rsid w:val="5E282CCF"/>
    <w:rsid w:val="5E3A2E3F"/>
    <w:rsid w:val="5E510478"/>
    <w:rsid w:val="5E524438"/>
    <w:rsid w:val="5E714676"/>
    <w:rsid w:val="5E8425FB"/>
    <w:rsid w:val="5E8C6F99"/>
    <w:rsid w:val="5EAA0273"/>
    <w:rsid w:val="5ECF75EF"/>
    <w:rsid w:val="5ED54C05"/>
    <w:rsid w:val="5EF2352E"/>
    <w:rsid w:val="5EF57055"/>
    <w:rsid w:val="5EF763C6"/>
    <w:rsid w:val="5EFD0600"/>
    <w:rsid w:val="5F08322C"/>
    <w:rsid w:val="5F4E6765"/>
    <w:rsid w:val="5F5D7160"/>
    <w:rsid w:val="5F714A4F"/>
    <w:rsid w:val="5F7408C2"/>
    <w:rsid w:val="5F887EC9"/>
    <w:rsid w:val="5F893C41"/>
    <w:rsid w:val="5F8B79B9"/>
    <w:rsid w:val="5F97010C"/>
    <w:rsid w:val="5FB23198"/>
    <w:rsid w:val="5FB46F10"/>
    <w:rsid w:val="5FB90FB7"/>
    <w:rsid w:val="5FC30058"/>
    <w:rsid w:val="5FF27A39"/>
    <w:rsid w:val="5FFB0081"/>
    <w:rsid w:val="5FFE1F39"/>
    <w:rsid w:val="60060FEE"/>
    <w:rsid w:val="600A2554"/>
    <w:rsid w:val="60462E90"/>
    <w:rsid w:val="60571E01"/>
    <w:rsid w:val="606F72DB"/>
    <w:rsid w:val="60786190"/>
    <w:rsid w:val="608368E3"/>
    <w:rsid w:val="60A07495"/>
    <w:rsid w:val="60A30D33"/>
    <w:rsid w:val="60A96349"/>
    <w:rsid w:val="60AE00AB"/>
    <w:rsid w:val="60B31391"/>
    <w:rsid w:val="60C2740B"/>
    <w:rsid w:val="60C82547"/>
    <w:rsid w:val="612945BF"/>
    <w:rsid w:val="61530A39"/>
    <w:rsid w:val="6183303E"/>
    <w:rsid w:val="61923281"/>
    <w:rsid w:val="619F1863"/>
    <w:rsid w:val="61AC3CD1"/>
    <w:rsid w:val="61CB22EF"/>
    <w:rsid w:val="61DF3FED"/>
    <w:rsid w:val="61FE695C"/>
    <w:rsid w:val="621912AD"/>
    <w:rsid w:val="62326812"/>
    <w:rsid w:val="62571DD5"/>
    <w:rsid w:val="625B7377"/>
    <w:rsid w:val="6278019C"/>
    <w:rsid w:val="628C1A7E"/>
    <w:rsid w:val="629B7F14"/>
    <w:rsid w:val="62A96AD4"/>
    <w:rsid w:val="62AE40EB"/>
    <w:rsid w:val="62B2525D"/>
    <w:rsid w:val="62C0797A"/>
    <w:rsid w:val="62E95123"/>
    <w:rsid w:val="62FB09B2"/>
    <w:rsid w:val="62FE04A2"/>
    <w:rsid w:val="63001694"/>
    <w:rsid w:val="63185A08"/>
    <w:rsid w:val="631D29EB"/>
    <w:rsid w:val="633C6169"/>
    <w:rsid w:val="637A3FCD"/>
    <w:rsid w:val="63822EAD"/>
    <w:rsid w:val="638C7755"/>
    <w:rsid w:val="639B1A12"/>
    <w:rsid w:val="63B70D7D"/>
    <w:rsid w:val="63BC45E5"/>
    <w:rsid w:val="63D23E09"/>
    <w:rsid w:val="63EA73A4"/>
    <w:rsid w:val="63F773CC"/>
    <w:rsid w:val="64055F8C"/>
    <w:rsid w:val="642939D4"/>
    <w:rsid w:val="64300F47"/>
    <w:rsid w:val="64483336"/>
    <w:rsid w:val="644F0FB6"/>
    <w:rsid w:val="646C600B"/>
    <w:rsid w:val="646F3406"/>
    <w:rsid w:val="64942E6C"/>
    <w:rsid w:val="64AE53F9"/>
    <w:rsid w:val="64D63485"/>
    <w:rsid w:val="64E35BA2"/>
    <w:rsid w:val="64EC2CA8"/>
    <w:rsid w:val="65085608"/>
    <w:rsid w:val="65091AAC"/>
    <w:rsid w:val="650F7082"/>
    <w:rsid w:val="65110961"/>
    <w:rsid w:val="6518767F"/>
    <w:rsid w:val="65362175"/>
    <w:rsid w:val="65385EEE"/>
    <w:rsid w:val="656767D3"/>
    <w:rsid w:val="65712B94"/>
    <w:rsid w:val="657A02B4"/>
    <w:rsid w:val="65801643"/>
    <w:rsid w:val="65956E9C"/>
    <w:rsid w:val="659858FD"/>
    <w:rsid w:val="6598698C"/>
    <w:rsid w:val="65A13CC9"/>
    <w:rsid w:val="65AA25C1"/>
    <w:rsid w:val="65E120E1"/>
    <w:rsid w:val="65F91B21"/>
    <w:rsid w:val="660364FC"/>
    <w:rsid w:val="660D737A"/>
    <w:rsid w:val="661E2CB4"/>
    <w:rsid w:val="661E3335"/>
    <w:rsid w:val="662621EA"/>
    <w:rsid w:val="662C6800"/>
    <w:rsid w:val="6632293D"/>
    <w:rsid w:val="664E603D"/>
    <w:rsid w:val="666F1DE3"/>
    <w:rsid w:val="667B2536"/>
    <w:rsid w:val="667D1E28"/>
    <w:rsid w:val="66A870A3"/>
    <w:rsid w:val="66AD46B9"/>
    <w:rsid w:val="66B141AA"/>
    <w:rsid w:val="66CD4D5B"/>
    <w:rsid w:val="66DD6797"/>
    <w:rsid w:val="66ED4AB6"/>
    <w:rsid w:val="66F66060"/>
    <w:rsid w:val="66F67E0E"/>
    <w:rsid w:val="670818F0"/>
    <w:rsid w:val="671D183F"/>
    <w:rsid w:val="67293782"/>
    <w:rsid w:val="675114E9"/>
    <w:rsid w:val="675863D3"/>
    <w:rsid w:val="6759039D"/>
    <w:rsid w:val="679703E1"/>
    <w:rsid w:val="67984F00"/>
    <w:rsid w:val="67A965FC"/>
    <w:rsid w:val="68336E40"/>
    <w:rsid w:val="683926A8"/>
    <w:rsid w:val="68537CAF"/>
    <w:rsid w:val="685F3791"/>
    <w:rsid w:val="68725BBA"/>
    <w:rsid w:val="68776D2D"/>
    <w:rsid w:val="687A4A6F"/>
    <w:rsid w:val="68B079A5"/>
    <w:rsid w:val="68BB30BE"/>
    <w:rsid w:val="68D45F2D"/>
    <w:rsid w:val="68DF62EE"/>
    <w:rsid w:val="68EA5751"/>
    <w:rsid w:val="68F570FB"/>
    <w:rsid w:val="69456E2B"/>
    <w:rsid w:val="69531548"/>
    <w:rsid w:val="696F3EA8"/>
    <w:rsid w:val="69731BEA"/>
    <w:rsid w:val="69790883"/>
    <w:rsid w:val="697A2F79"/>
    <w:rsid w:val="698C6808"/>
    <w:rsid w:val="69A47FF6"/>
    <w:rsid w:val="6A102F95"/>
    <w:rsid w:val="6A242EE4"/>
    <w:rsid w:val="6A2922A9"/>
    <w:rsid w:val="6A4415E9"/>
    <w:rsid w:val="6A5D1F52"/>
    <w:rsid w:val="6A7C062B"/>
    <w:rsid w:val="6A8D0A8A"/>
    <w:rsid w:val="6A9736B6"/>
    <w:rsid w:val="6AAB0F10"/>
    <w:rsid w:val="6ACC55B0"/>
    <w:rsid w:val="6ACD70D8"/>
    <w:rsid w:val="6AE12B83"/>
    <w:rsid w:val="6AEA7C8A"/>
    <w:rsid w:val="6AF12F2B"/>
    <w:rsid w:val="6B054AC4"/>
    <w:rsid w:val="6B1E7934"/>
    <w:rsid w:val="6B225676"/>
    <w:rsid w:val="6B422808"/>
    <w:rsid w:val="6B476E8A"/>
    <w:rsid w:val="6B4B5217"/>
    <w:rsid w:val="6B680BAF"/>
    <w:rsid w:val="6B6F1F3D"/>
    <w:rsid w:val="6B8A1717"/>
    <w:rsid w:val="6B8C6F93"/>
    <w:rsid w:val="6B99345E"/>
    <w:rsid w:val="6BAD273F"/>
    <w:rsid w:val="6BBB1626"/>
    <w:rsid w:val="6BC56001"/>
    <w:rsid w:val="6BCA186A"/>
    <w:rsid w:val="6BCC7390"/>
    <w:rsid w:val="6BCE3108"/>
    <w:rsid w:val="6BD36970"/>
    <w:rsid w:val="6BD526E8"/>
    <w:rsid w:val="6C17069E"/>
    <w:rsid w:val="6C2225DD"/>
    <w:rsid w:val="6C301153"/>
    <w:rsid w:val="6C6B0957"/>
    <w:rsid w:val="6C832144"/>
    <w:rsid w:val="6C845EBC"/>
    <w:rsid w:val="6C89702F"/>
    <w:rsid w:val="6C9D0D2C"/>
    <w:rsid w:val="6CC265FC"/>
    <w:rsid w:val="6CD504C6"/>
    <w:rsid w:val="6CD52274"/>
    <w:rsid w:val="6CF92406"/>
    <w:rsid w:val="6CFC3CA5"/>
    <w:rsid w:val="6CFC5A53"/>
    <w:rsid w:val="6CFE5C6F"/>
    <w:rsid w:val="6D050DAB"/>
    <w:rsid w:val="6D0D5117"/>
    <w:rsid w:val="6D147240"/>
    <w:rsid w:val="6D196605"/>
    <w:rsid w:val="6D21370B"/>
    <w:rsid w:val="6D3B18E0"/>
    <w:rsid w:val="6D57537F"/>
    <w:rsid w:val="6D5B6C1D"/>
    <w:rsid w:val="6D6D4BA2"/>
    <w:rsid w:val="6D77332B"/>
    <w:rsid w:val="6D8B5ABC"/>
    <w:rsid w:val="6D940381"/>
    <w:rsid w:val="6D9C3AFC"/>
    <w:rsid w:val="6DAC1227"/>
    <w:rsid w:val="6DBB76BC"/>
    <w:rsid w:val="6DD15131"/>
    <w:rsid w:val="6DD469CF"/>
    <w:rsid w:val="6DF66946"/>
    <w:rsid w:val="6E14209A"/>
    <w:rsid w:val="6E22773B"/>
    <w:rsid w:val="6E443B55"/>
    <w:rsid w:val="6E4E6782"/>
    <w:rsid w:val="6E5B2C4D"/>
    <w:rsid w:val="6E6164B5"/>
    <w:rsid w:val="6E9F4B86"/>
    <w:rsid w:val="6EA168B2"/>
    <w:rsid w:val="6EB02F99"/>
    <w:rsid w:val="6EB72460"/>
    <w:rsid w:val="6EB74327"/>
    <w:rsid w:val="6EB8556A"/>
    <w:rsid w:val="6EBC36EB"/>
    <w:rsid w:val="6EEE586F"/>
    <w:rsid w:val="6EF72976"/>
    <w:rsid w:val="6F064E06"/>
    <w:rsid w:val="6F094457"/>
    <w:rsid w:val="6F176B74"/>
    <w:rsid w:val="6F35349E"/>
    <w:rsid w:val="6F360C58"/>
    <w:rsid w:val="6F370FC4"/>
    <w:rsid w:val="6F614293"/>
    <w:rsid w:val="6F636421"/>
    <w:rsid w:val="6F6B5112"/>
    <w:rsid w:val="6F6E6EC3"/>
    <w:rsid w:val="6F7264A0"/>
    <w:rsid w:val="6F765F90"/>
    <w:rsid w:val="6F9401C4"/>
    <w:rsid w:val="6FB915A7"/>
    <w:rsid w:val="6FC14D32"/>
    <w:rsid w:val="6FCD1928"/>
    <w:rsid w:val="6FD902CD"/>
    <w:rsid w:val="6FDD39BA"/>
    <w:rsid w:val="6FDE58E3"/>
    <w:rsid w:val="6FE61F3E"/>
    <w:rsid w:val="70161521"/>
    <w:rsid w:val="701914D7"/>
    <w:rsid w:val="701C6FC8"/>
    <w:rsid w:val="702F613F"/>
    <w:rsid w:val="703244E4"/>
    <w:rsid w:val="705636CC"/>
    <w:rsid w:val="70720586"/>
    <w:rsid w:val="70875F7B"/>
    <w:rsid w:val="70897150"/>
    <w:rsid w:val="71656047"/>
    <w:rsid w:val="718F158B"/>
    <w:rsid w:val="71A242CB"/>
    <w:rsid w:val="71C8684B"/>
    <w:rsid w:val="71CF732E"/>
    <w:rsid w:val="71DC40A5"/>
    <w:rsid w:val="71DD22F7"/>
    <w:rsid w:val="71E116BB"/>
    <w:rsid w:val="71F4319C"/>
    <w:rsid w:val="71FC75D1"/>
    <w:rsid w:val="71FE04BF"/>
    <w:rsid w:val="720D49AF"/>
    <w:rsid w:val="720F7FD6"/>
    <w:rsid w:val="72121874"/>
    <w:rsid w:val="72181F15"/>
    <w:rsid w:val="722021E3"/>
    <w:rsid w:val="7229553C"/>
    <w:rsid w:val="72323CC5"/>
    <w:rsid w:val="726F7FB0"/>
    <w:rsid w:val="72A46970"/>
    <w:rsid w:val="72AD3E9C"/>
    <w:rsid w:val="72B50B7E"/>
    <w:rsid w:val="72BB0EC2"/>
    <w:rsid w:val="72C62D8B"/>
    <w:rsid w:val="72EE22E1"/>
    <w:rsid w:val="72FD2525"/>
    <w:rsid w:val="732D2E0A"/>
    <w:rsid w:val="732E0930"/>
    <w:rsid w:val="73335F46"/>
    <w:rsid w:val="73373C88"/>
    <w:rsid w:val="735C7C30"/>
    <w:rsid w:val="73661E78"/>
    <w:rsid w:val="73697BBA"/>
    <w:rsid w:val="73775E2C"/>
    <w:rsid w:val="73A155A6"/>
    <w:rsid w:val="73A86934"/>
    <w:rsid w:val="73B250BD"/>
    <w:rsid w:val="73B40E35"/>
    <w:rsid w:val="73B61051"/>
    <w:rsid w:val="73B70925"/>
    <w:rsid w:val="73BB6668"/>
    <w:rsid w:val="73C365CB"/>
    <w:rsid w:val="73D414D7"/>
    <w:rsid w:val="73EA4857"/>
    <w:rsid w:val="73F6144E"/>
    <w:rsid w:val="742023C5"/>
    <w:rsid w:val="743D52CE"/>
    <w:rsid w:val="7443670B"/>
    <w:rsid w:val="74534AF2"/>
    <w:rsid w:val="745B7503"/>
    <w:rsid w:val="748D1686"/>
    <w:rsid w:val="74933140"/>
    <w:rsid w:val="74AE3AD6"/>
    <w:rsid w:val="74B80A8E"/>
    <w:rsid w:val="751122B7"/>
    <w:rsid w:val="75157FF9"/>
    <w:rsid w:val="751759A6"/>
    <w:rsid w:val="75387844"/>
    <w:rsid w:val="75431C52"/>
    <w:rsid w:val="75644ADD"/>
    <w:rsid w:val="75674604"/>
    <w:rsid w:val="756920F3"/>
    <w:rsid w:val="756B5E6B"/>
    <w:rsid w:val="756C4E37"/>
    <w:rsid w:val="756D0E75"/>
    <w:rsid w:val="75755831"/>
    <w:rsid w:val="75866801"/>
    <w:rsid w:val="758807CB"/>
    <w:rsid w:val="75937E8D"/>
    <w:rsid w:val="75D51537"/>
    <w:rsid w:val="75DF5F11"/>
    <w:rsid w:val="75E35A02"/>
    <w:rsid w:val="75E654F2"/>
    <w:rsid w:val="762027B2"/>
    <w:rsid w:val="762108D3"/>
    <w:rsid w:val="76312C11"/>
    <w:rsid w:val="763224E5"/>
    <w:rsid w:val="76361FD5"/>
    <w:rsid w:val="764364A0"/>
    <w:rsid w:val="76505878"/>
    <w:rsid w:val="765406AD"/>
    <w:rsid w:val="76790114"/>
    <w:rsid w:val="76794AF8"/>
    <w:rsid w:val="76850C08"/>
    <w:rsid w:val="76BB24DB"/>
    <w:rsid w:val="76C84BF7"/>
    <w:rsid w:val="76D67314"/>
    <w:rsid w:val="76DF266D"/>
    <w:rsid w:val="770B3462"/>
    <w:rsid w:val="7711659E"/>
    <w:rsid w:val="771B11CB"/>
    <w:rsid w:val="7722255A"/>
    <w:rsid w:val="77274014"/>
    <w:rsid w:val="772E2227"/>
    <w:rsid w:val="77302EC9"/>
    <w:rsid w:val="7731279D"/>
    <w:rsid w:val="77533CC6"/>
    <w:rsid w:val="775748F9"/>
    <w:rsid w:val="775D4510"/>
    <w:rsid w:val="7760252B"/>
    <w:rsid w:val="776058DA"/>
    <w:rsid w:val="77626DFA"/>
    <w:rsid w:val="777032C5"/>
    <w:rsid w:val="777803CC"/>
    <w:rsid w:val="777D1E86"/>
    <w:rsid w:val="77905715"/>
    <w:rsid w:val="779276DF"/>
    <w:rsid w:val="77F40160"/>
    <w:rsid w:val="781D568D"/>
    <w:rsid w:val="78342545"/>
    <w:rsid w:val="78362F6D"/>
    <w:rsid w:val="78412EB3"/>
    <w:rsid w:val="78627545"/>
    <w:rsid w:val="78632E2A"/>
    <w:rsid w:val="78654665"/>
    <w:rsid w:val="78654DF4"/>
    <w:rsid w:val="787B0173"/>
    <w:rsid w:val="789C661D"/>
    <w:rsid w:val="78E0447A"/>
    <w:rsid w:val="78EF46BD"/>
    <w:rsid w:val="78F63C9E"/>
    <w:rsid w:val="790740FD"/>
    <w:rsid w:val="791660EE"/>
    <w:rsid w:val="791D122B"/>
    <w:rsid w:val="791F31F5"/>
    <w:rsid w:val="793F5645"/>
    <w:rsid w:val="794E7636"/>
    <w:rsid w:val="797F1EE5"/>
    <w:rsid w:val="79892D64"/>
    <w:rsid w:val="798B2638"/>
    <w:rsid w:val="798E037A"/>
    <w:rsid w:val="79960FDD"/>
    <w:rsid w:val="79997202"/>
    <w:rsid w:val="799E680F"/>
    <w:rsid w:val="79B0209F"/>
    <w:rsid w:val="79C45B4A"/>
    <w:rsid w:val="7A1B3962"/>
    <w:rsid w:val="7A2111EE"/>
    <w:rsid w:val="7A2A00A3"/>
    <w:rsid w:val="7A2F56B9"/>
    <w:rsid w:val="7A623463"/>
    <w:rsid w:val="7A6D48C0"/>
    <w:rsid w:val="7A6D7F90"/>
    <w:rsid w:val="7A765096"/>
    <w:rsid w:val="7A861051"/>
    <w:rsid w:val="7A974046"/>
    <w:rsid w:val="7A9A4854"/>
    <w:rsid w:val="7AB931D5"/>
    <w:rsid w:val="7ABA14EE"/>
    <w:rsid w:val="7AC53928"/>
    <w:rsid w:val="7AC878BC"/>
    <w:rsid w:val="7ACA7190"/>
    <w:rsid w:val="7B007056"/>
    <w:rsid w:val="7B02692A"/>
    <w:rsid w:val="7B0F72C3"/>
    <w:rsid w:val="7B114DBF"/>
    <w:rsid w:val="7B2368A0"/>
    <w:rsid w:val="7B5B428C"/>
    <w:rsid w:val="7B887EC5"/>
    <w:rsid w:val="7B914152"/>
    <w:rsid w:val="7BB17EFC"/>
    <w:rsid w:val="7BB5399C"/>
    <w:rsid w:val="7BC60184"/>
    <w:rsid w:val="7BD5403F"/>
    <w:rsid w:val="7BDD2EF3"/>
    <w:rsid w:val="7BE73A8B"/>
    <w:rsid w:val="7BF471EA"/>
    <w:rsid w:val="7C011556"/>
    <w:rsid w:val="7C18217D"/>
    <w:rsid w:val="7C346F6A"/>
    <w:rsid w:val="7C3C40BE"/>
    <w:rsid w:val="7C4C3220"/>
    <w:rsid w:val="7C4F37CE"/>
    <w:rsid w:val="7C507B69"/>
    <w:rsid w:val="7C596A1E"/>
    <w:rsid w:val="7C5E2286"/>
    <w:rsid w:val="7C701FB9"/>
    <w:rsid w:val="7C817D22"/>
    <w:rsid w:val="7C857813"/>
    <w:rsid w:val="7C99506C"/>
    <w:rsid w:val="7CD24A22"/>
    <w:rsid w:val="7CEA1D6C"/>
    <w:rsid w:val="7CF61768"/>
    <w:rsid w:val="7D0C7F34"/>
    <w:rsid w:val="7D0E5A5A"/>
    <w:rsid w:val="7D2C5EE0"/>
    <w:rsid w:val="7D360B0D"/>
    <w:rsid w:val="7D406A1E"/>
    <w:rsid w:val="7D5A0C9F"/>
    <w:rsid w:val="7D637428"/>
    <w:rsid w:val="7D6F2271"/>
    <w:rsid w:val="7D741635"/>
    <w:rsid w:val="7D823D52"/>
    <w:rsid w:val="7D851A94"/>
    <w:rsid w:val="7D965A4F"/>
    <w:rsid w:val="7DA95783"/>
    <w:rsid w:val="7DB3326F"/>
    <w:rsid w:val="7DCB56F9"/>
    <w:rsid w:val="7DEB5722"/>
    <w:rsid w:val="7DF34C50"/>
    <w:rsid w:val="7E0D00F2"/>
    <w:rsid w:val="7E1846B6"/>
    <w:rsid w:val="7E1A21DD"/>
    <w:rsid w:val="7E3037AE"/>
    <w:rsid w:val="7E3A287F"/>
    <w:rsid w:val="7E486D4A"/>
    <w:rsid w:val="7E5F22E5"/>
    <w:rsid w:val="7E6B4A0B"/>
    <w:rsid w:val="7E714CEC"/>
    <w:rsid w:val="7E786F03"/>
    <w:rsid w:val="7E7C7B82"/>
    <w:rsid w:val="7E8B4E88"/>
    <w:rsid w:val="7E960CC1"/>
    <w:rsid w:val="7EA36676"/>
    <w:rsid w:val="7EB702F4"/>
    <w:rsid w:val="7ECD724F"/>
    <w:rsid w:val="7ED405DD"/>
    <w:rsid w:val="7ED625A7"/>
    <w:rsid w:val="7EED715E"/>
    <w:rsid w:val="7EFD7F37"/>
    <w:rsid w:val="7F0A2251"/>
    <w:rsid w:val="7F0D3AEF"/>
    <w:rsid w:val="7F17671C"/>
    <w:rsid w:val="7F2271E4"/>
    <w:rsid w:val="7F2D7CEE"/>
    <w:rsid w:val="7F313C82"/>
    <w:rsid w:val="7F4A61E1"/>
    <w:rsid w:val="7F544D8E"/>
    <w:rsid w:val="7F596D35"/>
    <w:rsid w:val="7F5C68C8"/>
    <w:rsid w:val="7F645E05"/>
    <w:rsid w:val="7F743B6E"/>
    <w:rsid w:val="7F8C710A"/>
    <w:rsid w:val="7F967F89"/>
    <w:rsid w:val="7F9935D5"/>
    <w:rsid w:val="7FA51F7A"/>
    <w:rsid w:val="7FB328E9"/>
    <w:rsid w:val="7FC468A4"/>
    <w:rsid w:val="7FD30895"/>
    <w:rsid w:val="7FDD1714"/>
    <w:rsid w:val="7FDD5BB8"/>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3">
    <w:name w:val="heading 1"/>
    <w:basedOn w:val="1"/>
    <w:next w:val="1"/>
    <w:link w:val="37"/>
    <w:autoRedefine/>
    <w:qFormat/>
    <w:uiPriority w:val="9"/>
    <w:pPr>
      <w:keepNext/>
      <w:keepLines/>
      <w:spacing w:before="340" w:after="330" w:line="578" w:lineRule="auto"/>
      <w:jc w:val="center"/>
      <w:outlineLvl w:val="0"/>
    </w:pPr>
    <w:rPr>
      <w:rFonts w:eastAsia="黑体"/>
      <w:b/>
      <w:bCs/>
      <w:kern w:val="44"/>
      <w:sz w:val="44"/>
      <w:szCs w:val="44"/>
    </w:rPr>
  </w:style>
  <w:style w:type="paragraph" w:styleId="4">
    <w:name w:val="heading 2"/>
    <w:basedOn w:val="1"/>
    <w:next w:val="1"/>
    <w:link w:val="41"/>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2">
    <w:name w:val="heading 3"/>
    <w:basedOn w:val="1"/>
    <w:next w:val="1"/>
    <w:link w:val="44"/>
    <w:autoRedefine/>
    <w:unhideWhenUsed/>
    <w:qFormat/>
    <w:uiPriority w:val="9"/>
    <w:pPr>
      <w:keepNext/>
      <w:keepLines/>
      <w:spacing w:before="260" w:after="260" w:line="416" w:lineRule="auto"/>
      <w:outlineLvl w:val="2"/>
    </w:pPr>
    <w:rPr>
      <w:b/>
      <w:bCs/>
      <w:sz w:val="30"/>
      <w:szCs w:val="32"/>
    </w:rPr>
  </w:style>
  <w:style w:type="paragraph" w:styleId="5">
    <w:name w:val="heading 4"/>
    <w:basedOn w:val="1"/>
    <w:next w:val="1"/>
    <w:link w:val="45"/>
    <w:autoRedefine/>
    <w:unhideWhenUsed/>
    <w:qFormat/>
    <w:uiPriority w:val="9"/>
    <w:pPr>
      <w:keepNext/>
      <w:keepLines/>
      <w:spacing w:before="280" w:after="290" w:line="376" w:lineRule="auto"/>
      <w:outlineLvl w:val="3"/>
    </w:pPr>
    <w:rPr>
      <w:rFonts w:asciiTheme="majorHAnsi" w:hAnsiTheme="majorHAnsi" w:cstheme="majorBidi"/>
      <w:b/>
      <w:bCs/>
      <w:sz w:val="28"/>
      <w:szCs w:val="28"/>
    </w:rPr>
  </w:style>
  <w:style w:type="paragraph" w:styleId="6">
    <w:name w:val="heading 5"/>
    <w:basedOn w:val="7"/>
    <w:next w:val="8"/>
    <w:autoRedefine/>
    <w:qFormat/>
    <w:uiPriority w:val="1"/>
    <w:pPr>
      <w:tabs>
        <w:tab w:val="left" w:pos="780"/>
      </w:tabs>
      <w:ind w:left="638" w:firstLine="561"/>
      <w:outlineLvl w:val="4"/>
    </w:pPr>
    <w:rPr>
      <w:rFonts w:ascii="仿宋" w:hAnsi="仿宋" w:eastAsia="仿宋" w:cs="仿宋"/>
      <w:b/>
      <w:bCs/>
      <w:kern w:val="0"/>
      <w:sz w:val="28"/>
      <w:szCs w:val="28"/>
      <w:lang w:val="zh-CN" w:bidi="zh-CN"/>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List Number 2"/>
    <w:basedOn w:val="1"/>
    <w:autoRedefine/>
    <w:semiHidden/>
    <w:unhideWhenUsed/>
    <w:qFormat/>
    <w:uiPriority w:val="99"/>
    <w:pPr>
      <w:numPr>
        <w:ilvl w:val="0"/>
        <w:numId w:val="1"/>
      </w:numPr>
    </w:pPr>
  </w:style>
  <w:style w:type="paragraph" w:styleId="8">
    <w:name w:val="Normal (Web)"/>
    <w:basedOn w:val="1"/>
    <w:next w:val="1"/>
    <w:autoRedefine/>
    <w:qFormat/>
    <w:uiPriority w:val="99"/>
    <w:pPr>
      <w:widowControl/>
      <w:spacing w:before="100" w:beforeAutospacing="1" w:after="100" w:afterAutospacing="1"/>
    </w:pPr>
    <w:rPr>
      <w:rFonts w:cs="宋体"/>
      <w:color w:val="000000"/>
      <w:kern w:val="0"/>
      <w:szCs w:val="24"/>
    </w:rPr>
  </w:style>
  <w:style w:type="paragraph" w:styleId="9">
    <w:name w:val="toc 7"/>
    <w:basedOn w:val="1"/>
    <w:next w:val="1"/>
    <w:autoRedefine/>
    <w:unhideWhenUsed/>
    <w:qFormat/>
    <w:uiPriority w:val="39"/>
    <w:pPr>
      <w:ind w:left="1440"/>
    </w:pPr>
    <w:rPr>
      <w:rFonts w:asciiTheme="minorHAnsi" w:eastAsiaTheme="minorHAnsi"/>
      <w:sz w:val="18"/>
      <w:szCs w:val="18"/>
    </w:rPr>
  </w:style>
  <w:style w:type="paragraph" w:styleId="10">
    <w:name w:val="Normal Indent"/>
    <w:basedOn w:val="1"/>
    <w:next w:val="1"/>
    <w:autoRedefine/>
    <w:unhideWhenUsed/>
    <w:qFormat/>
    <w:uiPriority w:val="0"/>
    <w:pPr>
      <w:ind w:firstLine="420" w:firstLineChars="200"/>
    </w:pPr>
    <w:rPr>
      <w:rFonts w:ascii="Calibri" w:hAnsi="Calibri"/>
      <w:szCs w:val="22"/>
    </w:rPr>
  </w:style>
  <w:style w:type="paragraph" w:styleId="11">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2">
    <w:name w:val="annotation text"/>
    <w:basedOn w:val="1"/>
    <w:link w:val="42"/>
    <w:autoRedefine/>
    <w:qFormat/>
    <w:uiPriority w:val="0"/>
    <w:pPr>
      <w:spacing w:line="240" w:lineRule="auto"/>
    </w:pPr>
    <w:rPr>
      <w:rFonts w:eastAsiaTheme="minorEastAsia"/>
      <w:sz w:val="21"/>
      <w:szCs w:val="24"/>
    </w:rPr>
  </w:style>
  <w:style w:type="paragraph" w:styleId="13">
    <w:name w:val="Body Text"/>
    <w:basedOn w:val="1"/>
    <w:link w:val="46"/>
    <w:autoRedefine/>
    <w:qFormat/>
    <w:uiPriority w:val="99"/>
    <w:pPr>
      <w:spacing w:after="120" w:line="240" w:lineRule="auto"/>
      <w:jc w:val="both"/>
    </w:pPr>
    <w:rPr>
      <w:rFonts w:eastAsiaTheme="minorEastAsia"/>
      <w:sz w:val="21"/>
      <w:szCs w:val="24"/>
    </w:rPr>
  </w:style>
  <w:style w:type="paragraph" w:styleId="14">
    <w:name w:val="Body Text Indent"/>
    <w:basedOn w:val="1"/>
    <w:next w:val="1"/>
    <w:autoRedefine/>
    <w:unhideWhenUsed/>
    <w:qFormat/>
    <w:uiPriority w:val="0"/>
    <w:pPr>
      <w:ind w:firstLine="630"/>
    </w:pPr>
    <w:rPr>
      <w:rFonts w:eastAsia="仿宋_GB2312"/>
      <w:kern w:val="0"/>
      <w:sz w:val="32"/>
      <w:szCs w:val="20"/>
    </w:rPr>
  </w:style>
  <w:style w:type="paragraph" w:styleId="15">
    <w:name w:val="toc 5"/>
    <w:basedOn w:val="1"/>
    <w:next w:val="1"/>
    <w:autoRedefine/>
    <w:unhideWhenUsed/>
    <w:qFormat/>
    <w:uiPriority w:val="39"/>
    <w:pPr>
      <w:ind w:left="960"/>
    </w:pPr>
    <w:rPr>
      <w:rFonts w:asciiTheme="minorHAnsi" w:eastAsiaTheme="minorHAnsi"/>
      <w:sz w:val="18"/>
      <w:szCs w:val="18"/>
    </w:rPr>
  </w:style>
  <w:style w:type="paragraph" w:styleId="16">
    <w:name w:val="toc 3"/>
    <w:basedOn w:val="1"/>
    <w:next w:val="1"/>
    <w:autoRedefine/>
    <w:unhideWhenUsed/>
    <w:qFormat/>
    <w:uiPriority w:val="39"/>
    <w:pPr>
      <w:ind w:left="480"/>
    </w:pPr>
    <w:rPr>
      <w:rFonts w:asciiTheme="minorHAnsi" w:eastAsiaTheme="minorHAnsi"/>
      <w:i/>
      <w:iCs/>
      <w:sz w:val="20"/>
      <w:szCs w:val="20"/>
    </w:rPr>
  </w:style>
  <w:style w:type="paragraph" w:styleId="17">
    <w:name w:val="Plain Text"/>
    <w:basedOn w:val="1"/>
    <w:autoRedefine/>
    <w:unhideWhenUsed/>
    <w:qFormat/>
    <w:uiPriority w:val="0"/>
    <w:rPr>
      <w:rFonts w:ascii="宋体" w:hAnsi="Courier New"/>
      <w:kern w:val="0"/>
      <w:sz w:val="20"/>
      <w:szCs w:val="20"/>
    </w:rPr>
  </w:style>
  <w:style w:type="paragraph" w:styleId="18">
    <w:name w:val="toc 8"/>
    <w:basedOn w:val="1"/>
    <w:next w:val="1"/>
    <w:autoRedefine/>
    <w:unhideWhenUsed/>
    <w:qFormat/>
    <w:uiPriority w:val="39"/>
    <w:pPr>
      <w:ind w:left="1680"/>
    </w:pPr>
    <w:rPr>
      <w:rFonts w:asciiTheme="minorHAnsi" w:eastAsiaTheme="minorHAnsi"/>
      <w:sz w:val="18"/>
      <w:szCs w:val="18"/>
    </w:rPr>
  </w:style>
  <w:style w:type="paragraph" w:styleId="19">
    <w:name w:val="footer"/>
    <w:basedOn w:val="1"/>
    <w:link w:val="40"/>
    <w:autoRedefine/>
    <w:unhideWhenUsed/>
    <w:qFormat/>
    <w:uiPriority w:val="99"/>
    <w:pPr>
      <w:tabs>
        <w:tab w:val="center" w:pos="4153"/>
        <w:tab w:val="right" w:pos="8306"/>
      </w:tabs>
      <w:snapToGrid w:val="0"/>
      <w:spacing w:line="240" w:lineRule="auto"/>
    </w:pPr>
    <w:rPr>
      <w:sz w:val="18"/>
      <w:szCs w:val="18"/>
    </w:rPr>
  </w:style>
  <w:style w:type="paragraph" w:styleId="20">
    <w:name w:val="header"/>
    <w:basedOn w:val="1"/>
    <w:link w:val="39"/>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2">
    <w:name w:val="toc 4"/>
    <w:basedOn w:val="1"/>
    <w:next w:val="1"/>
    <w:autoRedefine/>
    <w:unhideWhenUsed/>
    <w:qFormat/>
    <w:uiPriority w:val="39"/>
    <w:pPr>
      <w:ind w:left="720"/>
    </w:pPr>
    <w:rPr>
      <w:rFonts w:asciiTheme="minorHAnsi" w:eastAsiaTheme="minorHAnsi"/>
      <w:sz w:val="18"/>
      <w:szCs w:val="18"/>
    </w:rPr>
  </w:style>
  <w:style w:type="paragraph" w:styleId="23">
    <w:name w:val="footnote text"/>
    <w:basedOn w:val="1"/>
    <w:qFormat/>
    <w:uiPriority w:val="0"/>
    <w:pPr>
      <w:widowControl/>
      <w:jc w:val="left"/>
    </w:pPr>
    <w:rPr>
      <w:kern w:val="0"/>
      <w:sz w:val="20"/>
      <w:szCs w:val="20"/>
      <w:lang w:val="de-DE"/>
    </w:rPr>
  </w:style>
  <w:style w:type="paragraph" w:styleId="24">
    <w:name w:val="toc 6"/>
    <w:basedOn w:val="1"/>
    <w:next w:val="1"/>
    <w:autoRedefine/>
    <w:unhideWhenUsed/>
    <w:qFormat/>
    <w:uiPriority w:val="39"/>
    <w:pPr>
      <w:ind w:left="1200"/>
    </w:pPr>
    <w:rPr>
      <w:rFonts w:asciiTheme="minorHAnsi" w:eastAsiaTheme="minorHAnsi"/>
      <w:sz w:val="18"/>
      <w:szCs w:val="18"/>
    </w:rPr>
  </w:style>
  <w:style w:type="paragraph" w:styleId="25">
    <w:name w:val="toc 2"/>
    <w:basedOn w:val="1"/>
    <w:next w:val="1"/>
    <w:autoRedefine/>
    <w:unhideWhenUsed/>
    <w:qFormat/>
    <w:uiPriority w:val="39"/>
    <w:pPr>
      <w:ind w:left="240"/>
    </w:pPr>
    <w:rPr>
      <w:rFonts w:asciiTheme="minorHAnsi" w:eastAsiaTheme="minorHAnsi"/>
      <w:smallCaps/>
      <w:sz w:val="20"/>
      <w:szCs w:val="20"/>
    </w:rPr>
  </w:style>
  <w:style w:type="paragraph" w:styleId="26">
    <w:name w:val="toc 9"/>
    <w:basedOn w:val="1"/>
    <w:next w:val="1"/>
    <w:autoRedefine/>
    <w:unhideWhenUsed/>
    <w:qFormat/>
    <w:uiPriority w:val="39"/>
    <w:pPr>
      <w:ind w:left="1920"/>
    </w:pPr>
    <w:rPr>
      <w:rFonts w:asciiTheme="minorHAnsi" w:eastAsiaTheme="minorHAnsi"/>
      <w:sz w:val="18"/>
      <w:szCs w:val="18"/>
    </w:rPr>
  </w:style>
  <w:style w:type="paragraph" w:styleId="27">
    <w:name w:val="annotation subject"/>
    <w:basedOn w:val="12"/>
    <w:next w:val="12"/>
    <w:link w:val="50"/>
    <w:autoRedefine/>
    <w:semiHidden/>
    <w:unhideWhenUsed/>
    <w:qFormat/>
    <w:uiPriority w:val="99"/>
    <w:pPr>
      <w:spacing w:line="360" w:lineRule="auto"/>
    </w:pPr>
    <w:rPr>
      <w:rFonts w:eastAsia="宋体"/>
      <w:b/>
      <w:bCs/>
      <w:sz w:val="24"/>
      <w:szCs w:val="22"/>
    </w:rPr>
  </w:style>
  <w:style w:type="paragraph" w:styleId="28">
    <w:name w:val="Body Text First Indent 2"/>
    <w:basedOn w:val="14"/>
    <w:autoRedefine/>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autoRedefine/>
    <w:qFormat/>
    <w:uiPriority w:val="0"/>
    <w:rPr>
      <w:b/>
      <w:bCs/>
    </w:rPr>
  </w:style>
  <w:style w:type="character" w:styleId="33">
    <w:name w:val="Hyperlink"/>
    <w:basedOn w:val="31"/>
    <w:autoRedefine/>
    <w:unhideWhenUsed/>
    <w:qFormat/>
    <w:uiPriority w:val="99"/>
    <w:rPr>
      <w:color w:val="0563C1" w:themeColor="hyperlink"/>
      <w:u w:val="single"/>
      <w14:textFill>
        <w14:solidFill>
          <w14:schemeClr w14:val="hlink"/>
        </w14:solidFill>
      </w14:textFill>
    </w:rPr>
  </w:style>
  <w:style w:type="character" w:styleId="34">
    <w:name w:val="annotation reference"/>
    <w:basedOn w:val="31"/>
    <w:autoRedefine/>
    <w:qFormat/>
    <w:uiPriority w:val="0"/>
    <w:rPr>
      <w:sz w:val="21"/>
      <w:szCs w:val="21"/>
    </w:rPr>
  </w:style>
  <w:style w:type="paragraph" w:customStyle="1" w:styleId="3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6">
    <w:name w:val="正文缩进2"/>
    <w:basedOn w:val="1"/>
    <w:autoRedefine/>
    <w:qFormat/>
    <w:uiPriority w:val="0"/>
    <w:pPr>
      <w:wordWrap w:val="0"/>
      <w:ind w:firstLine="480"/>
    </w:pPr>
    <w:rPr>
      <w:iCs/>
      <w:shd w:val="clear" w:color="auto" w:fill="FFFFFF" w:themeFill="background1"/>
      <w:lang w:val="zh-CN"/>
    </w:rPr>
  </w:style>
  <w:style w:type="character" w:customStyle="1" w:styleId="37">
    <w:name w:val="标题 1 字符"/>
    <w:basedOn w:val="31"/>
    <w:link w:val="3"/>
    <w:autoRedefine/>
    <w:qFormat/>
    <w:uiPriority w:val="9"/>
    <w:rPr>
      <w:rFonts w:eastAsia="黑体"/>
      <w:b/>
      <w:bCs/>
      <w:kern w:val="44"/>
      <w:sz w:val="44"/>
      <w:szCs w:val="44"/>
    </w:rPr>
  </w:style>
  <w:style w:type="paragraph" w:styleId="38">
    <w:name w:val="List Paragraph"/>
    <w:basedOn w:val="1"/>
    <w:autoRedefine/>
    <w:qFormat/>
    <w:uiPriority w:val="34"/>
    <w:pPr>
      <w:numPr>
        <w:ilvl w:val="0"/>
        <w:numId w:val="2"/>
      </w:numPr>
    </w:pPr>
  </w:style>
  <w:style w:type="character" w:customStyle="1" w:styleId="39">
    <w:name w:val="页眉 字符"/>
    <w:basedOn w:val="31"/>
    <w:link w:val="20"/>
    <w:autoRedefine/>
    <w:qFormat/>
    <w:uiPriority w:val="99"/>
    <w:rPr>
      <w:rFonts w:eastAsia="宋体"/>
      <w:sz w:val="18"/>
      <w:szCs w:val="18"/>
    </w:rPr>
  </w:style>
  <w:style w:type="character" w:customStyle="1" w:styleId="40">
    <w:name w:val="页脚 字符"/>
    <w:basedOn w:val="31"/>
    <w:link w:val="19"/>
    <w:autoRedefine/>
    <w:qFormat/>
    <w:uiPriority w:val="99"/>
    <w:rPr>
      <w:rFonts w:eastAsia="宋体"/>
      <w:sz w:val="18"/>
      <w:szCs w:val="18"/>
    </w:rPr>
  </w:style>
  <w:style w:type="character" w:customStyle="1" w:styleId="41">
    <w:name w:val="标题 2 字符"/>
    <w:basedOn w:val="31"/>
    <w:link w:val="4"/>
    <w:autoRedefine/>
    <w:qFormat/>
    <w:uiPriority w:val="0"/>
    <w:rPr>
      <w:rFonts w:eastAsia="宋体" w:asciiTheme="majorHAnsi" w:hAnsiTheme="majorHAnsi" w:cstheme="majorBidi"/>
      <w:b/>
      <w:bCs/>
      <w:sz w:val="32"/>
      <w:szCs w:val="32"/>
    </w:rPr>
  </w:style>
  <w:style w:type="character" w:customStyle="1" w:styleId="42">
    <w:name w:val="批注文字 字符"/>
    <w:basedOn w:val="31"/>
    <w:link w:val="12"/>
    <w:autoRedefine/>
    <w:qFormat/>
    <w:uiPriority w:val="0"/>
    <w:rPr>
      <w:szCs w:val="24"/>
    </w:rPr>
  </w:style>
  <w:style w:type="paragraph" w:customStyle="1" w:styleId="43">
    <w:name w:val="Char1 Char Char Char"/>
    <w:basedOn w:val="1"/>
    <w:autoRedefine/>
    <w:qFormat/>
    <w:uiPriority w:val="0"/>
    <w:pPr>
      <w:adjustRightInd w:val="0"/>
      <w:jc w:val="both"/>
    </w:pPr>
    <w:rPr>
      <w:rFonts w:ascii="Times New Roman" w:hAnsi="Times New Roman" w:cs="Times New Roman"/>
      <w:kern w:val="0"/>
      <w:szCs w:val="20"/>
    </w:rPr>
  </w:style>
  <w:style w:type="character" w:customStyle="1" w:styleId="44">
    <w:name w:val="标题 3 字符"/>
    <w:basedOn w:val="31"/>
    <w:link w:val="2"/>
    <w:autoRedefine/>
    <w:qFormat/>
    <w:uiPriority w:val="9"/>
    <w:rPr>
      <w:rFonts w:eastAsia="宋体"/>
      <w:b/>
      <w:bCs/>
      <w:sz w:val="30"/>
      <w:szCs w:val="32"/>
    </w:rPr>
  </w:style>
  <w:style w:type="character" w:customStyle="1" w:styleId="45">
    <w:name w:val="标题 4 字符"/>
    <w:basedOn w:val="31"/>
    <w:link w:val="5"/>
    <w:autoRedefine/>
    <w:qFormat/>
    <w:uiPriority w:val="9"/>
    <w:rPr>
      <w:rFonts w:eastAsia="宋体" w:asciiTheme="majorHAnsi" w:hAnsiTheme="majorHAnsi" w:cstheme="majorBidi"/>
      <w:b/>
      <w:bCs/>
      <w:sz w:val="28"/>
      <w:szCs w:val="28"/>
    </w:rPr>
  </w:style>
  <w:style w:type="character" w:customStyle="1" w:styleId="46">
    <w:name w:val="正文文本 字符"/>
    <w:basedOn w:val="31"/>
    <w:link w:val="13"/>
    <w:autoRedefine/>
    <w:qFormat/>
    <w:uiPriority w:val="99"/>
    <w:rPr>
      <w:szCs w:val="24"/>
    </w:rPr>
  </w:style>
  <w:style w:type="paragraph" w:customStyle="1" w:styleId="47">
    <w:name w:val="样式"/>
    <w:basedOn w:val="1"/>
    <w:autoRedefine/>
    <w:qFormat/>
    <w:uiPriority w:val="0"/>
    <w:pPr>
      <w:autoSpaceDE w:val="0"/>
      <w:autoSpaceDN w:val="0"/>
      <w:snapToGrid w:val="0"/>
      <w:spacing w:before="120" w:after="120"/>
      <w:jc w:val="both"/>
    </w:pPr>
    <w:rPr>
      <w:rFonts w:hAnsi="Times New Roman" w:cs="Times New Roman"/>
      <w:kern w:val="0"/>
      <w:szCs w:val="20"/>
    </w:rPr>
  </w:style>
  <w:style w:type="paragraph" w:styleId="48">
    <w:name w:val="No Spacing"/>
    <w:autoRedefine/>
    <w:qFormat/>
    <w:uiPriority w:val="1"/>
    <w:pPr>
      <w:widowControl w:val="0"/>
    </w:pPr>
    <w:rPr>
      <w:rFonts w:ascii="宋体" w:hAnsi="宋体" w:eastAsia="宋体" w:cstheme="minorBidi"/>
      <w:kern w:val="2"/>
      <w:sz w:val="24"/>
      <w:szCs w:val="22"/>
      <w:lang w:val="en-US" w:eastAsia="zh-CN" w:bidi="ar-SA"/>
    </w:rPr>
  </w:style>
  <w:style w:type="character" w:customStyle="1" w:styleId="49">
    <w:name w:val="未处理的提及1"/>
    <w:basedOn w:val="31"/>
    <w:autoRedefine/>
    <w:semiHidden/>
    <w:unhideWhenUsed/>
    <w:qFormat/>
    <w:uiPriority w:val="99"/>
    <w:rPr>
      <w:color w:val="605E5C"/>
      <w:shd w:val="clear" w:color="auto" w:fill="E1DFDD"/>
    </w:rPr>
  </w:style>
  <w:style w:type="character" w:customStyle="1" w:styleId="50">
    <w:name w:val="批注主题 字符"/>
    <w:basedOn w:val="42"/>
    <w:link w:val="27"/>
    <w:autoRedefine/>
    <w:semiHidden/>
    <w:qFormat/>
    <w:uiPriority w:val="99"/>
    <w:rPr>
      <w:rFonts w:ascii="宋体" w:hAnsi="宋体" w:cstheme="minorBidi"/>
      <w:b/>
      <w:bCs/>
      <w:kern w:val="2"/>
      <w:sz w:val="24"/>
      <w:szCs w:val="22"/>
    </w:rPr>
  </w:style>
  <w:style w:type="character" w:customStyle="1" w:styleId="51">
    <w:name w:val="未处理的提及2"/>
    <w:basedOn w:val="31"/>
    <w:autoRedefine/>
    <w:semiHidden/>
    <w:unhideWhenUsed/>
    <w:qFormat/>
    <w:uiPriority w:val="99"/>
    <w:rPr>
      <w:color w:val="605E5C"/>
      <w:shd w:val="clear" w:color="auto" w:fill="E1DFDD"/>
    </w:rPr>
  </w:style>
  <w:style w:type="paragraph" w:customStyle="1" w:styleId="52">
    <w:name w:val="正文_2"/>
    <w:autoRedefine/>
    <w:qFormat/>
    <w:uiPriority w:val="0"/>
    <w:pPr>
      <w:widowControl w:val="0"/>
      <w:jc w:val="both"/>
    </w:pPr>
    <w:rPr>
      <w:rFonts w:ascii="Calibri" w:hAnsi="Calibri" w:eastAsia="宋体" w:cs="Times New Roman"/>
      <w:lang w:val="en-US" w:eastAsia="zh-CN" w:bidi="ar-SA"/>
    </w:rPr>
  </w:style>
  <w:style w:type="paragraph" w:customStyle="1" w:styleId="53">
    <w:name w:val="Normal"/>
    <w:autoRedefine/>
    <w:qFormat/>
    <w:uiPriority w:val="0"/>
    <w:pPr>
      <w:widowControl w:val="0"/>
      <w:jc w:val="both"/>
    </w:pPr>
    <w:rPr>
      <w:rFonts w:ascii="Times New Roman" w:hAnsi="Times New Roman" w:eastAsia="Times New Roman" w:cs="Times New Roman"/>
      <w:lang w:val="en-US" w:eastAsia="zh-CN" w:bidi="ar-SA"/>
    </w:rPr>
  </w:style>
  <w:style w:type="paragraph" w:customStyle="1" w:styleId="54">
    <w:name w:val="正文_1"/>
    <w:next w:val="5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
    <w:basedOn w:val="54"/>
    <w:qFormat/>
    <w:uiPriority w:val="0"/>
    <w:pPr>
      <w:tabs>
        <w:tab w:val="left" w:pos="-120"/>
      </w:tabs>
      <w:spacing w:line="560" w:lineRule="exact"/>
      <w:ind w:firstLine="600"/>
      <w:textAlignment w:val="baseline"/>
    </w:pPr>
    <w:rPr>
      <w:rFonts w:ascii="仿宋_GB2312" w:hAnsi="仿宋_GB2312" w:eastAsia="仿宋_GB2312" w:cs="仿宋_GB2312"/>
      <w:color w:val="000000"/>
      <w:spacing w:val="20"/>
      <w:kern w:val="0"/>
    </w:rPr>
  </w:style>
  <w:style w:type="paragraph" w:customStyle="1" w:styleId="56">
    <w:name w:val="正文_2_0_0"/>
    <w:autoRedefine/>
    <w:qFormat/>
    <w:uiPriority w:val="99"/>
    <w:pPr>
      <w:widowControl w:val="0"/>
      <w:jc w:val="both"/>
    </w:pPr>
    <w:rPr>
      <w:rFonts w:ascii="Calibri" w:hAnsi="Calibri" w:eastAsia="宋体" w:cs="Times New Roman"/>
      <w:lang w:val="en-US" w:eastAsia="zh-CN" w:bidi="ar-SA"/>
    </w:rPr>
  </w:style>
  <w:style w:type="paragraph" w:customStyle="1" w:styleId="57">
    <w:name w:val="正文_1_1"/>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58">
    <w:name w:val="Normal Indent1"/>
    <w:basedOn w:val="1"/>
    <w:autoRedefine/>
    <w:qFormat/>
    <w:uiPriority w:val="0"/>
    <w:pPr>
      <w:ind w:firstLine="420" w:firstLineChars="200"/>
    </w:pPr>
  </w:style>
  <w:style w:type="paragraph" w:customStyle="1" w:styleId="59">
    <w:name w:val="LO-Normal"/>
    <w:autoRedefine/>
    <w:qFormat/>
    <w:uiPriority w:val="0"/>
    <w:pPr>
      <w:suppressAutoHyphens/>
    </w:pPr>
    <w:rPr>
      <w:rFonts w:ascii="Times New Roman" w:hAnsi="Times New Roman" w:eastAsia="宋体" w:cs="Times New Roman"/>
      <w:sz w:val="24"/>
      <w:szCs w:val="24"/>
      <w:lang w:val="en-US" w:eastAsia="zh-CN" w:bidi="ar-SA"/>
    </w:rPr>
  </w:style>
  <w:style w:type="paragraph" w:customStyle="1" w:styleId="60">
    <w:name w:val="Normal_22"/>
    <w:autoRedefine/>
    <w:qFormat/>
    <w:uiPriority w:val="0"/>
    <w:rPr>
      <w:rFonts w:ascii="Times New Roman" w:hAnsi="Times New Roman" w:eastAsia="Times New Roman" w:cs="Times New Roman"/>
      <w:sz w:val="24"/>
      <w:szCs w:val="24"/>
      <w:lang w:bidi="ar-SA"/>
    </w:rPr>
  </w:style>
  <w:style w:type="paragraph" w:customStyle="1" w:styleId="61">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2">
    <w:name w:val="正文_0_0_0 Char"/>
    <w:link w:val="63"/>
    <w:autoRedefine/>
    <w:qFormat/>
    <w:locked/>
    <w:uiPriority w:val="0"/>
    <w:rPr>
      <w:rFonts w:ascii="Calibri" w:hAnsi="Calibri" w:cs="Calibri"/>
      <w:kern w:val="2"/>
      <w:sz w:val="28"/>
      <w:szCs w:val="22"/>
      <w:lang w:val="en-US" w:eastAsia="zh-CN" w:bidi="ar-SA"/>
    </w:rPr>
  </w:style>
  <w:style w:type="paragraph" w:customStyle="1" w:styleId="63">
    <w:name w:val="正文_0_0_0_0_0"/>
    <w:link w:val="62"/>
    <w:autoRedefine/>
    <w:qFormat/>
    <w:uiPriority w:val="0"/>
    <w:pPr>
      <w:spacing w:before="120" w:after="120" w:line="360" w:lineRule="auto"/>
      <w:ind w:left="1072" w:hanging="1072"/>
      <w:jc w:val="both"/>
    </w:pPr>
    <w:rPr>
      <w:rFonts w:ascii="Calibri" w:hAnsi="Calibri" w:eastAsia="宋体" w:cs="Calibri"/>
      <w:kern w:val="2"/>
      <w:sz w:val="28"/>
      <w:szCs w:val="22"/>
      <w:lang w:val="en-US" w:eastAsia="zh-CN" w:bidi="ar-SA"/>
    </w:rPr>
  </w:style>
  <w:style w:type="paragraph" w:customStyle="1" w:styleId="64">
    <w:name w:val="正文文本_0_1"/>
    <w:basedOn w:val="65"/>
    <w:autoRedefine/>
    <w:qFormat/>
    <w:uiPriority w:val="99"/>
    <w:pPr>
      <w:spacing w:after="120"/>
    </w:pPr>
    <w:rPr>
      <w:rFonts w:ascii="Calibri" w:hAnsi="Calibri" w:eastAsia="宋体"/>
      <w:kern w:val="0"/>
      <w:sz w:val="24"/>
      <w:szCs w:val="20"/>
    </w:rPr>
  </w:style>
  <w:style w:type="paragraph" w:customStyle="1" w:styleId="65">
    <w:name w:val="正文_6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Table Paragraph_1"/>
    <w:basedOn w:val="65"/>
    <w:autoRedefine/>
    <w:qFormat/>
    <w:uiPriority w:val="0"/>
    <w:pPr>
      <w:jc w:val="left"/>
    </w:pPr>
    <w:rPr>
      <w:rFonts w:ascii="Calibri" w:hAnsi="Calibri" w:eastAsia="宋体"/>
      <w:kern w:val="0"/>
      <w:sz w:val="22"/>
      <w:lang w:eastAsia="en-US"/>
    </w:rPr>
  </w:style>
  <w:style w:type="paragraph" w:customStyle="1" w:styleId="67">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1"/>
    <w:autoRedefine/>
    <w:qFormat/>
    <w:uiPriority w:val="0"/>
    <w:pPr>
      <w:widowControl w:val="0"/>
      <w:jc w:val="both"/>
    </w:pPr>
    <w:rPr>
      <w:rFonts w:ascii="Calibri" w:hAnsi="Calibri" w:eastAsia="宋体" w:cs="Times New Roman"/>
      <w:lang w:val="en-US" w:eastAsia="zh-CN" w:bidi="ar-SA"/>
    </w:rPr>
  </w:style>
  <w:style w:type="paragraph" w:customStyle="1" w:styleId="69">
    <w:name w:val="列出段落1"/>
    <w:basedOn w:val="1"/>
    <w:autoRedefine/>
    <w:qFormat/>
    <w:uiPriority w:val="0"/>
    <w:pPr>
      <w:ind w:firstLine="420" w:firstLineChars="200"/>
    </w:pPr>
    <w:rPr>
      <w:szCs w:val="21"/>
    </w:rPr>
  </w:style>
  <w:style w:type="paragraph" w:customStyle="1" w:styleId="7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71">
    <w:name w:val="正文2"/>
    <w:basedOn w:val="1"/>
    <w:qFormat/>
    <w:uiPriority w:val="0"/>
    <w:pPr>
      <w:spacing w:before="156" w:line="360" w:lineRule="auto"/>
      <w:ind w:firstLine="510" w:firstLineChars="200"/>
    </w:pPr>
    <w:rPr>
      <w:sz w:val="24"/>
      <w:szCs w:val="20"/>
    </w:rPr>
  </w:style>
  <w:style w:type="paragraph" w:customStyle="1" w:styleId="72">
    <w:name w:val="Char Char Char Char Char Char Char1 Char"/>
    <w:basedOn w:val="1"/>
    <w:autoRedefine/>
    <w:qFormat/>
    <w:uiPriority w:val="0"/>
    <w:rPr>
      <w:rFonts w:ascii="Arial" w:hAnsi="Arial" w:eastAsia="宋体" w:cs="Arial"/>
      <w:sz w:val="24"/>
    </w:rPr>
  </w:style>
  <w:style w:type="paragraph" w:customStyle="1" w:styleId="73">
    <w:name w:val="正文缩进2格"/>
    <w:basedOn w:val="1"/>
    <w:qFormat/>
    <w:uiPriority w:val="0"/>
    <w:pPr>
      <w:spacing w:line="600" w:lineRule="exact"/>
      <w:ind w:firstLine="639" w:firstLineChars="206"/>
    </w:pPr>
    <w:rPr>
      <w:rFonts w:ascii="仿宋_GB2312" w:hAnsi="宋体" w:eastAsia="仿宋_GB2312"/>
      <w:kern w:val="0"/>
      <w:sz w:val="31"/>
      <w:szCs w:val="20"/>
    </w:rPr>
  </w:style>
  <w:style w:type="paragraph" w:customStyle="1" w:styleId="74">
    <w:name w:val="Table Text"/>
    <w:basedOn w:val="1"/>
    <w:autoRedefine/>
    <w:semiHidden/>
    <w:qFormat/>
    <w:uiPriority w:val="0"/>
    <w:rPr>
      <w:rFonts w:ascii="宋体" w:hAnsi="宋体" w:eastAsia="宋体" w:cs="宋体"/>
      <w:sz w:val="24"/>
      <w:szCs w:val="24"/>
      <w:lang w:val="en-US" w:eastAsia="en-US" w:bidi="ar-SA"/>
    </w:rPr>
  </w:style>
  <w:style w:type="table" w:customStyle="1" w:styleId="7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33.png"/><Relationship Id="rId43" Type="http://schemas.openxmlformats.org/officeDocument/2006/relationships/image" Target="media/image32.png"/><Relationship Id="rId42" Type="http://schemas.openxmlformats.org/officeDocument/2006/relationships/image" Target="media/image31.png"/><Relationship Id="rId41" Type="http://schemas.openxmlformats.org/officeDocument/2006/relationships/image" Target="media/image30.png"/><Relationship Id="rId40" Type="http://schemas.openxmlformats.org/officeDocument/2006/relationships/image" Target="media/image29.png"/><Relationship Id="rId4" Type="http://schemas.openxmlformats.org/officeDocument/2006/relationships/endnotes" Target="endnotes.xml"/><Relationship Id="rId39" Type="http://schemas.openxmlformats.org/officeDocument/2006/relationships/image" Target="media/image28.png"/><Relationship Id="rId38" Type="http://schemas.openxmlformats.org/officeDocument/2006/relationships/image" Target="media/image27.png"/><Relationship Id="rId37" Type="http://schemas.openxmlformats.org/officeDocument/2006/relationships/image" Target="media/image26.png"/><Relationship Id="rId36" Type="http://schemas.openxmlformats.org/officeDocument/2006/relationships/image" Target="media/image25.png"/><Relationship Id="rId35" Type="http://schemas.openxmlformats.org/officeDocument/2006/relationships/image" Target="media/image24.pn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notes" Target="footnotes.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91</Pages>
  <Words>8273</Words>
  <Characters>8942</Characters>
  <Lines>328</Lines>
  <Paragraphs>92</Paragraphs>
  <TotalTime>24</TotalTime>
  <ScaleCrop>false</ScaleCrop>
  <LinksUpToDate>false</LinksUpToDate>
  <CharactersWithSpaces>9405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admin</dc:creator>
  <cp:lastModifiedBy>WPS_1482847601</cp:lastModifiedBy>
  <cp:lastPrinted>2024-12-30T05:43:00Z</cp:lastPrinted>
  <dcterms:modified xsi:type="dcterms:W3CDTF">2025-07-03T08:31:11Z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C2CD9E6547A9423490B2B76B6EFC1FAB_13</vt:lpwstr>
  </property>
  <property fmtid="{D5CDD505-2E9C-101B-9397-08002B2CF9AE}" pid="4" name="KSOTemplateDocerSaveRecord">
    <vt:lpwstr>eyJoZGlkIjoiMGViNWZjNzNmNjM1OTZiYzMzMDc1Mjc0YTJmZmI5NGYiLCJ1c2VySWQiOiIyNTg3Mzg1NDMifQ==</vt:lpwstr>
  </property>
</Properties>
</file>