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F444E1">
      <w:pPr>
        <w:widowControl/>
        <w:tabs>
          <w:tab w:val="left" w:pos="6013"/>
        </w:tabs>
        <w:autoSpaceDE w:val="0"/>
        <w:autoSpaceDN w:val="0"/>
        <w:ind w:right="-26"/>
        <w:jc w:val="center"/>
        <w:textAlignment w:val="bottom"/>
        <w:rPr>
          <w:rFonts w:hint="eastAsia" w:ascii="宋体" w:hAnsi="宋体" w:cs="宋体"/>
          <w:b/>
          <w:bCs/>
          <w:sz w:val="52"/>
          <w:szCs w:val="52"/>
          <w:lang w:val="en-US" w:eastAsia="zh-CN"/>
        </w:rPr>
      </w:pPr>
      <w:bookmarkStart w:id="0" w:name="_Toc469495723"/>
      <w:r>
        <w:rPr>
          <w:rFonts w:hint="eastAsia" w:ascii="宋体" w:hAnsi="宋体" w:eastAsia="宋体" w:cs="宋体"/>
          <w:szCs w:val="20"/>
        </w:rPr>
        <w:drawing>
          <wp:anchor distT="0" distB="0" distL="114300" distR="114300" simplePos="0" relativeHeight="251666432" behindDoc="0" locked="0" layoutInCell="1" allowOverlap="1">
            <wp:simplePos x="0" y="0"/>
            <wp:positionH relativeFrom="margin">
              <wp:posOffset>-287020</wp:posOffset>
            </wp:positionH>
            <wp:positionV relativeFrom="paragraph">
              <wp:posOffset>-353695</wp:posOffset>
            </wp:positionV>
            <wp:extent cx="4975225" cy="516890"/>
            <wp:effectExtent l="0" t="0" r="8255" b="1270"/>
            <wp:wrapNone/>
            <wp:docPr id="9"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公司logo"/>
                    <pic:cNvPicPr>
                      <a:picLocks noChangeAspect="1"/>
                    </pic:cNvPicPr>
                  </pic:nvPicPr>
                  <pic:blipFill>
                    <a:blip r:embed="rId7"/>
                    <a:srcRect t="16318" b="20084"/>
                    <a:stretch>
                      <a:fillRect/>
                    </a:stretch>
                  </pic:blipFill>
                  <pic:spPr>
                    <a:xfrm>
                      <a:off x="0" y="0"/>
                      <a:ext cx="4975225" cy="516890"/>
                    </a:xfrm>
                    <a:prstGeom prst="rect">
                      <a:avLst/>
                    </a:prstGeom>
                    <a:noFill/>
                    <a:ln>
                      <a:noFill/>
                    </a:ln>
                  </pic:spPr>
                </pic:pic>
              </a:graphicData>
            </a:graphic>
          </wp:anchor>
        </w:drawing>
      </w:r>
    </w:p>
    <w:p w14:paraId="08C7BC4E">
      <w:pPr>
        <w:widowControl/>
        <w:tabs>
          <w:tab w:val="left" w:pos="6013"/>
        </w:tabs>
        <w:autoSpaceDE w:val="0"/>
        <w:autoSpaceDN w:val="0"/>
        <w:ind w:right="-26"/>
        <w:jc w:val="center"/>
        <w:textAlignment w:val="bottom"/>
        <w:rPr>
          <w:rFonts w:hint="eastAsia" w:ascii="宋体" w:hAnsi="宋体" w:cs="宋体"/>
          <w:b/>
          <w:bCs/>
          <w:sz w:val="52"/>
          <w:szCs w:val="52"/>
          <w:lang w:val="en-US" w:eastAsia="zh-CN"/>
        </w:rPr>
      </w:pPr>
      <w:r>
        <w:rPr>
          <w:rFonts w:hint="eastAsia" w:ascii="宋体" w:hAnsi="宋体" w:cs="宋体"/>
          <w:b/>
          <w:bCs/>
          <w:sz w:val="52"/>
          <w:szCs w:val="52"/>
          <w:lang w:val="en-US" w:eastAsia="zh-CN"/>
        </w:rPr>
        <w:t>克州阿克陶县2025年义务教育薄弱环节改善与能力提升采购项目</w:t>
      </w:r>
    </w:p>
    <w:p w14:paraId="52FBFA38">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p>
    <w:p w14:paraId="33B55108">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p>
    <w:p w14:paraId="2FE52B9F">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r>
        <w:rPr>
          <w:rFonts w:hint="eastAsia" w:ascii="宋体" w:hAnsi="宋体" w:cs="宋体"/>
          <w:b/>
          <w:bCs/>
          <w:sz w:val="52"/>
          <w:szCs w:val="52"/>
          <w:lang w:val="en-US" w:eastAsia="zh-CN"/>
        </w:rPr>
        <w:t>竞</w:t>
      </w:r>
    </w:p>
    <w:p w14:paraId="75B164CF">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r>
        <w:rPr>
          <w:rFonts w:hint="eastAsia" w:ascii="宋体" w:hAnsi="宋体" w:cs="宋体"/>
          <w:b/>
          <w:bCs/>
          <w:sz w:val="52"/>
          <w:szCs w:val="52"/>
          <w:lang w:val="en-US" w:eastAsia="zh-CN"/>
        </w:rPr>
        <w:t>争</w:t>
      </w:r>
    </w:p>
    <w:p w14:paraId="3FE66498">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r>
        <w:rPr>
          <w:rFonts w:hint="eastAsia" w:ascii="宋体" w:hAnsi="宋体" w:cs="宋体"/>
          <w:b/>
          <w:bCs/>
          <w:sz w:val="52"/>
          <w:szCs w:val="52"/>
          <w:lang w:val="en-US" w:eastAsia="zh-CN"/>
        </w:rPr>
        <w:t>性</w:t>
      </w:r>
    </w:p>
    <w:p w14:paraId="5725CFE5">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r>
        <w:rPr>
          <w:rFonts w:hint="eastAsia" w:ascii="宋体" w:hAnsi="宋体" w:cs="宋体"/>
          <w:b/>
          <w:bCs/>
          <w:sz w:val="52"/>
          <w:szCs w:val="52"/>
          <w:lang w:val="en-US" w:eastAsia="zh-CN"/>
        </w:rPr>
        <w:t>谈</w:t>
      </w:r>
    </w:p>
    <w:p w14:paraId="4440CFD9">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r>
        <w:rPr>
          <w:rFonts w:hint="eastAsia" w:ascii="宋体" w:hAnsi="宋体" w:cs="宋体"/>
          <w:b/>
          <w:bCs/>
          <w:sz w:val="52"/>
          <w:szCs w:val="52"/>
          <w:lang w:val="en-US" w:eastAsia="zh-CN"/>
        </w:rPr>
        <w:t>判</w:t>
      </w:r>
    </w:p>
    <w:p w14:paraId="071023E3">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r>
        <w:rPr>
          <w:rFonts w:hint="eastAsia" w:ascii="宋体" w:hAnsi="宋体" w:cs="宋体"/>
          <w:b/>
          <w:bCs/>
          <w:sz w:val="52"/>
          <w:szCs w:val="52"/>
          <w:lang w:val="en-US" w:eastAsia="zh-CN"/>
        </w:rPr>
        <w:t>文</w:t>
      </w:r>
    </w:p>
    <w:p w14:paraId="0C7A3C55">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r>
        <w:rPr>
          <w:rFonts w:hint="eastAsia" w:ascii="宋体" w:hAnsi="宋体" w:cs="宋体"/>
          <w:b/>
          <w:bCs/>
          <w:sz w:val="52"/>
          <w:szCs w:val="52"/>
          <w:lang w:val="en-US" w:eastAsia="zh-CN"/>
        </w:rPr>
        <w:t>件</w:t>
      </w:r>
    </w:p>
    <w:p w14:paraId="393950FD">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en-US" w:eastAsia="zh-CN"/>
        </w:rPr>
      </w:pPr>
    </w:p>
    <w:p w14:paraId="5E21C5F0">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zh-CN" w:eastAsia="zh-CN"/>
        </w:rPr>
      </w:pPr>
    </w:p>
    <w:p w14:paraId="294E3197">
      <w:pPr>
        <w:keepNext w:val="0"/>
        <w:keepLines w:val="0"/>
        <w:pageBreakBefore w:val="0"/>
        <w:widowControl/>
        <w:tabs>
          <w:tab w:val="left" w:pos="6013"/>
        </w:tabs>
        <w:kinsoku/>
        <w:wordWrap/>
        <w:overflowPunct/>
        <w:topLinePunct w:val="0"/>
        <w:autoSpaceDE w:val="0"/>
        <w:autoSpaceDN w:val="0"/>
        <w:bidi w:val="0"/>
        <w:adjustRightInd/>
        <w:snapToGrid/>
        <w:spacing w:line="600" w:lineRule="exact"/>
        <w:ind w:right="-28"/>
        <w:jc w:val="center"/>
        <w:textAlignment w:val="bottom"/>
        <w:rPr>
          <w:rFonts w:hint="eastAsia" w:ascii="宋体" w:hAnsi="宋体" w:cs="宋体"/>
          <w:b/>
          <w:bCs/>
          <w:sz w:val="52"/>
          <w:szCs w:val="52"/>
          <w:lang w:val="zh-CN" w:eastAsia="zh-CN"/>
        </w:rPr>
      </w:pPr>
    </w:p>
    <w:p w14:paraId="74865EBD">
      <w:pPr>
        <w:widowControl/>
        <w:autoSpaceDE w:val="0"/>
        <w:autoSpaceDN w:val="0"/>
        <w:spacing w:line="600" w:lineRule="auto"/>
        <w:ind w:right="-28" w:firstLine="551" w:firstLineChars="196"/>
        <w:textAlignment w:val="bottom"/>
        <w:rPr>
          <w:rFonts w:hint="eastAsia" w:asciiTheme="majorEastAsia" w:hAnsiTheme="majorEastAsia" w:eastAsiaTheme="majorEastAsia" w:cstheme="majorEastAsia"/>
          <w:b/>
          <w:sz w:val="28"/>
          <w:szCs w:val="28"/>
          <w:highlight w:val="none"/>
          <w:lang w:val="en-US" w:eastAsia="zh-CN"/>
        </w:rPr>
      </w:pPr>
      <w:r>
        <w:rPr>
          <w:rFonts w:hint="eastAsia" w:asciiTheme="majorEastAsia" w:hAnsiTheme="majorEastAsia" w:eastAsiaTheme="majorEastAsia" w:cstheme="majorEastAsia"/>
          <w:b/>
          <w:sz w:val="28"/>
          <w:szCs w:val="28"/>
          <w:highlight w:val="none"/>
        </w:rPr>
        <w:t>采购单位：</w:t>
      </w:r>
      <w:r>
        <w:rPr>
          <w:rFonts w:hint="eastAsia" w:asciiTheme="majorEastAsia" w:hAnsiTheme="majorEastAsia" w:eastAsiaTheme="majorEastAsia" w:cstheme="majorEastAsia"/>
          <w:b/>
          <w:sz w:val="28"/>
          <w:szCs w:val="28"/>
          <w:highlight w:val="none"/>
          <w:lang w:eastAsia="zh-CN"/>
        </w:rPr>
        <w:t>阿克陶县教育项目执行中心</w:t>
      </w:r>
      <w:r>
        <w:rPr>
          <w:rFonts w:hint="eastAsia" w:asciiTheme="majorEastAsia" w:hAnsiTheme="majorEastAsia" w:eastAsiaTheme="majorEastAsia" w:cstheme="majorEastAsia"/>
          <w:b/>
          <w:sz w:val="28"/>
          <w:szCs w:val="28"/>
          <w:highlight w:val="none"/>
          <w:lang w:val="en-US" w:eastAsia="zh-CN"/>
        </w:rPr>
        <w:t xml:space="preserve">（盖章） </w:t>
      </w:r>
    </w:p>
    <w:p w14:paraId="5455FA0A">
      <w:pPr>
        <w:widowControl/>
        <w:autoSpaceDE w:val="0"/>
        <w:autoSpaceDN w:val="0"/>
        <w:spacing w:line="600" w:lineRule="auto"/>
        <w:ind w:right="-28" w:firstLine="562" w:firstLineChars="200"/>
        <w:textAlignment w:val="bottom"/>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sz w:val="28"/>
          <w:szCs w:val="28"/>
          <w:highlight w:val="none"/>
        </w:rPr>
        <w:t>项目负责人：</w:t>
      </w:r>
      <w:r>
        <w:rPr>
          <w:rFonts w:hint="eastAsia" w:asciiTheme="majorEastAsia" w:hAnsiTheme="majorEastAsia" w:eastAsiaTheme="majorEastAsia" w:cstheme="majorEastAsia"/>
          <w:b/>
          <w:sz w:val="28"/>
          <w:szCs w:val="28"/>
          <w:highlight w:val="none"/>
          <w:lang w:val="en-US" w:eastAsia="zh-CN"/>
        </w:rPr>
        <w:t xml:space="preserve">买先生   </w:t>
      </w:r>
      <w:r>
        <w:rPr>
          <w:rFonts w:hint="eastAsia" w:asciiTheme="majorEastAsia" w:hAnsiTheme="majorEastAsia" w:eastAsiaTheme="majorEastAsia" w:cstheme="majorEastAsia"/>
          <w:b/>
          <w:sz w:val="28"/>
          <w:szCs w:val="28"/>
          <w:highlight w:val="none"/>
        </w:rPr>
        <w:t xml:space="preserve">   联系电话：</w:t>
      </w:r>
      <w:r>
        <w:rPr>
          <w:rFonts w:hint="eastAsia" w:asciiTheme="majorEastAsia" w:hAnsiTheme="majorEastAsia" w:eastAsiaTheme="majorEastAsia" w:cstheme="majorEastAsia"/>
          <w:b/>
          <w:sz w:val="28"/>
          <w:szCs w:val="28"/>
          <w:highlight w:val="none"/>
          <w:lang w:val="en-US" w:eastAsia="zh-CN"/>
        </w:rPr>
        <w:t>13667591441</w:t>
      </w:r>
    </w:p>
    <w:p w14:paraId="514B94CE">
      <w:pPr>
        <w:widowControl/>
        <w:autoSpaceDE w:val="0"/>
        <w:autoSpaceDN w:val="0"/>
        <w:spacing w:line="600" w:lineRule="auto"/>
        <w:ind w:right="-28" w:firstLine="551" w:firstLineChars="196"/>
        <w:textAlignment w:val="bottom"/>
        <w:rPr>
          <w:rFonts w:hint="eastAsia" w:asciiTheme="majorEastAsia" w:hAnsiTheme="majorEastAsia" w:eastAsiaTheme="majorEastAsia" w:cstheme="majorEastAsia"/>
          <w:b/>
          <w:sz w:val="28"/>
          <w:szCs w:val="28"/>
          <w:highlight w:val="none"/>
          <w:lang w:eastAsia="zh-CN"/>
        </w:rPr>
      </w:pPr>
      <w:r>
        <w:rPr>
          <w:rFonts w:hint="eastAsia" w:asciiTheme="majorEastAsia" w:hAnsiTheme="majorEastAsia" w:eastAsiaTheme="majorEastAsia" w:cstheme="majorEastAsia"/>
          <w:b/>
          <w:sz w:val="28"/>
          <w:szCs w:val="28"/>
          <w:highlight w:val="none"/>
        </w:rPr>
        <w:t>代理机构：</w:t>
      </w:r>
      <w:r>
        <w:rPr>
          <w:rFonts w:hint="eastAsia" w:asciiTheme="majorEastAsia" w:hAnsiTheme="majorEastAsia" w:eastAsiaTheme="majorEastAsia" w:cstheme="majorEastAsia"/>
          <w:b/>
          <w:sz w:val="28"/>
          <w:szCs w:val="28"/>
          <w:highlight w:val="none"/>
          <w:lang w:val="en-US" w:eastAsia="zh-CN"/>
        </w:rPr>
        <w:t>新疆惠文建设工程项目管理咨询有限公司（盖章）</w:t>
      </w:r>
    </w:p>
    <w:p w14:paraId="3A59B54E">
      <w:pPr>
        <w:widowControl/>
        <w:autoSpaceDE w:val="0"/>
        <w:autoSpaceDN w:val="0"/>
        <w:spacing w:line="600" w:lineRule="auto"/>
        <w:ind w:right="-28" w:firstLine="562" w:firstLineChars="200"/>
        <w:textAlignment w:val="bottom"/>
        <w:rPr>
          <w:rFonts w:hint="eastAsia" w:asciiTheme="majorEastAsia" w:hAnsiTheme="majorEastAsia" w:eastAsiaTheme="majorEastAsia" w:cstheme="majorEastAsia"/>
          <w:b/>
          <w:kern w:val="2"/>
          <w:sz w:val="28"/>
          <w:szCs w:val="28"/>
          <w:highlight w:val="none"/>
          <w:lang w:val="en-US" w:eastAsia="zh-CN" w:bidi="ar-SA"/>
        </w:rPr>
      </w:pPr>
      <w:r>
        <w:rPr>
          <w:rFonts w:hint="eastAsia" w:asciiTheme="majorEastAsia" w:hAnsiTheme="majorEastAsia" w:eastAsiaTheme="majorEastAsia" w:cstheme="majorEastAsia"/>
          <w:b/>
          <w:sz w:val="28"/>
          <w:szCs w:val="28"/>
          <w:highlight w:val="none"/>
        </w:rPr>
        <w:t>项目负责人：</w:t>
      </w:r>
      <w:r>
        <w:rPr>
          <w:rFonts w:hint="eastAsia" w:asciiTheme="majorEastAsia" w:hAnsiTheme="majorEastAsia" w:eastAsiaTheme="majorEastAsia" w:cstheme="majorEastAsia"/>
          <w:b/>
          <w:sz w:val="28"/>
          <w:szCs w:val="28"/>
          <w:highlight w:val="none"/>
          <w:lang w:val="en-US" w:eastAsia="zh-CN"/>
        </w:rPr>
        <w:t>刘女士</w:t>
      </w:r>
      <w:r>
        <w:rPr>
          <w:rFonts w:hint="eastAsia" w:asciiTheme="majorEastAsia" w:hAnsiTheme="majorEastAsia" w:eastAsiaTheme="majorEastAsia" w:cstheme="majorEastAsia"/>
          <w:b/>
          <w:sz w:val="28"/>
          <w:szCs w:val="28"/>
          <w:highlight w:val="none"/>
        </w:rPr>
        <w:t xml:space="preserve">   联系电话: </w:t>
      </w:r>
      <w:r>
        <w:rPr>
          <w:rFonts w:hint="eastAsia" w:asciiTheme="majorEastAsia" w:hAnsiTheme="majorEastAsia" w:eastAsiaTheme="majorEastAsia" w:cstheme="majorEastAsia"/>
          <w:b/>
          <w:sz w:val="28"/>
          <w:szCs w:val="28"/>
          <w:highlight w:val="none"/>
          <w:lang w:val="en-US" w:eastAsia="zh-CN"/>
        </w:rPr>
        <w:t>18609081081</w:t>
      </w:r>
      <w:r>
        <w:rPr>
          <w:rFonts w:hint="eastAsia" w:asciiTheme="majorEastAsia" w:hAnsiTheme="majorEastAsia" w:eastAsiaTheme="majorEastAsia" w:cstheme="majorEastAsia"/>
          <w:b/>
          <w:sz w:val="32"/>
          <w:szCs w:val="32"/>
          <w:highlight w:val="none"/>
        </w:rPr>
        <w:t xml:space="preserve"> </w:t>
      </w:r>
    </w:p>
    <w:p w14:paraId="1EF264BD">
      <w:pPr>
        <w:pStyle w:val="25"/>
        <w:spacing w:line="72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kern w:val="2"/>
          <w:sz w:val="28"/>
          <w:szCs w:val="28"/>
          <w:highlight w:val="none"/>
          <w:lang w:val="en-US" w:eastAsia="zh-CN" w:bidi="ar-SA"/>
        </w:rPr>
        <w:t>2025年6月</w:t>
      </w:r>
    </w:p>
    <w:p w14:paraId="6F7568EC">
      <w:pPr>
        <w:shd w:val="clear" w:color="auto" w:fill="auto"/>
        <w:jc w:val="center"/>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b/>
          <w:color w:val="auto"/>
          <w:sz w:val="36"/>
          <w:highlight w:val="none"/>
        </w:rPr>
        <w:t>目  录</w:t>
      </w:r>
    </w:p>
    <w:p w14:paraId="28AFEC6D">
      <w:pPr>
        <w:pStyle w:val="17"/>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TOC \o "1-3" \h \z \u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"_Toc469495720"</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bCs/>
          <w:color w:val="auto"/>
          <w:highlight w:val="none"/>
        </w:rPr>
        <w:t>第一章</w:t>
      </w:r>
      <w:r>
        <w:rPr>
          <w:rStyle w:val="37"/>
          <w:rFonts w:hint="eastAsia" w:asciiTheme="majorEastAsia" w:hAnsiTheme="majorEastAsia" w:eastAsiaTheme="majorEastAsia" w:cstheme="majorEastAsia"/>
          <w:bCs/>
          <w:color w:val="auto"/>
          <w:highlight w:val="none"/>
          <w:lang w:val="en-US" w:eastAsia="zh-CN"/>
        </w:rPr>
        <w:t xml:space="preserve"> 谈判</w:t>
      </w:r>
      <w:r>
        <w:rPr>
          <w:rStyle w:val="37"/>
          <w:rFonts w:hint="eastAsia" w:asciiTheme="majorEastAsia" w:hAnsiTheme="majorEastAsia" w:eastAsiaTheme="majorEastAsia" w:cstheme="majorEastAsia"/>
          <w:bCs/>
          <w:color w:val="auto"/>
          <w:highlight w:val="none"/>
        </w:rPr>
        <w:t>公告</w:t>
      </w:r>
      <w:r>
        <w:rPr>
          <w:rFonts w:hint="eastAsia" w:asciiTheme="majorEastAsia" w:hAnsiTheme="majorEastAsia" w:eastAsiaTheme="majorEastAsia" w:cstheme="majorEastAsia"/>
          <w:color w:val="auto"/>
          <w:szCs w:val="22"/>
          <w:highlight w:val="none"/>
        </w:rPr>
        <w:tab/>
      </w:r>
      <w:r>
        <w:rPr>
          <w:rFonts w:hint="eastAsia" w:asciiTheme="majorEastAsia" w:hAnsiTheme="majorEastAsia" w:eastAsiaTheme="majorEastAsia" w:cstheme="majorEastAsia"/>
          <w:color w:val="auto"/>
          <w:szCs w:val="22"/>
          <w:highlight w:val="none"/>
          <w:lang w:val="en-US" w:eastAsia="zh-CN"/>
        </w:rPr>
        <w:t>3</w:t>
      </w:r>
      <w:r>
        <w:rPr>
          <w:rFonts w:hint="eastAsia" w:asciiTheme="majorEastAsia" w:hAnsiTheme="majorEastAsia" w:eastAsiaTheme="majorEastAsia" w:cstheme="majorEastAsia"/>
          <w:color w:val="auto"/>
          <w:highlight w:val="none"/>
        </w:rPr>
        <w:fldChar w:fldCharType="end"/>
      </w:r>
    </w:p>
    <w:p w14:paraId="3E8A51AD">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"_Toc469495721"</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第二章 投标人须知</w:t>
      </w:r>
      <w:r>
        <w:rPr>
          <w:rFonts w:hint="eastAsia" w:asciiTheme="majorEastAsia" w:hAnsiTheme="majorEastAsia" w:eastAsiaTheme="majorEastAsia" w:cstheme="majorEastAsia"/>
          <w:color w:val="auto"/>
          <w:highlight w:val="none"/>
        </w:rPr>
        <w:tab/>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fldChar w:fldCharType="end"/>
      </w:r>
    </w:p>
    <w:p w14:paraId="0F06F362">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"_Toc469495722"</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一、投标人须知前附表</w:t>
      </w:r>
      <w:r>
        <w:rPr>
          <w:rFonts w:hint="eastAsia" w:asciiTheme="majorEastAsia" w:hAnsiTheme="majorEastAsia" w:eastAsiaTheme="majorEastAsia" w:cstheme="majorEastAsia"/>
          <w:color w:val="auto"/>
          <w:highlight w:val="none"/>
        </w:rPr>
        <w:tab/>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fldChar w:fldCharType="end"/>
      </w:r>
    </w:p>
    <w:p w14:paraId="3C87BCCC">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"_Toc469495723"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color w:val="auto"/>
          <w:highlight w:val="none"/>
        </w:rPr>
        <w:t>二、投标人须知</w:t>
      </w:r>
      <w:r>
        <w:rPr>
          <w:rFonts w:hint="eastAsia" w:asciiTheme="majorEastAsia" w:hAnsiTheme="majorEastAsia" w:eastAsiaTheme="majorEastAsia" w:cstheme="majorEastAsia"/>
          <w:color w:val="auto"/>
          <w:highlight w:val="none"/>
        </w:rPr>
        <w:tab/>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5</w:t>
      </w:r>
    </w:p>
    <w:p w14:paraId="46D39B72">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840" w:leftChars="400" w:firstLine="0" w:firstLineChars="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（一）、总则..........................................................15</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二）谈判文件.......................................................17</w:t>
      </w:r>
    </w:p>
    <w:p w14:paraId="5FDB9318">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highlight w:val="none"/>
          <w:lang w:val="en-US" w:eastAsia="zh-CN"/>
        </w:rPr>
        <w:t>（三）投标文件的编制.................................................18</w:t>
      </w:r>
    </w:p>
    <w:p w14:paraId="01D8285C">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（四）投标文件的制作、上传及递交要求.................................21</w:t>
      </w:r>
    </w:p>
    <w:p w14:paraId="4E6243D9">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（五）开 标、评标和定标..............................................23</w:t>
      </w:r>
    </w:p>
    <w:p w14:paraId="3E455C43">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highlight w:val="none"/>
          <w:lang w:val="en-US" w:eastAsia="zh-CN"/>
        </w:rPr>
        <w:t>（六）合同的授予........</w:t>
      </w:r>
      <w:r>
        <w:rPr>
          <w:rFonts w:hint="eastAsia" w:asciiTheme="majorEastAsia" w:hAnsiTheme="majorEastAsia" w:eastAsiaTheme="majorEastAsia" w:cstheme="majorEastAsia"/>
          <w:color w:val="auto"/>
          <w:kern w:val="2"/>
          <w:sz w:val="21"/>
          <w:szCs w:val="24"/>
          <w:highlight w:val="none"/>
          <w:lang w:val="en-US" w:eastAsia="zh-CN" w:bidi="ar-SA"/>
        </w:rPr>
        <w:t>.............................................28</w:t>
      </w:r>
    </w:p>
    <w:p w14:paraId="172568B1">
      <w:pPr>
        <w:shd w:val="clear" w:color="auto" w:fill="auto"/>
        <w:kinsoku/>
        <w:topLinePunct w:val="0"/>
        <w:bidi w:val="0"/>
        <w:spacing w:before="156" w:beforeLines="50" w:line="380" w:lineRule="exact"/>
        <w:ind w:firstLine="840" w:firstLineChars="400"/>
        <w:jc w:val="both"/>
        <w:outlineLvl w:val="2"/>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kern w:val="2"/>
          <w:sz w:val="21"/>
          <w:szCs w:val="24"/>
          <w:highlight w:val="none"/>
          <w:lang w:val="en-US" w:eastAsia="zh-CN" w:bidi="ar-SA"/>
        </w:rPr>
        <w:t>（七）纪律和监督.....................................................28</w:t>
      </w:r>
    </w:p>
    <w:p w14:paraId="0385BE81">
      <w:pPr>
        <w:shd w:val="clear" w:color="auto" w:fill="auto"/>
        <w:kinsoku/>
        <w:topLinePunct w:val="0"/>
        <w:bidi w:val="0"/>
        <w:spacing w:before="156" w:beforeLines="50" w:line="380" w:lineRule="exact"/>
        <w:ind w:firstLine="840" w:firstLineChars="400"/>
        <w:jc w:val="both"/>
        <w:outlineLvl w:val="2"/>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kern w:val="2"/>
          <w:sz w:val="21"/>
          <w:szCs w:val="24"/>
          <w:highlight w:val="none"/>
          <w:lang w:val="en-US" w:eastAsia="zh-CN" w:bidi="ar-SA"/>
        </w:rPr>
        <w:t>（八）质疑与投诉</w:t>
      </w:r>
      <w:r>
        <w:rPr>
          <w:rFonts w:hint="eastAsia" w:asciiTheme="majorEastAsia" w:hAnsiTheme="majorEastAsia" w:eastAsiaTheme="majorEastAsia" w:cstheme="majorEastAsia"/>
          <w:color w:val="auto"/>
          <w:highlight w:val="none"/>
          <w:lang w:val="en-US" w:eastAsia="zh-CN"/>
        </w:rPr>
        <w:t>.....................................................</w:t>
      </w:r>
      <w:r>
        <w:rPr>
          <w:rFonts w:hint="eastAsia" w:asciiTheme="majorEastAsia" w:hAnsiTheme="majorEastAsia" w:eastAsiaTheme="majorEastAsia" w:cstheme="majorEastAsia"/>
          <w:color w:val="auto"/>
          <w:kern w:val="2"/>
          <w:sz w:val="21"/>
          <w:szCs w:val="24"/>
          <w:highlight w:val="none"/>
          <w:lang w:val="en-US" w:eastAsia="zh-CN" w:bidi="ar-SA"/>
        </w:rPr>
        <w:t>29</w:t>
      </w:r>
    </w:p>
    <w:p w14:paraId="3E5A59DC">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1.政府采购投诉书(范本、质疑函范本）..................................31</w:t>
      </w:r>
    </w:p>
    <w:p w14:paraId="26F011B2">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"_Toc469495731"</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第三章  评标办法</w:t>
      </w:r>
      <w:r>
        <w:rPr>
          <w:rFonts w:hint="eastAsia" w:asciiTheme="majorEastAsia" w:hAnsiTheme="majorEastAsia" w:eastAsiaTheme="majorEastAsia" w:cstheme="majorEastAsia"/>
          <w:color w:val="auto"/>
          <w:highlight w:val="none"/>
          <w:lang w:val="en-US" w:eastAsia="zh-CN"/>
        </w:rPr>
        <w:t>.</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........................................................36</w:t>
      </w:r>
    </w:p>
    <w:p w14:paraId="01846140">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"_Toc469495732"</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 xml:space="preserve">一  </w:t>
      </w:r>
      <w:r>
        <w:rPr>
          <w:rStyle w:val="37"/>
          <w:rFonts w:hint="eastAsia" w:asciiTheme="majorEastAsia" w:hAnsiTheme="majorEastAsia" w:eastAsiaTheme="majorEastAsia" w:cstheme="majorEastAsia"/>
          <w:color w:val="auto"/>
          <w:highlight w:val="none"/>
          <w:lang w:val="en-US" w:eastAsia="zh-CN"/>
        </w:rPr>
        <w:t>评定成交标准</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7</w:t>
      </w:r>
    </w:p>
    <w:p w14:paraId="23A948FD">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"_Toc469495733"</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二  投标文件初审</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8</w:t>
      </w:r>
    </w:p>
    <w:p w14:paraId="0CE88C89">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"_Toc469495734"</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三  投标文件的澄清和补正</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9</w:t>
      </w:r>
    </w:p>
    <w:p w14:paraId="4936B43A">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第四章  采购内容（技术）及商务要求.......................................43</w:t>
      </w:r>
    </w:p>
    <w:p w14:paraId="6C2FBC15">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0000FF"/>
          <w:szCs w:val="22"/>
          <w:highlight w:val="none"/>
          <w:lang w:val="en-US" w:eastAsia="zh-CN"/>
        </w:rPr>
      </w:pPr>
      <w:r>
        <w:rPr>
          <w:rFonts w:hint="eastAsia" w:asciiTheme="majorEastAsia" w:hAnsiTheme="majorEastAsia" w:eastAsiaTheme="majorEastAsia" w:cstheme="majorEastAsia"/>
          <w:color w:val="0000FF"/>
          <w:highlight w:val="none"/>
        </w:rPr>
        <w:fldChar w:fldCharType="begin"/>
      </w:r>
      <w:r>
        <w:rPr>
          <w:rStyle w:val="37"/>
          <w:rFonts w:hint="eastAsia" w:asciiTheme="majorEastAsia" w:hAnsiTheme="majorEastAsia" w:eastAsiaTheme="majorEastAsia" w:cstheme="majorEastAsia"/>
          <w:color w:val="0000FF"/>
          <w:highlight w:val="none"/>
        </w:rPr>
        <w:instrText xml:space="preserve"> </w:instrText>
      </w:r>
      <w:r>
        <w:rPr>
          <w:rFonts w:hint="eastAsia" w:asciiTheme="majorEastAsia" w:hAnsiTheme="majorEastAsia" w:eastAsiaTheme="majorEastAsia" w:cstheme="majorEastAsia"/>
          <w:color w:val="0000FF"/>
          <w:highlight w:val="none"/>
        </w:rPr>
        <w:instrText xml:space="preserve">HYPERLINK \l "_Toc469495740"</w:instrText>
      </w:r>
      <w:r>
        <w:rPr>
          <w:rStyle w:val="37"/>
          <w:rFonts w:hint="eastAsia" w:asciiTheme="majorEastAsia" w:hAnsiTheme="majorEastAsia" w:eastAsiaTheme="majorEastAsia" w:cstheme="majorEastAsia"/>
          <w:color w:val="0000FF"/>
          <w:highlight w:val="none"/>
        </w:rPr>
        <w:instrText xml:space="preserve"> </w:instrText>
      </w:r>
      <w:r>
        <w:rPr>
          <w:rFonts w:hint="eastAsia" w:asciiTheme="majorEastAsia" w:hAnsiTheme="majorEastAsia" w:eastAsiaTheme="majorEastAsia" w:cstheme="majorEastAsia"/>
          <w:color w:val="0000FF"/>
          <w:highlight w:val="none"/>
        </w:rPr>
        <w:fldChar w:fldCharType="separate"/>
      </w:r>
      <w:r>
        <w:rPr>
          <w:rStyle w:val="37"/>
          <w:rFonts w:hint="eastAsia" w:asciiTheme="majorEastAsia" w:hAnsiTheme="majorEastAsia" w:eastAsiaTheme="majorEastAsia" w:cstheme="majorEastAsia"/>
          <w:color w:val="0000FF"/>
          <w:highlight w:val="none"/>
        </w:rPr>
        <w:t>第五章  合同条款及格式</w:t>
      </w:r>
      <w:r>
        <w:rPr>
          <w:rFonts w:hint="eastAsia" w:asciiTheme="majorEastAsia" w:hAnsiTheme="majorEastAsia" w:eastAsiaTheme="majorEastAsia" w:cstheme="majorEastAsia"/>
          <w:color w:val="0000FF"/>
          <w:highlight w:val="none"/>
          <w:lang w:val="en-US" w:eastAsia="zh-CN"/>
        </w:rPr>
        <w:t>...................................................5</w:t>
      </w:r>
      <w:r>
        <w:rPr>
          <w:rFonts w:hint="eastAsia" w:asciiTheme="majorEastAsia" w:hAnsiTheme="majorEastAsia" w:eastAsiaTheme="majorEastAsia" w:cstheme="majorEastAsia"/>
          <w:color w:val="0000FF"/>
          <w:highlight w:val="none"/>
        </w:rPr>
        <w:fldChar w:fldCharType="end"/>
      </w:r>
      <w:r>
        <w:rPr>
          <w:rFonts w:hint="eastAsia" w:asciiTheme="majorEastAsia" w:hAnsiTheme="majorEastAsia" w:eastAsiaTheme="majorEastAsia" w:cstheme="majorEastAsia"/>
          <w:color w:val="0000FF"/>
          <w:highlight w:val="none"/>
          <w:lang w:val="en-US" w:eastAsia="zh-CN"/>
        </w:rPr>
        <w:t>1</w:t>
      </w:r>
    </w:p>
    <w:p w14:paraId="25554D45">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0000FF"/>
          <w:szCs w:val="22"/>
          <w:highlight w:val="none"/>
          <w:lang w:val="en-US" w:eastAsia="zh-CN"/>
        </w:rPr>
      </w:pPr>
      <w:r>
        <w:rPr>
          <w:rFonts w:hint="eastAsia" w:asciiTheme="majorEastAsia" w:hAnsiTheme="majorEastAsia" w:eastAsiaTheme="majorEastAsia" w:cstheme="majorEastAsia"/>
          <w:color w:val="0000FF"/>
          <w:highlight w:val="none"/>
        </w:rPr>
        <w:fldChar w:fldCharType="begin"/>
      </w:r>
      <w:r>
        <w:rPr>
          <w:rStyle w:val="37"/>
          <w:rFonts w:hint="eastAsia" w:asciiTheme="majorEastAsia" w:hAnsiTheme="majorEastAsia" w:eastAsiaTheme="majorEastAsia" w:cstheme="majorEastAsia"/>
          <w:color w:val="0000FF"/>
          <w:highlight w:val="none"/>
        </w:rPr>
        <w:instrText xml:space="preserve"> </w:instrText>
      </w:r>
      <w:r>
        <w:rPr>
          <w:rFonts w:hint="eastAsia" w:asciiTheme="majorEastAsia" w:hAnsiTheme="majorEastAsia" w:eastAsiaTheme="majorEastAsia" w:cstheme="majorEastAsia"/>
          <w:color w:val="0000FF"/>
          <w:highlight w:val="none"/>
        </w:rPr>
        <w:instrText xml:space="preserve">HYPERLINK \l "_Toc469495743"</w:instrText>
      </w:r>
      <w:r>
        <w:rPr>
          <w:rStyle w:val="37"/>
          <w:rFonts w:hint="eastAsia" w:asciiTheme="majorEastAsia" w:hAnsiTheme="majorEastAsia" w:eastAsiaTheme="majorEastAsia" w:cstheme="majorEastAsia"/>
          <w:color w:val="0000FF"/>
          <w:highlight w:val="none"/>
        </w:rPr>
        <w:instrText xml:space="preserve"> </w:instrText>
      </w:r>
      <w:r>
        <w:rPr>
          <w:rFonts w:hint="eastAsia" w:asciiTheme="majorEastAsia" w:hAnsiTheme="majorEastAsia" w:eastAsiaTheme="majorEastAsia" w:cstheme="majorEastAsia"/>
          <w:color w:val="0000FF"/>
          <w:highlight w:val="none"/>
        </w:rPr>
        <w:fldChar w:fldCharType="separate"/>
      </w:r>
      <w:r>
        <w:rPr>
          <w:rStyle w:val="37"/>
          <w:rFonts w:hint="eastAsia" w:asciiTheme="majorEastAsia" w:hAnsiTheme="majorEastAsia" w:eastAsiaTheme="majorEastAsia" w:cstheme="majorEastAsia"/>
          <w:color w:val="0000FF"/>
          <w:highlight w:val="none"/>
        </w:rPr>
        <w:t>第六章  投标文件格式</w:t>
      </w:r>
      <w:r>
        <w:rPr>
          <w:rFonts w:hint="eastAsia" w:asciiTheme="majorEastAsia" w:hAnsiTheme="majorEastAsia" w:eastAsiaTheme="majorEastAsia" w:cstheme="majorEastAsia"/>
          <w:color w:val="0000FF"/>
          <w:highlight w:val="none"/>
          <w:lang w:val="en-US" w:eastAsia="zh-CN"/>
        </w:rPr>
        <w:t>.....................................................67</w:t>
      </w:r>
      <w:r>
        <w:rPr>
          <w:rFonts w:hint="eastAsia" w:asciiTheme="majorEastAsia" w:hAnsiTheme="majorEastAsia" w:eastAsiaTheme="majorEastAsia" w:cstheme="majorEastAsia"/>
          <w:color w:val="0000FF"/>
          <w:highlight w:val="none"/>
        </w:rPr>
        <w:fldChar w:fldCharType="end"/>
      </w:r>
    </w:p>
    <w:p w14:paraId="1065D88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kern w:val="36"/>
          <w:sz w:val="36"/>
          <w:szCs w:val="36"/>
          <w:highlight w:val="none"/>
          <w:lang w:val="en-US" w:eastAsia="zh-CN"/>
        </w:rPr>
      </w:pP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FF0000"/>
          <w:sz w:val="24"/>
          <w:highlight w:val="none"/>
        </w:rPr>
        <w:br w:type="page"/>
      </w:r>
      <w:r>
        <w:rPr>
          <w:rFonts w:hint="eastAsia" w:asciiTheme="majorEastAsia" w:hAnsiTheme="majorEastAsia" w:eastAsiaTheme="majorEastAsia" w:cstheme="majorEastAsia"/>
          <w:b/>
          <w:bCs/>
          <w:kern w:val="36"/>
          <w:sz w:val="36"/>
          <w:szCs w:val="36"/>
          <w:highlight w:val="none"/>
        </w:rPr>
        <w:t xml:space="preserve">第一部分 </w:t>
      </w:r>
    </w:p>
    <w:p w14:paraId="57CFF30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sz w:val="22"/>
          <w:szCs w:val="22"/>
        </w:rPr>
      </w:pPr>
      <w:r>
        <w:rPr>
          <w:rFonts w:hint="eastAsia" w:ascii="微软雅黑" w:hAnsi="微软雅黑" w:eastAsia="微软雅黑" w:cs="微软雅黑"/>
          <w:b/>
          <w:bCs/>
          <w:i w:val="0"/>
          <w:iCs w:val="0"/>
          <w:caps w:val="0"/>
          <w:color w:val="000000"/>
          <w:spacing w:val="0"/>
          <w:sz w:val="28"/>
          <w:szCs w:val="28"/>
          <w:lang w:eastAsia="zh-CN"/>
        </w:rPr>
        <w:t>克州阿克陶县2025年义务教育薄弱环节改善与能力提升采购项目竞争性谈判公告</w:t>
      </w:r>
    </w:p>
    <w:p w14:paraId="47C48AC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sz w:val="22"/>
          <w:szCs w:val="22"/>
        </w:rPr>
      </w:pPr>
      <w:r>
        <w:rPr>
          <w:rFonts w:hint="eastAsia" w:ascii="宋体" w:hAnsi="宋体" w:eastAsia="宋体" w:cs="宋体"/>
          <w:color w:val="000000"/>
          <w:sz w:val="22"/>
          <w:szCs w:val="22"/>
        </w:rPr>
        <w:t> </w:t>
      </w:r>
      <w:r>
        <w:rPr>
          <w:rFonts w:hint="default" w:ascii="Times New Roman" w:hAnsi="Times New Roman" w:eastAsia="微软雅黑" w:cs="Times New Roman"/>
          <w:color w:val="333333"/>
          <w:sz w:val="22"/>
          <w:szCs w:val="22"/>
          <w:vertAlign w:val="baseline"/>
        </w:rPr>
        <w:t> </w:t>
      </w:r>
    </w:p>
    <w:p w14:paraId="6E957552">
      <w:pPr>
        <w:pStyle w:val="23"/>
        <w:keepNext w:val="0"/>
        <w:keepLines w:val="0"/>
        <w:pageBreakBefore w:val="0"/>
        <w:widowControl/>
        <w:suppressLineNumbers w:val="0"/>
        <w:pBdr>
          <w:top w:val="single" w:color="auto" w:sz="8" w:space="1"/>
          <w:left w:val="single" w:color="auto" w:sz="8" w:space="4"/>
          <w:bottom w:val="single" w:color="auto" w:sz="8" w:space="1"/>
          <w:right w:val="single" w:color="auto" w:sz="8" w:space="4"/>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0"/>
          <w:szCs w:val="20"/>
        </w:rPr>
      </w:pPr>
      <w:r>
        <w:rPr>
          <w:rFonts w:ascii="仿宋" w:hAnsi="仿宋" w:eastAsia="仿宋" w:cs="仿宋"/>
          <w:color w:val="000000"/>
          <w:sz w:val="22"/>
          <w:szCs w:val="22"/>
        </w:rPr>
        <w:t>项目概况</w:t>
      </w:r>
    </w:p>
    <w:p w14:paraId="01CF3690">
      <w:pPr>
        <w:pStyle w:val="23"/>
        <w:keepNext w:val="0"/>
        <w:keepLines w:val="0"/>
        <w:pageBreakBefore w:val="0"/>
        <w:widowControl/>
        <w:suppressLineNumbers w:val="0"/>
        <w:pBdr>
          <w:top w:val="single" w:color="auto" w:sz="8" w:space="1"/>
          <w:left w:val="single" w:color="auto" w:sz="8" w:space="4"/>
          <w:bottom w:val="single" w:color="auto" w:sz="8" w:space="1"/>
          <w:right w:val="single" w:color="auto" w:sz="8" w:space="4"/>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Calibri" w:hAnsi="Calibri" w:cs="Calibri"/>
          <w:sz w:val="20"/>
          <w:szCs w:val="20"/>
        </w:rPr>
      </w:pPr>
      <w:r>
        <w:rPr>
          <w:rFonts w:hint="eastAsia" w:ascii="仿宋" w:hAnsi="仿宋" w:eastAsia="仿宋" w:cs="仿宋"/>
          <w:color w:val="000000"/>
          <w:sz w:val="22"/>
          <w:szCs w:val="22"/>
          <w:lang w:eastAsia="zh-CN"/>
        </w:rPr>
        <w:t>克州阿克陶县2025年义务教育薄弱环节改善与能力提升采购项目</w:t>
      </w:r>
      <w:r>
        <w:rPr>
          <w:rFonts w:hint="eastAsia" w:ascii="仿宋" w:hAnsi="仿宋" w:eastAsia="仿宋" w:cs="仿宋"/>
          <w:color w:val="000000"/>
          <w:sz w:val="22"/>
          <w:szCs w:val="22"/>
        </w:rPr>
        <w:t>的潜在供应商应在政采云平台线上获取采购文件，并于202</w:t>
      </w:r>
      <w:r>
        <w:rPr>
          <w:rFonts w:hint="eastAsia" w:ascii="仿宋" w:hAnsi="仿宋" w:eastAsia="仿宋" w:cs="仿宋"/>
          <w:color w:val="000000"/>
          <w:sz w:val="22"/>
          <w:szCs w:val="22"/>
          <w:lang w:val="en-US" w:eastAsia="zh-CN"/>
        </w:rPr>
        <w:t>5</w:t>
      </w:r>
      <w:r>
        <w:rPr>
          <w:rFonts w:hint="eastAsia" w:ascii="仿宋" w:hAnsi="仿宋" w:eastAsia="仿宋" w:cs="仿宋"/>
          <w:color w:val="000000"/>
          <w:sz w:val="22"/>
          <w:szCs w:val="22"/>
        </w:rPr>
        <w:t>年</w:t>
      </w:r>
      <w:r>
        <w:rPr>
          <w:rFonts w:hint="eastAsia" w:ascii="仿宋" w:hAnsi="仿宋" w:eastAsia="仿宋" w:cs="仿宋"/>
          <w:color w:val="000000"/>
          <w:sz w:val="22"/>
          <w:szCs w:val="22"/>
          <w:lang w:val="en-US" w:eastAsia="zh-CN"/>
        </w:rPr>
        <w:t xml:space="preserve"> 07</w:t>
      </w:r>
      <w:r>
        <w:rPr>
          <w:rFonts w:hint="eastAsia" w:ascii="仿宋" w:hAnsi="仿宋" w:eastAsia="仿宋" w:cs="仿宋"/>
          <w:color w:val="000000"/>
          <w:sz w:val="22"/>
          <w:szCs w:val="22"/>
        </w:rPr>
        <w:t>月</w:t>
      </w:r>
      <w:r>
        <w:rPr>
          <w:rFonts w:hint="eastAsia" w:ascii="仿宋" w:hAnsi="仿宋" w:eastAsia="仿宋" w:cs="仿宋"/>
          <w:color w:val="000000"/>
          <w:sz w:val="22"/>
          <w:szCs w:val="22"/>
          <w:lang w:val="en-US" w:eastAsia="zh-CN"/>
        </w:rPr>
        <w:t>07</w:t>
      </w:r>
      <w:r>
        <w:rPr>
          <w:rFonts w:hint="eastAsia" w:ascii="仿宋" w:hAnsi="仿宋" w:eastAsia="仿宋" w:cs="仿宋"/>
          <w:color w:val="000000"/>
          <w:sz w:val="22"/>
          <w:szCs w:val="22"/>
        </w:rPr>
        <w:t>日1</w:t>
      </w:r>
      <w:r>
        <w:rPr>
          <w:rFonts w:hint="eastAsia" w:ascii="仿宋" w:hAnsi="仿宋" w:eastAsia="仿宋" w:cs="仿宋"/>
          <w:color w:val="000000"/>
          <w:sz w:val="22"/>
          <w:szCs w:val="22"/>
          <w:lang w:val="en-US" w:eastAsia="zh-CN"/>
        </w:rPr>
        <w:t>1</w:t>
      </w:r>
      <w:r>
        <w:rPr>
          <w:rFonts w:hint="eastAsia" w:ascii="仿宋" w:hAnsi="仿宋" w:eastAsia="仿宋" w:cs="仿宋"/>
          <w:color w:val="000000"/>
          <w:sz w:val="22"/>
          <w:szCs w:val="22"/>
        </w:rPr>
        <w:t>:</w:t>
      </w:r>
      <w:r>
        <w:rPr>
          <w:rFonts w:hint="eastAsia" w:ascii="仿宋" w:hAnsi="仿宋" w:eastAsia="仿宋" w:cs="仿宋"/>
          <w:color w:val="000000"/>
          <w:sz w:val="22"/>
          <w:szCs w:val="22"/>
          <w:lang w:val="en-US" w:eastAsia="zh-CN"/>
        </w:rPr>
        <w:t>0</w:t>
      </w:r>
      <w:r>
        <w:rPr>
          <w:rFonts w:hint="eastAsia" w:ascii="仿宋" w:hAnsi="仿宋" w:eastAsia="仿宋" w:cs="仿宋"/>
          <w:color w:val="000000"/>
          <w:sz w:val="22"/>
          <w:szCs w:val="22"/>
        </w:rPr>
        <w:t xml:space="preserve">0（北京时间）前提交响应文件。    </w:t>
      </w:r>
    </w:p>
    <w:p w14:paraId="1C22D7C7">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0"/>
        <w:jc w:val="both"/>
        <w:textAlignment w:val="auto"/>
        <w:rPr>
          <w:rFonts w:hint="default" w:ascii="Calibri" w:hAnsi="Calibri" w:cs="Calibri"/>
          <w:sz w:val="22"/>
          <w:szCs w:val="22"/>
        </w:rPr>
      </w:pPr>
      <w:r>
        <w:rPr>
          <w:rFonts w:ascii="黑体" w:hAnsi="宋体" w:eastAsia="黑体" w:cs="黑体"/>
          <w:b/>
          <w:bCs/>
          <w:i w:val="0"/>
          <w:iCs w:val="0"/>
          <w:caps w:val="0"/>
          <w:color w:val="000000"/>
          <w:spacing w:val="0"/>
          <w:sz w:val="22"/>
          <w:szCs w:val="22"/>
        </w:rPr>
        <w:t>一、项目基本情况</w:t>
      </w:r>
    </w:p>
    <w:p w14:paraId="2FCE6E7D">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373"/>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rPr>
        <w:t>项目编号：</w:t>
      </w:r>
      <w:r>
        <w:rPr>
          <w:rFonts w:hint="eastAsia" w:ascii="仿宋" w:hAnsi="仿宋" w:eastAsia="仿宋" w:cs="仿宋"/>
          <w:i w:val="0"/>
          <w:iCs w:val="0"/>
          <w:caps w:val="0"/>
          <w:color w:val="000000"/>
          <w:spacing w:val="0"/>
          <w:sz w:val="22"/>
          <w:szCs w:val="22"/>
          <w:lang w:val="en-US" w:eastAsia="zh-CN"/>
        </w:rPr>
        <w:t xml:space="preserve">AKTZBCG-2025027 </w:t>
      </w:r>
    </w:p>
    <w:p w14:paraId="57E846FA">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373"/>
        <w:jc w:val="left"/>
        <w:textAlignment w:val="auto"/>
        <w:rPr>
          <w:rFonts w:hint="default" w:ascii="Calibri" w:hAnsi="Calibri" w:cs="Calibri"/>
          <w:sz w:val="22"/>
          <w:szCs w:val="22"/>
        </w:rPr>
      </w:pPr>
      <w:r>
        <w:rPr>
          <w:rFonts w:hint="eastAsia" w:ascii="仿宋" w:hAnsi="仿宋" w:eastAsia="仿宋" w:cs="仿宋"/>
          <w:i w:val="0"/>
          <w:iCs w:val="0"/>
          <w:caps w:val="0"/>
          <w:color w:val="000000"/>
          <w:spacing w:val="0"/>
          <w:sz w:val="22"/>
          <w:szCs w:val="22"/>
        </w:rPr>
        <w:t>项目名称：</w:t>
      </w:r>
      <w:r>
        <w:rPr>
          <w:rFonts w:hint="eastAsia" w:ascii="仿宋" w:hAnsi="仿宋" w:eastAsia="仿宋" w:cs="仿宋"/>
          <w:i w:val="0"/>
          <w:iCs w:val="0"/>
          <w:caps w:val="0"/>
          <w:color w:val="000000"/>
          <w:spacing w:val="0"/>
          <w:sz w:val="22"/>
          <w:szCs w:val="22"/>
          <w:lang w:eastAsia="zh-CN"/>
        </w:rPr>
        <w:t>克州阿克陶县2025年义务教育薄弱环节改善与能力提升采购项目</w:t>
      </w:r>
      <w:r>
        <w:rPr>
          <w:rFonts w:hint="eastAsia" w:ascii="仿宋" w:hAnsi="仿宋" w:eastAsia="仿宋" w:cs="仿宋"/>
          <w:i w:val="0"/>
          <w:iCs w:val="0"/>
          <w:caps w:val="0"/>
          <w:color w:val="000000"/>
          <w:spacing w:val="0"/>
          <w:sz w:val="22"/>
          <w:szCs w:val="22"/>
        </w:rPr>
        <w:t> </w:t>
      </w:r>
    </w:p>
    <w:p w14:paraId="197AF4D2">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Calibri" w:hAnsi="Calibri" w:cs="Calibri"/>
          <w:sz w:val="22"/>
          <w:szCs w:val="22"/>
        </w:rPr>
      </w:pPr>
      <w:r>
        <w:rPr>
          <w:rFonts w:hint="eastAsia" w:ascii="仿宋" w:hAnsi="仿宋" w:eastAsia="仿宋" w:cs="仿宋"/>
          <w:i w:val="0"/>
          <w:iCs w:val="0"/>
          <w:caps w:val="0"/>
          <w:color w:val="000000"/>
          <w:spacing w:val="0"/>
          <w:sz w:val="22"/>
          <w:szCs w:val="22"/>
        </w:rPr>
        <w:t>    采购方式：竞争性</w:t>
      </w:r>
      <w:r>
        <w:rPr>
          <w:rFonts w:hint="eastAsia" w:ascii="仿宋" w:hAnsi="仿宋" w:eastAsia="仿宋" w:cs="仿宋"/>
          <w:i w:val="0"/>
          <w:iCs w:val="0"/>
          <w:caps w:val="0"/>
          <w:color w:val="000000"/>
          <w:spacing w:val="0"/>
          <w:sz w:val="22"/>
          <w:szCs w:val="22"/>
          <w:lang w:val="en-US" w:eastAsia="zh-CN"/>
        </w:rPr>
        <w:t>谈判</w:t>
      </w:r>
      <w:r>
        <w:rPr>
          <w:rFonts w:hint="eastAsia" w:ascii="仿宋" w:hAnsi="仿宋" w:eastAsia="仿宋" w:cs="仿宋"/>
          <w:i w:val="0"/>
          <w:iCs w:val="0"/>
          <w:caps w:val="0"/>
          <w:color w:val="000000"/>
          <w:spacing w:val="0"/>
          <w:sz w:val="22"/>
          <w:szCs w:val="22"/>
        </w:rPr>
        <w:t> </w:t>
      </w:r>
    </w:p>
    <w:p w14:paraId="5B579C0E">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373"/>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rPr>
        <w:t>预算金额（元）：</w:t>
      </w:r>
      <w:r>
        <w:rPr>
          <w:rFonts w:hint="eastAsia" w:ascii="仿宋" w:hAnsi="仿宋" w:eastAsia="仿宋" w:cs="仿宋"/>
          <w:i w:val="0"/>
          <w:iCs w:val="0"/>
          <w:caps w:val="0"/>
          <w:color w:val="000000"/>
          <w:spacing w:val="0"/>
          <w:sz w:val="22"/>
          <w:szCs w:val="22"/>
          <w:lang w:val="en-US" w:eastAsia="zh-CN"/>
        </w:rPr>
        <w:t>1719750</w:t>
      </w:r>
    </w:p>
    <w:p w14:paraId="60E057C6">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Calibri" w:hAnsi="Calibri" w:cs="Calibri"/>
          <w:sz w:val="22"/>
          <w:szCs w:val="22"/>
          <w:lang w:val="en-US"/>
        </w:rPr>
      </w:pPr>
      <w:r>
        <w:rPr>
          <w:rFonts w:hint="eastAsia" w:ascii="仿宋" w:hAnsi="仿宋" w:eastAsia="仿宋" w:cs="仿宋"/>
          <w:i w:val="0"/>
          <w:iCs w:val="0"/>
          <w:caps w:val="0"/>
          <w:color w:val="000000"/>
          <w:spacing w:val="0"/>
          <w:sz w:val="22"/>
          <w:szCs w:val="22"/>
        </w:rPr>
        <w:t>    最高限价（元）：</w:t>
      </w:r>
      <w:r>
        <w:rPr>
          <w:rFonts w:hint="eastAsia" w:ascii="仿宋" w:hAnsi="仿宋" w:eastAsia="仿宋" w:cs="仿宋"/>
          <w:i w:val="0"/>
          <w:iCs w:val="0"/>
          <w:caps w:val="0"/>
          <w:color w:val="000000"/>
          <w:spacing w:val="0"/>
          <w:sz w:val="22"/>
          <w:szCs w:val="22"/>
          <w:lang w:val="en-US" w:eastAsia="zh-CN"/>
        </w:rPr>
        <w:t>1719750</w:t>
      </w:r>
    </w:p>
    <w:p w14:paraId="76C11DE2">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373"/>
        <w:jc w:val="left"/>
        <w:textAlignment w:val="auto"/>
        <w:rPr>
          <w:rFonts w:hint="default" w:ascii="Calibri" w:hAnsi="Calibri" w:cs="Calibri"/>
          <w:sz w:val="22"/>
          <w:szCs w:val="22"/>
        </w:rPr>
      </w:pPr>
      <w:r>
        <w:rPr>
          <w:rFonts w:hint="eastAsia" w:ascii="仿宋" w:hAnsi="仿宋" w:eastAsia="仿宋" w:cs="仿宋"/>
          <w:i w:val="0"/>
          <w:iCs w:val="0"/>
          <w:caps w:val="0"/>
          <w:color w:val="000000"/>
          <w:spacing w:val="0"/>
          <w:sz w:val="22"/>
          <w:szCs w:val="22"/>
        </w:rPr>
        <w:t>采购需求：</w:t>
      </w:r>
    </w:p>
    <w:p w14:paraId="57FF5F3D">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373"/>
        <w:jc w:val="left"/>
        <w:textAlignment w:val="auto"/>
        <w:rPr>
          <w:rFonts w:hint="default" w:ascii="仿宋" w:hAnsi="仿宋" w:eastAsia="仿宋" w:cs="仿宋"/>
          <w:i w:val="0"/>
          <w:iCs w:val="0"/>
          <w:caps w:val="0"/>
          <w:color w:val="000000"/>
          <w:spacing w:val="0"/>
          <w:sz w:val="22"/>
          <w:szCs w:val="22"/>
          <w:lang w:eastAsia="zh-CN"/>
        </w:rPr>
      </w:pPr>
      <w:r>
        <w:rPr>
          <w:rFonts w:hint="eastAsia" w:ascii="仿宋" w:hAnsi="仿宋" w:eastAsia="仿宋" w:cs="仿宋"/>
          <w:i w:val="0"/>
          <w:iCs w:val="0"/>
          <w:caps w:val="0"/>
          <w:color w:val="000000"/>
          <w:spacing w:val="0"/>
          <w:sz w:val="22"/>
          <w:szCs w:val="22"/>
        </w:rPr>
        <w:t> </w:t>
      </w:r>
      <w:r>
        <w:rPr>
          <w:rFonts w:hint="eastAsia" w:ascii="仿宋" w:hAnsi="仿宋" w:eastAsia="仿宋" w:cs="仿宋"/>
          <w:i w:val="0"/>
          <w:iCs w:val="0"/>
          <w:caps w:val="0"/>
          <w:color w:val="000000"/>
          <w:spacing w:val="0"/>
          <w:sz w:val="22"/>
          <w:szCs w:val="22"/>
          <w:lang w:eastAsia="zh-CN"/>
        </w:rPr>
        <w:t>标项名称： 克州阿克陶县2025年义务教育薄弱环节改善与能力提升采购项目 </w:t>
      </w:r>
    </w:p>
    <w:p w14:paraId="5ED37E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Calibri" w:hAnsi="Calibri" w:cs="Calibri"/>
          <w:sz w:val="20"/>
          <w:szCs w:val="20"/>
        </w:rPr>
      </w:pPr>
      <w:r>
        <w:rPr>
          <w:rFonts w:hint="eastAsia" w:ascii="仿宋" w:hAnsi="仿宋" w:eastAsia="仿宋" w:cs="仿宋"/>
          <w:i w:val="0"/>
          <w:iCs w:val="0"/>
          <w:caps w:val="0"/>
          <w:color w:val="000000"/>
          <w:spacing w:val="0"/>
          <w:sz w:val="22"/>
          <w:szCs w:val="22"/>
        </w:rPr>
        <w:t xml:space="preserve">  </w:t>
      </w:r>
      <w:r>
        <w:rPr>
          <w:rFonts w:hint="eastAsia" w:ascii="仿宋" w:hAnsi="仿宋" w:eastAsia="仿宋" w:cs="仿宋"/>
          <w:i w:val="0"/>
          <w:iCs w:val="0"/>
          <w:caps w:val="0"/>
          <w:color w:val="000000"/>
          <w:spacing w:val="0"/>
          <w:sz w:val="22"/>
          <w:szCs w:val="22"/>
          <w:lang w:val="en-US" w:eastAsia="zh-CN"/>
        </w:rPr>
        <w:t xml:space="preserve"> </w:t>
      </w:r>
      <w:r>
        <w:rPr>
          <w:rFonts w:hint="eastAsia" w:ascii="仿宋" w:hAnsi="仿宋" w:eastAsia="仿宋" w:cs="仿宋"/>
          <w:i w:val="0"/>
          <w:iCs w:val="0"/>
          <w:caps w:val="0"/>
          <w:color w:val="000000"/>
          <w:spacing w:val="0"/>
          <w:sz w:val="22"/>
          <w:szCs w:val="22"/>
        </w:rPr>
        <w:t> 数量：</w:t>
      </w:r>
      <w:r>
        <w:rPr>
          <w:rFonts w:hint="eastAsia" w:ascii="仿宋" w:hAnsi="仿宋" w:eastAsia="仿宋" w:cs="仿宋"/>
          <w:i w:val="0"/>
          <w:iCs w:val="0"/>
          <w:caps w:val="0"/>
          <w:color w:val="000000"/>
          <w:spacing w:val="0"/>
          <w:sz w:val="22"/>
          <w:szCs w:val="22"/>
          <w:lang w:val="en-US" w:eastAsia="zh-CN"/>
        </w:rPr>
        <w:t>1</w:t>
      </w:r>
      <w:r>
        <w:rPr>
          <w:rFonts w:hint="eastAsia" w:ascii="仿宋" w:hAnsi="仿宋" w:eastAsia="仿宋" w:cs="仿宋"/>
          <w:i w:val="0"/>
          <w:iCs w:val="0"/>
          <w:caps w:val="0"/>
          <w:color w:val="000000"/>
          <w:spacing w:val="0"/>
          <w:sz w:val="22"/>
          <w:szCs w:val="22"/>
        </w:rPr>
        <w:t>     </w:t>
      </w:r>
    </w:p>
    <w:p w14:paraId="4D324226">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仿宋" w:hAnsi="仿宋" w:eastAsia="仿宋" w:cs="仿宋"/>
          <w:i w:val="0"/>
          <w:iCs w:val="0"/>
          <w:caps w:val="0"/>
          <w:color w:val="000000"/>
          <w:spacing w:val="0"/>
          <w:sz w:val="22"/>
          <w:szCs w:val="22"/>
          <w:lang w:val="en-US"/>
        </w:rPr>
      </w:pPr>
      <w:r>
        <w:rPr>
          <w:rFonts w:hint="eastAsia" w:ascii="仿宋" w:hAnsi="仿宋" w:eastAsia="仿宋" w:cs="仿宋"/>
          <w:i w:val="0"/>
          <w:iCs w:val="0"/>
          <w:caps w:val="0"/>
          <w:color w:val="000000"/>
          <w:spacing w:val="0"/>
          <w:sz w:val="22"/>
          <w:szCs w:val="22"/>
        </w:rPr>
        <w:t>   预算金额（元）：</w:t>
      </w:r>
      <w:r>
        <w:rPr>
          <w:rFonts w:hint="eastAsia" w:ascii="仿宋" w:hAnsi="仿宋" w:eastAsia="仿宋" w:cs="仿宋"/>
          <w:i w:val="0"/>
          <w:iCs w:val="0"/>
          <w:caps w:val="0"/>
          <w:color w:val="000000"/>
          <w:spacing w:val="0"/>
          <w:sz w:val="22"/>
          <w:szCs w:val="22"/>
          <w:lang w:val="en-US" w:eastAsia="zh-CN"/>
        </w:rPr>
        <w:t>1719750</w:t>
      </w:r>
    </w:p>
    <w:p w14:paraId="1B431DF9">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eastAsia" w:ascii="Calibri" w:hAnsi="Calibri" w:eastAsia="仿宋" w:cs="Calibri"/>
          <w:sz w:val="22"/>
          <w:szCs w:val="22"/>
          <w:lang w:val="en-US" w:eastAsia="zh-CN"/>
        </w:rPr>
      </w:pPr>
      <w:r>
        <w:rPr>
          <w:rFonts w:hint="eastAsia" w:ascii="仿宋" w:hAnsi="仿宋" w:eastAsia="仿宋" w:cs="仿宋"/>
          <w:i w:val="0"/>
          <w:iCs w:val="0"/>
          <w:caps w:val="0"/>
          <w:color w:val="000000"/>
          <w:spacing w:val="0"/>
          <w:sz w:val="22"/>
          <w:szCs w:val="22"/>
        </w:rPr>
        <w:t>   单位：</w:t>
      </w:r>
      <w:r>
        <w:rPr>
          <w:rFonts w:hint="eastAsia" w:ascii="仿宋" w:hAnsi="仿宋" w:eastAsia="仿宋" w:cs="仿宋"/>
          <w:i w:val="0"/>
          <w:iCs w:val="0"/>
          <w:caps w:val="0"/>
          <w:color w:val="000000"/>
          <w:spacing w:val="0"/>
          <w:sz w:val="22"/>
          <w:szCs w:val="22"/>
          <w:lang w:val="en-US" w:eastAsia="zh-CN"/>
        </w:rPr>
        <w:t>批</w:t>
      </w:r>
    </w:p>
    <w:p w14:paraId="6A0D79B2">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rPr>
        <w:t>   简要规格描述：</w:t>
      </w:r>
      <w:r>
        <w:rPr>
          <w:rFonts w:hint="eastAsia" w:ascii="仿宋" w:hAnsi="仿宋" w:eastAsia="仿宋" w:cs="仿宋"/>
          <w:i w:val="0"/>
          <w:iCs w:val="0"/>
          <w:caps w:val="0"/>
          <w:color w:val="000000"/>
          <w:spacing w:val="0"/>
          <w:sz w:val="22"/>
          <w:szCs w:val="22"/>
          <w:lang w:val="en-US" w:eastAsia="zh-CN"/>
        </w:rPr>
        <w:t>学生用床1420套，食堂餐桌300套及食堂其他设备，学生储备柜275套。（详见采购参数清单）</w:t>
      </w:r>
    </w:p>
    <w:p w14:paraId="21EF08DC">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Calibri" w:hAnsi="Calibri" w:cs="Calibri"/>
          <w:sz w:val="22"/>
          <w:szCs w:val="22"/>
        </w:rPr>
      </w:pPr>
      <w:r>
        <w:rPr>
          <w:rFonts w:hint="eastAsia" w:ascii="仿宋" w:hAnsi="仿宋" w:eastAsia="仿宋" w:cs="仿宋"/>
          <w:i w:val="0"/>
          <w:iCs w:val="0"/>
          <w:caps w:val="0"/>
          <w:color w:val="000000"/>
          <w:spacing w:val="0"/>
          <w:sz w:val="22"/>
          <w:szCs w:val="22"/>
        </w:rPr>
        <w:t>   备注： </w:t>
      </w:r>
    </w:p>
    <w:p w14:paraId="2A43FDC1">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rPr>
        <w:t>    合同履约期限：</w:t>
      </w:r>
      <w:r>
        <w:rPr>
          <w:rFonts w:hint="eastAsia" w:ascii="仿宋" w:hAnsi="仿宋" w:eastAsia="仿宋" w:cs="仿宋"/>
          <w:i w:val="0"/>
          <w:iCs w:val="0"/>
          <w:caps w:val="0"/>
          <w:color w:val="000000"/>
          <w:spacing w:val="0"/>
          <w:sz w:val="22"/>
          <w:szCs w:val="22"/>
          <w:lang w:eastAsia="zh-CN"/>
        </w:rPr>
        <w:t>标项 1，</w:t>
      </w:r>
      <w:r>
        <w:rPr>
          <w:rFonts w:hint="default" w:ascii="仿宋" w:hAnsi="仿宋" w:eastAsia="仿宋" w:cs="仿宋"/>
          <w:i w:val="0"/>
          <w:iCs w:val="0"/>
          <w:caps w:val="0"/>
          <w:color w:val="000000"/>
          <w:spacing w:val="0"/>
          <w:sz w:val="22"/>
          <w:szCs w:val="22"/>
          <w:lang w:val="en-US" w:eastAsia="zh-CN"/>
        </w:rPr>
        <w:t>具体详见谈判文件</w:t>
      </w:r>
      <w:r>
        <w:rPr>
          <w:rFonts w:hint="eastAsia" w:ascii="仿宋" w:hAnsi="仿宋" w:eastAsia="仿宋" w:cs="仿宋"/>
          <w:i w:val="0"/>
          <w:iCs w:val="0"/>
          <w:caps w:val="0"/>
          <w:color w:val="000000"/>
          <w:spacing w:val="0"/>
          <w:sz w:val="22"/>
          <w:szCs w:val="22"/>
          <w:lang w:val="en-US" w:eastAsia="zh-CN"/>
        </w:rPr>
        <w:t> </w:t>
      </w:r>
    </w:p>
    <w:p w14:paraId="0D7D276F">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Calibri" w:hAnsi="Calibri" w:cs="Calibri"/>
          <w:sz w:val="22"/>
          <w:szCs w:val="22"/>
        </w:rPr>
      </w:pPr>
      <w:r>
        <w:rPr>
          <w:rFonts w:hint="eastAsia" w:ascii="仿宋" w:hAnsi="仿宋" w:eastAsia="仿宋" w:cs="仿宋"/>
          <w:i w:val="0"/>
          <w:iCs w:val="0"/>
          <w:caps w:val="0"/>
          <w:color w:val="000000"/>
          <w:spacing w:val="0"/>
          <w:sz w:val="22"/>
          <w:szCs w:val="22"/>
        </w:rPr>
        <w:t>    本项目</w:t>
      </w:r>
      <w:r>
        <w:rPr>
          <w:rFonts w:hint="eastAsia" w:ascii="仿宋" w:hAnsi="仿宋" w:eastAsia="仿宋" w:cs="仿宋"/>
          <w:i w:val="0"/>
          <w:iCs w:val="0"/>
          <w:caps w:val="0"/>
          <w:color w:val="000000"/>
          <w:spacing w:val="0"/>
          <w:sz w:val="22"/>
          <w:szCs w:val="22"/>
          <w:lang w:val="en-US" w:eastAsia="zh-CN"/>
        </w:rPr>
        <w:t>（否）</w:t>
      </w:r>
      <w:r>
        <w:rPr>
          <w:rFonts w:hint="eastAsia" w:ascii="仿宋" w:hAnsi="仿宋" w:eastAsia="仿宋" w:cs="仿宋"/>
          <w:i w:val="0"/>
          <w:iCs w:val="0"/>
          <w:caps w:val="0"/>
          <w:color w:val="000000"/>
          <w:spacing w:val="0"/>
          <w:sz w:val="22"/>
          <w:szCs w:val="22"/>
        </w:rPr>
        <w:t>接受联合体投标。  </w:t>
      </w:r>
    </w:p>
    <w:p w14:paraId="72BDB042">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0"/>
        <w:jc w:val="both"/>
        <w:textAlignment w:val="auto"/>
        <w:rPr>
          <w:rFonts w:hint="default" w:ascii="Calibri" w:hAnsi="Calibri" w:cs="Calibri"/>
          <w:sz w:val="22"/>
          <w:szCs w:val="22"/>
        </w:rPr>
      </w:pPr>
      <w:r>
        <w:rPr>
          <w:rFonts w:hint="eastAsia" w:ascii="黑体" w:hAnsi="宋体" w:eastAsia="黑体" w:cs="黑体"/>
          <w:i w:val="0"/>
          <w:iCs w:val="0"/>
          <w:caps w:val="0"/>
          <w:color w:val="000000"/>
          <w:spacing w:val="0"/>
          <w:sz w:val="22"/>
          <w:szCs w:val="22"/>
        </w:rPr>
        <w:t>二、</w:t>
      </w:r>
      <w:r>
        <w:rPr>
          <w:rFonts w:hint="eastAsia" w:ascii="黑体" w:hAnsi="宋体" w:eastAsia="黑体" w:cs="黑体"/>
          <w:b/>
          <w:bCs/>
          <w:i w:val="0"/>
          <w:iCs w:val="0"/>
          <w:caps w:val="0"/>
          <w:color w:val="000000"/>
          <w:spacing w:val="0"/>
          <w:sz w:val="22"/>
          <w:szCs w:val="22"/>
        </w:rPr>
        <w:t>申请人的资格要求：</w:t>
      </w:r>
    </w:p>
    <w:p w14:paraId="56EA259E">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240"/>
        <w:jc w:val="both"/>
        <w:textAlignment w:val="auto"/>
        <w:rPr>
          <w:rFonts w:hint="default" w:ascii="Calibri" w:hAnsi="Calibri" w:cs="Calibri"/>
          <w:sz w:val="22"/>
          <w:szCs w:val="22"/>
        </w:rPr>
      </w:pPr>
      <w:r>
        <w:rPr>
          <w:rFonts w:hint="eastAsia" w:ascii="仿宋" w:hAnsi="仿宋" w:eastAsia="仿宋" w:cs="仿宋"/>
          <w:i w:val="0"/>
          <w:iCs w:val="0"/>
          <w:caps w:val="0"/>
          <w:color w:val="000000"/>
          <w:spacing w:val="0"/>
          <w:sz w:val="22"/>
          <w:szCs w:val="22"/>
        </w:rPr>
        <w:t>1.满足《中华人民共和国政府采购法》第二十二条规定；</w:t>
      </w:r>
    </w:p>
    <w:p w14:paraId="7234F780">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78" w:right="0"/>
        <w:jc w:val="both"/>
        <w:textAlignment w:val="auto"/>
        <w:rPr>
          <w:rFonts w:hint="default" w:ascii="Calibri" w:hAnsi="Calibri" w:cs="Calibri"/>
          <w:color w:val="auto"/>
          <w:sz w:val="22"/>
          <w:szCs w:val="22"/>
        </w:rPr>
      </w:pPr>
      <w:r>
        <w:rPr>
          <w:rFonts w:hint="eastAsia" w:ascii="仿宋" w:hAnsi="仿宋" w:eastAsia="仿宋" w:cs="仿宋"/>
          <w:i w:val="0"/>
          <w:iCs w:val="0"/>
          <w:caps w:val="0"/>
          <w:color w:val="000000"/>
          <w:spacing w:val="0"/>
          <w:sz w:val="22"/>
          <w:szCs w:val="22"/>
        </w:rPr>
        <w:t>  2.落实政府采购政策需满足的资格要求：标项</w:t>
      </w:r>
      <w:r>
        <w:rPr>
          <w:rFonts w:hint="eastAsia" w:ascii="仿宋" w:hAnsi="仿宋" w:eastAsia="仿宋" w:cs="仿宋"/>
          <w:i w:val="0"/>
          <w:iCs w:val="0"/>
          <w:caps w:val="0"/>
          <w:color w:val="auto"/>
          <w:spacing w:val="0"/>
          <w:sz w:val="22"/>
          <w:szCs w:val="22"/>
        </w:rPr>
        <w:t>1：</w:t>
      </w:r>
      <w:r>
        <w:rPr>
          <w:rFonts w:hint="eastAsia" w:ascii="仿宋" w:hAnsi="仿宋" w:eastAsia="仿宋" w:cs="仿宋"/>
          <w:i w:val="0"/>
          <w:iCs w:val="0"/>
          <w:caps w:val="0"/>
          <w:color w:val="auto"/>
          <w:spacing w:val="0"/>
          <w:sz w:val="22"/>
          <w:szCs w:val="22"/>
          <w:lang w:val="en-US" w:eastAsia="zh-CN"/>
        </w:rPr>
        <w:t>供应商为</w:t>
      </w:r>
      <w:r>
        <w:rPr>
          <w:rFonts w:hint="eastAsia" w:ascii="仿宋" w:hAnsi="仿宋" w:eastAsia="仿宋" w:cs="仿宋"/>
          <w:i w:val="0"/>
          <w:iCs w:val="0"/>
          <w:caps w:val="0"/>
          <w:color w:val="auto"/>
          <w:spacing w:val="0"/>
          <w:sz w:val="22"/>
          <w:szCs w:val="22"/>
        </w:rPr>
        <w:t>中小企业； </w:t>
      </w:r>
    </w:p>
    <w:p w14:paraId="2F6AB542">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right="0" w:firstLine="220" w:firstLineChars="100"/>
        <w:jc w:val="both"/>
        <w:textAlignment w:val="auto"/>
        <w:rPr>
          <w:rFonts w:hint="eastAsia" w:ascii="仿宋" w:hAnsi="仿宋" w:eastAsia="仿宋" w:cs="仿宋"/>
          <w:i w:val="0"/>
          <w:iCs w:val="0"/>
          <w:caps w:val="0"/>
          <w:color w:val="auto"/>
          <w:spacing w:val="0"/>
          <w:sz w:val="22"/>
          <w:szCs w:val="22"/>
        </w:rPr>
      </w:pPr>
      <w:r>
        <w:rPr>
          <w:rFonts w:hint="eastAsia" w:ascii="仿宋" w:hAnsi="仿宋" w:eastAsia="仿宋" w:cs="仿宋"/>
          <w:i w:val="0"/>
          <w:iCs w:val="0"/>
          <w:caps w:val="0"/>
          <w:color w:val="auto"/>
          <w:spacing w:val="0"/>
          <w:sz w:val="22"/>
          <w:szCs w:val="22"/>
        </w:rPr>
        <w:t>3.本项目的特定资格要求：</w:t>
      </w:r>
    </w:p>
    <w:p w14:paraId="2FAAE533">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240"/>
        <w:jc w:val="both"/>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auto"/>
          <w:spacing w:val="0"/>
          <w:sz w:val="22"/>
          <w:szCs w:val="22"/>
        </w:rPr>
        <w:t>【标项1】</w:t>
      </w:r>
      <w:r>
        <w:rPr>
          <w:rFonts w:hint="eastAsia" w:ascii="仿宋" w:hAnsi="仿宋" w:eastAsia="仿宋" w:cs="仿宋"/>
          <w:i w:val="0"/>
          <w:iCs w:val="0"/>
          <w:caps w:val="0"/>
          <w:color w:val="auto"/>
          <w:spacing w:val="0"/>
          <w:sz w:val="22"/>
          <w:szCs w:val="22"/>
        </w:rPr>
        <w:br w:type="textWrapping"/>
      </w:r>
      <w:r>
        <w:rPr>
          <w:rFonts w:hint="eastAsia" w:ascii="仿宋" w:hAnsi="仿宋" w:eastAsia="仿宋" w:cs="仿宋"/>
          <w:i w:val="0"/>
          <w:iCs w:val="0"/>
          <w:caps w:val="0"/>
          <w:color w:val="000000"/>
          <w:spacing w:val="0"/>
          <w:sz w:val="22"/>
          <w:szCs w:val="22"/>
          <w:lang w:val="en-US" w:eastAsia="zh-CN"/>
        </w:rPr>
        <w:t>（1）具有合格有效的营业执照；</w:t>
      </w:r>
    </w:p>
    <w:p w14:paraId="3D588CAA">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right="0"/>
        <w:jc w:val="both"/>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（2）法定代表人投标需提供法定代表人资格证明书，委托代理人投标需提供法定代表人授权委托书及被授权在职人员近6个月内任意1个月有效的社保证明；</w:t>
      </w:r>
    </w:p>
    <w:p w14:paraId="28DCD51E">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right="0"/>
        <w:jc w:val="both"/>
        <w:textAlignment w:val="auto"/>
        <w:rPr>
          <w:rFonts w:hint="default"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（3）在“信用中国”及“中国政府采购网”网站上未被列入失信被执行人、重大税收违法案件当事人名单以及政府采购严重违法失信行为记录名单的投标企业。</w:t>
      </w:r>
    </w:p>
    <w:p w14:paraId="2971C738">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0"/>
        <w:jc w:val="both"/>
        <w:textAlignment w:val="auto"/>
        <w:rPr>
          <w:rFonts w:hint="default" w:ascii="Calibri" w:hAnsi="Calibri" w:cs="Calibri"/>
          <w:color w:val="auto"/>
          <w:sz w:val="22"/>
          <w:szCs w:val="22"/>
        </w:rPr>
      </w:pPr>
      <w:r>
        <w:rPr>
          <w:rFonts w:hint="eastAsia" w:ascii="黑体" w:hAnsi="宋体" w:eastAsia="黑体" w:cs="黑体"/>
          <w:b/>
          <w:bCs/>
          <w:i w:val="0"/>
          <w:iCs w:val="0"/>
          <w:caps w:val="0"/>
          <w:color w:val="auto"/>
          <w:spacing w:val="0"/>
          <w:sz w:val="22"/>
          <w:szCs w:val="22"/>
        </w:rPr>
        <w:t>三、获取采购文件</w:t>
      </w:r>
    </w:p>
    <w:p w14:paraId="42509751">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240"/>
        <w:jc w:val="both"/>
        <w:textAlignment w:val="auto"/>
        <w:rPr>
          <w:rFonts w:hint="default" w:ascii="Calibri" w:hAnsi="Calibri" w:cs="Calibri"/>
          <w:color w:val="auto"/>
          <w:sz w:val="22"/>
          <w:szCs w:val="22"/>
        </w:rPr>
      </w:pPr>
      <w:r>
        <w:rPr>
          <w:rFonts w:hint="eastAsia" w:ascii="仿宋" w:hAnsi="仿宋" w:eastAsia="仿宋" w:cs="仿宋"/>
          <w:i w:val="0"/>
          <w:iCs w:val="0"/>
          <w:caps w:val="0"/>
          <w:color w:val="auto"/>
          <w:spacing w:val="0"/>
          <w:sz w:val="22"/>
          <w:szCs w:val="22"/>
        </w:rPr>
        <w:t> 时间：202</w:t>
      </w:r>
      <w:r>
        <w:rPr>
          <w:rFonts w:hint="eastAsia" w:ascii="仿宋" w:hAnsi="仿宋" w:eastAsia="仿宋" w:cs="仿宋"/>
          <w:i w:val="0"/>
          <w:iCs w:val="0"/>
          <w:caps w:val="0"/>
          <w:color w:val="auto"/>
          <w:spacing w:val="0"/>
          <w:sz w:val="22"/>
          <w:szCs w:val="22"/>
          <w:lang w:val="en-US" w:eastAsia="zh-CN"/>
        </w:rPr>
        <w:t>5</w:t>
      </w:r>
      <w:r>
        <w:rPr>
          <w:rFonts w:hint="eastAsia" w:ascii="仿宋" w:hAnsi="仿宋" w:eastAsia="仿宋" w:cs="仿宋"/>
          <w:i w:val="0"/>
          <w:iCs w:val="0"/>
          <w:caps w:val="0"/>
          <w:color w:val="auto"/>
          <w:spacing w:val="0"/>
          <w:sz w:val="22"/>
          <w:szCs w:val="22"/>
        </w:rPr>
        <w:t>年</w:t>
      </w:r>
      <w:r>
        <w:rPr>
          <w:rFonts w:hint="eastAsia" w:ascii="仿宋" w:hAnsi="仿宋" w:eastAsia="仿宋" w:cs="仿宋"/>
          <w:i w:val="0"/>
          <w:iCs w:val="0"/>
          <w:caps w:val="0"/>
          <w:color w:val="auto"/>
          <w:spacing w:val="0"/>
          <w:sz w:val="22"/>
          <w:szCs w:val="22"/>
          <w:lang w:val="en-US" w:eastAsia="zh-CN"/>
        </w:rPr>
        <w:t>06</w:t>
      </w:r>
      <w:r>
        <w:rPr>
          <w:rFonts w:hint="eastAsia" w:ascii="仿宋" w:hAnsi="仿宋" w:eastAsia="仿宋" w:cs="仿宋"/>
          <w:i w:val="0"/>
          <w:iCs w:val="0"/>
          <w:caps w:val="0"/>
          <w:color w:val="auto"/>
          <w:spacing w:val="0"/>
          <w:sz w:val="22"/>
          <w:szCs w:val="22"/>
        </w:rPr>
        <w:t>月</w:t>
      </w:r>
      <w:r>
        <w:rPr>
          <w:rFonts w:hint="eastAsia" w:ascii="仿宋" w:hAnsi="仿宋" w:eastAsia="仿宋" w:cs="仿宋"/>
          <w:i w:val="0"/>
          <w:iCs w:val="0"/>
          <w:caps w:val="0"/>
          <w:color w:val="auto"/>
          <w:spacing w:val="0"/>
          <w:sz w:val="22"/>
          <w:szCs w:val="22"/>
          <w:lang w:val="en-US" w:eastAsia="zh-CN"/>
        </w:rPr>
        <w:t>27</w:t>
      </w:r>
      <w:r>
        <w:rPr>
          <w:rFonts w:hint="eastAsia" w:ascii="仿宋" w:hAnsi="仿宋" w:eastAsia="仿宋" w:cs="仿宋"/>
          <w:i w:val="0"/>
          <w:iCs w:val="0"/>
          <w:caps w:val="0"/>
          <w:color w:val="auto"/>
          <w:spacing w:val="0"/>
          <w:sz w:val="22"/>
          <w:szCs w:val="22"/>
        </w:rPr>
        <w:t>日至202</w:t>
      </w:r>
      <w:r>
        <w:rPr>
          <w:rFonts w:hint="eastAsia" w:ascii="仿宋" w:hAnsi="仿宋" w:eastAsia="仿宋" w:cs="仿宋"/>
          <w:i w:val="0"/>
          <w:iCs w:val="0"/>
          <w:caps w:val="0"/>
          <w:color w:val="auto"/>
          <w:spacing w:val="0"/>
          <w:sz w:val="22"/>
          <w:szCs w:val="22"/>
          <w:lang w:val="en-US" w:eastAsia="zh-CN"/>
        </w:rPr>
        <w:t>5</w:t>
      </w:r>
      <w:r>
        <w:rPr>
          <w:rFonts w:hint="eastAsia" w:ascii="仿宋" w:hAnsi="仿宋" w:eastAsia="仿宋" w:cs="仿宋"/>
          <w:i w:val="0"/>
          <w:iCs w:val="0"/>
          <w:caps w:val="0"/>
          <w:color w:val="auto"/>
          <w:spacing w:val="0"/>
          <w:sz w:val="22"/>
          <w:szCs w:val="22"/>
        </w:rPr>
        <w:t>年</w:t>
      </w:r>
      <w:r>
        <w:rPr>
          <w:rFonts w:hint="eastAsia" w:ascii="仿宋" w:hAnsi="仿宋" w:eastAsia="仿宋" w:cs="仿宋"/>
          <w:i w:val="0"/>
          <w:iCs w:val="0"/>
          <w:caps w:val="0"/>
          <w:color w:val="auto"/>
          <w:spacing w:val="0"/>
          <w:sz w:val="22"/>
          <w:szCs w:val="22"/>
          <w:lang w:val="en-US" w:eastAsia="zh-CN"/>
        </w:rPr>
        <w:t>07</w:t>
      </w:r>
      <w:r>
        <w:rPr>
          <w:rFonts w:hint="eastAsia" w:ascii="仿宋" w:hAnsi="仿宋" w:eastAsia="仿宋" w:cs="仿宋"/>
          <w:i w:val="0"/>
          <w:iCs w:val="0"/>
          <w:caps w:val="0"/>
          <w:color w:val="auto"/>
          <w:spacing w:val="0"/>
          <w:sz w:val="22"/>
          <w:szCs w:val="22"/>
        </w:rPr>
        <w:t>月</w:t>
      </w:r>
      <w:r>
        <w:rPr>
          <w:rFonts w:hint="eastAsia" w:ascii="仿宋" w:hAnsi="仿宋" w:eastAsia="仿宋" w:cs="仿宋"/>
          <w:i w:val="0"/>
          <w:iCs w:val="0"/>
          <w:caps w:val="0"/>
          <w:color w:val="auto"/>
          <w:spacing w:val="0"/>
          <w:sz w:val="22"/>
          <w:szCs w:val="22"/>
          <w:lang w:val="en-US" w:eastAsia="zh-CN"/>
        </w:rPr>
        <w:t>04</w:t>
      </w:r>
      <w:r>
        <w:rPr>
          <w:rFonts w:hint="eastAsia" w:ascii="仿宋" w:hAnsi="仿宋" w:eastAsia="仿宋" w:cs="仿宋"/>
          <w:i w:val="0"/>
          <w:iCs w:val="0"/>
          <w:caps w:val="0"/>
          <w:color w:val="auto"/>
          <w:spacing w:val="0"/>
          <w:sz w:val="22"/>
          <w:szCs w:val="22"/>
        </w:rPr>
        <w:t>日，每天上午10:00至1</w:t>
      </w:r>
      <w:r>
        <w:rPr>
          <w:rFonts w:hint="eastAsia" w:ascii="仿宋" w:hAnsi="仿宋" w:eastAsia="仿宋" w:cs="仿宋"/>
          <w:i w:val="0"/>
          <w:iCs w:val="0"/>
          <w:caps w:val="0"/>
          <w:color w:val="auto"/>
          <w:spacing w:val="0"/>
          <w:sz w:val="22"/>
          <w:szCs w:val="22"/>
          <w:lang w:val="en-US" w:eastAsia="zh-CN"/>
        </w:rPr>
        <w:t>4</w:t>
      </w:r>
      <w:r>
        <w:rPr>
          <w:rFonts w:hint="eastAsia" w:ascii="仿宋" w:hAnsi="仿宋" w:eastAsia="仿宋" w:cs="仿宋"/>
          <w:i w:val="0"/>
          <w:iCs w:val="0"/>
          <w:caps w:val="0"/>
          <w:color w:val="auto"/>
          <w:spacing w:val="0"/>
          <w:sz w:val="22"/>
          <w:szCs w:val="22"/>
        </w:rPr>
        <w:t>:</w:t>
      </w:r>
      <w:r>
        <w:rPr>
          <w:rFonts w:hint="eastAsia" w:ascii="仿宋" w:hAnsi="仿宋" w:eastAsia="仿宋" w:cs="仿宋"/>
          <w:i w:val="0"/>
          <w:iCs w:val="0"/>
          <w:caps w:val="0"/>
          <w:color w:val="auto"/>
          <w:spacing w:val="0"/>
          <w:sz w:val="22"/>
          <w:szCs w:val="22"/>
          <w:lang w:val="en-US" w:eastAsia="zh-CN"/>
        </w:rPr>
        <w:t>0</w:t>
      </w:r>
      <w:r>
        <w:rPr>
          <w:rFonts w:hint="eastAsia" w:ascii="仿宋" w:hAnsi="仿宋" w:eastAsia="仿宋" w:cs="仿宋"/>
          <w:i w:val="0"/>
          <w:iCs w:val="0"/>
          <w:caps w:val="0"/>
          <w:color w:val="auto"/>
          <w:spacing w:val="0"/>
          <w:sz w:val="22"/>
          <w:szCs w:val="22"/>
        </w:rPr>
        <w:t>0，下午16:</w:t>
      </w:r>
      <w:r>
        <w:rPr>
          <w:rFonts w:hint="eastAsia" w:ascii="仿宋" w:hAnsi="仿宋" w:eastAsia="仿宋" w:cs="仿宋"/>
          <w:i w:val="0"/>
          <w:iCs w:val="0"/>
          <w:caps w:val="0"/>
          <w:color w:val="auto"/>
          <w:spacing w:val="0"/>
          <w:sz w:val="22"/>
          <w:szCs w:val="22"/>
          <w:lang w:val="en-US" w:eastAsia="zh-CN"/>
        </w:rPr>
        <w:t>0</w:t>
      </w:r>
      <w:r>
        <w:rPr>
          <w:rFonts w:hint="eastAsia" w:ascii="仿宋" w:hAnsi="仿宋" w:eastAsia="仿宋" w:cs="仿宋"/>
          <w:i w:val="0"/>
          <w:iCs w:val="0"/>
          <w:caps w:val="0"/>
          <w:color w:val="auto"/>
          <w:spacing w:val="0"/>
          <w:sz w:val="22"/>
          <w:szCs w:val="22"/>
        </w:rPr>
        <w:t>0至</w:t>
      </w:r>
      <w:r>
        <w:rPr>
          <w:rFonts w:hint="eastAsia" w:ascii="仿宋" w:hAnsi="仿宋" w:eastAsia="仿宋" w:cs="仿宋"/>
          <w:i w:val="0"/>
          <w:iCs w:val="0"/>
          <w:caps w:val="0"/>
          <w:color w:val="auto"/>
          <w:spacing w:val="0"/>
          <w:sz w:val="22"/>
          <w:szCs w:val="22"/>
          <w:lang w:val="en-US" w:eastAsia="zh-CN"/>
        </w:rPr>
        <w:t>20</w:t>
      </w:r>
      <w:r>
        <w:rPr>
          <w:rFonts w:hint="eastAsia" w:ascii="仿宋" w:hAnsi="仿宋" w:eastAsia="仿宋" w:cs="仿宋"/>
          <w:i w:val="0"/>
          <w:iCs w:val="0"/>
          <w:caps w:val="0"/>
          <w:color w:val="auto"/>
          <w:spacing w:val="0"/>
          <w:sz w:val="22"/>
          <w:szCs w:val="22"/>
        </w:rPr>
        <w:t>:</w:t>
      </w:r>
      <w:r>
        <w:rPr>
          <w:rFonts w:hint="eastAsia" w:ascii="仿宋" w:hAnsi="仿宋" w:eastAsia="仿宋" w:cs="仿宋"/>
          <w:i w:val="0"/>
          <w:iCs w:val="0"/>
          <w:caps w:val="0"/>
          <w:color w:val="auto"/>
          <w:spacing w:val="0"/>
          <w:sz w:val="22"/>
          <w:szCs w:val="22"/>
          <w:lang w:val="en-US" w:eastAsia="zh-CN"/>
        </w:rPr>
        <w:t>0</w:t>
      </w:r>
      <w:r>
        <w:rPr>
          <w:rFonts w:hint="eastAsia" w:ascii="仿宋" w:hAnsi="仿宋" w:eastAsia="仿宋" w:cs="仿宋"/>
          <w:i w:val="0"/>
          <w:iCs w:val="0"/>
          <w:caps w:val="0"/>
          <w:color w:val="auto"/>
          <w:spacing w:val="0"/>
          <w:sz w:val="22"/>
          <w:szCs w:val="22"/>
        </w:rPr>
        <w:t>0（北京时间，法定节假日除外）</w:t>
      </w:r>
    </w:p>
    <w:p w14:paraId="49278559">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Calibri" w:hAnsi="Calibri" w:cs="Calibri"/>
          <w:color w:val="auto"/>
          <w:sz w:val="22"/>
          <w:szCs w:val="22"/>
        </w:rPr>
      </w:pPr>
      <w:r>
        <w:rPr>
          <w:rFonts w:hint="eastAsia" w:ascii="仿宋" w:hAnsi="仿宋" w:eastAsia="仿宋" w:cs="仿宋"/>
          <w:i w:val="0"/>
          <w:iCs w:val="0"/>
          <w:caps w:val="0"/>
          <w:color w:val="auto"/>
          <w:spacing w:val="0"/>
          <w:sz w:val="22"/>
          <w:szCs w:val="22"/>
        </w:rPr>
        <w:t>    地点：政采云平台线上获取 </w:t>
      </w:r>
    </w:p>
    <w:p w14:paraId="5B6A724F">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373"/>
        <w:jc w:val="left"/>
        <w:textAlignment w:val="auto"/>
        <w:rPr>
          <w:rFonts w:hint="eastAsia" w:ascii="仿宋" w:hAnsi="仿宋" w:eastAsia="仿宋" w:cs="仿宋"/>
          <w:i w:val="0"/>
          <w:iCs w:val="0"/>
          <w:caps w:val="0"/>
          <w:color w:val="auto"/>
          <w:spacing w:val="0"/>
          <w:sz w:val="22"/>
          <w:szCs w:val="22"/>
        </w:rPr>
      </w:pPr>
      <w:r>
        <w:rPr>
          <w:rFonts w:hint="eastAsia" w:ascii="仿宋" w:hAnsi="仿宋" w:eastAsia="仿宋" w:cs="仿宋"/>
          <w:i w:val="0"/>
          <w:iCs w:val="0"/>
          <w:caps w:val="0"/>
          <w:color w:val="auto"/>
          <w:spacing w:val="0"/>
          <w:sz w:val="22"/>
          <w:szCs w:val="22"/>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20D783A5">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373"/>
        <w:jc w:val="left"/>
        <w:textAlignment w:val="auto"/>
        <w:rPr>
          <w:rFonts w:hint="default" w:ascii="Calibri" w:hAnsi="Calibri" w:cs="Calibri"/>
          <w:color w:val="auto"/>
          <w:sz w:val="22"/>
          <w:szCs w:val="22"/>
        </w:rPr>
      </w:pPr>
      <w:r>
        <w:rPr>
          <w:rFonts w:hint="eastAsia" w:ascii="仿宋" w:hAnsi="仿宋" w:eastAsia="仿宋" w:cs="仿宋"/>
          <w:i w:val="0"/>
          <w:iCs w:val="0"/>
          <w:caps w:val="0"/>
          <w:color w:val="auto"/>
          <w:spacing w:val="0"/>
          <w:sz w:val="22"/>
          <w:szCs w:val="22"/>
        </w:rPr>
        <w:t>售价（元）： 0 </w:t>
      </w:r>
    </w:p>
    <w:p w14:paraId="580E8057">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0"/>
        <w:jc w:val="both"/>
        <w:textAlignment w:val="auto"/>
        <w:rPr>
          <w:rFonts w:hint="default" w:ascii="Calibri" w:hAnsi="Calibri" w:cs="Calibri"/>
          <w:color w:val="auto"/>
          <w:sz w:val="22"/>
          <w:szCs w:val="22"/>
        </w:rPr>
      </w:pPr>
      <w:r>
        <w:rPr>
          <w:rFonts w:hint="eastAsia" w:ascii="黑体" w:hAnsi="宋体" w:eastAsia="黑体" w:cs="黑体"/>
          <w:b/>
          <w:bCs/>
          <w:i w:val="0"/>
          <w:iCs w:val="0"/>
          <w:caps w:val="0"/>
          <w:color w:val="auto"/>
          <w:spacing w:val="0"/>
          <w:sz w:val="22"/>
          <w:szCs w:val="22"/>
        </w:rPr>
        <w:t>四、响应文件提交</w:t>
      </w:r>
      <w:r>
        <w:rPr>
          <w:rFonts w:hint="eastAsia" w:ascii="黑体" w:hAnsi="宋体" w:eastAsia="黑体" w:cs="黑体"/>
          <w:i w:val="0"/>
          <w:iCs w:val="0"/>
          <w:caps w:val="0"/>
          <w:color w:val="auto"/>
          <w:spacing w:val="0"/>
          <w:sz w:val="22"/>
          <w:szCs w:val="22"/>
        </w:rPr>
        <w:t> </w:t>
      </w:r>
    </w:p>
    <w:p w14:paraId="18BF4C3A">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Calibri" w:hAnsi="Calibri" w:cs="Calibri"/>
          <w:color w:val="auto"/>
          <w:sz w:val="22"/>
          <w:szCs w:val="22"/>
        </w:rPr>
      </w:pPr>
      <w:r>
        <w:rPr>
          <w:rFonts w:hint="eastAsia" w:ascii="仿宋" w:hAnsi="仿宋" w:eastAsia="仿宋" w:cs="仿宋"/>
          <w:i w:val="0"/>
          <w:iCs w:val="0"/>
          <w:caps w:val="0"/>
          <w:color w:val="auto"/>
          <w:spacing w:val="0"/>
          <w:sz w:val="22"/>
          <w:szCs w:val="22"/>
        </w:rPr>
        <w:t>    截止时间：202</w:t>
      </w:r>
      <w:r>
        <w:rPr>
          <w:rFonts w:hint="eastAsia" w:ascii="仿宋" w:hAnsi="仿宋" w:eastAsia="仿宋" w:cs="仿宋"/>
          <w:i w:val="0"/>
          <w:iCs w:val="0"/>
          <w:caps w:val="0"/>
          <w:color w:val="auto"/>
          <w:spacing w:val="0"/>
          <w:sz w:val="22"/>
          <w:szCs w:val="22"/>
          <w:lang w:val="en-US" w:eastAsia="zh-CN"/>
        </w:rPr>
        <w:t>5</w:t>
      </w:r>
      <w:r>
        <w:rPr>
          <w:rFonts w:hint="eastAsia" w:ascii="仿宋" w:hAnsi="仿宋" w:eastAsia="仿宋" w:cs="仿宋"/>
          <w:i w:val="0"/>
          <w:iCs w:val="0"/>
          <w:caps w:val="0"/>
          <w:color w:val="auto"/>
          <w:spacing w:val="0"/>
          <w:sz w:val="22"/>
          <w:szCs w:val="22"/>
        </w:rPr>
        <w:t>年</w:t>
      </w:r>
      <w:r>
        <w:rPr>
          <w:rFonts w:hint="eastAsia" w:ascii="仿宋" w:hAnsi="仿宋" w:eastAsia="仿宋" w:cs="仿宋"/>
          <w:i w:val="0"/>
          <w:iCs w:val="0"/>
          <w:caps w:val="0"/>
          <w:color w:val="auto"/>
          <w:spacing w:val="0"/>
          <w:sz w:val="22"/>
          <w:szCs w:val="22"/>
          <w:lang w:val="en-US" w:eastAsia="zh-CN"/>
        </w:rPr>
        <w:t>07</w:t>
      </w:r>
      <w:r>
        <w:rPr>
          <w:rFonts w:hint="eastAsia" w:ascii="仿宋" w:hAnsi="仿宋" w:eastAsia="仿宋" w:cs="仿宋"/>
          <w:i w:val="0"/>
          <w:iCs w:val="0"/>
          <w:caps w:val="0"/>
          <w:color w:val="auto"/>
          <w:spacing w:val="0"/>
          <w:sz w:val="22"/>
          <w:szCs w:val="22"/>
        </w:rPr>
        <w:t>月</w:t>
      </w:r>
      <w:r>
        <w:rPr>
          <w:rFonts w:hint="eastAsia" w:ascii="仿宋" w:hAnsi="仿宋" w:eastAsia="仿宋" w:cs="仿宋"/>
          <w:i w:val="0"/>
          <w:iCs w:val="0"/>
          <w:caps w:val="0"/>
          <w:color w:val="auto"/>
          <w:spacing w:val="0"/>
          <w:sz w:val="22"/>
          <w:szCs w:val="22"/>
          <w:lang w:val="en-US" w:eastAsia="zh-CN"/>
        </w:rPr>
        <w:t>07</w:t>
      </w:r>
      <w:r>
        <w:rPr>
          <w:rFonts w:hint="eastAsia" w:ascii="仿宋" w:hAnsi="仿宋" w:eastAsia="仿宋" w:cs="仿宋"/>
          <w:i w:val="0"/>
          <w:iCs w:val="0"/>
          <w:caps w:val="0"/>
          <w:color w:val="auto"/>
          <w:spacing w:val="0"/>
          <w:sz w:val="22"/>
          <w:szCs w:val="22"/>
        </w:rPr>
        <w:t>日 1</w:t>
      </w:r>
      <w:r>
        <w:rPr>
          <w:rFonts w:hint="eastAsia" w:ascii="仿宋" w:hAnsi="仿宋" w:eastAsia="仿宋" w:cs="仿宋"/>
          <w:i w:val="0"/>
          <w:iCs w:val="0"/>
          <w:caps w:val="0"/>
          <w:color w:val="auto"/>
          <w:spacing w:val="0"/>
          <w:sz w:val="22"/>
          <w:szCs w:val="22"/>
          <w:lang w:val="en-US" w:eastAsia="zh-CN"/>
        </w:rPr>
        <w:t>1：0</w:t>
      </w:r>
      <w:r>
        <w:rPr>
          <w:rFonts w:hint="eastAsia" w:ascii="仿宋" w:hAnsi="仿宋" w:eastAsia="仿宋" w:cs="仿宋"/>
          <w:i w:val="0"/>
          <w:iCs w:val="0"/>
          <w:caps w:val="0"/>
          <w:color w:val="auto"/>
          <w:spacing w:val="0"/>
          <w:sz w:val="22"/>
          <w:szCs w:val="22"/>
        </w:rPr>
        <w:t>0（北京时间）</w:t>
      </w:r>
    </w:p>
    <w:p w14:paraId="64E936EC">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eastAsia" w:ascii="Calibri" w:hAnsi="Calibri" w:eastAsia="仿宋" w:cs="Calibri"/>
          <w:color w:val="auto"/>
          <w:sz w:val="22"/>
          <w:szCs w:val="22"/>
          <w:lang w:val="en-US" w:eastAsia="zh-CN"/>
        </w:rPr>
      </w:pPr>
      <w:r>
        <w:rPr>
          <w:rFonts w:hint="eastAsia" w:ascii="仿宋" w:hAnsi="仿宋" w:eastAsia="仿宋" w:cs="仿宋"/>
          <w:i w:val="0"/>
          <w:iCs w:val="0"/>
          <w:caps w:val="0"/>
          <w:color w:val="auto"/>
          <w:spacing w:val="0"/>
          <w:sz w:val="22"/>
          <w:szCs w:val="22"/>
        </w:rPr>
        <w:t>    地点：请登录政采云投标客户端投标 </w:t>
      </w:r>
      <w:r>
        <w:rPr>
          <w:rFonts w:hint="eastAsia" w:ascii="仿宋" w:hAnsi="仿宋" w:eastAsia="仿宋" w:cs="仿宋"/>
          <w:i w:val="0"/>
          <w:iCs w:val="0"/>
          <w:caps w:val="0"/>
          <w:color w:val="auto"/>
          <w:spacing w:val="0"/>
          <w:sz w:val="22"/>
          <w:szCs w:val="22"/>
          <w:lang w:val="en-US" w:eastAsia="zh-CN"/>
        </w:rPr>
        <w:t xml:space="preserve"> </w:t>
      </w:r>
    </w:p>
    <w:p w14:paraId="0476FCE1">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0"/>
        <w:jc w:val="both"/>
        <w:textAlignment w:val="auto"/>
        <w:rPr>
          <w:rFonts w:hint="default" w:ascii="Calibri" w:hAnsi="Calibri" w:cs="Calibri"/>
          <w:color w:val="auto"/>
          <w:sz w:val="22"/>
          <w:szCs w:val="22"/>
        </w:rPr>
      </w:pPr>
      <w:r>
        <w:rPr>
          <w:rFonts w:hint="eastAsia" w:ascii="黑体" w:hAnsi="宋体" w:eastAsia="黑体" w:cs="黑体"/>
          <w:b/>
          <w:bCs/>
          <w:i w:val="0"/>
          <w:iCs w:val="0"/>
          <w:caps w:val="0"/>
          <w:color w:val="auto"/>
          <w:spacing w:val="0"/>
          <w:sz w:val="22"/>
          <w:szCs w:val="22"/>
        </w:rPr>
        <w:t>五、响应文件开启</w:t>
      </w:r>
      <w:r>
        <w:rPr>
          <w:rFonts w:hint="eastAsia" w:ascii="黑体" w:hAnsi="宋体" w:eastAsia="黑体" w:cs="黑体"/>
          <w:i w:val="0"/>
          <w:iCs w:val="0"/>
          <w:caps w:val="0"/>
          <w:color w:val="auto"/>
          <w:spacing w:val="0"/>
          <w:sz w:val="22"/>
          <w:szCs w:val="22"/>
        </w:rPr>
        <w:t> </w:t>
      </w:r>
    </w:p>
    <w:p w14:paraId="1E08C56B">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Calibri" w:hAnsi="Calibri" w:cs="Calibri"/>
          <w:color w:val="auto"/>
          <w:sz w:val="22"/>
          <w:szCs w:val="22"/>
        </w:rPr>
      </w:pPr>
      <w:r>
        <w:rPr>
          <w:rFonts w:hint="eastAsia" w:ascii="仿宋" w:hAnsi="仿宋" w:eastAsia="仿宋" w:cs="仿宋"/>
          <w:i w:val="0"/>
          <w:iCs w:val="0"/>
          <w:caps w:val="0"/>
          <w:color w:val="auto"/>
          <w:spacing w:val="0"/>
          <w:sz w:val="22"/>
          <w:szCs w:val="22"/>
        </w:rPr>
        <w:t>    开启时间：202</w:t>
      </w:r>
      <w:r>
        <w:rPr>
          <w:rFonts w:hint="eastAsia" w:ascii="仿宋" w:hAnsi="仿宋" w:eastAsia="仿宋" w:cs="仿宋"/>
          <w:i w:val="0"/>
          <w:iCs w:val="0"/>
          <w:caps w:val="0"/>
          <w:color w:val="auto"/>
          <w:spacing w:val="0"/>
          <w:sz w:val="22"/>
          <w:szCs w:val="22"/>
          <w:lang w:val="en-US" w:eastAsia="zh-CN"/>
        </w:rPr>
        <w:t>5</w:t>
      </w:r>
      <w:r>
        <w:rPr>
          <w:rFonts w:hint="eastAsia" w:ascii="仿宋" w:hAnsi="仿宋" w:eastAsia="仿宋" w:cs="仿宋"/>
          <w:i w:val="0"/>
          <w:iCs w:val="0"/>
          <w:caps w:val="0"/>
          <w:color w:val="auto"/>
          <w:spacing w:val="0"/>
          <w:sz w:val="22"/>
          <w:szCs w:val="22"/>
        </w:rPr>
        <w:t>年</w:t>
      </w:r>
      <w:r>
        <w:rPr>
          <w:rFonts w:hint="eastAsia" w:ascii="仿宋" w:hAnsi="仿宋" w:eastAsia="仿宋" w:cs="仿宋"/>
          <w:i w:val="0"/>
          <w:iCs w:val="0"/>
          <w:caps w:val="0"/>
          <w:color w:val="auto"/>
          <w:spacing w:val="0"/>
          <w:sz w:val="22"/>
          <w:szCs w:val="22"/>
          <w:lang w:val="en-US" w:eastAsia="zh-CN"/>
        </w:rPr>
        <w:t>07</w:t>
      </w:r>
      <w:r>
        <w:rPr>
          <w:rFonts w:hint="eastAsia" w:ascii="仿宋" w:hAnsi="仿宋" w:eastAsia="仿宋" w:cs="仿宋"/>
          <w:i w:val="0"/>
          <w:iCs w:val="0"/>
          <w:caps w:val="0"/>
          <w:color w:val="auto"/>
          <w:spacing w:val="0"/>
          <w:sz w:val="22"/>
          <w:szCs w:val="22"/>
        </w:rPr>
        <w:t>月</w:t>
      </w:r>
      <w:r>
        <w:rPr>
          <w:rFonts w:hint="eastAsia" w:ascii="仿宋" w:hAnsi="仿宋" w:eastAsia="仿宋" w:cs="仿宋"/>
          <w:i w:val="0"/>
          <w:iCs w:val="0"/>
          <w:caps w:val="0"/>
          <w:color w:val="auto"/>
          <w:spacing w:val="0"/>
          <w:sz w:val="22"/>
          <w:szCs w:val="22"/>
          <w:lang w:val="en-US" w:eastAsia="zh-CN"/>
        </w:rPr>
        <w:t>07</w:t>
      </w:r>
      <w:r>
        <w:rPr>
          <w:rFonts w:hint="eastAsia" w:ascii="仿宋" w:hAnsi="仿宋" w:eastAsia="仿宋" w:cs="仿宋"/>
          <w:i w:val="0"/>
          <w:iCs w:val="0"/>
          <w:caps w:val="0"/>
          <w:color w:val="auto"/>
          <w:spacing w:val="0"/>
          <w:sz w:val="22"/>
          <w:szCs w:val="22"/>
        </w:rPr>
        <w:t>日 1</w:t>
      </w:r>
      <w:r>
        <w:rPr>
          <w:rFonts w:hint="eastAsia" w:ascii="仿宋" w:hAnsi="仿宋" w:eastAsia="仿宋" w:cs="仿宋"/>
          <w:i w:val="0"/>
          <w:iCs w:val="0"/>
          <w:caps w:val="0"/>
          <w:color w:val="auto"/>
          <w:spacing w:val="0"/>
          <w:sz w:val="22"/>
          <w:szCs w:val="22"/>
          <w:lang w:val="en-US" w:eastAsia="zh-CN"/>
        </w:rPr>
        <w:t>1：0</w:t>
      </w:r>
      <w:r>
        <w:rPr>
          <w:rFonts w:hint="eastAsia" w:ascii="仿宋" w:hAnsi="仿宋" w:eastAsia="仿宋" w:cs="仿宋"/>
          <w:i w:val="0"/>
          <w:iCs w:val="0"/>
          <w:caps w:val="0"/>
          <w:color w:val="auto"/>
          <w:spacing w:val="0"/>
          <w:sz w:val="22"/>
          <w:szCs w:val="22"/>
        </w:rPr>
        <w:t>0 （北京时间）</w:t>
      </w:r>
    </w:p>
    <w:p w14:paraId="4E7BBCDD">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jc w:val="left"/>
        <w:textAlignment w:val="auto"/>
        <w:rPr>
          <w:rFonts w:hint="default" w:ascii="Calibri" w:hAnsi="Calibri" w:cs="Calibri"/>
          <w:sz w:val="22"/>
          <w:szCs w:val="22"/>
        </w:rPr>
      </w:pPr>
      <w:r>
        <w:rPr>
          <w:rFonts w:hint="eastAsia" w:ascii="仿宋" w:hAnsi="仿宋" w:eastAsia="仿宋" w:cs="仿宋"/>
          <w:i w:val="0"/>
          <w:iCs w:val="0"/>
          <w:caps w:val="0"/>
          <w:color w:val="auto"/>
          <w:spacing w:val="0"/>
          <w:sz w:val="22"/>
          <w:szCs w:val="22"/>
        </w:rPr>
        <w:t>    地点：</w:t>
      </w:r>
      <w:r>
        <w:rPr>
          <w:rFonts w:hint="eastAsia" w:ascii="仿宋" w:hAnsi="仿宋" w:eastAsia="仿宋" w:cs="仿宋"/>
          <w:i w:val="0"/>
          <w:iCs w:val="0"/>
          <w:caps w:val="0"/>
          <w:color w:val="auto"/>
          <w:spacing w:val="0"/>
          <w:sz w:val="22"/>
          <w:szCs w:val="22"/>
          <w:lang w:val="en-US" w:eastAsia="zh-CN"/>
        </w:rPr>
        <w:t>投标人登录政采云平台https://www.zcygov.cn/，进入</w:t>
      </w:r>
      <w:r>
        <w:rPr>
          <w:rFonts w:hint="eastAsia" w:ascii="仿宋" w:hAnsi="仿宋" w:eastAsia="仿宋" w:cs="仿宋"/>
          <w:i w:val="0"/>
          <w:iCs w:val="0"/>
          <w:caps w:val="0"/>
          <w:color w:val="000000"/>
          <w:spacing w:val="0"/>
          <w:sz w:val="22"/>
          <w:szCs w:val="22"/>
          <w:lang w:val="en-US" w:eastAsia="zh-CN"/>
        </w:rPr>
        <w:t>“项目采购-开标评标-右边选择对应项目点击“进入项目”进入开标大厅。 </w:t>
      </w:r>
    </w:p>
    <w:p w14:paraId="41DF0514">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0"/>
        <w:jc w:val="both"/>
        <w:textAlignment w:val="auto"/>
        <w:rPr>
          <w:rFonts w:hint="default" w:ascii="Calibri" w:hAnsi="Calibri" w:cs="Calibri"/>
          <w:sz w:val="22"/>
          <w:szCs w:val="22"/>
        </w:rPr>
      </w:pPr>
      <w:r>
        <w:rPr>
          <w:rFonts w:hint="eastAsia" w:ascii="黑体" w:hAnsi="宋体" w:eastAsia="黑体" w:cs="黑体"/>
          <w:b/>
          <w:bCs/>
          <w:i w:val="0"/>
          <w:iCs w:val="0"/>
          <w:caps w:val="0"/>
          <w:color w:val="000000"/>
          <w:spacing w:val="0"/>
          <w:sz w:val="22"/>
          <w:szCs w:val="22"/>
        </w:rPr>
        <w:t>六、公告期限</w:t>
      </w:r>
    </w:p>
    <w:p w14:paraId="0D7DF52C">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326"/>
        <w:jc w:val="left"/>
        <w:textAlignment w:val="auto"/>
        <w:rPr>
          <w:rFonts w:hint="default" w:ascii="Calibri" w:hAnsi="Calibri" w:cs="Calibri"/>
          <w:sz w:val="22"/>
          <w:szCs w:val="22"/>
        </w:rPr>
      </w:pPr>
      <w:r>
        <w:rPr>
          <w:rFonts w:hint="eastAsia" w:ascii="仿宋" w:hAnsi="仿宋" w:eastAsia="仿宋" w:cs="仿宋"/>
          <w:i w:val="0"/>
          <w:iCs w:val="0"/>
          <w:caps w:val="0"/>
          <w:color w:val="000000"/>
          <w:spacing w:val="0"/>
          <w:sz w:val="22"/>
          <w:szCs w:val="22"/>
        </w:rPr>
        <w:t>自本公告发布之日起3个工作日。</w:t>
      </w:r>
    </w:p>
    <w:p w14:paraId="46417DD6">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0"/>
        <w:jc w:val="both"/>
        <w:textAlignment w:val="auto"/>
        <w:rPr>
          <w:rFonts w:hint="default" w:ascii="Calibri" w:hAnsi="Calibri" w:cs="Calibri"/>
          <w:sz w:val="22"/>
          <w:szCs w:val="22"/>
        </w:rPr>
      </w:pPr>
      <w:r>
        <w:rPr>
          <w:rFonts w:hint="eastAsia" w:ascii="黑体" w:hAnsi="宋体" w:eastAsia="黑体" w:cs="黑体"/>
          <w:b/>
          <w:bCs/>
          <w:i w:val="0"/>
          <w:iCs w:val="0"/>
          <w:caps w:val="0"/>
          <w:color w:val="000000"/>
          <w:spacing w:val="0"/>
          <w:sz w:val="22"/>
          <w:szCs w:val="22"/>
        </w:rPr>
        <w:t>七、其他补充事宜</w:t>
      </w:r>
      <w:r>
        <w:rPr>
          <w:rFonts w:hint="eastAsia" w:ascii="黑体" w:hAnsi="宋体" w:eastAsia="黑体" w:cs="黑体"/>
          <w:i w:val="0"/>
          <w:iCs w:val="0"/>
          <w:caps w:val="0"/>
          <w:color w:val="000000"/>
          <w:spacing w:val="0"/>
          <w:sz w:val="22"/>
          <w:szCs w:val="22"/>
        </w:rPr>
        <w:t> </w:t>
      </w:r>
    </w:p>
    <w:p w14:paraId="7DD0FBFE">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1、本项目实行网上投标，采用电子投标文件。</w:t>
      </w:r>
    </w:p>
    <w:p w14:paraId="61A4250E">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F891944">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3、供应商将政采云电子交易客户端下载、安装完成后，可通过账号密码或CA登录客户端进行投标文件的制作。在使用政采云投标客户端时，建议使用WIN7及以上操作系统。</w:t>
      </w:r>
    </w:p>
    <w:p w14:paraId="7B7C3B22">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4、其他事项： /</w:t>
      </w:r>
    </w:p>
    <w:p w14:paraId="2C9CEFD6">
      <w:pPr>
        <w:pStyle w:val="2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440" w:lineRule="exact"/>
        <w:ind w:left="0" w:right="0" w:firstLine="0"/>
        <w:jc w:val="both"/>
        <w:textAlignment w:val="auto"/>
        <w:rPr>
          <w:rFonts w:hint="default" w:ascii="黑体" w:hAnsi="宋体" w:eastAsia="黑体" w:cs="黑体"/>
          <w:b/>
          <w:bCs/>
          <w:i w:val="0"/>
          <w:iCs w:val="0"/>
          <w:caps w:val="0"/>
          <w:color w:val="000000"/>
          <w:spacing w:val="0"/>
          <w:sz w:val="22"/>
          <w:szCs w:val="22"/>
        </w:rPr>
      </w:pPr>
      <w:r>
        <w:rPr>
          <w:rFonts w:hint="eastAsia" w:ascii="黑体" w:hAnsi="宋体" w:eastAsia="黑体" w:cs="黑体"/>
          <w:b/>
          <w:bCs/>
          <w:i w:val="0"/>
          <w:iCs w:val="0"/>
          <w:caps w:val="0"/>
          <w:color w:val="000000"/>
          <w:spacing w:val="0"/>
          <w:sz w:val="22"/>
          <w:szCs w:val="22"/>
        </w:rPr>
        <w:t>八、凡对本次招标提出询问，请按以下方式联系</w:t>
      </w:r>
    </w:p>
    <w:p w14:paraId="51FE5C5D">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1.采购人信息</w:t>
      </w:r>
    </w:p>
    <w:p w14:paraId="529D8546">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名 称：阿克陶县教育项目执行中心</w:t>
      </w:r>
    </w:p>
    <w:p w14:paraId="5C9A3817">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地 址：阿克陶县</w:t>
      </w:r>
    </w:p>
    <w:p w14:paraId="2B4CEB76">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联系方式：13667591441</w:t>
      </w:r>
    </w:p>
    <w:p w14:paraId="36B11825">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2.采购代理机构信息</w:t>
      </w:r>
    </w:p>
    <w:p w14:paraId="720D0F58">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名 称：新疆惠文建设工程项目管理咨询有限公司</w:t>
      </w:r>
    </w:p>
    <w:p w14:paraId="62F9318A">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地 址：阿图什市光明街道友谊北路14号5幢商铺107号</w:t>
      </w:r>
    </w:p>
    <w:p w14:paraId="3EA84D93">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联系方式：18609081081</w:t>
      </w:r>
    </w:p>
    <w:p w14:paraId="48E4842C">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3.项目联系方式</w:t>
      </w:r>
    </w:p>
    <w:p w14:paraId="191AAFB4">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eastAsia"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项目联系人：刘女士</w:t>
      </w:r>
    </w:p>
    <w:p w14:paraId="7F00653C">
      <w:pPr>
        <w:pStyle w:val="2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220" w:firstLineChars="100"/>
        <w:jc w:val="left"/>
        <w:textAlignment w:val="auto"/>
        <w:rPr>
          <w:rFonts w:hint="default" w:ascii="仿宋" w:hAnsi="仿宋" w:eastAsia="仿宋" w:cs="仿宋"/>
          <w:i w:val="0"/>
          <w:iCs w:val="0"/>
          <w:caps w:val="0"/>
          <w:color w:val="000000"/>
          <w:spacing w:val="0"/>
          <w:sz w:val="22"/>
          <w:szCs w:val="22"/>
          <w:lang w:val="en-US" w:eastAsia="zh-CN"/>
        </w:rPr>
      </w:pPr>
      <w:r>
        <w:rPr>
          <w:rFonts w:hint="eastAsia" w:ascii="仿宋" w:hAnsi="仿宋" w:eastAsia="仿宋" w:cs="仿宋"/>
          <w:i w:val="0"/>
          <w:iCs w:val="0"/>
          <w:caps w:val="0"/>
          <w:color w:val="000000"/>
          <w:spacing w:val="0"/>
          <w:sz w:val="22"/>
          <w:szCs w:val="22"/>
          <w:lang w:val="en-US" w:eastAsia="zh-CN"/>
        </w:rPr>
        <w:t>电 话：18609081081</w:t>
      </w:r>
    </w:p>
    <w:p w14:paraId="70C66C51">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7"/>
          <w:szCs w:val="27"/>
          <w:highlight w:val="none"/>
          <w:lang w:val="en-US" w:eastAsia="zh-CN"/>
        </w:rPr>
      </w:pPr>
    </w:p>
    <w:p w14:paraId="6759D181">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7"/>
          <w:szCs w:val="27"/>
          <w:highlight w:val="none"/>
          <w:lang w:val="en-US" w:eastAsia="zh-CN"/>
        </w:rPr>
      </w:pPr>
    </w:p>
    <w:p w14:paraId="7C6DEF8F">
      <w:pPr>
        <w:numPr>
          <w:ilvl w:val="0"/>
          <w:numId w:val="3"/>
        </w:numPr>
        <w:shd w:val="clear" w:color="auto" w:fill="auto"/>
        <w:spacing w:line="500" w:lineRule="exact"/>
        <w:ind w:left="-1816" w:leftChars="0" w:firstLine="3520" w:firstLineChars="0"/>
        <w:jc w:val="center"/>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投标人须知</w:t>
      </w:r>
      <w:bookmarkStart w:id="1" w:name="_Toc469495722"/>
    </w:p>
    <w:p w14:paraId="63C09C84">
      <w:pPr>
        <w:numPr>
          <w:ilvl w:val="0"/>
          <w:numId w:val="4"/>
        </w:numPr>
        <w:shd w:val="clear" w:color="auto" w:fill="auto"/>
        <w:spacing w:line="500" w:lineRule="exact"/>
        <w:ind w:left="0" w:leftChars="0" w:firstLine="3520" w:firstLineChars="0"/>
        <w:jc w:val="both"/>
        <w:outlineLvl w:val="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color w:val="auto"/>
          <w:sz w:val="28"/>
          <w:szCs w:val="28"/>
          <w:highlight w:val="none"/>
        </w:rPr>
        <w:t>投标人须知前附表</w:t>
      </w:r>
      <w:bookmarkEnd w:id="1"/>
    </w:p>
    <w:bookmarkEnd w:id="0"/>
    <w:tbl>
      <w:tblPr>
        <w:tblStyle w:val="27"/>
        <w:tblW w:w="940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94"/>
        <w:gridCol w:w="1402"/>
        <w:gridCol w:w="7113"/>
      </w:tblGrid>
      <w:tr w14:paraId="29DD87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894" w:type="dxa"/>
            <w:noWrap w:val="0"/>
            <w:vAlign w:val="center"/>
          </w:tcPr>
          <w:p w14:paraId="2E59D13C">
            <w:pPr>
              <w:pStyle w:val="14"/>
              <w:keepNext w:val="0"/>
              <w:keepLines w:val="0"/>
              <w:pageBreakBefore w:val="0"/>
              <w:shd w:val="clear" w:color="auto" w:fill="auto"/>
              <w:kinsoku/>
              <w:wordWrap/>
              <w:overflowPunct/>
              <w:topLinePunct w:val="0"/>
              <w:autoSpaceDE/>
              <w:autoSpaceDN/>
              <w:bidi w:val="0"/>
              <w:adjustRightInd/>
              <w:snapToGrid w:val="0"/>
              <w:spacing w:line="360" w:lineRule="exact"/>
              <w:ind w:left="-94" w:leftChars="-45" w:right="-82" w:rightChars="-39"/>
              <w:jc w:val="center"/>
              <w:textAlignment w:val="auto"/>
              <w:outlineLvl w:val="9"/>
              <w:rPr>
                <w:rFonts w:hint="eastAsia" w:asciiTheme="majorEastAsia" w:hAnsiTheme="majorEastAsia" w:eastAsiaTheme="majorEastAsia" w:cstheme="majorEastAsia"/>
                <w:b/>
                <w:color w:val="auto"/>
                <w:sz w:val="21"/>
                <w:szCs w:val="21"/>
                <w:highlight w:val="none"/>
                <w:lang w:val="en-US" w:eastAsia="zh-CN"/>
              </w:rPr>
            </w:pPr>
            <w:bookmarkStart w:id="2" w:name="OLE_LINK4"/>
            <w:r>
              <w:rPr>
                <w:rFonts w:hint="eastAsia" w:asciiTheme="majorEastAsia" w:hAnsiTheme="majorEastAsia" w:eastAsiaTheme="majorEastAsia" w:cstheme="majorEastAsia"/>
                <w:b/>
                <w:color w:val="auto"/>
                <w:sz w:val="21"/>
                <w:szCs w:val="21"/>
                <w:highlight w:val="none"/>
                <w:lang w:val="en-US" w:eastAsia="zh-CN"/>
              </w:rPr>
              <w:t>条款号</w:t>
            </w:r>
          </w:p>
        </w:tc>
        <w:tc>
          <w:tcPr>
            <w:tcW w:w="1402" w:type="dxa"/>
            <w:noWrap w:val="0"/>
            <w:vAlign w:val="center"/>
          </w:tcPr>
          <w:p w14:paraId="7F3CAD95">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内容</w:t>
            </w:r>
          </w:p>
        </w:tc>
        <w:tc>
          <w:tcPr>
            <w:tcW w:w="7113" w:type="dxa"/>
            <w:noWrap w:val="0"/>
            <w:vAlign w:val="center"/>
          </w:tcPr>
          <w:p w14:paraId="61054AC0">
            <w:pPr>
              <w:pStyle w:val="14"/>
              <w:keepNext w:val="0"/>
              <w:keepLines w:val="0"/>
              <w:pageBreakBefore w:val="0"/>
              <w:shd w:val="clear" w:color="auto" w:fill="auto"/>
              <w:kinsoku/>
              <w:wordWrap/>
              <w:overflowPunct/>
              <w:topLinePunct w:val="0"/>
              <w:autoSpaceDE/>
              <w:autoSpaceDN/>
              <w:bidi w:val="0"/>
              <w:adjustRightInd/>
              <w:snapToGrid w:val="0"/>
              <w:spacing w:line="360" w:lineRule="exact"/>
              <w:ind w:firstLine="2108" w:firstLineChars="1000"/>
              <w:jc w:val="both"/>
              <w:textAlignment w:val="auto"/>
              <w:outlineLvl w:val="9"/>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说明与要求</w:t>
            </w:r>
          </w:p>
        </w:tc>
      </w:tr>
      <w:tr w14:paraId="3B9F68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894" w:type="dxa"/>
            <w:noWrap w:val="0"/>
            <w:vAlign w:val="center"/>
          </w:tcPr>
          <w:p w14:paraId="1D1C2F88">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1</w:t>
            </w:r>
          </w:p>
        </w:tc>
        <w:tc>
          <w:tcPr>
            <w:tcW w:w="1402" w:type="dxa"/>
            <w:noWrap w:val="0"/>
            <w:vAlign w:val="center"/>
          </w:tcPr>
          <w:p w14:paraId="16A5E0ED">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采购人</w:t>
            </w:r>
            <w:r>
              <w:rPr>
                <w:rFonts w:hint="eastAsia" w:asciiTheme="majorEastAsia" w:hAnsiTheme="majorEastAsia" w:eastAsiaTheme="majorEastAsia" w:cstheme="majorEastAsia"/>
                <w:color w:val="auto"/>
                <w:sz w:val="21"/>
                <w:szCs w:val="21"/>
                <w:highlight w:val="none"/>
                <w:lang w:eastAsia="zh-CN"/>
              </w:rPr>
              <w:t>信</w:t>
            </w:r>
            <w:r>
              <w:rPr>
                <w:rFonts w:hint="eastAsia" w:asciiTheme="majorEastAsia" w:hAnsiTheme="majorEastAsia" w:eastAsiaTheme="majorEastAsia" w:cstheme="majorEastAsia"/>
                <w:color w:val="auto"/>
                <w:sz w:val="21"/>
                <w:szCs w:val="21"/>
                <w:highlight w:val="none"/>
              </w:rPr>
              <w:t>息</w:t>
            </w:r>
          </w:p>
        </w:tc>
        <w:tc>
          <w:tcPr>
            <w:tcW w:w="7113" w:type="dxa"/>
            <w:noWrap w:val="0"/>
            <w:vAlign w:val="center"/>
          </w:tcPr>
          <w:p w14:paraId="40D368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采购单位：阿克陶县教育项目执行中心</w:t>
            </w:r>
          </w:p>
          <w:p w14:paraId="4E8132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sz w:val="21"/>
                <w:szCs w:val="21"/>
                <w:lang w:val="en-US" w:eastAsia="zh-CN"/>
              </w:rPr>
            </w:pPr>
            <w:r>
              <w:rPr>
                <w:rFonts w:hint="eastAsia"/>
                <w:b w:val="0"/>
                <w:bCs/>
                <w:sz w:val="21"/>
                <w:szCs w:val="21"/>
                <w:lang w:val="en-US" w:eastAsia="zh-CN"/>
              </w:rPr>
              <w:t>地    址：</w:t>
            </w:r>
            <w:r>
              <w:rPr>
                <w:rFonts w:hint="eastAsia" w:cs="Times New Roman"/>
                <w:b w:val="0"/>
                <w:bCs/>
                <w:sz w:val="21"/>
                <w:szCs w:val="21"/>
                <w:lang w:val="en-US" w:eastAsia="zh-CN"/>
              </w:rPr>
              <w:t>阿克陶县</w:t>
            </w:r>
          </w:p>
          <w:p w14:paraId="1E8D9B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联 系 人：</w:t>
            </w:r>
            <w:r>
              <w:rPr>
                <w:rFonts w:hint="eastAsia"/>
                <w:b w:val="0"/>
                <w:bCs/>
                <w:sz w:val="21"/>
                <w:szCs w:val="21"/>
                <w:lang w:val="en-US" w:eastAsia="zh-CN"/>
              </w:rPr>
              <w:t xml:space="preserve"> 买先生</w:t>
            </w:r>
            <w:r>
              <w:rPr>
                <w:rFonts w:hint="eastAsia" w:asciiTheme="majorEastAsia" w:hAnsiTheme="majorEastAsia" w:eastAsiaTheme="majorEastAsia" w:cstheme="majorEastAsia"/>
                <w:kern w:val="2"/>
                <w:sz w:val="21"/>
                <w:szCs w:val="21"/>
                <w:highlight w:val="none"/>
                <w:lang w:val="en-US" w:eastAsia="zh-CN" w:bidi="ar-SA"/>
              </w:rPr>
              <w:t xml:space="preserve">      联系电话： 13667591441</w:t>
            </w:r>
          </w:p>
        </w:tc>
      </w:tr>
      <w:tr w14:paraId="1CB7AB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894" w:type="dxa"/>
            <w:noWrap w:val="0"/>
            <w:vAlign w:val="center"/>
          </w:tcPr>
          <w:p w14:paraId="2A501342">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p>
        </w:tc>
        <w:tc>
          <w:tcPr>
            <w:tcW w:w="1402" w:type="dxa"/>
            <w:noWrap w:val="0"/>
            <w:vAlign w:val="center"/>
          </w:tcPr>
          <w:p w14:paraId="36CC1FE5">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采购代理机构</w:t>
            </w:r>
          </w:p>
        </w:tc>
        <w:tc>
          <w:tcPr>
            <w:tcW w:w="7113" w:type="dxa"/>
            <w:noWrap w:val="0"/>
            <w:vAlign w:val="center"/>
          </w:tcPr>
          <w:p w14:paraId="4E4C9E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名  称：新疆惠文建设工程项目管理咨询有限公司</w:t>
            </w:r>
          </w:p>
          <w:p w14:paraId="420590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地  址：阿图什市光明街道友谊北路14号5幢商铺107号</w:t>
            </w:r>
          </w:p>
          <w:p w14:paraId="2923BD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联系人：刘女士        联系电话：18609081081</w:t>
            </w:r>
          </w:p>
        </w:tc>
      </w:tr>
      <w:tr w14:paraId="2ECC8F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noWrap w:val="0"/>
            <w:vAlign w:val="center"/>
          </w:tcPr>
          <w:p w14:paraId="3C6F7F68">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p>
        </w:tc>
        <w:tc>
          <w:tcPr>
            <w:tcW w:w="1402" w:type="dxa"/>
            <w:noWrap w:val="0"/>
            <w:vAlign w:val="center"/>
          </w:tcPr>
          <w:p w14:paraId="7038A3FD">
            <w:pPr>
              <w:pStyle w:val="23"/>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right="0"/>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项</w:t>
            </w:r>
            <w:r>
              <w:rPr>
                <w:rFonts w:hint="eastAsia" w:asciiTheme="majorEastAsia" w:hAnsiTheme="majorEastAsia" w:eastAsiaTheme="majorEastAsia" w:cstheme="majorEastAsia"/>
                <w:color w:val="auto"/>
                <w:kern w:val="2"/>
                <w:sz w:val="21"/>
                <w:szCs w:val="21"/>
                <w:highlight w:val="none"/>
                <w:lang w:val="en-US" w:eastAsia="zh-CN" w:bidi="ar-SA"/>
              </w:rPr>
              <w:t>目信息</w:t>
            </w:r>
          </w:p>
        </w:tc>
        <w:tc>
          <w:tcPr>
            <w:tcW w:w="7113" w:type="dxa"/>
            <w:noWrap w:val="0"/>
            <w:vAlign w:val="center"/>
          </w:tcPr>
          <w:p w14:paraId="5CD0F0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b/>
                <w:bCs/>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名称</w:t>
            </w:r>
            <w:r>
              <w:rPr>
                <w:rFonts w:hint="eastAsia" w:cs="宋体"/>
                <w:b/>
                <w:bCs/>
                <w:color w:val="auto"/>
                <w:kern w:val="2"/>
                <w:sz w:val="21"/>
                <w:szCs w:val="21"/>
                <w:lang w:val="en-US" w:eastAsia="zh-CN" w:bidi="ar-SA"/>
              </w:rPr>
              <w:t>：克州阿克陶县2025年义务教育薄弱环节改善与能力提升采购项目</w:t>
            </w:r>
          </w:p>
          <w:p w14:paraId="14F1BB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宋体"/>
                <w:b/>
                <w:bCs/>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项目编号：</w:t>
            </w:r>
            <w:r>
              <w:rPr>
                <w:rFonts w:hint="eastAsia" w:cs="宋体"/>
                <w:b/>
                <w:bCs/>
                <w:color w:val="auto"/>
                <w:kern w:val="2"/>
                <w:sz w:val="21"/>
                <w:szCs w:val="21"/>
                <w:lang w:val="en-US" w:eastAsia="zh-CN" w:bidi="ar-SA"/>
              </w:rPr>
              <w:t>AKTZBCG-2025027</w:t>
            </w:r>
          </w:p>
          <w:p w14:paraId="323BBD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b/>
                <w:bCs/>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采购内容：详见招标公告及技术参数内容</w:t>
            </w:r>
          </w:p>
          <w:p w14:paraId="620DAC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b/>
                <w:bCs/>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最高限价：</w:t>
            </w:r>
            <w:r>
              <w:rPr>
                <w:rFonts w:hint="eastAsia" w:cs="宋体"/>
                <w:b/>
                <w:bCs/>
                <w:color w:val="auto"/>
                <w:kern w:val="2"/>
                <w:sz w:val="21"/>
                <w:szCs w:val="21"/>
                <w:lang w:val="en-US" w:eastAsia="zh-CN" w:bidi="ar-SA"/>
              </w:rPr>
              <w:t>1719750.00</w:t>
            </w:r>
            <w:r>
              <w:rPr>
                <w:rFonts w:hint="eastAsia" w:ascii="Times New Roman" w:hAnsi="Times New Roman" w:eastAsia="宋体" w:cs="宋体"/>
                <w:b/>
                <w:bCs/>
                <w:color w:val="auto"/>
                <w:kern w:val="2"/>
                <w:sz w:val="21"/>
                <w:szCs w:val="21"/>
                <w:lang w:val="en-US" w:eastAsia="zh-CN" w:bidi="ar-SA"/>
              </w:rPr>
              <w:t>元；</w:t>
            </w:r>
          </w:p>
          <w:p w14:paraId="10CE48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color w:val="auto"/>
                <w:highlight w:val="none"/>
                <w:lang w:val="en-US" w:eastAsia="zh-CN"/>
              </w:rPr>
            </w:pPr>
            <w:r>
              <w:rPr>
                <w:rFonts w:hint="eastAsia" w:ascii="Times New Roman" w:hAnsi="Times New Roman" w:eastAsia="宋体" w:cs="Times New Roman"/>
                <w:b/>
                <w:bCs/>
                <w:color w:val="auto"/>
                <w:kern w:val="2"/>
                <w:sz w:val="21"/>
                <w:szCs w:val="21"/>
                <w:lang w:val="en-US" w:eastAsia="zh-CN" w:bidi="ar-SA"/>
              </w:rPr>
              <w:t>注：投标总报价超过最高限价的按废标处理。</w:t>
            </w:r>
          </w:p>
        </w:tc>
      </w:tr>
      <w:tr w14:paraId="7444DC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894" w:type="dxa"/>
            <w:noWrap w:val="0"/>
            <w:vAlign w:val="center"/>
          </w:tcPr>
          <w:p w14:paraId="3E5473DB">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p>
        </w:tc>
        <w:tc>
          <w:tcPr>
            <w:tcW w:w="1402" w:type="dxa"/>
            <w:noWrap w:val="0"/>
            <w:vAlign w:val="center"/>
          </w:tcPr>
          <w:p w14:paraId="762CF63F">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资金来源</w:t>
            </w:r>
          </w:p>
        </w:tc>
        <w:tc>
          <w:tcPr>
            <w:tcW w:w="7113" w:type="dxa"/>
            <w:noWrap w:val="0"/>
            <w:vAlign w:val="center"/>
          </w:tcPr>
          <w:p w14:paraId="5DA43F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imes New Roman" w:hAnsi="Times New Roman" w:eastAsia="宋体" w:cs="Times New Roman"/>
                <w:b/>
                <w:bCs/>
                <w:color w:val="0000FF"/>
                <w:kern w:val="2"/>
                <w:sz w:val="21"/>
                <w:szCs w:val="21"/>
                <w:lang w:val="en-US" w:eastAsia="zh-CN" w:bidi="ar-SA"/>
              </w:rPr>
              <w:t>中央资金</w:t>
            </w:r>
          </w:p>
        </w:tc>
      </w:tr>
      <w:tr w14:paraId="2C11FB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894" w:type="dxa"/>
            <w:noWrap w:val="0"/>
            <w:vAlign w:val="center"/>
          </w:tcPr>
          <w:p w14:paraId="182E990A">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5</w:t>
            </w:r>
          </w:p>
        </w:tc>
        <w:tc>
          <w:tcPr>
            <w:tcW w:w="1402" w:type="dxa"/>
            <w:noWrap w:val="0"/>
            <w:vAlign w:val="center"/>
          </w:tcPr>
          <w:p w14:paraId="3DD40042">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招标方式</w:t>
            </w:r>
          </w:p>
        </w:tc>
        <w:tc>
          <w:tcPr>
            <w:tcW w:w="7113" w:type="dxa"/>
            <w:noWrap w:val="0"/>
            <w:vAlign w:val="center"/>
          </w:tcPr>
          <w:p w14:paraId="366F1293">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bCs/>
                <w:color w:val="0000FF"/>
                <w:sz w:val="21"/>
                <w:szCs w:val="21"/>
                <w:highlight w:val="none"/>
                <w:lang w:val="en-US" w:eastAsia="zh-CN"/>
              </w:rPr>
              <w:t>竞争性谈判</w:t>
            </w:r>
            <w:r>
              <w:rPr>
                <w:rFonts w:hint="eastAsia" w:asciiTheme="majorEastAsia" w:hAnsiTheme="majorEastAsia" w:eastAsiaTheme="majorEastAsia" w:cstheme="majorEastAsia"/>
                <w:b/>
                <w:color w:val="auto"/>
                <w:sz w:val="21"/>
                <w:szCs w:val="21"/>
                <w:highlight w:val="none"/>
                <w:lang w:val="en-US" w:eastAsia="zh-CN"/>
              </w:rPr>
              <w:t>(本项目采用网上电子招投标)</w:t>
            </w:r>
            <w:r>
              <w:rPr>
                <w:rFonts w:hint="eastAsia" w:asciiTheme="majorEastAsia" w:hAnsiTheme="majorEastAsia" w:eastAsiaTheme="majorEastAsia" w:cstheme="majorEastAsia"/>
                <w:color w:val="auto"/>
                <w:sz w:val="21"/>
                <w:szCs w:val="21"/>
                <w:highlight w:val="none"/>
                <w:lang w:val="en-US" w:eastAsia="zh-CN"/>
              </w:rPr>
              <w:t xml:space="preserve">             </w:t>
            </w:r>
          </w:p>
        </w:tc>
      </w:tr>
      <w:tr w14:paraId="46E74D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noWrap w:val="0"/>
            <w:vAlign w:val="center"/>
          </w:tcPr>
          <w:p w14:paraId="100B434B">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6</w:t>
            </w:r>
          </w:p>
        </w:tc>
        <w:tc>
          <w:tcPr>
            <w:tcW w:w="1402" w:type="dxa"/>
            <w:noWrap w:val="0"/>
            <w:vAlign w:val="center"/>
          </w:tcPr>
          <w:p w14:paraId="3F6A0D42">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投标人资格条件及其他要求</w:t>
            </w:r>
          </w:p>
        </w:tc>
        <w:tc>
          <w:tcPr>
            <w:tcW w:w="7113" w:type="dxa"/>
            <w:noWrap w:val="0"/>
            <w:vAlign w:val="center"/>
          </w:tcPr>
          <w:p w14:paraId="32F93857">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1、符合《中华人民共和国政府采购法》第二十二条之规定的合格投标供应商</w:t>
            </w:r>
            <w:r>
              <w:rPr>
                <w:rFonts w:hint="eastAsia" w:ascii="宋体" w:hAnsi="宋体" w:cs="宋体"/>
                <w:b/>
                <w:bCs/>
                <w:kern w:val="2"/>
                <w:sz w:val="21"/>
                <w:szCs w:val="21"/>
                <w:lang w:val="en-US" w:eastAsia="zh-CN" w:bidi="ar-SA"/>
              </w:rPr>
              <w:t>：</w:t>
            </w:r>
          </w:p>
          <w:p w14:paraId="47C79FCF">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①</w:t>
            </w:r>
            <w:r>
              <w:rPr>
                <w:rFonts w:hint="eastAsia" w:ascii="宋体" w:hAnsi="宋体" w:eastAsia="宋体" w:cs="宋体"/>
                <w:b/>
                <w:bCs/>
                <w:kern w:val="2"/>
                <w:sz w:val="21"/>
                <w:szCs w:val="21"/>
                <w:lang w:val="en-US" w:eastAsia="zh-CN" w:bidi="ar-SA"/>
              </w:rPr>
              <w:t>具有合格有效的营业执照；</w:t>
            </w:r>
          </w:p>
          <w:p w14:paraId="4A3E5D82">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②</w:t>
            </w:r>
            <w:r>
              <w:rPr>
                <w:rFonts w:hint="eastAsia" w:ascii="宋体" w:hAnsi="宋体" w:eastAsia="宋体" w:cs="宋体"/>
                <w:b/>
                <w:bCs/>
                <w:sz w:val="21"/>
                <w:szCs w:val="21"/>
                <w:lang w:val="en-US" w:eastAsia="zh-CN"/>
              </w:rPr>
              <w:t>具有良好的商业信誉和健全的财务会计制度；（</w:t>
            </w:r>
            <w:r>
              <w:rPr>
                <w:rFonts w:hint="eastAsia" w:ascii="宋体" w:hAnsi="宋体" w:cs="宋体"/>
                <w:b/>
                <w:bCs/>
                <w:sz w:val="21"/>
                <w:szCs w:val="21"/>
                <w:lang w:val="en-US" w:eastAsia="zh-CN"/>
              </w:rPr>
              <w:t>提供</w:t>
            </w:r>
            <w:r>
              <w:rPr>
                <w:rFonts w:hint="eastAsia" w:ascii="宋体" w:hAnsi="宋体" w:eastAsia="宋体" w:cs="宋体"/>
                <w:b/>
                <w:bCs/>
                <w:sz w:val="21"/>
                <w:szCs w:val="21"/>
                <w:lang w:val="en-US" w:eastAsia="zh-CN"/>
              </w:rPr>
              <w:t>近3年内任意1年的财务审计报告（新成立不足一年的提供成立之日起至今的财务报表）或基本开户银行出具的资信证明</w:t>
            </w:r>
            <w:r>
              <w:rPr>
                <w:rFonts w:hint="eastAsia" w:ascii="宋体" w:hAnsi="宋体" w:eastAsia="宋体" w:cs="宋体"/>
                <w:b/>
                <w:bCs/>
                <w:kern w:val="2"/>
                <w:sz w:val="21"/>
                <w:szCs w:val="21"/>
                <w:lang w:val="en-US" w:eastAsia="zh-CN" w:bidi="ar-SA"/>
              </w:rPr>
              <w:t>）；</w:t>
            </w:r>
          </w:p>
          <w:p w14:paraId="41A5312B">
            <w:pPr>
              <w:pStyle w:val="89"/>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③投标人提供投标文件递交截止之日前6个月内任1个月的缴纳税收的完税凭证，依法免税得投标人应提供相应文件证明其依法免税；</w:t>
            </w:r>
          </w:p>
          <w:p w14:paraId="5F62D52C">
            <w:pPr>
              <w:pStyle w:val="89"/>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④在“信用中国”及“中国政府采购网”网站上未被列入失信被执行人、重大税收违法案件当事</w:t>
            </w:r>
            <w:r>
              <w:rPr>
                <w:rFonts w:hint="eastAsia" w:ascii="宋体" w:hAnsi="宋体" w:eastAsia="宋体" w:cs="宋体"/>
                <w:b/>
                <w:bCs/>
                <w:i w:val="0"/>
                <w:iCs w:val="0"/>
                <w:color w:val="auto"/>
                <w:sz w:val="21"/>
                <w:szCs w:val="21"/>
                <w:lang w:val="en-US" w:eastAsia="zh-CN"/>
              </w:rPr>
              <w:t>人名单以及政府采购严重违法失信行为记录名单的投标企业</w:t>
            </w:r>
            <w:r>
              <w:rPr>
                <w:rFonts w:hint="eastAsia" w:ascii="宋体" w:hAnsi="宋体" w:cs="宋体"/>
                <w:b/>
                <w:bCs/>
                <w:i w:val="0"/>
                <w:iCs w:val="0"/>
                <w:color w:val="auto"/>
                <w:sz w:val="21"/>
                <w:szCs w:val="21"/>
                <w:lang w:val="en-US" w:eastAsia="zh-CN"/>
              </w:rPr>
              <w:t>。</w:t>
            </w:r>
          </w:p>
          <w:p w14:paraId="1F50AF4A">
            <w:pPr>
              <w:keepNext w:val="0"/>
              <w:keepLines w:val="0"/>
              <w:widowControl/>
              <w:suppressLineNumbers w:val="0"/>
              <w:spacing w:line="360" w:lineRule="auto"/>
              <w:jc w:val="left"/>
              <w:rPr>
                <w:rFonts w:hint="eastAsia"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2、</w:t>
            </w:r>
            <w:r>
              <w:rPr>
                <w:rFonts w:hint="eastAsia" w:ascii="宋体" w:hAnsi="宋体" w:eastAsia="宋体" w:cs="宋体"/>
                <w:b/>
                <w:bCs/>
                <w:kern w:val="2"/>
                <w:sz w:val="21"/>
                <w:szCs w:val="21"/>
                <w:lang w:val="en-US" w:eastAsia="zh-CN" w:bidi="ar-SA"/>
              </w:rPr>
              <w:t>法定代表人投标需提供法定代表人资格证明书，委托代理人投标需提供法定代表人授权委托书及被授权在职人员近6个月内任意1个月有效的社保证明。</w:t>
            </w:r>
          </w:p>
          <w:p w14:paraId="7BE5AF96">
            <w:pPr>
              <w:keepNext w:val="0"/>
              <w:keepLines w:val="0"/>
              <w:widowControl/>
              <w:suppressLineNumbers w:val="0"/>
              <w:spacing w:line="360" w:lineRule="auto"/>
              <w:jc w:val="left"/>
              <w:rPr>
                <w:rFonts w:hint="eastAsia"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本项目不接受联合体投标。</w:t>
            </w:r>
          </w:p>
          <w:p w14:paraId="1FFAC187">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A0262E7">
            <w:pPr>
              <w:keepNext w:val="0"/>
              <w:keepLines w:val="0"/>
              <w:pageBreakBefore w:val="0"/>
              <w:kinsoku/>
              <w:wordWrap/>
              <w:overflowPunct/>
              <w:topLinePunct w:val="0"/>
              <w:autoSpaceDE/>
              <w:autoSpaceDN/>
              <w:bidi w:val="0"/>
              <w:adjustRightInd/>
              <w:snapToGrid w:val="0"/>
              <w:spacing w:line="360" w:lineRule="exact"/>
              <w:textAlignment w:val="auto"/>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5、货物制造商应为中小企业。</w:t>
            </w:r>
          </w:p>
        </w:tc>
      </w:tr>
      <w:tr w14:paraId="232D9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894" w:type="dxa"/>
            <w:noWrap w:val="0"/>
            <w:vAlign w:val="center"/>
          </w:tcPr>
          <w:p w14:paraId="173786F6">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7</w:t>
            </w:r>
          </w:p>
        </w:tc>
        <w:tc>
          <w:tcPr>
            <w:tcW w:w="1402" w:type="dxa"/>
            <w:noWrap w:val="0"/>
            <w:vAlign w:val="center"/>
          </w:tcPr>
          <w:p w14:paraId="0BF856C5">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kern w:val="2"/>
                <w:sz w:val="21"/>
                <w:szCs w:val="21"/>
                <w:highlight w:val="none"/>
                <w:u w:val="none"/>
                <w:lang w:val="en-US" w:eastAsia="zh-CN" w:bidi="ar-SA"/>
              </w:rPr>
            </w:pPr>
            <w:r>
              <w:rPr>
                <w:rFonts w:hint="eastAsia" w:asciiTheme="majorEastAsia" w:hAnsiTheme="majorEastAsia" w:eastAsiaTheme="majorEastAsia" w:cstheme="majorEastAsia"/>
                <w:color w:val="auto"/>
                <w:kern w:val="2"/>
                <w:sz w:val="21"/>
                <w:szCs w:val="21"/>
                <w:highlight w:val="none"/>
                <w:u w:val="none"/>
                <w:lang w:val="en-US" w:eastAsia="zh-CN" w:bidi="ar-SA"/>
              </w:rPr>
              <w:t>采购范围</w:t>
            </w:r>
          </w:p>
        </w:tc>
        <w:tc>
          <w:tcPr>
            <w:tcW w:w="7113" w:type="dxa"/>
            <w:noWrap w:val="0"/>
            <w:vAlign w:val="center"/>
          </w:tcPr>
          <w:p w14:paraId="13DAA5D0">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kern w:val="2"/>
                <w:sz w:val="21"/>
                <w:szCs w:val="21"/>
                <w:highlight w:val="none"/>
                <w:u w:val="none"/>
                <w:lang w:val="en-US" w:eastAsia="zh-CN" w:bidi="ar-SA"/>
              </w:rPr>
            </w:pPr>
            <w:r>
              <w:rPr>
                <w:rFonts w:hint="eastAsia" w:asciiTheme="majorEastAsia" w:hAnsiTheme="majorEastAsia" w:eastAsiaTheme="majorEastAsia" w:cstheme="majorEastAsia"/>
                <w:color w:val="auto"/>
                <w:kern w:val="2"/>
                <w:sz w:val="21"/>
                <w:szCs w:val="21"/>
                <w:highlight w:val="none"/>
                <w:u w:val="none"/>
                <w:lang w:val="en-US" w:eastAsia="zh-CN" w:bidi="ar-SA"/>
              </w:rPr>
              <w:t>满足谈判文件要求。</w:t>
            </w:r>
          </w:p>
        </w:tc>
      </w:tr>
      <w:tr w14:paraId="5218B1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894" w:type="dxa"/>
            <w:noWrap w:val="0"/>
            <w:vAlign w:val="center"/>
          </w:tcPr>
          <w:p w14:paraId="1D5B8342">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8</w:t>
            </w:r>
          </w:p>
        </w:tc>
        <w:tc>
          <w:tcPr>
            <w:tcW w:w="1402" w:type="dxa"/>
            <w:noWrap w:val="0"/>
            <w:vAlign w:val="center"/>
          </w:tcPr>
          <w:p w14:paraId="1E5751B1">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供应商信用查询</w:t>
            </w:r>
          </w:p>
        </w:tc>
        <w:tc>
          <w:tcPr>
            <w:tcW w:w="7113" w:type="dxa"/>
            <w:noWrap w:val="0"/>
            <w:vAlign w:val="center"/>
          </w:tcPr>
          <w:p w14:paraId="77656E49">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1、查询渠道：信用中国（网址：http://www.creditchina.gov.cn）、中国政府采购网(网址：http://www.ccgp.gov.cn）。</w:t>
            </w:r>
          </w:p>
          <w:p w14:paraId="472FA637">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2、截止时点：开标后评标前。</w:t>
            </w:r>
          </w:p>
          <w:p w14:paraId="4BE6330F">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3、信用信息查询记录和证据留存的具体方式：由采购组织机构在规定查询时间内打印信用信息查询记录并归入项目档案。</w:t>
            </w:r>
          </w:p>
          <w:p w14:paraId="7C7959C5">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FFDD6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894" w:type="dxa"/>
            <w:noWrap w:val="0"/>
            <w:vAlign w:val="center"/>
          </w:tcPr>
          <w:p w14:paraId="3C4143F0">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9</w:t>
            </w:r>
          </w:p>
        </w:tc>
        <w:tc>
          <w:tcPr>
            <w:tcW w:w="1402" w:type="dxa"/>
            <w:noWrap w:val="0"/>
            <w:vAlign w:val="center"/>
          </w:tcPr>
          <w:p w14:paraId="246A8276">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踏勘现场</w:t>
            </w:r>
          </w:p>
        </w:tc>
        <w:tc>
          <w:tcPr>
            <w:tcW w:w="7113" w:type="dxa"/>
            <w:noWrap w:val="0"/>
            <w:vAlign w:val="center"/>
          </w:tcPr>
          <w:p w14:paraId="437CA137">
            <w:pPr>
              <w:keepNext w:val="0"/>
              <w:keepLines w:val="0"/>
              <w:pageBreakBefore w:val="0"/>
              <w:kinsoku/>
              <w:wordWrap/>
              <w:overflowPunct w:val="0"/>
              <w:topLinePunct w:val="0"/>
              <w:autoSpaceDE w:val="0"/>
              <w:autoSpaceDN w:val="0"/>
              <w:bidi w:val="0"/>
              <w:spacing w:line="400" w:lineRule="exact"/>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□是</w:t>
            </w:r>
          </w:p>
          <w:p w14:paraId="4A27861D">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宋体" w:hAnsi="Times New Roman" w:eastAsia="宋体" w:cs="Times New Roman"/>
                <w:b w:val="0"/>
                <w:bCs/>
                <w:color w:val="auto"/>
                <w:kern w:val="2"/>
                <w:sz w:val="21"/>
                <w:szCs w:val="21"/>
                <w:highlight w:val="none"/>
                <w:u w:val="none" w:color="000000"/>
                <w:lang w:val="en-US" w:eastAsia="zh-CN" w:bidi="ar-SA"/>
              </w:rPr>
              <w:t>☑否</w:t>
            </w:r>
          </w:p>
        </w:tc>
      </w:tr>
      <w:tr w14:paraId="7E1513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894" w:type="dxa"/>
            <w:noWrap w:val="0"/>
            <w:vAlign w:val="center"/>
          </w:tcPr>
          <w:p w14:paraId="4131F204">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c>
          <w:tcPr>
            <w:tcW w:w="1402" w:type="dxa"/>
            <w:noWrap w:val="0"/>
            <w:vAlign w:val="center"/>
          </w:tcPr>
          <w:p w14:paraId="2F2EFE19">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投标预备会</w:t>
            </w:r>
          </w:p>
        </w:tc>
        <w:tc>
          <w:tcPr>
            <w:tcW w:w="7113" w:type="dxa"/>
            <w:noWrap w:val="0"/>
            <w:vAlign w:val="center"/>
          </w:tcPr>
          <w:p w14:paraId="16A2DF8A">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不召开</w:t>
            </w:r>
          </w:p>
        </w:tc>
      </w:tr>
      <w:tr w14:paraId="7FAFAC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94" w:type="dxa"/>
            <w:noWrap w:val="0"/>
            <w:vAlign w:val="center"/>
          </w:tcPr>
          <w:p w14:paraId="1B1282E1">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11</w:t>
            </w:r>
          </w:p>
        </w:tc>
        <w:tc>
          <w:tcPr>
            <w:tcW w:w="1402" w:type="dxa"/>
            <w:noWrap w:val="0"/>
            <w:vAlign w:val="center"/>
          </w:tcPr>
          <w:p w14:paraId="52A33496">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联合体投标</w:t>
            </w:r>
          </w:p>
        </w:tc>
        <w:tc>
          <w:tcPr>
            <w:tcW w:w="7113" w:type="dxa"/>
            <w:noWrap w:val="0"/>
            <w:vAlign w:val="center"/>
          </w:tcPr>
          <w:p w14:paraId="1DB8F29F">
            <w:pPr>
              <w:keepNext w:val="0"/>
              <w:keepLines w:val="0"/>
              <w:pageBreakBefore w:val="0"/>
              <w:shd w:val="clear" w:color="auto" w:fill="auto"/>
              <w:kinsoku/>
              <w:wordWrap/>
              <w:overflowPunct/>
              <w:topLinePunct w:val="0"/>
              <w:autoSpaceDE/>
              <w:autoSpaceDN/>
              <w:bidi w:val="0"/>
              <w:adjustRightInd/>
              <w:spacing w:line="360" w:lineRule="exac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不接受</w:t>
            </w:r>
          </w:p>
          <w:p w14:paraId="7A44D615">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接受，联合体投标的须在投标文件中提供联合体协议书，联合体所有成员不得超过2家，联合体的任何一方均不得再与其他投标单位联合。</w:t>
            </w:r>
          </w:p>
        </w:tc>
      </w:tr>
      <w:tr w14:paraId="3445F8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1" w:hRule="atLeast"/>
          <w:jc w:val="center"/>
        </w:trPr>
        <w:tc>
          <w:tcPr>
            <w:tcW w:w="894" w:type="dxa"/>
            <w:noWrap w:val="0"/>
            <w:vAlign w:val="center"/>
          </w:tcPr>
          <w:p w14:paraId="59F0866E">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12</w:t>
            </w:r>
          </w:p>
        </w:tc>
        <w:tc>
          <w:tcPr>
            <w:tcW w:w="1402" w:type="dxa"/>
            <w:noWrap w:val="0"/>
            <w:vAlign w:val="center"/>
          </w:tcPr>
          <w:p w14:paraId="25DB3615">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招标代理费</w:t>
            </w:r>
          </w:p>
        </w:tc>
        <w:tc>
          <w:tcPr>
            <w:tcW w:w="7113" w:type="dxa"/>
            <w:noWrap w:val="0"/>
            <w:vAlign w:val="center"/>
          </w:tcPr>
          <w:p w14:paraId="0F83DE54">
            <w:pPr>
              <w:keepNext w:val="0"/>
              <w:keepLines w:val="0"/>
              <w:widowControl/>
              <w:suppressLineNumbers w:val="0"/>
              <w:spacing w:line="360" w:lineRule="auto"/>
              <w:jc w:val="left"/>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招标代理报酬为人民币，成交单位在领取本项目</w:t>
            </w:r>
            <w:r>
              <w:rPr>
                <w:rFonts w:hint="eastAsia" w:ascii="宋体" w:hAnsi="宋体" w:cs="宋体"/>
                <w:b/>
                <w:bCs/>
                <w:color w:val="000000"/>
                <w:kern w:val="0"/>
                <w:sz w:val="20"/>
                <w:szCs w:val="20"/>
                <w:lang w:val="en-US" w:eastAsia="zh-CN" w:bidi="ar"/>
              </w:rPr>
              <w:t>成交</w:t>
            </w:r>
            <w:r>
              <w:rPr>
                <w:rFonts w:hint="eastAsia" w:ascii="宋体" w:hAnsi="宋体" w:eastAsia="宋体" w:cs="宋体"/>
                <w:b/>
                <w:bCs/>
                <w:color w:val="000000"/>
                <w:kern w:val="0"/>
                <w:sz w:val="20"/>
                <w:szCs w:val="20"/>
                <w:lang w:val="en-US" w:eastAsia="zh-CN" w:bidi="ar"/>
              </w:rPr>
              <w:t>通知书时，本项目按照《国家计委关于印发招标代理服务收费管理暂行办法的通知（发改价格[2015]299 号）及《招标代理服务收费有关问题》（发改办价格〔2003〕857号文）中规定与采购人协商后确定由</w:t>
            </w:r>
            <w:r>
              <w:rPr>
                <w:rFonts w:hint="eastAsia" w:ascii="宋体" w:hAnsi="宋体" w:cs="宋体"/>
                <w:b/>
                <w:bCs/>
                <w:color w:val="000000"/>
                <w:kern w:val="0"/>
                <w:sz w:val="20"/>
                <w:szCs w:val="20"/>
                <w:lang w:val="en-US" w:eastAsia="zh-CN" w:bidi="ar"/>
              </w:rPr>
              <w:t>成交</w:t>
            </w:r>
            <w:r>
              <w:rPr>
                <w:rFonts w:hint="eastAsia" w:ascii="宋体" w:hAnsi="宋体" w:eastAsia="宋体" w:cs="宋体"/>
                <w:b/>
                <w:bCs/>
                <w:color w:val="000000"/>
                <w:kern w:val="0"/>
                <w:sz w:val="20"/>
                <w:szCs w:val="20"/>
                <w:lang w:val="en-US" w:eastAsia="zh-CN" w:bidi="ar"/>
              </w:rPr>
              <w:t xml:space="preserve">供应商支付。收费标准如下： </w:t>
            </w:r>
          </w:p>
          <w:p w14:paraId="47903721">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985"/>
              <w:gridCol w:w="1986"/>
            </w:tblGrid>
            <w:tr w14:paraId="29D3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07" w:type="dxa"/>
                  <w:noWrap w:val="0"/>
                  <w:vAlign w:val="top"/>
                </w:tcPr>
                <w:p w14:paraId="5AF12E62">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成交</w:t>
                  </w:r>
                  <w:r>
                    <w:rPr>
                      <w:rFonts w:hint="eastAsia" w:ascii="宋体" w:hAnsi="宋体" w:eastAsia="宋体" w:cs="宋体"/>
                      <w:b w:val="0"/>
                      <w:bCs/>
                      <w:snapToGrid w:val="0"/>
                      <w:color w:val="auto"/>
                      <w:sz w:val="21"/>
                      <w:szCs w:val="21"/>
                      <w:highlight w:val="none"/>
                    </w:rPr>
                    <w:t>金额（万元）</w:t>
                  </w:r>
                </w:p>
              </w:tc>
              <w:tc>
                <w:tcPr>
                  <w:tcW w:w="1985" w:type="dxa"/>
                  <w:noWrap w:val="0"/>
                  <w:vAlign w:val="top"/>
                </w:tcPr>
                <w:p w14:paraId="0B1D10D2">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86" w:type="dxa"/>
                  <w:noWrap w:val="0"/>
                  <w:vAlign w:val="top"/>
                </w:tcPr>
                <w:p w14:paraId="32B98B9F">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14:paraId="65CD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07" w:type="dxa"/>
                  <w:noWrap w:val="0"/>
                  <w:vAlign w:val="center"/>
                </w:tcPr>
                <w:p w14:paraId="3DA68437">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985" w:type="dxa"/>
                  <w:noWrap w:val="0"/>
                  <w:vAlign w:val="center"/>
                </w:tcPr>
                <w:p w14:paraId="581CAB88">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w:t>
                  </w:r>
                  <w:r>
                    <w:rPr>
                      <w:rFonts w:hint="eastAsia" w:ascii="宋体" w:hAnsi="宋体" w:cs="宋体"/>
                      <w:b w:val="0"/>
                      <w:bCs/>
                      <w:snapToGrid w:val="0"/>
                      <w:color w:val="auto"/>
                      <w:sz w:val="21"/>
                      <w:szCs w:val="21"/>
                      <w:highlight w:val="none"/>
                      <w:lang w:val="en-US" w:eastAsia="zh-CN"/>
                    </w:rPr>
                    <w:t>8</w:t>
                  </w:r>
                  <w:r>
                    <w:rPr>
                      <w:rFonts w:hint="eastAsia" w:ascii="宋体" w:hAnsi="宋体" w:eastAsia="宋体" w:cs="宋体"/>
                      <w:b w:val="0"/>
                      <w:bCs/>
                      <w:snapToGrid w:val="0"/>
                      <w:color w:val="auto"/>
                      <w:sz w:val="21"/>
                      <w:szCs w:val="21"/>
                      <w:highlight w:val="none"/>
                    </w:rPr>
                    <w:t>%</w:t>
                  </w:r>
                </w:p>
              </w:tc>
              <w:tc>
                <w:tcPr>
                  <w:tcW w:w="1986" w:type="dxa"/>
                  <w:noWrap w:val="0"/>
                  <w:vAlign w:val="top"/>
                </w:tcPr>
                <w:p w14:paraId="58247D44">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p>
              </w:tc>
            </w:tr>
            <w:tr w14:paraId="0B43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07" w:type="dxa"/>
                  <w:noWrap w:val="0"/>
                  <w:vAlign w:val="center"/>
                </w:tcPr>
                <w:p w14:paraId="2A3A14C5">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985" w:type="dxa"/>
                  <w:noWrap w:val="0"/>
                  <w:vAlign w:val="center"/>
                </w:tcPr>
                <w:p w14:paraId="0FD67E15">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w:t>
                  </w:r>
                </w:p>
              </w:tc>
              <w:tc>
                <w:tcPr>
                  <w:tcW w:w="1986" w:type="dxa"/>
                  <w:noWrap w:val="0"/>
                  <w:vAlign w:val="top"/>
                </w:tcPr>
                <w:p w14:paraId="76E64DCA">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p>
              </w:tc>
            </w:tr>
            <w:tr w14:paraId="2096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7" w:type="dxa"/>
                  <w:noWrap w:val="0"/>
                  <w:vAlign w:val="center"/>
                </w:tcPr>
                <w:p w14:paraId="2F91E1CA">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985" w:type="dxa"/>
                  <w:noWrap w:val="0"/>
                  <w:vAlign w:val="center"/>
                </w:tcPr>
                <w:p w14:paraId="5157476E">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cs="宋体"/>
                      <w:b w:val="0"/>
                      <w:bCs/>
                      <w:snapToGrid w:val="0"/>
                      <w:color w:val="auto"/>
                      <w:sz w:val="21"/>
                      <w:szCs w:val="21"/>
                      <w:highlight w:val="none"/>
                      <w:lang w:val="en-US" w:eastAsia="zh-CN"/>
                    </w:rPr>
                    <w:t>93</w:t>
                  </w:r>
                  <w:r>
                    <w:rPr>
                      <w:rFonts w:hint="eastAsia" w:ascii="宋体" w:hAnsi="宋体" w:eastAsia="宋体" w:cs="宋体"/>
                      <w:b w:val="0"/>
                      <w:bCs/>
                      <w:snapToGrid w:val="0"/>
                      <w:color w:val="auto"/>
                      <w:sz w:val="21"/>
                      <w:szCs w:val="21"/>
                      <w:highlight w:val="none"/>
                    </w:rPr>
                    <w:t>%</w:t>
                  </w:r>
                </w:p>
              </w:tc>
              <w:tc>
                <w:tcPr>
                  <w:tcW w:w="1986" w:type="dxa"/>
                  <w:noWrap w:val="0"/>
                  <w:vAlign w:val="top"/>
                </w:tcPr>
                <w:p w14:paraId="5BC3D40A">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p>
              </w:tc>
            </w:tr>
            <w:tr w14:paraId="59A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507" w:type="dxa"/>
                  <w:noWrap w:val="0"/>
                  <w:vAlign w:val="center"/>
                </w:tcPr>
                <w:p w14:paraId="388AFCEF">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985" w:type="dxa"/>
                  <w:noWrap w:val="0"/>
                  <w:vAlign w:val="center"/>
                </w:tcPr>
                <w:p w14:paraId="6D65CAAE">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cs="宋体"/>
                      <w:b w:val="0"/>
                      <w:bCs/>
                      <w:snapToGrid w:val="0"/>
                      <w:color w:val="auto"/>
                      <w:sz w:val="21"/>
                      <w:szCs w:val="21"/>
                      <w:highlight w:val="none"/>
                      <w:lang w:val="en-US" w:eastAsia="zh-CN"/>
                    </w:rPr>
                    <w:t>61</w:t>
                  </w:r>
                  <w:r>
                    <w:rPr>
                      <w:rFonts w:hint="eastAsia" w:ascii="宋体" w:hAnsi="宋体" w:eastAsia="宋体" w:cs="宋体"/>
                      <w:b w:val="0"/>
                      <w:bCs/>
                      <w:snapToGrid w:val="0"/>
                      <w:color w:val="auto"/>
                      <w:sz w:val="21"/>
                      <w:szCs w:val="21"/>
                      <w:highlight w:val="none"/>
                    </w:rPr>
                    <w:t>%</w:t>
                  </w:r>
                </w:p>
              </w:tc>
              <w:tc>
                <w:tcPr>
                  <w:tcW w:w="1986" w:type="dxa"/>
                  <w:noWrap w:val="0"/>
                  <w:vAlign w:val="top"/>
                </w:tcPr>
                <w:p w14:paraId="4B3B2038">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p>
              </w:tc>
            </w:tr>
          </w:tbl>
          <w:p w14:paraId="62F09A5B">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成交</w:t>
            </w:r>
            <w:r>
              <w:rPr>
                <w:rFonts w:hint="eastAsia" w:ascii="宋体" w:hAnsi="宋体" w:eastAsia="宋体" w:cs="宋体"/>
                <w:b w:val="0"/>
                <w:bCs/>
                <w:snapToGrid w:val="0"/>
                <w:color w:val="auto"/>
                <w:sz w:val="21"/>
                <w:szCs w:val="21"/>
                <w:highlight w:val="none"/>
              </w:rPr>
              <w:t>金额为2000万元，计算招标代理服务收费额如下：</w:t>
            </w:r>
          </w:p>
          <w:p w14:paraId="20D9454D">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w:t>
            </w:r>
            <w:r>
              <w:rPr>
                <w:rFonts w:hint="eastAsia" w:ascii="宋体" w:hAnsi="宋体" w:cs="宋体"/>
                <w:b w:val="0"/>
                <w:bCs/>
                <w:snapToGrid w:val="0"/>
                <w:color w:val="auto"/>
                <w:sz w:val="21"/>
                <w:szCs w:val="21"/>
                <w:highlight w:val="none"/>
                <w:lang w:val="en-US" w:eastAsia="zh-CN"/>
              </w:rPr>
              <w:t>8</w:t>
            </w:r>
            <w:r>
              <w:rPr>
                <w:rFonts w:hint="eastAsia" w:ascii="宋体" w:hAnsi="宋体" w:eastAsia="宋体" w:cs="宋体"/>
                <w:b w:val="0"/>
                <w:bCs/>
                <w:snapToGrid w:val="0"/>
                <w:color w:val="auto"/>
                <w:sz w:val="21"/>
                <w:szCs w:val="21"/>
                <w:highlight w:val="none"/>
              </w:rPr>
              <w:t>%=1.5</w:t>
            </w:r>
            <w:r>
              <w:rPr>
                <w:rFonts w:hint="eastAsia" w:ascii="宋体" w:hAnsi="宋体" w:cs="宋体"/>
                <w:b w:val="0"/>
                <w:bCs/>
                <w:snapToGrid w:val="0"/>
                <w:color w:val="auto"/>
                <w:sz w:val="21"/>
                <w:szCs w:val="21"/>
                <w:highlight w:val="none"/>
                <w:lang w:val="en-US" w:eastAsia="zh-CN"/>
              </w:rPr>
              <w:t>8</w:t>
            </w:r>
            <w:r>
              <w:rPr>
                <w:rFonts w:hint="eastAsia" w:ascii="宋体" w:hAnsi="宋体" w:eastAsia="宋体" w:cs="宋体"/>
                <w:b w:val="0"/>
                <w:bCs/>
                <w:snapToGrid w:val="0"/>
                <w:color w:val="auto"/>
                <w:sz w:val="21"/>
                <w:szCs w:val="21"/>
                <w:highlight w:val="none"/>
              </w:rPr>
              <w:t>（万元）；</w:t>
            </w:r>
          </w:p>
          <w:p w14:paraId="627335E4">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%=4.</w:t>
            </w:r>
            <w:r>
              <w:rPr>
                <w:rFonts w:hint="eastAsia" w:ascii="宋体" w:hAnsi="宋体" w:cs="宋体"/>
                <w:b w:val="0"/>
                <w:bCs/>
                <w:snapToGrid w:val="0"/>
                <w:color w:val="auto"/>
                <w:sz w:val="21"/>
                <w:szCs w:val="21"/>
                <w:highlight w:val="none"/>
                <w:lang w:val="en-US" w:eastAsia="zh-CN"/>
              </w:rPr>
              <w:t>64</w:t>
            </w:r>
            <w:r>
              <w:rPr>
                <w:rFonts w:hint="eastAsia" w:ascii="宋体" w:hAnsi="宋体" w:eastAsia="宋体" w:cs="宋体"/>
                <w:b w:val="0"/>
                <w:bCs/>
                <w:snapToGrid w:val="0"/>
                <w:color w:val="auto"/>
                <w:sz w:val="21"/>
                <w:szCs w:val="21"/>
                <w:highlight w:val="none"/>
              </w:rPr>
              <w:t>（万元）</w:t>
            </w:r>
          </w:p>
          <w:p w14:paraId="77657191">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w:t>
            </w:r>
            <w:r>
              <w:rPr>
                <w:rFonts w:hint="eastAsia" w:ascii="宋体" w:hAnsi="宋体" w:cs="宋体"/>
                <w:b w:val="0"/>
                <w:bCs/>
                <w:snapToGrid w:val="0"/>
                <w:color w:val="auto"/>
                <w:sz w:val="21"/>
                <w:szCs w:val="21"/>
                <w:highlight w:val="none"/>
                <w:lang w:val="en-US" w:eastAsia="zh-CN"/>
              </w:rPr>
              <w:t>93</w:t>
            </w:r>
            <w:r>
              <w:rPr>
                <w:rFonts w:hint="eastAsia" w:ascii="宋体" w:hAnsi="宋体" w:eastAsia="宋体" w:cs="宋体"/>
                <w:b w:val="0"/>
                <w:bCs/>
                <w:snapToGrid w:val="0"/>
                <w:color w:val="auto"/>
                <w:sz w:val="21"/>
                <w:szCs w:val="21"/>
                <w:highlight w:val="none"/>
              </w:rPr>
              <w:t>%=4.</w:t>
            </w:r>
            <w:r>
              <w:rPr>
                <w:rFonts w:hint="eastAsia" w:ascii="宋体" w:hAnsi="宋体" w:cs="宋体"/>
                <w:b w:val="0"/>
                <w:bCs/>
                <w:snapToGrid w:val="0"/>
                <w:color w:val="auto"/>
                <w:sz w:val="21"/>
                <w:szCs w:val="21"/>
                <w:highlight w:val="none"/>
                <w:lang w:val="en-US" w:eastAsia="zh-CN"/>
              </w:rPr>
              <w:t>65</w:t>
            </w:r>
            <w:r>
              <w:rPr>
                <w:rFonts w:hint="eastAsia" w:ascii="宋体" w:hAnsi="宋体" w:eastAsia="宋体" w:cs="宋体"/>
                <w:b w:val="0"/>
                <w:bCs/>
                <w:snapToGrid w:val="0"/>
                <w:color w:val="auto"/>
                <w:sz w:val="21"/>
                <w:szCs w:val="21"/>
                <w:highlight w:val="none"/>
              </w:rPr>
              <w:t>（万元）</w:t>
            </w:r>
          </w:p>
          <w:p w14:paraId="5AFBAA94">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w:t>
            </w:r>
            <w:r>
              <w:rPr>
                <w:rFonts w:hint="eastAsia" w:ascii="宋体" w:hAnsi="宋体" w:cs="宋体"/>
                <w:b w:val="0"/>
                <w:bCs/>
                <w:snapToGrid w:val="0"/>
                <w:color w:val="auto"/>
                <w:sz w:val="21"/>
                <w:szCs w:val="21"/>
                <w:highlight w:val="none"/>
                <w:lang w:val="en-US" w:eastAsia="zh-CN"/>
              </w:rPr>
              <w:t>61</w:t>
            </w:r>
            <w:r>
              <w:rPr>
                <w:rFonts w:hint="eastAsia" w:ascii="宋体" w:hAnsi="宋体" w:eastAsia="宋体" w:cs="宋体"/>
                <w:b w:val="0"/>
                <w:bCs/>
                <w:snapToGrid w:val="0"/>
                <w:color w:val="auto"/>
                <w:sz w:val="21"/>
                <w:szCs w:val="21"/>
                <w:highlight w:val="none"/>
              </w:rPr>
              <w:t>%=</w:t>
            </w:r>
            <w:r>
              <w:rPr>
                <w:rFonts w:hint="eastAsia" w:ascii="宋体" w:hAnsi="宋体" w:cs="宋体"/>
                <w:b w:val="0"/>
                <w:bCs/>
                <w:snapToGrid w:val="0"/>
                <w:color w:val="auto"/>
                <w:sz w:val="21"/>
                <w:szCs w:val="21"/>
                <w:highlight w:val="none"/>
                <w:lang w:val="en-US" w:eastAsia="zh-CN"/>
              </w:rPr>
              <w:t>6.1</w:t>
            </w:r>
            <w:r>
              <w:rPr>
                <w:rFonts w:hint="eastAsia" w:ascii="宋体" w:hAnsi="宋体" w:eastAsia="宋体" w:cs="宋体"/>
                <w:b w:val="0"/>
                <w:bCs/>
                <w:snapToGrid w:val="0"/>
                <w:color w:val="auto"/>
                <w:sz w:val="21"/>
                <w:szCs w:val="21"/>
                <w:highlight w:val="none"/>
              </w:rPr>
              <w:t>（万元）</w:t>
            </w:r>
          </w:p>
          <w:p w14:paraId="449DB6BF">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rPr>
              <w:t>合计收费=1.5</w:t>
            </w:r>
            <w:r>
              <w:rPr>
                <w:rFonts w:hint="eastAsia" w:ascii="宋体" w:hAnsi="宋体" w:cs="宋体"/>
                <w:b w:val="0"/>
                <w:bCs/>
                <w:snapToGrid w:val="0"/>
                <w:color w:val="auto"/>
                <w:sz w:val="21"/>
                <w:szCs w:val="21"/>
                <w:highlight w:val="none"/>
                <w:lang w:val="en-US" w:eastAsia="zh-CN"/>
              </w:rPr>
              <w:t>8</w:t>
            </w:r>
            <w:r>
              <w:rPr>
                <w:rFonts w:hint="eastAsia" w:ascii="宋体" w:hAnsi="宋体" w:eastAsia="宋体" w:cs="宋体"/>
                <w:b w:val="0"/>
                <w:bCs/>
                <w:snapToGrid w:val="0"/>
                <w:color w:val="auto"/>
                <w:sz w:val="21"/>
                <w:szCs w:val="21"/>
                <w:highlight w:val="none"/>
              </w:rPr>
              <w:t>+4.</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4+4.</w:t>
            </w:r>
            <w:r>
              <w:rPr>
                <w:rFonts w:hint="eastAsia" w:ascii="宋体" w:hAnsi="宋体" w:cs="宋体"/>
                <w:b w:val="0"/>
                <w:bCs/>
                <w:snapToGrid w:val="0"/>
                <w:color w:val="auto"/>
                <w:sz w:val="21"/>
                <w:szCs w:val="21"/>
                <w:highlight w:val="none"/>
                <w:lang w:val="en-US" w:eastAsia="zh-CN"/>
              </w:rPr>
              <w:t>65</w:t>
            </w:r>
            <w:r>
              <w:rPr>
                <w:rFonts w:hint="eastAsia" w:ascii="宋体" w:hAnsi="宋体" w:eastAsia="宋体" w:cs="宋体"/>
                <w:b w:val="0"/>
                <w:bCs/>
                <w:snapToGrid w:val="0"/>
                <w:color w:val="auto"/>
                <w:sz w:val="21"/>
                <w:szCs w:val="21"/>
                <w:highlight w:val="none"/>
              </w:rPr>
              <w:t>+</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w:t>
            </w:r>
            <w:r>
              <w:rPr>
                <w:rFonts w:hint="eastAsia" w:ascii="宋体" w:hAnsi="宋体" w:cs="宋体"/>
                <w:b w:val="0"/>
                <w:bCs/>
                <w:snapToGrid w:val="0"/>
                <w:color w:val="auto"/>
                <w:sz w:val="21"/>
                <w:szCs w:val="21"/>
                <w:highlight w:val="none"/>
                <w:lang w:val="en-US" w:eastAsia="zh-CN"/>
              </w:rPr>
              <w:t>1</w:t>
            </w:r>
            <w:r>
              <w:rPr>
                <w:rFonts w:hint="eastAsia" w:ascii="宋体" w:hAnsi="宋体" w:eastAsia="宋体" w:cs="宋体"/>
                <w:b w:val="0"/>
                <w:bCs/>
                <w:snapToGrid w:val="0"/>
                <w:color w:val="auto"/>
                <w:sz w:val="21"/>
                <w:szCs w:val="21"/>
                <w:highlight w:val="none"/>
              </w:rPr>
              <w:t>=1</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.9</w:t>
            </w:r>
            <w:r>
              <w:rPr>
                <w:rFonts w:hint="eastAsia" w:ascii="宋体" w:hAnsi="宋体" w:cs="宋体"/>
                <w:b w:val="0"/>
                <w:bCs/>
                <w:snapToGrid w:val="0"/>
                <w:color w:val="auto"/>
                <w:sz w:val="21"/>
                <w:szCs w:val="21"/>
                <w:highlight w:val="none"/>
                <w:lang w:val="en-US" w:eastAsia="zh-CN"/>
              </w:rPr>
              <w:t>7</w:t>
            </w:r>
            <w:r>
              <w:rPr>
                <w:rFonts w:hint="eastAsia" w:ascii="宋体" w:hAnsi="宋体" w:eastAsia="宋体" w:cs="宋体"/>
                <w:b w:val="0"/>
                <w:bCs/>
                <w:snapToGrid w:val="0"/>
                <w:color w:val="auto"/>
                <w:sz w:val="21"/>
                <w:szCs w:val="21"/>
                <w:highlight w:val="none"/>
              </w:rPr>
              <w:t>(万元)</w:t>
            </w:r>
          </w:p>
        </w:tc>
      </w:tr>
      <w:tr w14:paraId="14B2C0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894" w:type="dxa"/>
            <w:noWrap w:val="0"/>
            <w:vAlign w:val="center"/>
          </w:tcPr>
          <w:p w14:paraId="2C1C629C">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13</w:t>
            </w:r>
          </w:p>
        </w:tc>
        <w:tc>
          <w:tcPr>
            <w:tcW w:w="1402" w:type="dxa"/>
            <w:noWrap w:val="0"/>
            <w:vAlign w:val="center"/>
          </w:tcPr>
          <w:p w14:paraId="28051F38">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投标有效期</w:t>
            </w:r>
          </w:p>
        </w:tc>
        <w:tc>
          <w:tcPr>
            <w:tcW w:w="7113" w:type="dxa"/>
            <w:noWrap w:val="0"/>
            <w:vAlign w:val="center"/>
          </w:tcPr>
          <w:p w14:paraId="2D142099">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投标有效期为</w:t>
            </w:r>
            <w:r>
              <w:rPr>
                <w:rFonts w:hint="eastAsia" w:asciiTheme="majorEastAsia" w:hAnsiTheme="majorEastAsia" w:eastAsiaTheme="majorEastAsia" w:cstheme="majorEastAsia"/>
                <w:color w:val="auto"/>
                <w:sz w:val="21"/>
                <w:szCs w:val="21"/>
                <w:highlight w:val="none"/>
                <w:u w:val="single" w:color="auto"/>
                <w:lang w:val="en-US" w:eastAsia="zh-CN"/>
              </w:rPr>
              <w:t xml:space="preserve"> 60 日历天</w:t>
            </w:r>
            <w:r>
              <w:rPr>
                <w:rFonts w:hint="eastAsia" w:asciiTheme="majorEastAsia" w:hAnsiTheme="majorEastAsia" w:eastAsiaTheme="majorEastAsia" w:cstheme="majorEastAsia"/>
                <w:color w:val="auto"/>
                <w:sz w:val="21"/>
                <w:szCs w:val="21"/>
                <w:highlight w:val="none"/>
                <w:lang w:val="en-US" w:eastAsia="zh-CN"/>
              </w:rPr>
              <w:t>（从投标截止之日算起）。在此期限内，凡符合本采购文件要求的投标文件均保持有效。</w:t>
            </w:r>
          </w:p>
        </w:tc>
      </w:tr>
      <w:tr w14:paraId="058B06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894" w:type="dxa"/>
            <w:vMerge w:val="restart"/>
            <w:noWrap w:val="0"/>
            <w:vAlign w:val="center"/>
          </w:tcPr>
          <w:p w14:paraId="504602E5">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14</w:t>
            </w:r>
          </w:p>
        </w:tc>
        <w:tc>
          <w:tcPr>
            <w:tcW w:w="1402" w:type="dxa"/>
            <w:vMerge w:val="restart"/>
            <w:noWrap w:val="0"/>
            <w:vAlign w:val="center"/>
          </w:tcPr>
          <w:p w14:paraId="5955BF89">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投标保证金</w:t>
            </w:r>
          </w:p>
        </w:tc>
        <w:tc>
          <w:tcPr>
            <w:tcW w:w="7113" w:type="dxa"/>
            <w:tcBorders>
              <w:bottom w:val="single" w:color="auto" w:sz="4" w:space="0"/>
            </w:tcBorders>
            <w:noWrap w:val="0"/>
            <w:vAlign w:val="center"/>
          </w:tcPr>
          <w:p w14:paraId="0C5ACBB0">
            <w:pPr>
              <w:snapToGrid w:val="0"/>
              <w:spacing w:line="360" w:lineRule="auto"/>
              <w:rPr>
                <w:rFonts w:hint="eastAsia" w:ascii="宋体" w:hAnsi="宋体" w:cs="宋体-18030"/>
                <w:b w:val="0"/>
                <w:bCs/>
                <w:szCs w:val="21"/>
              </w:rPr>
            </w:pPr>
            <w:r>
              <w:rPr>
                <w:rFonts w:hint="eastAsia" w:ascii="宋体" w:hAnsi="宋体" w:cs="宋体-18030"/>
                <w:b w:val="0"/>
                <w:bCs/>
                <w:szCs w:val="21"/>
              </w:rPr>
              <w:t>投标保证金交纳方式：投标保证金应当以支票、汇票、本票、网上银行支付或者金融机构、担保机构出具的保函等非现金形式交纳。</w:t>
            </w:r>
          </w:p>
          <w:p w14:paraId="629C1C58">
            <w:pPr>
              <w:keepNext w:val="0"/>
              <w:keepLines w:val="0"/>
              <w:pageBreakBefore w:val="0"/>
              <w:numPr>
                <w:ilvl w:val="0"/>
                <w:numId w:val="0"/>
              </w:numPr>
              <w:shd w:val="clear" w:color="auto" w:fill="auto"/>
              <w:kinsoku/>
              <w:wordWrap/>
              <w:overflowPunct w:val="0"/>
              <w:topLinePunct w:val="0"/>
              <w:autoSpaceDE w:val="0"/>
              <w:autoSpaceDN w:val="0"/>
              <w:bidi w:val="0"/>
              <w:spacing w:line="400" w:lineRule="exact"/>
              <w:jc w:val="left"/>
              <w:rPr>
                <w:rFonts w:hint="eastAsia" w:asciiTheme="majorEastAsia" w:hAnsiTheme="majorEastAsia" w:eastAsiaTheme="majorEastAsia" w:cstheme="majorEastAsia"/>
                <w:b/>
                <w:bCs/>
                <w:color w:val="auto"/>
                <w:sz w:val="21"/>
                <w:szCs w:val="21"/>
                <w:highlight w:val="none"/>
              </w:rPr>
            </w:pPr>
            <w:r>
              <w:rPr>
                <w:rFonts w:hint="eastAsia" w:ascii="宋体" w:hAnsi="宋体" w:cs="宋体-18030"/>
                <w:b/>
                <w:bCs w:val="0"/>
                <w:szCs w:val="21"/>
              </w:rPr>
              <w:t>投标保证金的金额：</w:t>
            </w:r>
            <w:r>
              <w:rPr>
                <w:rFonts w:hint="eastAsia" w:ascii="宋体" w:hAnsi="宋体" w:cs="宋体-18030"/>
                <w:b/>
                <w:bCs w:val="0"/>
                <w:szCs w:val="21"/>
                <w:lang w:val="en-US" w:eastAsia="zh-CN"/>
              </w:rPr>
              <w:t>小写</w:t>
            </w:r>
            <w:r>
              <w:rPr>
                <w:rFonts w:hint="eastAsia" w:ascii="宋体" w:hAnsi="宋体" w:cs="宋体-18030"/>
                <w:b/>
                <w:bCs w:val="0"/>
                <w:szCs w:val="21"/>
              </w:rPr>
              <w:t>：</w:t>
            </w:r>
            <w:r>
              <w:rPr>
                <w:rFonts w:hint="eastAsia" w:ascii="宋体" w:hAnsi="宋体" w:cs="宋体-18030"/>
                <w:b/>
                <w:bCs w:val="0"/>
                <w:szCs w:val="21"/>
                <w:lang w:val="en-US" w:eastAsia="zh-CN"/>
              </w:rPr>
              <w:t>30000.00元     大写：叁万元整</w:t>
            </w:r>
          </w:p>
        </w:tc>
      </w:tr>
      <w:tr w14:paraId="43EE56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894" w:type="dxa"/>
            <w:vMerge w:val="continue"/>
            <w:noWrap w:val="0"/>
            <w:vAlign w:val="center"/>
          </w:tcPr>
          <w:p w14:paraId="34743101">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p>
        </w:tc>
        <w:tc>
          <w:tcPr>
            <w:tcW w:w="1402" w:type="dxa"/>
            <w:vMerge w:val="continue"/>
            <w:noWrap w:val="0"/>
            <w:vAlign w:val="center"/>
          </w:tcPr>
          <w:p w14:paraId="11B016FE">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p>
        </w:tc>
        <w:tc>
          <w:tcPr>
            <w:tcW w:w="7113" w:type="dxa"/>
            <w:noWrap w:val="0"/>
            <w:vAlign w:val="top"/>
          </w:tcPr>
          <w:p w14:paraId="323FA601">
            <w:pPr>
              <w:snapToGrid w:val="0"/>
              <w:spacing w:line="360" w:lineRule="auto"/>
              <w:rPr>
                <w:rFonts w:hint="eastAsia" w:ascii="宋体" w:hAnsi="宋体" w:eastAsia="宋体" w:cs="宋体"/>
                <w:b w:val="0"/>
                <w:bCs/>
                <w:szCs w:val="21"/>
              </w:rPr>
            </w:pPr>
            <w:r>
              <w:rPr>
                <w:rFonts w:hint="eastAsia" w:ascii="宋体" w:hAnsi="宋体" w:eastAsia="宋体" w:cs="宋体"/>
                <w:b w:val="0"/>
                <w:bCs/>
                <w:szCs w:val="21"/>
              </w:rPr>
              <w:t>投标保证金交纳要求：</w:t>
            </w:r>
          </w:p>
          <w:p w14:paraId="267FC53F">
            <w:pPr>
              <w:numPr>
                <w:ilvl w:val="0"/>
                <w:numId w:val="5"/>
              </w:numPr>
              <w:jc w:val="left"/>
              <w:rPr>
                <w:rFonts w:hint="eastAsia" w:cs="Times New Roman"/>
                <w:color w:val="auto"/>
                <w:highlight w:val="none"/>
                <w:lang w:val="en-US" w:eastAsia="zh-CN"/>
              </w:rPr>
            </w:pPr>
            <w:r>
              <w:rPr>
                <w:rFonts w:hint="eastAsia" w:cs="Times New Roman"/>
                <w:color w:val="auto"/>
                <w:highlight w:val="none"/>
              </w:rPr>
              <w:t>投标保证金以电汇、网银形式提交的，应在投标截止时间</w:t>
            </w:r>
            <w:r>
              <w:rPr>
                <w:rFonts w:hint="eastAsia" w:cs="Times New Roman"/>
                <w:color w:val="auto"/>
                <w:highlight w:val="none"/>
                <w:lang w:val="en-US" w:eastAsia="zh-CN"/>
              </w:rPr>
              <w:t>以总公司的基本账户</w:t>
            </w:r>
            <w:r>
              <w:rPr>
                <w:rFonts w:hint="eastAsia" w:cs="Times New Roman"/>
                <w:color w:val="auto"/>
                <w:highlight w:val="none"/>
              </w:rPr>
              <w:t>一次性汇入指定账户（以到账时间为准），不接受现金及任何个人汇款。</w:t>
            </w:r>
            <w:r>
              <w:rPr>
                <w:rFonts w:hint="eastAsia" w:cs="Times New Roman"/>
                <w:color w:val="auto"/>
                <w:highlight w:val="none"/>
                <w:lang w:val="en-US" w:eastAsia="zh-CN"/>
              </w:rPr>
              <w:t>汇款凭证或保函作为该项目投标保证金的缴纳依据。</w:t>
            </w:r>
          </w:p>
          <w:p w14:paraId="65405B4D">
            <w:pPr>
              <w:numPr>
                <w:ilvl w:val="0"/>
                <w:numId w:val="5"/>
              </w:numPr>
              <w:jc w:val="left"/>
              <w:rPr>
                <w:color w:val="auto"/>
              </w:rPr>
            </w:pPr>
            <w:r>
              <w:rPr>
                <w:rFonts w:hint="eastAsia"/>
                <w:color w:val="auto"/>
                <w:lang w:val="en-US" w:eastAsia="zh-CN"/>
              </w:rPr>
              <w:t>其它特殊情况处理：有效投标保证金成功交纳后，截止开标时间，</w:t>
            </w:r>
            <w:r>
              <w:rPr>
                <w:rFonts w:hint="eastAsia"/>
                <w:color w:val="auto"/>
              </w:rPr>
              <w:t>供应商无正当理由不参加该项目投标且不递交弃标函，投标保证金不予退还。</w:t>
            </w:r>
          </w:p>
          <w:p w14:paraId="092740C0">
            <w:pPr>
              <w:jc w:val="left"/>
              <w:rPr>
                <w:color w:val="auto"/>
              </w:rPr>
            </w:pPr>
            <w:r>
              <w:rPr>
                <w:rFonts w:hint="eastAsia"/>
                <w:color w:val="auto"/>
              </w:rPr>
              <w:t>户  名：阿克陶县政务服务和公共资源交易中心</w:t>
            </w:r>
          </w:p>
          <w:p w14:paraId="676C8FFB">
            <w:pPr>
              <w:jc w:val="left"/>
              <w:rPr>
                <w:color w:val="auto"/>
              </w:rPr>
            </w:pPr>
            <w:r>
              <w:rPr>
                <w:rFonts w:hint="eastAsia"/>
                <w:color w:val="auto"/>
              </w:rPr>
              <w:t>账  号：30465101040026944</w:t>
            </w:r>
          </w:p>
          <w:p w14:paraId="62339DE1">
            <w:pPr>
              <w:jc w:val="left"/>
              <w:rPr>
                <w:color w:val="auto"/>
              </w:rPr>
            </w:pPr>
            <w:r>
              <w:rPr>
                <w:rFonts w:hint="eastAsia"/>
                <w:color w:val="auto"/>
              </w:rPr>
              <w:t>行  名：中国农业银行阿克陶县支行营业部</w:t>
            </w:r>
          </w:p>
          <w:p w14:paraId="29E9A565">
            <w:pPr>
              <w:jc w:val="left"/>
              <w:rPr>
                <w:color w:val="auto"/>
              </w:rPr>
            </w:pPr>
            <w:r>
              <w:rPr>
                <w:rFonts w:hint="eastAsia"/>
                <w:color w:val="auto"/>
              </w:rPr>
              <w:t>行  号：103893246513</w:t>
            </w:r>
          </w:p>
          <w:p w14:paraId="0C5A14B9">
            <w:pPr>
              <w:jc w:val="left"/>
              <w:rPr>
                <w:color w:val="auto"/>
              </w:rPr>
            </w:pPr>
            <w:r>
              <w:rPr>
                <w:rFonts w:hint="eastAsia"/>
                <w:color w:val="auto"/>
              </w:rPr>
              <w:t>联系人：邓先生</w:t>
            </w:r>
          </w:p>
          <w:p w14:paraId="73971EC9">
            <w:pPr>
              <w:jc w:val="left"/>
              <w:rPr>
                <w:color w:val="auto"/>
              </w:rPr>
            </w:pPr>
            <w:r>
              <w:rPr>
                <w:rFonts w:hint="eastAsia"/>
                <w:color w:val="auto"/>
              </w:rPr>
              <w:t>电  话：18719937118  0908-5724161</w:t>
            </w:r>
          </w:p>
          <w:p w14:paraId="0B41EE14">
            <w:pPr>
              <w:jc w:val="left"/>
              <w:rPr>
                <w:color w:val="auto"/>
              </w:rPr>
            </w:pPr>
            <w:r>
              <w:rPr>
                <w:rFonts w:hint="eastAsia"/>
                <w:color w:val="auto"/>
              </w:rPr>
              <w:t>（备注：须写清楚某某公司某某项目保证金）</w:t>
            </w:r>
          </w:p>
          <w:p w14:paraId="567E1575">
            <w:pPr>
              <w:jc w:val="left"/>
              <w:rPr>
                <w:color w:val="auto"/>
              </w:rPr>
            </w:pPr>
            <w:r>
              <w:rPr>
                <w:rFonts w:hint="eastAsia"/>
                <w:color w:val="auto"/>
              </w:rPr>
              <w:t>投标企业退投标保证金，需要的资料有：</w:t>
            </w:r>
          </w:p>
          <w:p w14:paraId="6608F55D">
            <w:pPr>
              <w:numPr>
                <w:ilvl w:val="0"/>
                <w:numId w:val="6"/>
              </w:numPr>
              <w:jc w:val="left"/>
              <w:rPr>
                <w:color w:val="auto"/>
              </w:rPr>
            </w:pPr>
            <w:r>
              <w:rPr>
                <w:rFonts w:hint="eastAsia"/>
                <w:color w:val="auto"/>
              </w:rPr>
              <w:t>投标企业提供公司收款收据原件（盖公章）</w:t>
            </w:r>
          </w:p>
          <w:p w14:paraId="004C70FB">
            <w:pPr>
              <w:numPr>
                <w:ilvl w:val="0"/>
                <w:numId w:val="6"/>
              </w:numPr>
              <w:jc w:val="left"/>
              <w:rPr>
                <w:color w:val="auto"/>
              </w:rPr>
            </w:pPr>
            <w:r>
              <w:rPr>
                <w:rFonts w:hint="eastAsia"/>
                <w:color w:val="auto"/>
              </w:rPr>
              <w:t>投标公司开户信息（复印件）</w:t>
            </w:r>
          </w:p>
          <w:p w14:paraId="62DB7AF8">
            <w:pPr>
              <w:numPr>
                <w:ilvl w:val="0"/>
                <w:numId w:val="6"/>
              </w:numPr>
              <w:jc w:val="left"/>
              <w:rPr>
                <w:color w:val="auto"/>
              </w:rPr>
            </w:pPr>
            <w:r>
              <w:rPr>
                <w:rFonts w:hint="eastAsia"/>
                <w:color w:val="auto"/>
              </w:rPr>
              <w:t>系统给公司开具的收款收据（复印件）</w:t>
            </w:r>
          </w:p>
          <w:p w14:paraId="1D1B794E">
            <w:pPr>
              <w:numPr>
                <w:ilvl w:val="0"/>
                <w:numId w:val="6"/>
              </w:numPr>
              <w:jc w:val="left"/>
              <w:rPr>
                <w:color w:val="auto"/>
              </w:rPr>
            </w:pPr>
            <w:r>
              <w:rPr>
                <w:rFonts w:hint="eastAsia"/>
                <w:color w:val="auto"/>
              </w:rPr>
              <w:t>中标企业退投标保证金需持合同（复印件）</w:t>
            </w:r>
          </w:p>
          <w:p w14:paraId="53151A6F">
            <w:pPr>
              <w:jc w:val="left"/>
              <w:rPr>
                <w:b/>
                <w:bCs/>
                <w:sz w:val="22"/>
                <w:szCs w:val="28"/>
              </w:rPr>
            </w:pPr>
            <w:r>
              <w:rPr>
                <w:rFonts w:hint="eastAsia"/>
                <w:b/>
                <w:bCs/>
                <w:sz w:val="22"/>
                <w:szCs w:val="28"/>
              </w:rPr>
              <w:t>注：如投标企业无法到场办理请联系交易中心工作人员。</w:t>
            </w:r>
          </w:p>
          <w:p w14:paraId="6CF0327F">
            <w:pPr>
              <w:jc w:val="left"/>
            </w:pPr>
            <w:r>
              <w:rPr>
                <w:rFonts w:hint="eastAsia"/>
              </w:rPr>
              <w:t>联系人：邓先生</w:t>
            </w:r>
          </w:p>
          <w:p w14:paraId="77214A40">
            <w:pPr>
              <w:snapToGrid w:val="0"/>
              <w:spacing w:line="360" w:lineRule="auto"/>
              <w:rPr>
                <w:rFonts w:hint="eastAsia" w:asciiTheme="majorEastAsia" w:hAnsiTheme="majorEastAsia" w:eastAsiaTheme="majorEastAsia" w:cstheme="majorEastAsia"/>
                <w:color w:val="auto"/>
                <w:sz w:val="21"/>
                <w:szCs w:val="21"/>
                <w:highlight w:val="none"/>
                <w:lang w:val="en-US" w:eastAsia="zh-CN"/>
              </w:rPr>
            </w:pPr>
            <w:r>
              <w:rPr>
                <w:rFonts w:hint="eastAsia"/>
              </w:rPr>
              <w:t>电  话：18719937118  0908-5724161</w:t>
            </w:r>
            <w:r>
              <w:rPr>
                <w:rFonts w:hint="eastAsia" w:ascii="宋体" w:hAnsi="宋体"/>
                <w:szCs w:val="21"/>
              </w:rPr>
              <w:t xml:space="preserve"> </w:t>
            </w:r>
            <w:r>
              <w:rPr>
                <w:rFonts w:hint="eastAsia" w:ascii="宋体" w:hAnsi="宋体" w:eastAsia="宋体" w:cs="宋体-18030"/>
                <w:b w:val="0"/>
                <w:bCs/>
                <w:szCs w:val="21"/>
                <w:lang w:val="en-US" w:eastAsia="zh-CN"/>
              </w:rPr>
              <w:t xml:space="preserve">   </w:t>
            </w:r>
          </w:p>
        </w:tc>
      </w:tr>
      <w:tr w14:paraId="1383B4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894" w:type="dxa"/>
            <w:noWrap w:val="0"/>
            <w:vAlign w:val="center"/>
          </w:tcPr>
          <w:p w14:paraId="347958E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15</w:t>
            </w:r>
          </w:p>
        </w:tc>
        <w:tc>
          <w:tcPr>
            <w:tcW w:w="1402" w:type="dxa"/>
            <w:noWrap w:val="0"/>
            <w:vAlign w:val="center"/>
          </w:tcPr>
          <w:p w14:paraId="61AC5118">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投标文件形式</w:t>
            </w:r>
          </w:p>
        </w:tc>
        <w:tc>
          <w:tcPr>
            <w:tcW w:w="7113" w:type="dxa"/>
            <w:noWrap w:val="0"/>
            <w:vAlign w:val="center"/>
          </w:tcPr>
          <w:p w14:paraId="2E217AFF">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电子投标文件包括“电子加密投标文件”和“备份投标文件”，在投标文件编制完成后同时生成。</w:t>
            </w:r>
          </w:p>
          <w:p w14:paraId="146DDFDF">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1、“电子加密投标文件”是指通过“政采云电子交易客户端”完成投标文件编制后生成并加密的数据电文形式的投标文件。</w:t>
            </w:r>
          </w:p>
          <w:p w14:paraId="27729142">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AEF7E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5" w:hRule="atLeast"/>
          <w:jc w:val="center"/>
        </w:trPr>
        <w:tc>
          <w:tcPr>
            <w:tcW w:w="894" w:type="dxa"/>
            <w:noWrap w:val="0"/>
            <w:vAlign w:val="center"/>
          </w:tcPr>
          <w:p w14:paraId="4B2535FC">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16</w:t>
            </w:r>
          </w:p>
        </w:tc>
        <w:tc>
          <w:tcPr>
            <w:tcW w:w="1402" w:type="dxa"/>
            <w:noWrap w:val="0"/>
            <w:vAlign w:val="center"/>
          </w:tcPr>
          <w:p w14:paraId="769A9F66">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投标文件份数及要求</w:t>
            </w:r>
          </w:p>
        </w:tc>
        <w:tc>
          <w:tcPr>
            <w:tcW w:w="7113" w:type="dxa"/>
            <w:noWrap w:val="0"/>
            <w:vAlign w:val="center"/>
          </w:tcPr>
          <w:p w14:paraId="522C780E">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1、一份电子加密标书（“.jmbs”格式），一份备份标书文件（“.bfbs”格式）。</w:t>
            </w:r>
          </w:p>
          <w:p w14:paraId="618956D4">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2、每份电子投标文件应包括</w:t>
            </w:r>
            <w:r>
              <w:rPr>
                <w:rFonts w:hint="eastAsia" w:asciiTheme="majorEastAsia" w:hAnsiTheme="majorEastAsia" w:eastAsiaTheme="majorEastAsia" w:cstheme="majorEastAsia"/>
                <w:b w:val="0"/>
                <w:bCs w:val="0"/>
                <w:color w:val="auto"/>
                <w:szCs w:val="21"/>
                <w:highlight w:val="none"/>
              </w:rPr>
              <w:t>资格证明文件和商务</w:t>
            </w:r>
            <w:r>
              <w:rPr>
                <w:rFonts w:hint="eastAsia" w:asciiTheme="majorEastAsia" w:hAnsiTheme="majorEastAsia" w:eastAsiaTheme="majorEastAsia" w:cstheme="majorEastAsia"/>
                <w:b w:val="0"/>
                <w:bCs w:val="0"/>
                <w:color w:val="auto"/>
                <w:szCs w:val="21"/>
                <w:highlight w:val="none"/>
                <w:lang w:eastAsia="zh-CN"/>
              </w:rPr>
              <w:t>、</w:t>
            </w:r>
            <w:r>
              <w:rPr>
                <w:rFonts w:hint="eastAsia" w:asciiTheme="majorEastAsia" w:hAnsiTheme="majorEastAsia" w:eastAsiaTheme="majorEastAsia" w:cstheme="majorEastAsia"/>
                <w:b w:val="0"/>
                <w:bCs w:val="0"/>
                <w:color w:val="auto"/>
                <w:szCs w:val="21"/>
                <w:highlight w:val="none"/>
              </w:rPr>
              <w:t>技术文件两部分</w:t>
            </w:r>
            <w:r>
              <w:rPr>
                <w:rFonts w:hint="eastAsia" w:asciiTheme="majorEastAsia" w:hAnsiTheme="majorEastAsia" w:eastAsiaTheme="majorEastAsia" w:cstheme="majorEastAsia"/>
                <w:b w:val="0"/>
                <w:bCs w:val="0"/>
                <w:color w:val="auto"/>
                <w:szCs w:val="21"/>
                <w:highlight w:val="none"/>
                <w:lang w:eastAsia="zh-CN"/>
              </w:rPr>
              <w:t>。</w:t>
            </w:r>
          </w:p>
        </w:tc>
      </w:tr>
      <w:tr w14:paraId="217C89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vMerge w:val="restart"/>
            <w:noWrap w:val="0"/>
            <w:vAlign w:val="center"/>
          </w:tcPr>
          <w:p w14:paraId="4CA26248">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17</w:t>
            </w:r>
          </w:p>
        </w:tc>
        <w:tc>
          <w:tcPr>
            <w:tcW w:w="1402" w:type="dxa"/>
            <w:vMerge w:val="restart"/>
            <w:noWrap w:val="0"/>
            <w:vAlign w:val="center"/>
          </w:tcPr>
          <w:p w14:paraId="7B66FAE3">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bidi="zh-CN"/>
              </w:rPr>
              <w:t>投标文件的上传和递交</w:t>
            </w:r>
          </w:p>
        </w:tc>
        <w:tc>
          <w:tcPr>
            <w:tcW w:w="7113" w:type="dxa"/>
            <w:noWrap w:val="0"/>
            <w:vAlign w:val="center"/>
          </w:tcPr>
          <w:p w14:paraId="0B98F67B">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u w:val="single" w:color="auto"/>
                <w:lang w:val="en-US" w:eastAsia="zh-CN"/>
              </w:rPr>
            </w:pPr>
            <w:r>
              <w:rPr>
                <w:rFonts w:hint="eastAsia" w:asciiTheme="majorEastAsia" w:hAnsiTheme="majorEastAsia" w:eastAsiaTheme="majorEastAsia" w:cstheme="majorEastAsia"/>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Theme="majorEastAsia" w:hAnsiTheme="majorEastAsia" w:eastAsiaTheme="majorEastAsia" w:cstheme="majorEastAsia"/>
                <w:b/>
                <w:bCs/>
                <w:color w:val="auto"/>
                <w:sz w:val="21"/>
                <w:szCs w:val="21"/>
                <w:highlight w:val="none"/>
                <w:u w:val="single" w:color="auto"/>
                <w:lang w:val="en-US" w:eastAsia="zh-CN"/>
              </w:rPr>
              <w:t>在开标时间开始后，待采购组织机构发出解密通知后30分钟内解密投标文件。</w:t>
            </w:r>
          </w:p>
          <w:p w14:paraId="7E220BEA">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a.供应商未能在投标截止时间前成功上传电子加密投标文件的投标无效。</w:t>
            </w:r>
          </w:p>
          <w:p w14:paraId="490641C8">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b.供应商成功上传电子加密投标文件后，可自行打印投标文件接收回执。</w:t>
            </w:r>
          </w:p>
        </w:tc>
      </w:tr>
      <w:tr w14:paraId="0706FD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894" w:type="dxa"/>
            <w:vMerge w:val="continue"/>
            <w:noWrap w:val="0"/>
            <w:vAlign w:val="center"/>
          </w:tcPr>
          <w:p w14:paraId="78F8FBC9">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p>
        </w:tc>
        <w:tc>
          <w:tcPr>
            <w:tcW w:w="1402" w:type="dxa"/>
            <w:vMerge w:val="continue"/>
            <w:noWrap w:val="0"/>
            <w:vAlign w:val="center"/>
          </w:tcPr>
          <w:p w14:paraId="39C89E90">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bCs/>
                <w:color w:val="auto"/>
                <w:sz w:val="21"/>
                <w:szCs w:val="21"/>
                <w:highlight w:val="none"/>
                <w:lang w:bidi="zh-CN"/>
              </w:rPr>
            </w:pPr>
          </w:p>
        </w:tc>
        <w:tc>
          <w:tcPr>
            <w:tcW w:w="7113" w:type="dxa"/>
            <w:noWrap w:val="0"/>
            <w:vAlign w:val="center"/>
          </w:tcPr>
          <w:p w14:paraId="626D7110">
            <w:pPr>
              <w:pStyle w:val="14"/>
              <w:keepNext w:val="0"/>
              <w:keepLines w:val="0"/>
              <w:pageBreakBefore w:val="0"/>
              <w:kinsoku/>
              <w:wordWrap/>
              <w:overflowPunct/>
              <w:topLinePunct w:val="0"/>
              <w:autoSpaceDE/>
              <w:autoSpaceDN/>
              <w:bidi w:val="0"/>
              <w:adjustRightInd/>
              <w:snapToGrid w:val="0"/>
              <w:spacing w:line="360" w:lineRule="exac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2.备份投标文件：供应商在投标截止时间前将加密的投标文件上传至政府采购云平台，还可以在投标截止时间前以电子邮件方式提供备份投标文件1份（接收人邮箱：</w:t>
            </w:r>
            <w:r>
              <w:rPr>
                <w:rFonts w:hint="eastAsia" w:asciiTheme="majorEastAsia" w:hAnsiTheme="majorEastAsia" w:eastAsiaTheme="majorEastAsia" w:cstheme="majorEastAsia"/>
                <w:color w:val="auto"/>
                <w:szCs w:val="21"/>
                <w:highlight w:val="none"/>
                <w:lang w:val="en-US" w:eastAsia="zh-CN"/>
              </w:rPr>
              <w:t>3608912708@</w:t>
            </w:r>
            <w:r>
              <w:rPr>
                <w:rFonts w:hint="eastAsia" w:asciiTheme="majorEastAsia" w:hAnsiTheme="majorEastAsia" w:eastAsiaTheme="majorEastAsia" w:cstheme="majorEastAsia"/>
                <w:color w:val="auto"/>
                <w:szCs w:val="21"/>
                <w:highlight w:val="none"/>
              </w:rPr>
              <w:t>@qq.com，接收人：</w:t>
            </w:r>
            <w:r>
              <w:rPr>
                <w:rFonts w:hint="eastAsia" w:asciiTheme="majorEastAsia" w:hAnsiTheme="majorEastAsia" w:eastAsiaTheme="majorEastAsia" w:cstheme="majorEastAsia"/>
                <w:color w:val="auto"/>
                <w:szCs w:val="21"/>
                <w:highlight w:val="none"/>
                <w:lang w:val="en-US" w:eastAsia="zh-CN"/>
              </w:rPr>
              <w:t>刘女士 联系电话：18609081081</w:t>
            </w:r>
            <w:r>
              <w:rPr>
                <w:rFonts w:hint="eastAsia" w:asciiTheme="majorEastAsia" w:hAnsiTheme="majorEastAsia" w:eastAsiaTheme="majorEastAsia" w:cstheme="majorEastAsia"/>
                <w:color w:val="auto"/>
                <w:szCs w:val="21"/>
                <w:highlight w:val="none"/>
              </w:rPr>
              <w:t>“备份投标文件”由供应商自愿提供，采购文件不作强制性要求；如不提供或未按要求提供的，当电子投标文件无法解密时，将导致无备份投标文件而失去投标资格。</w:t>
            </w:r>
          </w:p>
          <w:p w14:paraId="21366159">
            <w:pPr>
              <w:pStyle w:val="14"/>
              <w:keepNext w:val="0"/>
              <w:keepLines w:val="0"/>
              <w:pageBreakBefore w:val="0"/>
              <w:kinsoku/>
              <w:wordWrap/>
              <w:overflowPunct/>
              <w:topLinePunct w:val="0"/>
              <w:autoSpaceDE/>
              <w:autoSpaceDN/>
              <w:bidi w:val="0"/>
              <w:adjustRightInd/>
              <w:snapToGrid w:val="0"/>
              <w:spacing w:line="360" w:lineRule="exac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8C25ACF">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48F1D7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894" w:type="dxa"/>
            <w:noWrap w:val="0"/>
            <w:vAlign w:val="center"/>
          </w:tcPr>
          <w:p w14:paraId="1180A2D3">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18</w:t>
            </w:r>
          </w:p>
        </w:tc>
        <w:tc>
          <w:tcPr>
            <w:tcW w:w="1402" w:type="dxa"/>
            <w:noWrap w:val="0"/>
            <w:vAlign w:val="center"/>
          </w:tcPr>
          <w:p w14:paraId="7085BF48">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投标截止</w:t>
            </w:r>
            <w:r>
              <w:rPr>
                <w:rFonts w:hint="eastAsia" w:asciiTheme="majorEastAsia" w:hAnsiTheme="majorEastAsia" w:eastAsiaTheme="majorEastAsia" w:cstheme="majorEastAsia"/>
                <w:color w:val="auto"/>
                <w:sz w:val="21"/>
                <w:szCs w:val="21"/>
                <w:highlight w:val="none"/>
              </w:rPr>
              <w:t>时间及地点</w:t>
            </w:r>
          </w:p>
        </w:tc>
        <w:tc>
          <w:tcPr>
            <w:tcW w:w="7113" w:type="dxa"/>
            <w:noWrap w:val="0"/>
            <w:vAlign w:val="center"/>
          </w:tcPr>
          <w:p w14:paraId="7562F4FA">
            <w:pPr>
              <w:keepNext w:val="0"/>
              <w:keepLines w:val="0"/>
              <w:pageBreakBefore w:val="0"/>
              <w:shd w:val="clear" w:color="auto" w:fill="auto"/>
              <w:kinsoku/>
              <w:wordWrap/>
              <w:overflowPunct/>
              <w:topLinePunct w:val="0"/>
              <w:autoSpaceDE/>
              <w:autoSpaceDN/>
              <w:bidi w:val="0"/>
              <w:adjustRightInd/>
              <w:snapToGrid w:val="0"/>
              <w:spacing w:line="360" w:lineRule="exact"/>
              <w:ind w:firstLine="19" w:firstLineChars="9"/>
              <w:textAlignment w:val="auto"/>
              <w:outlineLvl w:val="9"/>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投标截止</w:t>
            </w:r>
            <w:r>
              <w:rPr>
                <w:rFonts w:hint="eastAsia" w:asciiTheme="majorEastAsia" w:hAnsiTheme="majorEastAsia" w:eastAsiaTheme="majorEastAsia" w:cstheme="majorEastAsia"/>
                <w:b/>
                <w:bCs/>
                <w:color w:val="auto"/>
                <w:sz w:val="21"/>
                <w:szCs w:val="21"/>
                <w:highlight w:val="none"/>
              </w:rPr>
              <w:t>时间：</w:t>
            </w:r>
            <w:r>
              <w:rPr>
                <w:rFonts w:hint="eastAsia" w:asciiTheme="majorEastAsia" w:hAnsiTheme="majorEastAsia" w:eastAsiaTheme="majorEastAsia" w:cstheme="majorEastAsia"/>
                <w:b/>
                <w:bCs/>
                <w:color w:val="0000FF"/>
                <w:sz w:val="21"/>
                <w:szCs w:val="21"/>
                <w:highlight w:val="none"/>
                <w:lang w:val="en-US" w:eastAsia="zh-CN"/>
              </w:rPr>
              <w:t>2025</w:t>
            </w:r>
            <w:r>
              <w:rPr>
                <w:rFonts w:hint="eastAsia" w:asciiTheme="majorEastAsia" w:hAnsiTheme="majorEastAsia" w:eastAsiaTheme="majorEastAsia" w:cstheme="majorEastAsia"/>
                <w:b/>
                <w:bCs/>
                <w:color w:val="0000FF"/>
                <w:sz w:val="21"/>
                <w:szCs w:val="21"/>
                <w:highlight w:val="none"/>
              </w:rPr>
              <w:t>年</w:t>
            </w:r>
            <w:r>
              <w:rPr>
                <w:rFonts w:hint="eastAsia" w:asciiTheme="majorEastAsia" w:hAnsiTheme="majorEastAsia" w:eastAsiaTheme="majorEastAsia" w:cstheme="majorEastAsia"/>
                <w:b/>
                <w:bCs/>
                <w:color w:val="0000FF"/>
                <w:sz w:val="21"/>
                <w:szCs w:val="21"/>
                <w:highlight w:val="none"/>
                <w:lang w:val="en-US" w:eastAsia="zh-CN"/>
              </w:rPr>
              <w:t>07月07 日11</w:t>
            </w:r>
            <w:r>
              <w:rPr>
                <w:rFonts w:hint="eastAsia" w:asciiTheme="majorEastAsia" w:hAnsiTheme="majorEastAsia" w:eastAsiaTheme="majorEastAsia" w:cstheme="majorEastAsia"/>
                <w:b/>
                <w:bCs/>
                <w:color w:val="0000FF"/>
                <w:sz w:val="21"/>
                <w:szCs w:val="21"/>
                <w:highlight w:val="none"/>
              </w:rPr>
              <w:t>时</w:t>
            </w:r>
            <w:r>
              <w:rPr>
                <w:rFonts w:hint="eastAsia" w:asciiTheme="majorEastAsia" w:hAnsiTheme="majorEastAsia" w:eastAsiaTheme="majorEastAsia" w:cstheme="majorEastAsia"/>
                <w:b/>
                <w:bCs/>
                <w:color w:val="0000FF"/>
                <w:sz w:val="21"/>
                <w:szCs w:val="21"/>
                <w:highlight w:val="none"/>
                <w:lang w:val="en-US" w:eastAsia="zh-CN"/>
              </w:rPr>
              <w:t>00</w:t>
            </w:r>
            <w:r>
              <w:rPr>
                <w:rFonts w:hint="eastAsia" w:asciiTheme="majorEastAsia" w:hAnsiTheme="majorEastAsia" w:eastAsiaTheme="majorEastAsia" w:cstheme="majorEastAsia"/>
                <w:b/>
                <w:bCs/>
                <w:color w:val="0000FF"/>
                <w:sz w:val="21"/>
                <w:szCs w:val="21"/>
                <w:highlight w:val="none"/>
              </w:rPr>
              <w:t>分（</w:t>
            </w:r>
            <w:r>
              <w:rPr>
                <w:rFonts w:hint="eastAsia" w:asciiTheme="majorEastAsia" w:hAnsiTheme="majorEastAsia" w:eastAsiaTheme="majorEastAsia" w:cstheme="majorEastAsia"/>
                <w:b/>
                <w:bCs/>
                <w:color w:val="auto"/>
                <w:sz w:val="21"/>
                <w:szCs w:val="21"/>
                <w:highlight w:val="none"/>
              </w:rPr>
              <w:t>北京时间）</w:t>
            </w:r>
          </w:p>
          <w:p w14:paraId="0A6493CE">
            <w:pPr>
              <w:keepNext w:val="0"/>
              <w:keepLines w:val="0"/>
              <w:pageBreakBefore w:val="0"/>
              <w:shd w:val="clear" w:color="auto" w:fill="auto"/>
              <w:kinsoku/>
              <w:wordWrap/>
              <w:overflowPunct/>
              <w:topLinePunct w:val="0"/>
              <w:autoSpaceDE/>
              <w:autoSpaceDN/>
              <w:bidi w:val="0"/>
              <w:adjustRightInd/>
              <w:snapToGrid w:val="0"/>
              <w:spacing w:line="360" w:lineRule="exact"/>
              <w:ind w:firstLine="19" w:firstLineChars="9"/>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投标</w:t>
            </w:r>
            <w:r>
              <w:rPr>
                <w:rFonts w:hint="eastAsia" w:asciiTheme="majorEastAsia" w:hAnsiTheme="majorEastAsia" w:eastAsiaTheme="majorEastAsia" w:cstheme="majorEastAsia"/>
                <w:b/>
                <w:bCs/>
                <w:color w:val="auto"/>
                <w:sz w:val="21"/>
                <w:szCs w:val="21"/>
                <w:highlight w:val="none"/>
              </w:rPr>
              <w:t>地点：</w:t>
            </w:r>
            <w:r>
              <w:rPr>
                <w:rFonts w:hint="eastAsia" w:asciiTheme="majorEastAsia" w:hAnsiTheme="majorEastAsia" w:eastAsiaTheme="majorEastAsia" w:cstheme="majorEastAsia"/>
                <w:b/>
                <w:bCs/>
                <w:color w:val="auto"/>
                <w:sz w:val="21"/>
                <w:szCs w:val="21"/>
                <w:highlight w:val="none"/>
                <w:lang w:eastAsia="zh-CN"/>
              </w:rPr>
              <w:t>新疆</w:t>
            </w:r>
            <w:r>
              <w:rPr>
                <w:rFonts w:hint="eastAsia" w:asciiTheme="majorEastAsia" w:hAnsiTheme="majorEastAsia" w:eastAsiaTheme="majorEastAsia" w:cstheme="majorEastAsia"/>
                <w:b/>
                <w:bCs/>
                <w:color w:val="auto"/>
                <w:sz w:val="21"/>
                <w:szCs w:val="21"/>
                <w:highlight w:val="none"/>
              </w:rPr>
              <w:t>政府采购云平台（www.zcygov.cn）</w:t>
            </w:r>
          </w:p>
        </w:tc>
      </w:tr>
      <w:tr w14:paraId="2FEA20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894" w:type="dxa"/>
            <w:noWrap w:val="0"/>
            <w:vAlign w:val="center"/>
          </w:tcPr>
          <w:p w14:paraId="69F98AD0">
            <w:pPr>
              <w:pStyle w:val="14"/>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19</w:t>
            </w:r>
          </w:p>
        </w:tc>
        <w:tc>
          <w:tcPr>
            <w:tcW w:w="1402" w:type="dxa"/>
            <w:noWrap w:val="0"/>
            <w:vAlign w:val="center"/>
          </w:tcPr>
          <w:p w14:paraId="1331704D">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开标时间及地点</w:t>
            </w:r>
          </w:p>
        </w:tc>
        <w:tc>
          <w:tcPr>
            <w:tcW w:w="7113" w:type="dxa"/>
            <w:noWrap w:val="0"/>
            <w:vAlign w:val="center"/>
          </w:tcPr>
          <w:p w14:paraId="3C2B73C9">
            <w:pPr>
              <w:keepNext w:val="0"/>
              <w:keepLines w:val="0"/>
              <w:pageBreakBefore w:val="0"/>
              <w:shd w:val="clear" w:color="auto" w:fill="auto"/>
              <w:kinsoku/>
              <w:wordWrap/>
              <w:overflowPunct/>
              <w:topLinePunct w:val="0"/>
              <w:autoSpaceDE/>
              <w:autoSpaceDN/>
              <w:bidi w:val="0"/>
              <w:adjustRightInd/>
              <w:snapToGrid w:val="0"/>
              <w:spacing w:line="360" w:lineRule="exact"/>
              <w:ind w:firstLine="19" w:firstLineChars="9"/>
              <w:textAlignment w:val="auto"/>
              <w:outlineLvl w:val="9"/>
              <w:rPr>
                <w:rFonts w:hint="default"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eastAsia="zh-CN"/>
              </w:rPr>
              <w:t>开标时间：</w:t>
            </w:r>
            <w:r>
              <w:rPr>
                <w:rFonts w:hint="eastAsia" w:asciiTheme="majorEastAsia" w:hAnsiTheme="majorEastAsia" w:eastAsiaTheme="majorEastAsia" w:cstheme="majorEastAsia"/>
                <w:b/>
                <w:bCs/>
                <w:color w:val="auto"/>
                <w:sz w:val="21"/>
                <w:szCs w:val="21"/>
                <w:highlight w:val="none"/>
                <w:lang w:val="en-US" w:eastAsia="zh-CN"/>
              </w:rPr>
              <w:t>同投标截止时间</w:t>
            </w:r>
          </w:p>
          <w:p w14:paraId="1DA40751">
            <w:pPr>
              <w:keepNext w:val="0"/>
              <w:keepLines w:val="0"/>
              <w:pageBreakBefore w:val="0"/>
              <w:shd w:val="clear" w:color="auto" w:fill="auto"/>
              <w:kinsoku/>
              <w:wordWrap/>
              <w:overflowPunct/>
              <w:topLinePunct w:val="0"/>
              <w:autoSpaceDE/>
              <w:autoSpaceDN/>
              <w:bidi w:val="0"/>
              <w:adjustRightInd/>
              <w:snapToGrid w:val="0"/>
              <w:spacing w:line="360" w:lineRule="exact"/>
              <w:ind w:firstLine="19" w:firstLineChars="9"/>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开标地点：在新疆政府采购云平台（www.zcygov.cn）上开启投标文件</w:t>
            </w:r>
          </w:p>
        </w:tc>
      </w:tr>
      <w:tr w14:paraId="679F47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894" w:type="dxa"/>
            <w:noWrap w:val="0"/>
            <w:vAlign w:val="center"/>
          </w:tcPr>
          <w:p w14:paraId="117734DB">
            <w:pPr>
              <w:pStyle w:val="14"/>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20</w:t>
            </w:r>
          </w:p>
        </w:tc>
        <w:tc>
          <w:tcPr>
            <w:tcW w:w="1402" w:type="dxa"/>
            <w:noWrap w:val="0"/>
            <w:vAlign w:val="center"/>
          </w:tcPr>
          <w:p w14:paraId="2A0DFBA7">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谈判小组的</w:t>
            </w:r>
          </w:p>
          <w:p w14:paraId="38CB4C74">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组建</w:t>
            </w:r>
          </w:p>
        </w:tc>
        <w:tc>
          <w:tcPr>
            <w:tcW w:w="7113" w:type="dxa"/>
            <w:noWrap w:val="0"/>
            <w:vAlign w:val="top"/>
          </w:tcPr>
          <w:p w14:paraId="03D64971">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评标委员会由采购人依法组建；</w:t>
            </w:r>
          </w:p>
          <w:p w14:paraId="0B52370B">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b w:val="0"/>
                <w:bCs/>
                <w:color w:val="auto"/>
                <w:sz w:val="21"/>
                <w:szCs w:val="21"/>
                <w:highlight w:val="none"/>
                <w:lang w:val="en-US" w:eastAsia="zh-CN"/>
              </w:rPr>
              <w:t>评标专家确定方式：专家评委由采购人（采购代理机构）在开标前48小时内从政采云专家库中随机抽取。</w:t>
            </w:r>
          </w:p>
        </w:tc>
      </w:tr>
      <w:tr w14:paraId="7C03FC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894" w:type="dxa"/>
            <w:noWrap w:val="0"/>
            <w:vAlign w:val="center"/>
          </w:tcPr>
          <w:p w14:paraId="0718965A">
            <w:pPr>
              <w:pStyle w:val="14"/>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21</w:t>
            </w:r>
          </w:p>
        </w:tc>
        <w:tc>
          <w:tcPr>
            <w:tcW w:w="1402" w:type="dxa"/>
            <w:noWrap w:val="0"/>
            <w:vAlign w:val="center"/>
          </w:tcPr>
          <w:p w14:paraId="260DA9A4">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是否授权谈判小组确定</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 w:val="21"/>
                <w:szCs w:val="21"/>
                <w:highlight w:val="none"/>
                <w:lang w:val="en-US" w:eastAsia="zh-CN"/>
              </w:rPr>
              <w:t>候选人</w:t>
            </w:r>
          </w:p>
        </w:tc>
        <w:tc>
          <w:tcPr>
            <w:tcW w:w="7113" w:type="dxa"/>
            <w:noWrap w:val="0"/>
            <w:vAlign w:val="center"/>
          </w:tcPr>
          <w:p w14:paraId="456E9065">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是.</w:t>
            </w:r>
          </w:p>
        </w:tc>
      </w:tr>
      <w:tr w14:paraId="556598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894" w:type="dxa"/>
            <w:noWrap w:val="0"/>
            <w:vAlign w:val="center"/>
          </w:tcPr>
          <w:p w14:paraId="3DAB132B">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22</w:t>
            </w:r>
          </w:p>
        </w:tc>
        <w:tc>
          <w:tcPr>
            <w:tcW w:w="1402" w:type="dxa"/>
            <w:noWrap w:val="0"/>
            <w:vAlign w:val="center"/>
          </w:tcPr>
          <w:p w14:paraId="4BC716B4">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 w:val="21"/>
                <w:szCs w:val="21"/>
                <w:highlight w:val="none"/>
                <w:lang w:val="en-US" w:eastAsia="zh-CN"/>
              </w:rPr>
              <w:t>候选人公示媒介</w:t>
            </w:r>
          </w:p>
        </w:tc>
        <w:tc>
          <w:tcPr>
            <w:tcW w:w="7113" w:type="dxa"/>
            <w:noWrap w:val="0"/>
            <w:vAlign w:val="center"/>
          </w:tcPr>
          <w:p w14:paraId="56B1BC10">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both"/>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u w:val="none"/>
                <w:lang w:val="en-US" w:eastAsia="zh-CN" w:bidi="ar-SA"/>
              </w:rPr>
              <w:t>新疆政府采购网、克州公共资源交易网，公示期为一个工作日。</w:t>
            </w:r>
          </w:p>
        </w:tc>
      </w:tr>
      <w:tr w14:paraId="2A5188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6" w:hRule="atLeast"/>
          <w:jc w:val="center"/>
        </w:trPr>
        <w:tc>
          <w:tcPr>
            <w:tcW w:w="894" w:type="dxa"/>
            <w:noWrap w:val="0"/>
            <w:vAlign w:val="center"/>
          </w:tcPr>
          <w:p w14:paraId="053FC3EF">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23</w:t>
            </w:r>
          </w:p>
        </w:tc>
        <w:tc>
          <w:tcPr>
            <w:tcW w:w="1402" w:type="dxa"/>
            <w:noWrap w:val="0"/>
            <w:vAlign w:val="center"/>
          </w:tcPr>
          <w:p w14:paraId="0BFF123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kern w:val="2"/>
                <w:sz w:val="21"/>
                <w:szCs w:val="24"/>
                <w:highlight w:val="none"/>
                <w:lang w:val="en-US" w:eastAsia="zh-CN" w:bidi="ar-SA"/>
              </w:rPr>
              <w:t>履约担保</w:t>
            </w:r>
          </w:p>
        </w:tc>
        <w:tc>
          <w:tcPr>
            <w:tcW w:w="7113" w:type="dxa"/>
            <w:noWrap w:val="0"/>
            <w:vAlign w:val="top"/>
          </w:tcPr>
          <w:p w14:paraId="6CE643E0">
            <w:pPr>
              <w:keepNext w:val="0"/>
              <w:keepLines w:val="0"/>
              <w:pageBreakBefore w:val="0"/>
              <w:numPr>
                <w:ilvl w:val="0"/>
                <w:numId w:val="7"/>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lang w:val="en-US" w:eastAsia="zh-CN"/>
              </w:rPr>
            </w:pPr>
            <w:r>
              <w:rPr>
                <w:rFonts w:hint="eastAsia"/>
                <w:b w:val="0"/>
                <w:bCs/>
                <w:lang w:val="en-US" w:eastAsia="zh-CN"/>
              </w:rPr>
              <w:t>成交供应商在收到成交通知书5日内向采购人交纳成交价0%的履约保证金（若以电汇、银行转账方式提交的，必须转到采购人的指定账户），如果成交供应商在供货期内没有涉及采购人的应付而未付金额或违约行为，采购人在项目验收合格后或提前终止合同后全额无息退还履约保证金。</w:t>
            </w:r>
          </w:p>
          <w:p w14:paraId="53EA6E72">
            <w:pPr>
              <w:shd w:val="clear" w:color="auto" w:fill="auto"/>
              <w:spacing w:line="360" w:lineRule="auto"/>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签订合同后，如成交供应商不按合同约定履约的，履约保证金不予退还，履约保证金不足以赔偿损失的，按实际损失赔偿。</w:t>
            </w:r>
          </w:p>
          <w:p w14:paraId="584B7FD3">
            <w:pPr>
              <w:shd w:val="clear" w:color="auto" w:fill="auto"/>
              <w:spacing w:line="360" w:lineRule="auto"/>
              <w:jc w:val="left"/>
              <w:rPr>
                <w:rFonts w:hint="eastAsia" w:ascii="宋体"/>
                <w:b w:val="0"/>
                <w:bCs/>
                <w:color w:val="auto"/>
                <w:szCs w:val="21"/>
                <w:highlight w:val="none"/>
                <w:lang w:val="en-US" w:eastAsia="zh-CN"/>
              </w:rPr>
            </w:pPr>
            <w:r>
              <w:rPr>
                <w:rFonts w:hint="eastAsia" w:ascii="宋体"/>
                <w:b w:val="0"/>
                <w:bCs/>
                <w:color w:val="auto"/>
                <w:szCs w:val="21"/>
                <w:highlight w:val="none"/>
                <w:lang w:val="en-US" w:eastAsia="zh-CN"/>
              </w:rPr>
              <w:t>3、如果成交供应商在供货期内没有涉及采购人的应付而未付金额或违约行为，采购人在项目验收合格后或提前终止合同后全额无息退还履约保证金。</w:t>
            </w:r>
          </w:p>
          <w:p w14:paraId="335E01E3">
            <w:pPr>
              <w:jc w:val="both"/>
              <w:rPr>
                <w:rFonts w:hint="eastAsia" w:asciiTheme="majorEastAsia" w:hAnsiTheme="majorEastAsia" w:eastAsiaTheme="majorEastAsia" w:cstheme="majorEastAsia"/>
                <w:highlight w:val="none"/>
                <w:lang w:val="en-US" w:eastAsia="zh-CN"/>
              </w:rPr>
            </w:pPr>
            <w:r>
              <w:rPr>
                <w:rFonts w:hint="eastAsia" w:ascii="宋体"/>
                <w:b w:val="0"/>
                <w:bCs/>
                <w:color w:val="auto"/>
                <w:szCs w:val="21"/>
                <w:highlight w:val="none"/>
                <w:lang w:val="en-US" w:eastAsia="zh-CN"/>
              </w:rPr>
              <w:t>4、履约保证金以保函形式提交的，保函格式须严格按照采购人要求填写。</w:t>
            </w:r>
          </w:p>
        </w:tc>
      </w:tr>
      <w:tr w14:paraId="14E73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894" w:type="dxa"/>
            <w:noWrap w:val="0"/>
            <w:vAlign w:val="center"/>
          </w:tcPr>
          <w:p w14:paraId="4E2D71C3">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24</w:t>
            </w:r>
          </w:p>
        </w:tc>
        <w:tc>
          <w:tcPr>
            <w:tcW w:w="1402" w:type="dxa"/>
            <w:noWrap w:val="0"/>
            <w:vAlign w:val="center"/>
          </w:tcPr>
          <w:p w14:paraId="19AE28BB">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领取</w:t>
            </w:r>
          </w:p>
        </w:tc>
        <w:tc>
          <w:tcPr>
            <w:tcW w:w="7113" w:type="dxa"/>
            <w:noWrap w:val="0"/>
            <w:vAlign w:val="top"/>
          </w:tcPr>
          <w:p w14:paraId="671254FC">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时间：</w:t>
            </w:r>
            <w:r>
              <w:rPr>
                <w:rFonts w:hint="eastAsia" w:asciiTheme="majorEastAsia" w:hAnsiTheme="majorEastAsia" w:eastAsiaTheme="majorEastAsia" w:cstheme="majorEastAsia"/>
                <w:b/>
                <w:bCs/>
                <w:color w:val="0000FF"/>
                <w:szCs w:val="21"/>
                <w:highlight w:val="none"/>
                <w:lang w:val="en-US" w:eastAsia="zh-CN"/>
              </w:rPr>
              <w:t>2025年06月27日至2025年07月 04日</w:t>
            </w:r>
            <w:r>
              <w:rPr>
                <w:rFonts w:hint="eastAsia" w:asciiTheme="majorEastAsia" w:hAnsiTheme="majorEastAsia" w:eastAsiaTheme="majorEastAsia" w:cstheme="majorEastAsia"/>
                <w:color w:val="000000"/>
                <w:sz w:val="21"/>
                <w:szCs w:val="21"/>
                <w:highlight w:val="none"/>
              </w:rPr>
              <w:t>，每天上午10:00至1</w:t>
            </w:r>
            <w:r>
              <w:rPr>
                <w:rFonts w:hint="eastAsia" w:asciiTheme="majorEastAsia" w:hAnsiTheme="majorEastAsia" w:eastAsiaTheme="majorEastAsia" w:cstheme="majorEastAsia"/>
                <w:color w:val="000000"/>
                <w:sz w:val="21"/>
                <w:szCs w:val="21"/>
                <w:highlight w:val="none"/>
                <w:lang w:val="en-US" w:eastAsia="zh-CN"/>
              </w:rPr>
              <w:t>4</w:t>
            </w:r>
            <w:r>
              <w:rPr>
                <w:rFonts w:hint="eastAsia" w:asciiTheme="majorEastAsia" w:hAnsiTheme="majorEastAsia" w:eastAsiaTheme="majorEastAsia" w:cstheme="majorEastAsia"/>
                <w:color w:val="000000"/>
                <w:sz w:val="21"/>
                <w:szCs w:val="21"/>
                <w:highlight w:val="none"/>
              </w:rPr>
              <w:t>:</w:t>
            </w:r>
            <w:r>
              <w:rPr>
                <w:rFonts w:hint="eastAsia" w:asciiTheme="majorEastAsia" w:hAnsiTheme="majorEastAsia" w:eastAsiaTheme="majorEastAsia" w:cstheme="majorEastAsia"/>
                <w:color w:val="000000"/>
                <w:sz w:val="21"/>
                <w:szCs w:val="21"/>
                <w:highlight w:val="none"/>
                <w:lang w:val="en-US" w:eastAsia="zh-CN"/>
              </w:rPr>
              <w:t>0</w:t>
            </w:r>
            <w:r>
              <w:rPr>
                <w:rFonts w:hint="eastAsia" w:asciiTheme="majorEastAsia" w:hAnsiTheme="majorEastAsia" w:eastAsiaTheme="majorEastAsia" w:cstheme="majorEastAsia"/>
                <w:color w:val="000000"/>
                <w:sz w:val="21"/>
                <w:szCs w:val="21"/>
                <w:highlight w:val="none"/>
              </w:rPr>
              <w:t>0，下午16:</w:t>
            </w:r>
            <w:r>
              <w:rPr>
                <w:rFonts w:hint="eastAsia" w:asciiTheme="majorEastAsia" w:hAnsiTheme="majorEastAsia" w:eastAsiaTheme="majorEastAsia" w:cstheme="majorEastAsia"/>
                <w:color w:val="000000"/>
                <w:sz w:val="21"/>
                <w:szCs w:val="21"/>
                <w:highlight w:val="none"/>
                <w:lang w:val="en-US" w:eastAsia="zh-CN"/>
              </w:rPr>
              <w:t>0</w:t>
            </w:r>
            <w:r>
              <w:rPr>
                <w:rFonts w:hint="eastAsia" w:asciiTheme="majorEastAsia" w:hAnsiTheme="majorEastAsia" w:eastAsiaTheme="majorEastAsia" w:cstheme="majorEastAsia"/>
                <w:color w:val="000000"/>
                <w:sz w:val="21"/>
                <w:szCs w:val="21"/>
                <w:highlight w:val="none"/>
              </w:rPr>
              <w:t>0至</w:t>
            </w:r>
            <w:r>
              <w:rPr>
                <w:rFonts w:hint="eastAsia" w:asciiTheme="majorEastAsia" w:hAnsiTheme="majorEastAsia" w:eastAsiaTheme="majorEastAsia" w:cstheme="majorEastAsia"/>
                <w:color w:val="000000"/>
                <w:sz w:val="21"/>
                <w:szCs w:val="21"/>
                <w:highlight w:val="none"/>
                <w:lang w:val="en-US" w:eastAsia="zh-CN"/>
              </w:rPr>
              <w:t>20</w:t>
            </w:r>
            <w:r>
              <w:rPr>
                <w:rFonts w:hint="eastAsia" w:asciiTheme="majorEastAsia" w:hAnsiTheme="majorEastAsia" w:eastAsiaTheme="majorEastAsia" w:cstheme="majorEastAsia"/>
                <w:color w:val="000000"/>
                <w:sz w:val="21"/>
                <w:szCs w:val="21"/>
                <w:highlight w:val="none"/>
              </w:rPr>
              <w:t>:</w:t>
            </w:r>
            <w:r>
              <w:rPr>
                <w:rFonts w:hint="eastAsia" w:asciiTheme="majorEastAsia" w:hAnsiTheme="majorEastAsia" w:eastAsiaTheme="majorEastAsia" w:cstheme="majorEastAsia"/>
                <w:color w:val="000000"/>
                <w:sz w:val="21"/>
                <w:szCs w:val="21"/>
                <w:highlight w:val="none"/>
                <w:lang w:val="en-US" w:eastAsia="zh-CN"/>
              </w:rPr>
              <w:t>00</w:t>
            </w:r>
            <w:r>
              <w:rPr>
                <w:rFonts w:hint="eastAsia" w:asciiTheme="majorEastAsia" w:hAnsiTheme="majorEastAsia" w:eastAsiaTheme="majorEastAsia" w:cstheme="majorEastAsia"/>
                <w:color w:val="000000"/>
                <w:sz w:val="21"/>
                <w:szCs w:val="21"/>
                <w:highlight w:val="none"/>
              </w:rPr>
              <w:t>（北京时间，法定节假日除外）</w:t>
            </w:r>
          </w:p>
          <w:p w14:paraId="017DF242">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地点：供应商登陆政采云平台http://www.zcygov.cn/，在线申请获取</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（登录政府采购云平台 → 项目采购 → 获取</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→申请，审核通过后可下载</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，如有操作性问题，可与政采云在线客服进行咨询，咨询电话：</w:t>
            </w:r>
            <w:r>
              <w:rPr>
                <w:rFonts w:hint="eastAsia" w:asciiTheme="majorEastAsia" w:hAnsiTheme="majorEastAsia" w:eastAsiaTheme="majorEastAsia" w:cstheme="majorEastAsia"/>
                <w:color w:val="auto"/>
                <w:sz w:val="21"/>
                <w:szCs w:val="21"/>
                <w:highlight w:val="none"/>
                <w:lang w:eastAsia="zh-CN"/>
              </w:rPr>
              <w:t>95763</w:t>
            </w:r>
            <w:r>
              <w:rPr>
                <w:rFonts w:hint="eastAsia" w:asciiTheme="majorEastAsia" w:hAnsiTheme="majorEastAsia" w:eastAsiaTheme="majorEastAsia" w:cstheme="majorEastAsia"/>
                <w:color w:val="auto"/>
                <w:sz w:val="21"/>
                <w:szCs w:val="21"/>
                <w:highlight w:val="none"/>
              </w:rPr>
              <w:t>）。</w:t>
            </w:r>
          </w:p>
          <w:p w14:paraId="4CA11D83">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方式：（1）线上获取（登录政府采购云平台 → 项目采购 → 获取</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 申请，审核通过后可下载</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）。本次招标不提供纸质版</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w:t>
            </w:r>
          </w:p>
          <w:p w14:paraId="2B0115DE">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（2）供应商获取</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前应注册成为政府采购云平台正式供应商。</w:t>
            </w:r>
          </w:p>
        </w:tc>
      </w:tr>
      <w:tr w14:paraId="302BE5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894" w:type="dxa"/>
            <w:vMerge w:val="restart"/>
            <w:noWrap w:val="0"/>
            <w:vAlign w:val="center"/>
          </w:tcPr>
          <w:p w14:paraId="13DA3EF0">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25</w:t>
            </w:r>
          </w:p>
        </w:tc>
        <w:tc>
          <w:tcPr>
            <w:tcW w:w="1402" w:type="dxa"/>
            <w:vMerge w:val="restart"/>
            <w:noWrap w:val="0"/>
            <w:vAlign w:val="center"/>
          </w:tcPr>
          <w:p w14:paraId="0F2E0E7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color w:val="auto"/>
                <w:kern w:val="2"/>
                <w:sz w:val="21"/>
                <w:szCs w:val="24"/>
                <w:lang w:val="en-US" w:eastAsia="zh-CN" w:bidi="ar-SA"/>
              </w:rPr>
              <w:t>节能环保政策说明</w:t>
            </w:r>
          </w:p>
        </w:tc>
        <w:tc>
          <w:tcPr>
            <w:tcW w:w="7113" w:type="dxa"/>
            <w:noWrap w:val="0"/>
            <w:vAlign w:val="top"/>
          </w:tcPr>
          <w:p w14:paraId="1E9B7D60">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投标中伴随投标的产品如被列入财政部与国家主管部门颁发的节能产品目录或环境标志产品目录，应提供相关证明，在评标时予以优先采购，具体优惠措施为：《财政部、发展改革委、生态环境部、市场监管总局关于优化节能产品、环境标志产品政府采购执行机制的通知》（财库〔2019〕9号）。</w:t>
            </w:r>
          </w:p>
          <w:p w14:paraId="71CD81DA">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1.节能产品：应在中国政府采购网（ http://www.ccgp.gov.cn ）</w:t>
            </w:r>
          </w:p>
          <w:p w14:paraId="2D48FD9D">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2.环境标志产品：应在中国政府采购网（ http://www.ccgp.gov.cn</w:t>
            </w:r>
          </w:p>
          <w:p w14:paraId="52936A97">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kern w:val="2"/>
                <w:sz w:val="21"/>
                <w:szCs w:val="24"/>
                <w:lang w:val="en-US" w:eastAsia="zh-CN" w:bidi="ar-SA"/>
              </w:rPr>
              <w:t>3.属优先采购节能、环境标志产品须从以上权威媒体网站上查询并打印结果。</w:t>
            </w:r>
          </w:p>
        </w:tc>
      </w:tr>
      <w:tr w14:paraId="7FEEEF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894" w:type="dxa"/>
            <w:vMerge w:val="continue"/>
            <w:tcBorders/>
            <w:noWrap w:val="0"/>
            <w:vAlign w:val="center"/>
          </w:tcPr>
          <w:p w14:paraId="37D388BD">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p>
        </w:tc>
        <w:tc>
          <w:tcPr>
            <w:tcW w:w="1402" w:type="dxa"/>
            <w:vMerge w:val="continue"/>
            <w:tcBorders/>
            <w:noWrap w:val="0"/>
            <w:vAlign w:val="center"/>
          </w:tcPr>
          <w:p w14:paraId="3EEDD878">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eastAsia="zh-CN"/>
              </w:rPr>
            </w:pPr>
          </w:p>
        </w:tc>
        <w:tc>
          <w:tcPr>
            <w:tcW w:w="7113" w:type="dxa"/>
            <w:noWrap w:val="0"/>
            <w:vAlign w:val="top"/>
          </w:tcPr>
          <w:p w14:paraId="0B9426BD">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严格执行《财政部发展改革委 生态环境部 市场监管总局关于调整优化节能产品、环境标志产品政府采购执行机制的通知》（财库〔2019〕9 号）。</w:t>
            </w:r>
          </w:p>
          <w:p w14:paraId="79BE0B2B">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（1）本次采购产品属于政府强制采购产品类别的，须按照要求提供依据国家确定的认证机构出具的、处于有效期之内的节能产品认证证书，否则投标无效。</w:t>
            </w:r>
          </w:p>
          <w:p w14:paraId="538B9633">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kern w:val="2"/>
                <w:sz w:val="21"/>
                <w:szCs w:val="24"/>
                <w:lang w:val="en-US" w:eastAsia="zh-CN" w:bidi="ar-SA"/>
              </w:rPr>
              <w:t>（2）属于政府优先采购产品</w:t>
            </w:r>
            <w:bookmarkStart w:id="127" w:name="_GoBack"/>
            <w:bookmarkEnd w:id="127"/>
            <w:r>
              <w:rPr>
                <w:rFonts w:hint="eastAsia" w:ascii="宋体" w:hAnsi="宋体" w:eastAsia="宋体" w:cs="宋体"/>
                <w:color w:val="auto"/>
                <w:kern w:val="2"/>
                <w:sz w:val="21"/>
                <w:szCs w:val="24"/>
                <w:lang w:val="en-US" w:eastAsia="zh-CN" w:bidi="ar-SA"/>
              </w:rPr>
              <w:t>类别的，须按照要求提供依据国家确定的认证机构出具的、处于有效期之内的节能产品或环境标志产品认证证书，否则不予认定。</w:t>
            </w:r>
          </w:p>
        </w:tc>
      </w:tr>
      <w:tr w14:paraId="013497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98" w:hRule="atLeast"/>
          <w:jc w:val="center"/>
        </w:trPr>
        <w:tc>
          <w:tcPr>
            <w:tcW w:w="894" w:type="dxa"/>
            <w:noWrap w:val="0"/>
            <w:vAlign w:val="center"/>
          </w:tcPr>
          <w:p w14:paraId="36DD6D2F">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26</w:t>
            </w:r>
          </w:p>
        </w:tc>
        <w:tc>
          <w:tcPr>
            <w:tcW w:w="1402" w:type="dxa"/>
            <w:noWrap w:val="0"/>
            <w:vAlign w:val="center"/>
          </w:tcPr>
          <w:p w14:paraId="6A07A28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r>
              <w:rPr>
                <w:rFonts w:hint="eastAsia" w:asciiTheme="majorEastAsia" w:hAnsiTheme="majorEastAsia" w:eastAsiaTheme="majorEastAsia" w:cstheme="majorEastAsia"/>
                <w:b/>
                <w:color w:val="auto"/>
                <w:sz w:val="21"/>
                <w:szCs w:val="21"/>
                <w:highlight w:val="none"/>
                <w:lang w:eastAsia="zh-CN"/>
              </w:rPr>
              <w:t>重要说明</w:t>
            </w:r>
          </w:p>
        </w:tc>
        <w:tc>
          <w:tcPr>
            <w:tcW w:w="7113" w:type="dxa"/>
            <w:noWrap w:val="0"/>
            <w:vAlign w:val="top"/>
          </w:tcPr>
          <w:p w14:paraId="790B1879">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48168A9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513233EF">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B16C7D7">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如有问题可拨打政采云客户服务热线</w:t>
            </w:r>
            <w:r>
              <w:rPr>
                <w:rFonts w:hint="eastAsia" w:asciiTheme="majorEastAsia" w:hAnsiTheme="majorEastAsia" w:eastAsiaTheme="majorEastAsia" w:cstheme="majorEastAsia"/>
                <w:color w:val="auto"/>
                <w:sz w:val="21"/>
                <w:szCs w:val="21"/>
                <w:highlight w:val="none"/>
                <w:lang w:eastAsia="zh-CN"/>
              </w:rPr>
              <w:t>95763</w:t>
            </w:r>
            <w:r>
              <w:rPr>
                <w:rFonts w:hint="eastAsia" w:asciiTheme="majorEastAsia" w:hAnsiTheme="majorEastAsia" w:eastAsiaTheme="majorEastAsia" w:cstheme="majorEastAsia"/>
                <w:color w:val="auto"/>
                <w:sz w:val="21"/>
                <w:szCs w:val="21"/>
                <w:highlight w:val="none"/>
              </w:rPr>
              <w:t>进行咨询。</w:t>
            </w:r>
          </w:p>
          <w:p w14:paraId="25A22AF7">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Theme="majorEastAsia" w:hAnsiTheme="majorEastAsia" w:eastAsiaTheme="majorEastAsia" w:cstheme="majorEastAsia"/>
                <w:color w:val="auto"/>
                <w:sz w:val="21"/>
                <w:szCs w:val="21"/>
                <w:highlight w:val="none"/>
                <w:lang w:eastAsia="zh-CN"/>
              </w:rPr>
              <w:t>中国</w:t>
            </w:r>
            <w:r>
              <w:rPr>
                <w:rFonts w:hint="eastAsia" w:asciiTheme="majorEastAsia" w:hAnsiTheme="majorEastAsia" w:eastAsiaTheme="majorEastAsia" w:cstheme="majorEastAsia"/>
                <w:color w:val="auto"/>
                <w:sz w:val="21"/>
                <w:szCs w:val="21"/>
                <w:highlight w:val="none"/>
              </w:rPr>
              <w:t>政府采购网下载专区下载。未按规定获取采购文件或逾期提出的不予受理、答复。</w:t>
            </w:r>
          </w:p>
        </w:tc>
      </w:tr>
      <w:tr w14:paraId="4E31BE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894" w:type="dxa"/>
            <w:vMerge w:val="restart"/>
            <w:noWrap w:val="0"/>
            <w:vAlign w:val="center"/>
          </w:tcPr>
          <w:p w14:paraId="52C2D600">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default"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27</w:t>
            </w:r>
          </w:p>
        </w:tc>
        <w:tc>
          <w:tcPr>
            <w:tcW w:w="1402" w:type="dxa"/>
            <w:vMerge w:val="restart"/>
            <w:noWrap w:val="0"/>
            <w:vAlign w:val="center"/>
          </w:tcPr>
          <w:p w14:paraId="2D726FC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r>
              <w:rPr>
                <w:rFonts w:hint="eastAsia" w:asciiTheme="majorEastAsia" w:hAnsiTheme="majorEastAsia" w:eastAsiaTheme="majorEastAsia" w:cstheme="majorEastAsia"/>
                <w:color w:val="000000"/>
                <w:szCs w:val="21"/>
                <w:highlight w:val="none"/>
              </w:rPr>
              <w:t>中小微企业政策文件</w:t>
            </w:r>
          </w:p>
        </w:tc>
        <w:tc>
          <w:tcPr>
            <w:tcW w:w="7113" w:type="dxa"/>
            <w:noWrap w:val="0"/>
            <w:vAlign w:val="top"/>
          </w:tcPr>
          <w:p w14:paraId="4E55648E">
            <w:pPr>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val="0"/>
                <w:bCs/>
                <w:color w:val="000000"/>
                <w:szCs w:val="21"/>
                <w:highlight w:val="none"/>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采购文件格式提供《中小企业声明函》。</w:t>
            </w:r>
          </w:p>
        </w:tc>
      </w:tr>
      <w:tr w14:paraId="6F0EB8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894" w:type="dxa"/>
            <w:vMerge w:val="continue"/>
            <w:noWrap w:val="0"/>
            <w:vAlign w:val="center"/>
          </w:tcPr>
          <w:p w14:paraId="1D3214B1">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1402" w:type="dxa"/>
            <w:vMerge w:val="continue"/>
            <w:noWrap w:val="0"/>
            <w:vAlign w:val="center"/>
          </w:tcPr>
          <w:p w14:paraId="41CB45C6">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7113" w:type="dxa"/>
            <w:noWrap w:val="0"/>
            <w:vAlign w:val="top"/>
          </w:tcPr>
          <w:p w14:paraId="0E34388B">
            <w:pPr>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val="0"/>
                <w:bCs/>
                <w:color w:val="000000"/>
                <w:szCs w:val="21"/>
                <w:highlight w:val="none"/>
                <w:lang w:val="en-US" w:eastAsia="zh-CN"/>
              </w:rPr>
              <w:t>（2）根据财政部、司法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59AC97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894" w:type="dxa"/>
            <w:vMerge w:val="continue"/>
            <w:noWrap w:val="0"/>
            <w:vAlign w:val="center"/>
          </w:tcPr>
          <w:p w14:paraId="373C456E">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1402" w:type="dxa"/>
            <w:vMerge w:val="continue"/>
            <w:noWrap w:val="0"/>
            <w:vAlign w:val="center"/>
          </w:tcPr>
          <w:p w14:paraId="1991AFD6">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7113" w:type="dxa"/>
            <w:noWrap w:val="0"/>
            <w:vAlign w:val="top"/>
          </w:tcPr>
          <w:p w14:paraId="24300E0D">
            <w:pPr>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val="0"/>
                <w:bCs/>
                <w:color w:val="000000"/>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采购文件格式提供残疾人福利性单位声明函（如有请提供）。</w:t>
            </w:r>
          </w:p>
        </w:tc>
      </w:tr>
      <w:tr w14:paraId="1D0C74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vMerge w:val="continue"/>
            <w:noWrap w:val="0"/>
            <w:vAlign w:val="center"/>
          </w:tcPr>
          <w:p w14:paraId="7BA38F08">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1402" w:type="dxa"/>
            <w:vMerge w:val="continue"/>
            <w:noWrap w:val="0"/>
            <w:vAlign w:val="center"/>
          </w:tcPr>
          <w:p w14:paraId="18B27DFB">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7113" w:type="dxa"/>
            <w:noWrap w:val="0"/>
            <w:vAlign w:val="top"/>
          </w:tcPr>
          <w:p w14:paraId="70A72568">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val="0"/>
                <w:color w:val="0000FF"/>
                <w:szCs w:val="21"/>
                <w:lang w:val="en-US" w:eastAsia="zh-CN"/>
              </w:rPr>
            </w:pPr>
            <w:r>
              <w:rPr>
                <w:rFonts w:hint="eastAsia" w:ascii="宋体" w:hAnsi="宋体" w:cs="宋体"/>
                <w:b/>
                <w:bCs w:val="0"/>
                <w:color w:val="0000FF"/>
                <w:szCs w:val="21"/>
                <w:lang w:val="en-US" w:eastAsia="zh-CN"/>
              </w:rPr>
              <w:t>（1</w:t>
            </w:r>
            <w:r>
              <w:rPr>
                <w:rFonts w:hint="eastAsia" w:ascii="宋体" w:hAnsi="宋体" w:eastAsia="宋体" w:cs="宋体"/>
                <w:b/>
                <w:bCs w:val="0"/>
                <w:color w:val="0000FF"/>
                <w:szCs w:val="21"/>
                <w:lang w:val="en-US" w:eastAsia="zh-CN"/>
              </w:rPr>
              <w:t>）本项目</w:t>
            </w:r>
            <w:r>
              <w:rPr>
                <w:rFonts w:hint="eastAsia" w:ascii="宋体" w:hAnsi="宋体" w:cs="宋体"/>
                <w:b/>
                <w:bCs w:val="0"/>
                <w:color w:val="0000FF"/>
                <w:szCs w:val="21"/>
                <w:lang w:val="en-US" w:eastAsia="zh-CN"/>
              </w:rPr>
              <w:t>采购物品</w:t>
            </w:r>
            <w:r>
              <w:rPr>
                <w:rFonts w:hint="eastAsia" w:ascii="宋体" w:hAnsi="宋体" w:eastAsia="宋体" w:cs="宋体"/>
                <w:b/>
                <w:bCs w:val="0"/>
                <w:color w:val="0000FF"/>
                <w:szCs w:val="21"/>
                <w:lang w:val="en-US" w:eastAsia="zh-CN"/>
              </w:rPr>
              <w:t>所属行业：工业；</w:t>
            </w:r>
          </w:p>
          <w:p w14:paraId="3772C1D4">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val="0"/>
                <w:color w:val="0000FF"/>
                <w:szCs w:val="21"/>
                <w:lang w:val="en-US" w:eastAsia="zh-CN"/>
              </w:rPr>
            </w:pPr>
            <w:r>
              <w:rPr>
                <w:rFonts w:hint="eastAsia" w:ascii="宋体" w:hAnsi="宋体" w:eastAsia="宋体" w:cs="宋体"/>
                <w:b/>
                <w:bCs w:val="0"/>
                <w:color w:val="0000FF"/>
                <w:szCs w:val="21"/>
                <w:lang w:val="en-US" w:eastAsia="zh-CN"/>
              </w:rPr>
              <w:t>（2）</w:t>
            </w:r>
            <w:r>
              <w:rPr>
                <w:rFonts w:hint="eastAsia" w:ascii="宋体" w:hAnsi="宋体" w:eastAsia="宋体" w:cs="宋体"/>
                <w:b/>
                <w:bCs/>
                <w:color w:val="0000FF"/>
                <w:lang w:val="en-US" w:eastAsia="zh-CN"/>
              </w:rPr>
              <w:t>本项目为专门面向</w:t>
            </w:r>
            <w:r>
              <w:rPr>
                <w:rFonts w:hint="eastAsia" w:ascii="宋体" w:hAnsi="宋体" w:cs="宋体"/>
                <w:b/>
                <w:bCs/>
                <w:color w:val="0000FF"/>
                <w:lang w:val="en-US" w:eastAsia="zh-CN"/>
              </w:rPr>
              <w:t>中小</w:t>
            </w:r>
            <w:r>
              <w:rPr>
                <w:rFonts w:hint="eastAsia" w:ascii="宋体" w:hAnsi="宋体" w:eastAsia="宋体" w:cs="宋体"/>
                <w:b/>
                <w:bCs/>
                <w:color w:val="0000FF"/>
                <w:lang w:val="en-US" w:eastAsia="zh-CN"/>
              </w:rPr>
              <w:t>企业采购，不</w:t>
            </w:r>
            <w:r>
              <w:rPr>
                <w:rFonts w:hint="eastAsia" w:ascii="宋体" w:hAnsi="宋体" w:cs="宋体"/>
                <w:b/>
                <w:bCs/>
                <w:color w:val="0000FF"/>
                <w:lang w:val="en-US" w:eastAsia="zh-CN"/>
              </w:rPr>
              <w:t>再</w:t>
            </w:r>
            <w:r>
              <w:rPr>
                <w:rFonts w:hint="eastAsia" w:ascii="宋体" w:hAnsi="宋体" w:eastAsia="宋体" w:cs="宋体"/>
                <w:b/>
                <w:bCs/>
                <w:color w:val="0000FF"/>
                <w:lang w:val="en-US" w:eastAsia="zh-CN"/>
              </w:rPr>
              <w:t>对</w:t>
            </w:r>
            <w:r>
              <w:rPr>
                <w:rFonts w:hint="eastAsia" w:ascii="宋体" w:hAnsi="宋体" w:cs="宋体"/>
                <w:b/>
                <w:bCs/>
                <w:color w:val="0000FF"/>
                <w:lang w:val="en-US" w:eastAsia="zh-CN"/>
              </w:rPr>
              <w:t>小微</w:t>
            </w:r>
            <w:r>
              <w:rPr>
                <w:rFonts w:hint="eastAsia" w:ascii="宋体" w:hAnsi="宋体" w:eastAsia="宋体" w:cs="宋体"/>
                <w:b/>
                <w:bCs/>
                <w:color w:val="0000FF"/>
                <w:lang w:val="en-US" w:eastAsia="zh-CN"/>
              </w:rPr>
              <w:t>企业的价格进行扣除评审。</w:t>
            </w:r>
          </w:p>
          <w:p w14:paraId="71970B26">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ind w:leftChars="0"/>
              <w:jc w:val="left"/>
              <w:textAlignment w:val="auto"/>
              <w:outlineLvl w:val="9"/>
              <w:rPr>
                <w:rFonts w:hint="default" w:ascii="宋体" w:hAnsi="宋体" w:eastAsia="宋体" w:cs="宋体"/>
                <w:b/>
                <w:bCs w:val="0"/>
                <w:color w:val="0000FF"/>
                <w:szCs w:val="21"/>
                <w:lang w:val="en-US" w:eastAsia="zh-CN"/>
              </w:rPr>
            </w:pPr>
            <w:r>
              <w:rPr>
                <w:rFonts w:hint="eastAsia" w:ascii="宋体" w:hAnsi="宋体" w:cs="宋体"/>
                <w:b/>
                <w:bCs w:val="0"/>
                <w:color w:val="0000FF"/>
                <w:szCs w:val="21"/>
                <w:lang w:val="en-US" w:eastAsia="zh-CN"/>
              </w:rPr>
              <w:t>（3）</w:t>
            </w:r>
            <w:r>
              <w:rPr>
                <w:rFonts w:hint="eastAsia" w:ascii="宋体" w:hAnsi="宋体" w:eastAsia="宋体" w:cs="宋体"/>
                <w:b/>
                <w:bCs/>
                <w:color w:val="0000FF"/>
                <w:lang w:val="en-US" w:eastAsia="zh-CN"/>
              </w:rPr>
              <w:t>供应商提供</w:t>
            </w:r>
            <w:r>
              <w:rPr>
                <w:rFonts w:hint="eastAsia" w:ascii="宋体" w:hAnsi="宋体" w:cs="宋体"/>
                <w:b/>
                <w:bCs/>
                <w:color w:val="0000FF"/>
                <w:lang w:val="en-US" w:eastAsia="zh-CN"/>
              </w:rPr>
              <w:t>投标货物</w:t>
            </w:r>
            <w:r>
              <w:rPr>
                <w:rFonts w:hint="eastAsia" w:ascii="宋体" w:hAnsi="宋体" w:eastAsia="宋体" w:cs="宋体"/>
                <w:b/>
                <w:bCs/>
                <w:color w:val="0000FF"/>
                <w:lang w:val="en-US" w:eastAsia="zh-CN"/>
              </w:rPr>
              <w:t>制造商为</w:t>
            </w:r>
            <w:r>
              <w:rPr>
                <w:rFonts w:hint="eastAsia" w:ascii="宋体" w:hAnsi="宋体" w:cs="宋体"/>
                <w:b/>
                <w:bCs/>
                <w:color w:val="FF0000"/>
                <w:lang w:val="en-US" w:eastAsia="zh-CN"/>
              </w:rPr>
              <w:t>中小</w:t>
            </w:r>
            <w:r>
              <w:rPr>
                <w:rFonts w:hint="eastAsia" w:ascii="宋体" w:hAnsi="宋体" w:eastAsia="宋体" w:cs="宋体"/>
                <w:b/>
                <w:bCs/>
                <w:color w:val="FF0000"/>
                <w:lang w:val="en-US" w:eastAsia="zh-CN"/>
              </w:rPr>
              <w:t>企业</w:t>
            </w:r>
            <w:r>
              <w:rPr>
                <w:rFonts w:hint="eastAsia" w:ascii="宋体" w:hAnsi="宋体" w:eastAsia="宋体" w:cs="宋体"/>
                <w:b/>
                <w:bCs/>
                <w:color w:val="0000FF"/>
                <w:lang w:val="en-US" w:eastAsia="zh-CN"/>
              </w:rPr>
              <w:t xml:space="preserve">的《中小企业声明函》时，必须将“招标文件 </w:t>
            </w:r>
            <w:r>
              <w:rPr>
                <w:rFonts w:hint="eastAsia" w:ascii="宋体" w:hAnsi="宋体" w:eastAsia="宋体" w:cs="宋体"/>
                <w:b/>
                <w:bCs w:val="0"/>
                <w:color w:val="FF0000"/>
                <w:szCs w:val="21"/>
                <w:lang w:val="en-US" w:eastAsia="zh-CN"/>
              </w:rPr>
              <w:t>第四章</w:t>
            </w:r>
            <w:r>
              <w:rPr>
                <w:rFonts w:hint="eastAsia" w:ascii="宋体" w:hAnsi="宋体" w:cs="宋体"/>
                <w:b/>
                <w:bCs w:val="0"/>
                <w:color w:val="FF0000"/>
                <w:szCs w:val="21"/>
                <w:lang w:val="en-US" w:eastAsia="zh-CN"/>
              </w:rPr>
              <w:t xml:space="preserve"> </w:t>
            </w:r>
            <w:r>
              <w:rPr>
                <w:rFonts w:hint="eastAsia" w:ascii="宋体" w:hAnsi="宋体" w:eastAsia="宋体" w:cs="宋体"/>
                <w:b/>
                <w:bCs/>
                <w:color w:val="FF0000"/>
                <w:lang w:val="en-US" w:eastAsia="zh-CN"/>
              </w:rPr>
              <w:t>采购内容（技术）及商务要求” 所列的采购标的物全部列入《</w:t>
            </w:r>
            <w:r>
              <w:rPr>
                <w:rFonts w:hint="eastAsia" w:ascii="宋体" w:hAnsi="宋体" w:eastAsia="宋体" w:cs="宋体"/>
                <w:b/>
                <w:bCs/>
                <w:color w:val="0000FF"/>
                <w:lang w:val="en-US" w:eastAsia="zh-CN"/>
              </w:rPr>
              <w:t>中小企业声明函》，否则专门面向</w:t>
            </w:r>
            <w:r>
              <w:rPr>
                <w:rFonts w:hint="eastAsia" w:ascii="宋体" w:hAnsi="宋体" w:cs="宋体"/>
                <w:b/>
                <w:bCs/>
                <w:color w:val="0000FF"/>
                <w:lang w:val="en-US" w:eastAsia="zh-CN"/>
              </w:rPr>
              <w:t>中小</w:t>
            </w:r>
            <w:r>
              <w:rPr>
                <w:rFonts w:hint="eastAsia" w:ascii="宋体" w:hAnsi="宋体" w:eastAsia="宋体" w:cs="宋体"/>
                <w:b/>
                <w:bCs/>
                <w:color w:val="0000FF"/>
                <w:lang w:val="en-US" w:eastAsia="zh-CN"/>
              </w:rPr>
              <w:t>企业的项目做废标处理。</w:t>
            </w:r>
          </w:p>
          <w:p w14:paraId="22172423">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highlight w:val="none"/>
                <w:lang w:val="en-US" w:eastAsia="zh-CN"/>
              </w:rPr>
            </w:pPr>
            <w:r>
              <w:rPr>
                <w:rFonts w:hint="eastAsia" w:ascii="宋体" w:hAnsi="宋体" w:eastAsia="宋体" w:cs="宋体"/>
                <w:b/>
                <w:bCs w:val="0"/>
                <w:color w:val="0000FF"/>
                <w:szCs w:val="21"/>
                <w:lang w:val="en-US" w:eastAsia="zh-CN"/>
              </w:rPr>
              <w:t>（</w:t>
            </w:r>
            <w:r>
              <w:rPr>
                <w:rFonts w:hint="eastAsia" w:ascii="宋体" w:hAnsi="宋体" w:cs="宋体"/>
                <w:b/>
                <w:bCs w:val="0"/>
                <w:color w:val="0000FF"/>
                <w:szCs w:val="21"/>
                <w:lang w:val="en-US" w:eastAsia="zh-CN"/>
              </w:rPr>
              <w:t>4</w:t>
            </w:r>
            <w:r>
              <w:rPr>
                <w:rFonts w:hint="eastAsia" w:ascii="宋体" w:hAnsi="宋体" w:eastAsia="宋体" w:cs="宋体"/>
                <w:b/>
                <w:bCs w:val="0"/>
                <w:color w:val="0000FF"/>
                <w:szCs w:val="21"/>
                <w:lang w:val="en-US" w:eastAsia="zh-CN"/>
              </w:rPr>
              <w:t>）工业划型标准</w:t>
            </w:r>
            <w:r>
              <w:rPr>
                <w:rFonts w:hint="eastAsia" w:ascii="宋体" w:hAnsi="宋体" w:cs="宋体"/>
                <w:b/>
                <w:bCs w:val="0"/>
                <w:color w:val="0000FF"/>
                <w:szCs w:val="21"/>
                <w:lang w:val="en-US" w:eastAsia="zh-CN"/>
              </w:rPr>
              <w:t>：</w:t>
            </w:r>
            <w:r>
              <w:rPr>
                <w:rFonts w:hint="eastAsia" w:ascii="宋体" w:hAnsi="宋体" w:eastAsia="宋体" w:cs="宋体"/>
                <w:b/>
                <w:bCs w:val="0"/>
                <w:color w:val="0000FF"/>
                <w:szCs w:val="21"/>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1BB13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894" w:type="dxa"/>
            <w:noWrap w:val="0"/>
            <w:vAlign w:val="center"/>
          </w:tcPr>
          <w:p w14:paraId="1685A735">
            <w:pPr>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b/>
                <w:bCs w:val="0"/>
                <w:color w:val="auto"/>
                <w:sz w:val="21"/>
                <w:szCs w:val="21"/>
                <w:highlight w:val="none"/>
                <w:lang w:val="en-US" w:eastAsia="zh-CN"/>
              </w:rPr>
            </w:pPr>
            <w:r>
              <w:rPr>
                <w:rFonts w:hint="eastAsia" w:asciiTheme="majorEastAsia" w:hAnsiTheme="majorEastAsia" w:eastAsiaTheme="majorEastAsia" w:cstheme="majorEastAsia"/>
                <w:b/>
                <w:bCs w:val="0"/>
                <w:color w:val="auto"/>
                <w:sz w:val="21"/>
                <w:szCs w:val="21"/>
                <w:highlight w:val="none"/>
                <w:lang w:val="en-US" w:eastAsia="zh-CN"/>
              </w:rPr>
              <w:t>备注</w:t>
            </w:r>
          </w:p>
        </w:tc>
        <w:tc>
          <w:tcPr>
            <w:tcW w:w="8515" w:type="dxa"/>
            <w:gridSpan w:val="2"/>
            <w:noWrap w:val="0"/>
            <w:vAlign w:val="center"/>
          </w:tcPr>
          <w:p w14:paraId="1E440343">
            <w:pPr>
              <w:numPr>
                <w:ilvl w:val="0"/>
                <w:numId w:val="0"/>
              </w:numPr>
              <w:spacing w:line="360" w:lineRule="auto"/>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w:t>
            </w:r>
            <w:r>
              <w:rPr>
                <w:rFonts w:hint="eastAsia" w:eastAsia="宋体" w:cs="Times New Roman"/>
                <w:b/>
                <w:bCs w:val="0"/>
                <w:color w:val="auto"/>
                <w:kern w:val="2"/>
                <w:sz w:val="21"/>
                <w:szCs w:val="21"/>
                <w:highlight w:val="none"/>
                <w:lang w:val="en-US" w:eastAsia="zh-CN" w:bidi="ar-SA"/>
              </w:rPr>
              <w:t>采购文件</w:t>
            </w:r>
            <w:r>
              <w:rPr>
                <w:rFonts w:hint="eastAsia" w:ascii="Times New Roman" w:hAnsi="Times New Roman" w:eastAsia="宋体" w:cs="Times New Roman"/>
                <w:b/>
                <w:bCs w:val="0"/>
                <w:color w:val="auto"/>
                <w:kern w:val="2"/>
                <w:sz w:val="21"/>
                <w:szCs w:val="21"/>
                <w:highlight w:val="none"/>
                <w:lang w:val="en-US" w:eastAsia="zh-CN" w:bidi="ar-SA"/>
              </w:rPr>
              <w:t>中的每一个条款及要求，因误读</w:t>
            </w:r>
            <w:r>
              <w:rPr>
                <w:rFonts w:hint="eastAsia" w:eastAsia="宋体" w:cs="Times New Roman"/>
                <w:b/>
                <w:bCs w:val="0"/>
                <w:color w:val="auto"/>
                <w:kern w:val="2"/>
                <w:sz w:val="21"/>
                <w:szCs w:val="21"/>
                <w:highlight w:val="none"/>
                <w:lang w:val="en-US" w:eastAsia="zh-CN" w:bidi="ar-SA"/>
              </w:rPr>
              <w:t>采购</w:t>
            </w:r>
            <w:r>
              <w:rPr>
                <w:rFonts w:hint="eastAsia" w:ascii="Times New Roman" w:hAnsi="Times New Roman" w:eastAsia="宋体" w:cs="Times New Roman"/>
                <w:b/>
                <w:bCs w:val="0"/>
                <w:color w:val="auto"/>
                <w:kern w:val="2"/>
                <w:sz w:val="21"/>
                <w:szCs w:val="21"/>
                <w:highlight w:val="none"/>
                <w:lang w:val="en-US" w:eastAsia="zh-CN" w:bidi="ar-SA"/>
              </w:rPr>
              <w:t>文件而造成的后果，招标人概不负责。</w:t>
            </w:r>
          </w:p>
          <w:p w14:paraId="5F14AD2B">
            <w:pPr>
              <w:numPr>
                <w:ilvl w:val="0"/>
                <w:numId w:val="0"/>
              </w:numPr>
              <w:spacing w:line="360" w:lineRule="auto"/>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w:t>
            </w:r>
            <w:r>
              <w:rPr>
                <w:rFonts w:hint="eastAsia" w:eastAsia="宋体" w:cs="Times New Roman"/>
                <w:b/>
                <w:bCs w:val="0"/>
                <w:color w:val="auto"/>
                <w:kern w:val="2"/>
                <w:sz w:val="21"/>
                <w:szCs w:val="21"/>
                <w:highlight w:val="none"/>
                <w:lang w:val="en-US" w:eastAsia="zh-CN" w:bidi="ar-SA"/>
              </w:rPr>
              <w:t>采购文件</w:t>
            </w:r>
            <w:r>
              <w:rPr>
                <w:rFonts w:hint="eastAsia" w:ascii="Times New Roman" w:hAnsi="Times New Roman" w:eastAsia="宋体" w:cs="Times New Roman"/>
                <w:b/>
                <w:bCs w:val="0"/>
                <w:color w:val="auto"/>
                <w:kern w:val="2"/>
                <w:sz w:val="21"/>
                <w:szCs w:val="21"/>
                <w:highlight w:val="none"/>
                <w:lang w:val="en-US" w:eastAsia="zh-CN" w:bidi="ar-SA"/>
              </w:rPr>
              <w:t>中用“拒绝”、“不接受”、“无效”、“不得”等文字规定，对其中任何一条的偏离，在评审时将其视为无效文件。未用上述文字规定或符号标注的条款为非实质性要求条款(即一般条款)。</w:t>
            </w:r>
          </w:p>
          <w:p w14:paraId="2CD91AB1">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w:t>
            </w:r>
            <w:r>
              <w:rPr>
                <w:rFonts w:hint="eastAsia" w:eastAsia="宋体" w:cs="Times New Roman"/>
                <w:b/>
                <w:bCs w:val="0"/>
                <w:color w:val="auto"/>
                <w:kern w:val="2"/>
                <w:sz w:val="21"/>
                <w:szCs w:val="21"/>
                <w:highlight w:val="none"/>
                <w:lang w:val="en-US" w:eastAsia="zh-CN" w:bidi="ar-SA"/>
              </w:rPr>
              <w:t>采购文件</w:t>
            </w:r>
            <w:r>
              <w:rPr>
                <w:rFonts w:hint="eastAsia" w:ascii="Times New Roman" w:hAnsi="Times New Roman" w:eastAsia="宋体" w:cs="Times New Roman"/>
                <w:b/>
                <w:bCs w:val="0"/>
                <w:color w:val="auto"/>
                <w:kern w:val="2"/>
                <w:sz w:val="21"/>
                <w:szCs w:val="21"/>
                <w:highlight w:val="none"/>
                <w:lang w:val="en-US" w:eastAsia="zh-CN" w:bidi="ar-SA"/>
              </w:rPr>
              <w:t>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7E1F2F2A">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cs="Times New Roman"/>
                <w:b/>
                <w:bCs w:val="0"/>
                <w:color w:val="auto"/>
                <w:kern w:val="2"/>
                <w:sz w:val="21"/>
                <w:szCs w:val="21"/>
                <w:highlight w:val="none"/>
                <w:lang w:val="en-US" w:eastAsia="zh-CN" w:bidi="ar-SA"/>
              </w:rPr>
              <w:t>成交</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候选供应商在投标过程中提供虚假证明文件，故意隐瞒公司不良信誉和财务状况，以及其他可能对合同圆满履行造成风险的因素等，则按规定取消其成交资格，监管部门依法进行处理。</w:t>
            </w:r>
          </w:p>
          <w:p w14:paraId="7208DA97">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5、投标人使用相同IP地址的，一经发现，相关部门将进一步核实，查实后按串通投标处理。</w:t>
            </w:r>
          </w:p>
          <w:p w14:paraId="3AA6119F">
            <w:pPr>
              <w:numPr>
                <w:ilvl w:val="0"/>
                <w:numId w:val="0"/>
              </w:numPr>
              <w:spacing w:line="360" w:lineRule="auto"/>
              <w:ind w:leftChars="0"/>
              <w:jc w:val="left"/>
              <w:rPr>
                <w:rFonts w:hint="default" w:ascii="Times New Roman" w:hAnsi="Times New Roman" w:eastAsia="宋体" w:cs="Times New Roman"/>
                <w:b/>
                <w:bCs w:val="0"/>
                <w:color w:val="auto"/>
                <w:kern w:val="2"/>
                <w:sz w:val="21"/>
                <w:szCs w:val="21"/>
                <w:highlight w:val="yellow"/>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6</w:t>
            </w:r>
            <w:r>
              <w:rPr>
                <w:rFonts w:hint="eastAsia" w:ascii="Times New Roman" w:hAnsi="Times New Roman" w:eastAsia="宋体" w:cs="Times New Roman"/>
                <w:b/>
                <w:bCs w:val="0"/>
                <w:color w:val="0000FF"/>
                <w:kern w:val="2"/>
                <w:sz w:val="21"/>
                <w:szCs w:val="21"/>
                <w:highlight w:val="none"/>
                <w:lang w:val="en-US" w:eastAsia="zh-CN" w:bidi="ar-SA"/>
              </w:rPr>
              <w:t>、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765F515">
            <w:pPr>
              <w:pStyle w:val="10"/>
              <w:rPr>
                <w:rFonts w:hint="eastAsia" w:ascii="Times New Roman" w:hAnsi="Times New Roman" w:eastAsia="宋体" w:cs="Times New Roman"/>
                <w:b/>
                <w:bCs w:val="0"/>
                <w:color w:val="auto"/>
                <w:kern w:val="2"/>
                <w:sz w:val="21"/>
                <w:szCs w:val="21"/>
                <w:highlight w:val="none"/>
                <w:lang w:val="en-US" w:eastAsia="zh-CN" w:bidi="ar-SA"/>
              </w:rPr>
            </w:pPr>
            <w:r>
              <w:rPr>
                <w:rFonts w:hint="eastAsia" w:cs="Times New Roman"/>
                <w:b/>
                <w:bCs w:val="0"/>
                <w:color w:val="auto"/>
                <w:kern w:val="2"/>
                <w:sz w:val="21"/>
                <w:szCs w:val="21"/>
                <w:highlight w:val="none"/>
                <w:lang w:val="en-US" w:eastAsia="zh-CN" w:bidi="ar-SA"/>
              </w:rPr>
              <w:t>7</w:t>
            </w:r>
            <w:r>
              <w:rPr>
                <w:rFonts w:hint="eastAsia" w:ascii="Times New Roman" w:hAnsi="Times New Roman" w:eastAsia="宋体" w:cs="Times New Roman"/>
                <w:b/>
                <w:bCs w:val="0"/>
                <w:color w:val="auto"/>
                <w:kern w:val="2"/>
                <w:sz w:val="21"/>
                <w:szCs w:val="21"/>
                <w:highlight w:val="none"/>
                <w:lang w:val="en-US" w:eastAsia="zh-CN" w:bidi="ar-SA"/>
              </w:rPr>
              <w:t>、其他：</w:t>
            </w:r>
          </w:p>
          <w:p w14:paraId="04EF379C">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（1）投标企业严格遵守国家的法律法规及招标纪律，无违法违纪及商业贿赂行为。</w:t>
            </w:r>
          </w:p>
          <w:p w14:paraId="52D4D4E4">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（2）不管投标结果如何，供应商均应自行承担投标所需一切费用。</w:t>
            </w:r>
          </w:p>
          <w:p w14:paraId="4DB67E82">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（3）供应商应以书面形式保证成交后由本公司组织实施，不得以任何理由将项目转包给其他机构。</w:t>
            </w:r>
          </w:p>
          <w:p w14:paraId="6D7FF43E">
            <w:pPr>
              <w:keepNext w:val="0"/>
              <w:keepLines w:val="0"/>
              <w:pageBreakBefore w:val="0"/>
              <w:kinsoku/>
              <w:wordWrap/>
              <w:overflowPunct/>
              <w:topLinePunct w:val="0"/>
              <w:autoSpaceDE/>
              <w:autoSpaceDN/>
              <w:bidi w:val="0"/>
              <w:adjustRightInd/>
              <w:spacing w:line="360" w:lineRule="exact"/>
              <w:jc w:val="left"/>
              <w:textAlignment w:val="auto"/>
              <w:rPr>
                <w:rFonts w:hint="eastAsia" w:asciiTheme="majorEastAsia" w:hAnsiTheme="majorEastAsia" w:eastAsiaTheme="majorEastAsia" w:cstheme="majorEastAsia"/>
                <w:b/>
                <w:bCs w:val="0"/>
                <w:color w:val="auto"/>
                <w:sz w:val="21"/>
                <w:szCs w:val="21"/>
                <w:highlight w:val="none"/>
              </w:rPr>
            </w:pPr>
            <w:r>
              <w:rPr>
                <w:rFonts w:hint="eastAsia" w:ascii="Times New Roman" w:hAnsi="Times New Roman" w:eastAsia="宋体" w:cs="Times New Roman"/>
                <w:b/>
                <w:bCs w:val="0"/>
                <w:color w:val="auto"/>
                <w:kern w:val="2"/>
                <w:sz w:val="21"/>
                <w:szCs w:val="21"/>
                <w:highlight w:val="none"/>
                <w:lang w:val="en-US" w:eastAsia="zh-CN" w:bidi="ar-SA"/>
              </w:rPr>
              <w:t>（4）</w:t>
            </w:r>
            <w:r>
              <w:rPr>
                <w:rFonts w:hint="eastAsia" w:cs="Times New Roman"/>
                <w:b/>
                <w:bCs w:val="0"/>
                <w:color w:val="auto"/>
                <w:kern w:val="2"/>
                <w:sz w:val="21"/>
                <w:szCs w:val="21"/>
                <w:highlight w:val="none"/>
                <w:lang w:val="en-US" w:eastAsia="zh-CN" w:bidi="ar-SA"/>
              </w:rPr>
              <w:t>采购</w:t>
            </w:r>
            <w:r>
              <w:rPr>
                <w:rFonts w:hint="eastAsia" w:ascii="Times New Roman" w:hAnsi="Times New Roman" w:eastAsia="宋体" w:cs="Times New Roman"/>
                <w:b/>
                <w:bCs w:val="0"/>
                <w:color w:val="auto"/>
                <w:kern w:val="2"/>
                <w:sz w:val="21"/>
                <w:szCs w:val="21"/>
                <w:highlight w:val="none"/>
                <w:lang w:val="en-US" w:eastAsia="zh-CN" w:bidi="ar-SA"/>
              </w:rPr>
              <w:t>文件中如出现前后不一致情况，均以前附表内容为准。</w:t>
            </w:r>
          </w:p>
        </w:tc>
      </w:tr>
      <w:tr w14:paraId="1FEE23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9409" w:type="dxa"/>
            <w:gridSpan w:val="3"/>
            <w:noWrap w:val="0"/>
            <w:vAlign w:val="center"/>
          </w:tcPr>
          <w:p w14:paraId="18493114">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bCs w:val="0"/>
                <w:color w:val="auto"/>
                <w:sz w:val="21"/>
                <w:szCs w:val="21"/>
                <w:highlight w:val="none"/>
              </w:rPr>
            </w:pPr>
            <w:r>
              <w:rPr>
                <w:rFonts w:hint="eastAsia" w:asciiTheme="majorEastAsia" w:hAnsiTheme="majorEastAsia" w:eastAsiaTheme="majorEastAsia" w:cstheme="majorEastAsia"/>
                <w:b/>
                <w:bCs w:val="0"/>
                <w:color w:val="auto"/>
                <w:sz w:val="21"/>
                <w:szCs w:val="21"/>
                <w:highlight w:val="none"/>
              </w:rPr>
              <w:t>备注</w:t>
            </w:r>
            <w:r>
              <w:rPr>
                <w:rFonts w:hint="eastAsia" w:asciiTheme="majorEastAsia" w:hAnsiTheme="majorEastAsia" w:eastAsiaTheme="majorEastAsia" w:cstheme="majorEastAsia"/>
                <w:b/>
                <w:bCs w:val="0"/>
                <w:color w:val="auto"/>
                <w:sz w:val="21"/>
                <w:szCs w:val="21"/>
                <w:highlight w:val="none"/>
                <w:lang w:eastAsia="zh-CN"/>
              </w:rPr>
              <w:t>：</w:t>
            </w:r>
            <w:r>
              <w:rPr>
                <w:rFonts w:hint="eastAsia" w:asciiTheme="majorEastAsia" w:hAnsiTheme="majorEastAsia" w:eastAsiaTheme="majorEastAsia" w:cstheme="majorEastAsia"/>
                <w:b/>
                <w:bCs w:val="0"/>
                <w:color w:val="auto"/>
                <w:sz w:val="21"/>
                <w:szCs w:val="21"/>
                <w:highlight w:val="none"/>
              </w:rPr>
              <w:t>投标人使用相同IP地址的，一经发现，</w:t>
            </w:r>
            <w:r>
              <w:rPr>
                <w:rFonts w:hint="eastAsia" w:asciiTheme="majorEastAsia" w:hAnsiTheme="majorEastAsia" w:eastAsiaTheme="majorEastAsia" w:cstheme="majorEastAsia"/>
                <w:b/>
                <w:bCs w:val="0"/>
                <w:color w:val="auto"/>
                <w:sz w:val="21"/>
                <w:szCs w:val="21"/>
                <w:highlight w:val="none"/>
                <w:lang w:eastAsia="zh-CN"/>
              </w:rPr>
              <w:t>相关</w:t>
            </w:r>
            <w:r>
              <w:rPr>
                <w:rFonts w:hint="eastAsia" w:asciiTheme="majorEastAsia" w:hAnsiTheme="majorEastAsia" w:eastAsiaTheme="majorEastAsia" w:cstheme="majorEastAsia"/>
                <w:b/>
                <w:bCs w:val="0"/>
                <w:color w:val="auto"/>
                <w:sz w:val="21"/>
                <w:szCs w:val="21"/>
                <w:highlight w:val="none"/>
              </w:rPr>
              <w:t>部门将进一步核实，查实后按串通投标处理</w:t>
            </w:r>
            <w:r>
              <w:rPr>
                <w:rFonts w:hint="eastAsia" w:asciiTheme="majorEastAsia" w:hAnsiTheme="majorEastAsia" w:eastAsiaTheme="majorEastAsia" w:cstheme="majorEastAsia"/>
                <w:b/>
                <w:bCs w:val="0"/>
                <w:color w:val="auto"/>
                <w:sz w:val="21"/>
                <w:szCs w:val="21"/>
                <w:highlight w:val="none"/>
                <w:lang w:eastAsia="zh-CN"/>
              </w:rPr>
              <w:t>。</w:t>
            </w:r>
          </w:p>
        </w:tc>
      </w:tr>
    </w:tbl>
    <w:p w14:paraId="27DB521E">
      <w:pPr>
        <w:pageBreakBefore/>
        <w:shd w:val="clear" w:color="auto" w:fill="auto"/>
        <w:spacing w:before="312" w:beforeLines="100" w:after="312" w:afterLines="100" w:line="440" w:lineRule="exact"/>
        <w:jc w:val="center"/>
        <w:outlineLvl w:val="1"/>
        <w:rPr>
          <w:rFonts w:hint="eastAsia" w:asciiTheme="majorEastAsia" w:hAnsiTheme="majorEastAsia" w:eastAsiaTheme="majorEastAsia" w:cstheme="majorEastAsia"/>
          <w:b/>
          <w:color w:val="auto"/>
          <w:sz w:val="28"/>
          <w:szCs w:val="32"/>
          <w:highlight w:val="none"/>
        </w:rPr>
      </w:pPr>
      <w:r>
        <w:rPr>
          <w:rFonts w:hint="eastAsia" w:asciiTheme="majorEastAsia" w:hAnsiTheme="majorEastAsia" w:eastAsiaTheme="majorEastAsia" w:cstheme="majorEastAsia"/>
          <w:b/>
          <w:color w:val="auto"/>
          <w:sz w:val="28"/>
          <w:szCs w:val="28"/>
          <w:highlight w:val="none"/>
        </w:rPr>
        <w:t>二、投标人须知</w:t>
      </w:r>
    </w:p>
    <w:p w14:paraId="3256AE4A">
      <w:pPr>
        <w:shd w:val="clear" w:color="auto" w:fill="auto"/>
        <w:spacing w:line="440" w:lineRule="exact"/>
        <w:jc w:val="center"/>
        <w:outlineLvl w:val="2"/>
        <w:rPr>
          <w:rFonts w:hint="eastAsia" w:asciiTheme="majorEastAsia" w:hAnsiTheme="majorEastAsia" w:eastAsiaTheme="majorEastAsia" w:cstheme="majorEastAsia"/>
          <w:color w:val="auto"/>
          <w:sz w:val="28"/>
          <w:szCs w:val="28"/>
          <w:highlight w:val="none"/>
        </w:rPr>
      </w:pPr>
      <w:bookmarkStart w:id="3" w:name="_Toc469495724"/>
      <w:r>
        <w:rPr>
          <w:rFonts w:hint="eastAsia" w:asciiTheme="majorEastAsia" w:hAnsiTheme="majorEastAsia" w:eastAsiaTheme="majorEastAsia" w:cstheme="majorEastAsia"/>
          <w:b/>
          <w:color w:val="auto"/>
          <w:sz w:val="28"/>
          <w:szCs w:val="28"/>
          <w:highlight w:val="none"/>
        </w:rPr>
        <w:t>（一）</w:t>
      </w:r>
      <w:r>
        <w:rPr>
          <w:rFonts w:hint="eastAsia" w:asciiTheme="majorEastAsia" w:hAnsiTheme="majorEastAsia" w:eastAsiaTheme="majorEastAsia" w:cstheme="majorEastAsia"/>
          <w:b/>
          <w:color w:val="auto"/>
          <w:sz w:val="28"/>
          <w:szCs w:val="32"/>
          <w:highlight w:val="none"/>
        </w:rPr>
        <w:t>总  则</w:t>
      </w:r>
      <w:bookmarkEnd w:id="3"/>
    </w:p>
    <w:p w14:paraId="6C49092F">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1.项目概况</w:t>
      </w:r>
    </w:p>
    <w:p w14:paraId="54333C9C">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1.1本次招标采购项目名称：见投标人须知前附表。</w:t>
      </w:r>
    </w:p>
    <w:p w14:paraId="5EC52EE0">
      <w:pPr>
        <w:shd w:val="clear" w:color="auto" w:fill="auto"/>
        <w:snapToGrid w:val="0"/>
        <w:spacing w:line="44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项目编号：见投标人须知前附表。</w:t>
      </w:r>
    </w:p>
    <w:p w14:paraId="072069A1">
      <w:pPr>
        <w:shd w:val="clear" w:color="auto" w:fill="auto"/>
        <w:snapToGrid w:val="0"/>
        <w:spacing w:line="44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招标人：见投标人须知前附表。</w:t>
      </w:r>
    </w:p>
    <w:p w14:paraId="0FC0DA4B">
      <w:pPr>
        <w:ind w:firstLine="840" w:firstLineChars="400"/>
        <w:jc w:val="both"/>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供货期（服务周期）：详见</w:t>
      </w:r>
      <w:r>
        <w:rPr>
          <w:rFonts w:hint="eastAsia" w:asciiTheme="majorEastAsia" w:hAnsiTheme="majorEastAsia" w:eastAsiaTheme="majorEastAsia" w:cstheme="majorEastAsia"/>
          <w:color w:val="auto"/>
          <w:szCs w:val="21"/>
          <w:highlight w:val="none"/>
          <w:lang w:val="en-US" w:eastAsia="zh-CN"/>
        </w:rPr>
        <w:t>谈判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第四章</w:t>
      </w:r>
      <w:r>
        <w:rPr>
          <w:rFonts w:hint="eastAsia" w:asciiTheme="majorEastAsia" w:hAnsiTheme="majorEastAsia" w:eastAsiaTheme="majorEastAsia" w:cstheme="majorEastAsia"/>
          <w:color w:val="auto"/>
          <w:szCs w:val="21"/>
          <w:highlight w:val="none"/>
          <w:lang w:val="en-US" w:eastAsia="zh-CN"/>
        </w:rPr>
        <w:t>采购内容（技术）及商务要求</w:t>
      </w:r>
    </w:p>
    <w:p w14:paraId="364A6212">
      <w:pPr>
        <w:shd w:val="clear" w:color="auto" w:fill="auto"/>
        <w:snapToGrid w:val="0"/>
        <w:spacing w:line="44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供货地点：详见</w:t>
      </w:r>
      <w:r>
        <w:rPr>
          <w:rFonts w:hint="eastAsia" w:asciiTheme="majorEastAsia" w:hAnsiTheme="majorEastAsia" w:eastAsiaTheme="majorEastAsia" w:cstheme="majorEastAsia"/>
          <w:color w:val="auto"/>
          <w:szCs w:val="21"/>
          <w:highlight w:val="none"/>
          <w:lang w:val="en-US" w:eastAsia="zh-CN"/>
        </w:rPr>
        <w:t>谈判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第四章</w:t>
      </w:r>
      <w:r>
        <w:rPr>
          <w:rFonts w:hint="eastAsia" w:asciiTheme="majorEastAsia" w:hAnsiTheme="majorEastAsia" w:eastAsiaTheme="majorEastAsia" w:cstheme="majorEastAsia"/>
          <w:color w:val="auto"/>
          <w:szCs w:val="21"/>
          <w:highlight w:val="none"/>
          <w:lang w:val="en-US" w:eastAsia="zh-CN"/>
        </w:rPr>
        <w:t>采购内容（技术）及商务要求</w:t>
      </w:r>
    </w:p>
    <w:p w14:paraId="3FAEC7DA">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1.2招标人及联系人:见投标人须知前附表。</w:t>
      </w:r>
    </w:p>
    <w:p w14:paraId="0AE5B9E1">
      <w:pPr>
        <w:shd w:val="clear" w:color="auto" w:fill="auto"/>
        <w:snapToGrid w:val="0"/>
        <w:spacing w:line="440" w:lineRule="exact"/>
        <w:ind w:firstLine="735" w:firstLineChars="35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 xml:space="preserve"> 代理机构及联系人:见投标人须知前附表。</w:t>
      </w:r>
    </w:p>
    <w:p w14:paraId="7E4150AD">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1.3资金来源：见投标人须知前附表。</w:t>
      </w:r>
    </w:p>
    <w:p w14:paraId="59EB1667">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1.4本项目预算：见投标人须知前附表。</w:t>
      </w:r>
    </w:p>
    <w:p w14:paraId="123B91A8">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1.5本项目</w:t>
      </w:r>
      <w:r>
        <w:rPr>
          <w:rFonts w:hint="eastAsia" w:asciiTheme="majorEastAsia" w:hAnsiTheme="majorEastAsia" w:eastAsiaTheme="majorEastAsia" w:cstheme="majorEastAsia"/>
          <w:color w:val="auto"/>
          <w:szCs w:val="21"/>
          <w:highlight w:val="none"/>
          <w:lang w:val="en-US" w:eastAsia="zh-CN"/>
        </w:rPr>
        <w:t>最高限价</w:t>
      </w:r>
      <w:r>
        <w:rPr>
          <w:rFonts w:hint="eastAsia" w:asciiTheme="majorEastAsia" w:hAnsiTheme="majorEastAsia" w:eastAsiaTheme="majorEastAsia" w:cstheme="majorEastAsia"/>
          <w:color w:val="auto"/>
          <w:szCs w:val="21"/>
          <w:highlight w:val="none"/>
        </w:rPr>
        <w:t>：见投标人须知前附表</w:t>
      </w:r>
    </w:p>
    <w:p w14:paraId="4BFBAD06">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2.招标范围：</w:t>
      </w:r>
    </w:p>
    <w:p w14:paraId="181527FB">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2.1 采购内容：详见</w:t>
      </w:r>
      <w:r>
        <w:rPr>
          <w:rFonts w:hint="eastAsia" w:asciiTheme="majorEastAsia" w:hAnsiTheme="majorEastAsia" w:eastAsiaTheme="majorEastAsia" w:cstheme="majorEastAsia"/>
          <w:color w:val="auto"/>
          <w:szCs w:val="21"/>
          <w:highlight w:val="none"/>
          <w:lang w:val="en-US" w:eastAsia="zh-CN"/>
        </w:rPr>
        <w:t>谈判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第四章</w:t>
      </w:r>
      <w:r>
        <w:rPr>
          <w:rFonts w:hint="eastAsia" w:asciiTheme="majorEastAsia" w:hAnsiTheme="majorEastAsia" w:eastAsiaTheme="majorEastAsia" w:cstheme="majorEastAsia"/>
          <w:color w:val="auto"/>
          <w:szCs w:val="21"/>
          <w:highlight w:val="none"/>
          <w:lang w:val="en-US" w:eastAsia="zh-CN"/>
        </w:rPr>
        <w:t>采购内容（技术）及商务要求</w:t>
      </w:r>
    </w:p>
    <w:p w14:paraId="631DA256">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 技术要求：详见</w:t>
      </w:r>
      <w:r>
        <w:rPr>
          <w:rFonts w:hint="eastAsia" w:asciiTheme="majorEastAsia" w:hAnsiTheme="majorEastAsia" w:eastAsiaTheme="majorEastAsia" w:cstheme="majorEastAsia"/>
          <w:color w:val="auto"/>
          <w:szCs w:val="21"/>
          <w:highlight w:val="none"/>
          <w:lang w:val="en-US" w:eastAsia="zh-CN"/>
        </w:rPr>
        <w:t>谈判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第四章</w:t>
      </w:r>
      <w:r>
        <w:rPr>
          <w:rFonts w:hint="eastAsia" w:asciiTheme="majorEastAsia" w:hAnsiTheme="majorEastAsia" w:eastAsiaTheme="majorEastAsia" w:cstheme="majorEastAsia"/>
          <w:color w:val="auto"/>
          <w:szCs w:val="21"/>
          <w:highlight w:val="none"/>
          <w:lang w:val="en-US" w:eastAsia="zh-CN"/>
        </w:rPr>
        <w:t>采购内容（技术）及商务要求</w:t>
      </w:r>
      <w:r>
        <w:rPr>
          <w:rFonts w:hint="eastAsia" w:asciiTheme="majorEastAsia" w:hAnsiTheme="majorEastAsia" w:eastAsiaTheme="majorEastAsia" w:cstheme="majorEastAsia"/>
          <w:color w:val="auto"/>
          <w:szCs w:val="21"/>
          <w:highlight w:val="none"/>
        </w:rPr>
        <w:t>。</w:t>
      </w:r>
    </w:p>
    <w:p w14:paraId="3FAA1031">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3.标包划分：</w:t>
      </w:r>
    </w:p>
    <w:p w14:paraId="3777B7EE">
      <w:pPr>
        <w:shd w:val="clear" w:color="auto" w:fill="auto"/>
        <w:snapToGrid w:val="0"/>
        <w:spacing w:line="44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3.1本项目划分：</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1</w:t>
      </w:r>
      <w:r>
        <w:rPr>
          <w:rFonts w:hint="eastAsia" w:asciiTheme="majorEastAsia" w:hAnsiTheme="majorEastAsia" w:eastAsiaTheme="majorEastAsia" w:cstheme="majorEastAsia"/>
          <w:color w:val="auto"/>
          <w:szCs w:val="21"/>
          <w:highlight w:val="none"/>
        </w:rPr>
        <w:t xml:space="preserve"> 个标包</w:t>
      </w:r>
      <w:r>
        <w:rPr>
          <w:rFonts w:hint="eastAsia" w:asciiTheme="majorEastAsia" w:hAnsiTheme="majorEastAsia" w:eastAsiaTheme="majorEastAsia" w:cstheme="majorEastAsia"/>
          <w:color w:val="auto"/>
          <w:kern w:val="0"/>
          <w:szCs w:val="21"/>
          <w:highlight w:val="none"/>
        </w:rPr>
        <w:t>。</w:t>
      </w:r>
    </w:p>
    <w:p w14:paraId="0B3DBCCD">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4.招标方式：</w:t>
      </w:r>
    </w:p>
    <w:p w14:paraId="6BC43DA3">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4.1本项目招标方式：见投标人须知前附表。</w:t>
      </w:r>
    </w:p>
    <w:p w14:paraId="52E36C61">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5.计价方式：</w:t>
      </w:r>
    </w:p>
    <w:p w14:paraId="3D3E8021">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5.1本次招标项目合同采用</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固定总</w:t>
      </w:r>
      <w:r>
        <w:rPr>
          <w:rFonts w:hint="eastAsia" w:asciiTheme="majorEastAsia" w:hAnsiTheme="majorEastAsia" w:eastAsiaTheme="majorEastAsia" w:cstheme="majorEastAsia"/>
          <w:color w:val="auto"/>
          <w:szCs w:val="21"/>
          <w:highlight w:val="none"/>
          <w:u w:val="single"/>
          <w:lang w:eastAsia="zh-CN"/>
        </w:rPr>
        <w:t>价</w:t>
      </w:r>
      <w:r>
        <w:rPr>
          <w:rFonts w:hint="eastAsia" w:asciiTheme="majorEastAsia" w:hAnsiTheme="majorEastAsia" w:eastAsiaTheme="majorEastAsia" w:cstheme="majorEastAsia"/>
          <w:color w:val="auto"/>
          <w:szCs w:val="21"/>
          <w:highlight w:val="none"/>
          <w:u w:val="single"/>
          <w:lang w:val="en-US" w:eastAsia="zh-CN"/>
        </w:rPr>
        <w:t>合同</w:t>
      </w:r>
      <w:r>
        <w:rPr>
          <w:rFonts w:hint="eastAsia" w:asciiTheme="majorEastAsia" w:hAnsiTheme="majorEastAsia" w:eastAsiaTheme="majorEastAsia" w:cstheme="majorEastAsia"/>
          <w:color w:val="auto"/>
          <w:szCs w:val="21"/>
          <w:highlight w:val="none"/>
          <w:u w:val="single"/>
        </w:rPr>
        <w:t xml:space="preserve"> 。</w:t>
      </w:r>
    </w:p>
    <w:p w14:paraId="28A9D05B">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6.评标办法：</w:t>
      </w:r>
    </w:p>
    <w:p w14:paraId="20511DE9">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6.1本次招标评标采用</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b/>
          <w:bCs/>
          <w:color w:val="auto"/>
          <w:szCs w:val="21"/>
          <w:highlight w:val="none"/>
          <w:u w:val="single"/>
          <w:lang w:val="en-US" w:eastAsia="zh-CN"/>
        </w:rPr>
        <w:t>最低投标价法</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（详见第三章评标办法）</w:t>
      </w:r>
    </w:p>
    <w:p w14:paraId="3C641339">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7.投标人资格：</w:t>
      </w:r>
    </w:p>
    <w:p w14:paraId="206102AE">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7.1参与采购活动的投标人必须是满足《中华人民共和国政府采购法》规定条件的法人、其他组织或者自然人：</w:t>
      </w:r>
    </w:p>
    <w:p w14:paraId="3867D4A5">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7.2由于政府采购项目的差异性，投标人在参与具体政府采购项目活动时，应仔细阅读该项目的资质要求,具体见投标人须知前附表。</w:t>
      </w:r>
    </w:p>
    <w:p w14:paraId="1142C18B">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7.3根据电子化政府采购的特点</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因未注册入库、未办理CA数字证书等原因造成无法投标或投标失败等后果由供应商自行承担。</w:t>
      </w:r>
    </w:p>
    <w:p w14:paraId="73AFC86E">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7.4投标人必须确保自己在信息库中注册的信息真实、准确，并保证投标文件中的有关信息与库中的信息相一致。否则，投标人因此蒙受损失，招标人概不负责。</w:t>
      </w:r>
    </w:p>
    <w:p w14:paraId="3DCD2AA9">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8. 投标费用</w:t>
      </w:r>
    </w:p>
    <w:p w14:paraId="4FDA1D04">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8.1投标人准备和参加投标活动发生的费用自理。</w:t>
      </w:r>
    </w:p>
    <w:p w14:paraId="685D43B2">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9.</w:t>
      </w:r>
      <w:bookmarkStart w:id="4" w:name="_Toc144974507"/>
      <w:bookmarkStart w:id="5" w:name="_Toc247527563"/>
      <w:bookmarkStart w:id="6" w:name="_Toc296602429"/>
      <w:bookmarkStart w:id="7" w:name="_Toc152042315"/>
      <w:bookmarkStart w:id="8" w:name="_Toc247592876"/>
      <w:bookmarkStart w:id="9" w:name="_Toc152045539"/>
      <w:bookmarkStart w:id="10" w:name="_Toc247513962"/>
      <w:r>
        <w:rPr>
          <w:rFonts w:hint="eastAsia" w:asciiTheme="majorEastAsia" w:hAnsiTheme="majorEastAsia" w:eastAsiaTheme="majorEastAsia" w:cstheme="majorEastAsia"/>
          <w:b/>
          <w:color w:val="auto"/>
          <w:szCs w:val="21"/>
          <w:highlight w:val="none"/>
        </w:rPr>
        <w:t xml:space="preserve"> 踏勘现场</w:t>
      </w:r>
      <w:bookmarkEnd w:id="4"/>
      <w:bookmarkEnd w:id="5"/>
      <w:bookmarkEnd w:id="6"/>
      <w:bookmarkEnd w:id="7"/>
      <w:bookmarkEnd w:id="8"/>
      <w:bookmarkEnd w:id="9"/>
      <w:bookmarkEnd w:id="10"/>
      <w:r>
        <w:rPr>
          <w:rFonts w:hint="eastAsia"/>
          <w:b/>
          <w:color w:val="auto"/>
          <w:szCs w:val="21"/>
          <w:highlight w:val="none"/>
          <w:lang w:eastAsia="zh-CN"/>
        </w:rPr>
        <w:t>（</w:t>
      </w:r>
      <w:r>
        <w:rPr>
          <w:rFonts w:hint="eastAsia"/>
          <w:b/>
          <w:color w:val="auto"/>
          <w:szCs w:val="21"/>
          <w:highlight w:val="none"/>
          <w:lang w:val="en-US" w:eastAsia="zh-CN"/>
        </w:rPr>
        <w:t>本项目不踏勘</w:t>
      </w:r>
      <w:r>
        <w:rPr>
          <w:rFonts w:hint="eastAsia"/>
          <w:b/>
          <w:color w:val="auto"/>
          <w:szCs w:val="21"/>
          <w:highlight w:val="none"/>
          <w:lang w:eastAsia="zh-CN"/>
        </w:rPr>
        <w:t>）</w:t>
      </w:r>
    </w:p>
    <w:p w14:paraId="43E2339F">
      <w:pPr>
        <w:shd w:val="clear" w:color="auto" w:fill="auto"/>
        <w:spacing w:line="440" w:lineRule="exact"/>
        <w:rPr>
          <w:rFonts w:hint="eastAsia" w:asciiTheme="majorEastAsia" w:hAnsiTheme="majorEastAsia" w:eastAsiaTheme="majorEastAsia" w:cstheme="majorEastAsia"/>
          <w:b/>
          <w:color w:val="auto"/>
          <w:szCs w:val="21"/>
          <w:highlight w:val="none"/>
        </w:rPr>
      </w:pPr>
      <w:bookmarkStart w:id="11" w:name="_Toc152042316"/>
      <w:bookmarkStart w:id="12" w:name="_Toc296602430"/>
      <w:bookmarkStart w:id="13" w:name="_Toc247527564"/>
      <w:bookmarkStart w:id="14" w:name="_Toc247592877"/>
      <w:bookmarkStart w:id="15" w:name="_Toc152045540"/>
      <w:bookmarkStart w:id="16" w:name="_Toc144974508"/>
      <w:bookmarkStart w:id="17" w:name="_Toc247513963"/>
      <w:r>
        <w:rPr>
          <w:rFonts w:hint="eastAsia" w:asciiTheme="majorEastAsia" w:hAnsiTheme="majorEastAsia" w:eastAsiaTheme="majorEastAsia" w:cstheme="majorEastAsia"/>
          <w:b/>
          <w:color w:val="auto"/>
          <w:szCs w:val="21"/>
          <w:highlight w:val="none"/>
        </w:rPr>
        <w:t>10. 投标预备会</w:t>
      </w:r>
      <w:bookmarkEnd w:id="11"/>
      <w:bookmarkEnd w:id="12"/>
      <w:bookmarkEnd w:id="13"/>
      <w:bookmarkEnd w:id="14"/>
      <w:bookmarkEnd w:id="15"/>
      <w:bookmarkEnd w:id="16"/>
      <w:bookmarkEnd w:id="17"/>
      <w:r>
        <w:rPr>
          <w:rFonts w:hint="eastAsia"/>
          <w:b/>
          <w:color w:val="auto"/>
          <w:szCs w:val="21"/>
          <w:highlight w:val="none"/>
          <w:lang w:eastAsia="zh-CN"/>
        </w:rPr>
        <w:t>（</w:t>
      </w:r>
      <w:r>
        <w:rPr>
          <w:rFonts w:hint="eastAsia"/>
          <w:b/>
          <w:color w:val="auto"/>
          <w:szCs w:val="21"/>
          <w:highlight w:val="none"/>
          <w:lang w:val="en-US" w:eastAsia="zh-CN"/>
        </w:rPr>
        <w:t>本项目不召开</w:t>
      </w:r>
      <w:r>
        <w:rPr>
          <w:rFonts w:hint="eastAsia"/>
          <w:b/>
          <w:color w:val="auto"/>
          <w:szCs w:val="21"/>
          <w:highlight w:val="none"/>
          <w:lang w:eastAsia="zh-CN"/>
        </w:rPr>
        <w:t>）</w:t>
      </w:r>
    </w:p>
    <w:p w14:paraId="7FC3AA54">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11. 联合投标</w:t>
      </w:r>
      <w:r>
        <w:rPr>
          <w:rFonts w:hint="eastAsia"/>
          <w:b/>
          <w:color w:val="auto"/>
          <w:szCs w:val="21"/>
          <w:highlight w:val="none"/>
          <w:lang w:eastAsia="zh-CN"/>
        </w:rPr>
        <w:t>（</w:t>
      </w:r>
      <w:r>
        <w:rPr>
          <w:rFonts w:hint="eastAsia"/>
          <w:b/>
          <w:color w:val="auto"/>
          <w:szCs w:val="21"/>
          <w:highlight w:val="none"/>
          <w:lang w:val="en-US" w:eastAsia="zh-CN"/>
        </w:rPr>
        <w:t>本项目不允许联合体投标</w:t>
      </w:r>
      <w:r>
        <w:rPr>
          <w:rFonts w:hint="eastAsia"/>
          <w:b/>
          <w:color w:val="auto"/>
          <w:szCs w:val="21"/>
          <w:highlight w:val="none"/>
          <w:lang w:eastAsia="zh-CN"/>
        </w:rPr>
        <w:t>）</w:t>
      </w:r>
    </w:p>
    <w:p w14:paraId="558CFF7A">
      <w:pPr>
        <w:shd w:val="clear" w:color="auto" w:fill="auto"/>
        <w:spacing w:line="440" w:lineRule="exact"/>
        <w:jc w:val="left"/>
        <w:rPr>
          <w:rFonts w:hint="eastAsia" w:asciiTheme="majorEastAsia" w:hAnsiTheme="majorEastAsia" w:eastAsiaTheme="majorEastAsia" w:cstheme="majorEastAsia"/>
          <w:b/>
          <w:color w:val="auto"/>
          <w:szCs w:val="21"/>
          <w:highlight w:val="none"/>
          <w:lang w:eastAsia="zh-CN"/>
        </w:rPr>
      </w:pPr>
      <w:r>
        <w:rPr>
          <w:rFonts w:hint="eastAsia" w:asciiTheme="majorEastAsia" w:hAnsiTheme="majorEastAsia" w:eastAsiaTheme="majorEastAsia" w:cstheme="majorEastAsia"/>
          <w:b/>
          <w:color w:val="auto"/>
          <w:szCs w:val="21"/>
          <w:highlight w:val="none"/>
        </w:rPr>
        <w:t>12.招标代理费</w:t>
      </w:r>
      <w:r>
        <w:rPr>
          <w:rFonts w:hint="eastAsia" w:asciiTheme="majorEastAsia" w:hAnsiTheme="majorEastAsia" w:eastAsiaTheme="majorEastAsia" w:cstheme="majorEastAsia"/>
          <w:b/>
          <w:color w:val="auto"/>
          <w:szCs w:val="21"/>
          <w:highlight w:val="none"/>
          <w:lang w:eastAsia="zh-CN"/>
        </w:rPr>
        <w:t>（</w:t>
      </w:r>
      <w:r>
        <w:rPr>
          <w:rFonts w:hint="eastAsia" w:asciiTheme="majorEastAsia" w:hAnsiTheme="majorEastAsia" w:eastAsiaTheme="majorEastAsia" w:cstheme="majorEastAsia"/>
          <w:b/>
          <w:color w:val="auto"/>
          <w:szCs w:val="21"/>
          <w:highlight w:val="none"/>
          <w:lang w:val="en-US" w:eastAsia="zh-CN"/>
        </w:rPr>
        <w:t>详见投标人须知前附表</w:t>
      </w:r>
      <w:r>
        <w:rPr>
          <w:rFonts w:hint="eastAsia" w:asciiTheme="majorEastAsia" w:hAnsiTheme="majorEastAsia" w:eastAsiaTheme="majorEastAsia" w:cstheme="majorEastAsia"/>
          <w:b/>
          <w:color w:val="auto"/>
          <w:szCs w:val="21"/>
          <w:highlight w:val="none"/>
          <w:lang w:eastAsia="zh-CN"/>
        </w:rPr>
        <w:t>）</w:t>
      </w:r>
    </w:p>
    <w:p w14:paraId="2052EE92">
      <w:pPr>
        <w:shd w:val="clear" w:color="auto" w:fill="auto"/>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13.投标人应注意的事项</w:t>
      </w:r>
    </w:p>
    <w:p w14:paraId="787B523F">
      <w:pPr>
        <w:shd w:val="clear" w:color="auto" w:fill="auto"/>
        <w:spacing w:line="44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color w:val="auto"/>
          <w:szCs w:val="21"/>
          <w:highlight w:val="none"/>
        </w:rPr>
        <w:t>13.1投标人一旦按规定缴纳了投标保证金并参加投标，即被认为接受了本</w:t>
      </w:r>
      <w:r>
        <w:rPr>
          <w:rFonts w:hint="eastAsia" w:asciiTheme="majorEastAsia" w:hAnsiTheme="majorEastAsia" w:eastAsiaTheme="majorEastAsia" w:cstheme="majorEastAsia"/>
          <w:color w:val="auto"/>
          <w:szCs w:val="21"/>
          <w:highlight w:val="none"/>
          <w:lang w:eastAsia="zh-CN"/>
        </w:rPr>
        <w:t>采购</w:t>
      </w:r>
      <w:r>
        <w:rPr>
          <w:rFonts w:hint="eastAsia" w:asciiTheme="majorEastAsia" w:hAnsiTheme="majorEastAsia" w:eastAsiaTheme="majorEastAsia" w:cstheme="majorEastAsia"/>
          <w:color w:val="auto"/>
          <w:szCs w:val="21"/>
          <w:highlight w:val="none"/>
        </w:rPr>
        <w:t>文件中的所有条件和规定。投标人必须严格按</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的要求编制投标文件，投标文件宜编制页码和目录，以便评委审核。否则，由此产生的一切后果由投标人承担。</w:t>
      </w:r>
    </w:p>
    <w:p w14:paraId="31CC70D2">
      <w:pPr>
        <w:shd w:val="clear" w:color="auto" w:fill="auto"/>
        <w:spacing w:line="440" w:lineRule="exact"/>
        <w:ind w:firstLine="420" w:firstLineChars="200"/>
        <w:rPr>
          <w:rFonts w:hint="eastAsia" w:asciiTheme="majorEastAsia" w:hAnsiTheme="majorEastAsia" w:eastAsiaTheme="majorEastAsia" w:cstheme="majorEastAsia"/>
          <w:b/>
          <w:bCs w:val="0"/>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2</w:t>
      </w:r>
      <w:r>
        <w:rPr>
          <w:rFonts w:hint="eastAsia" w:asciiTheme="majorEastAsia" w:hAnsiTheme="majorEastAsia" w:eastAsiaTheme="majorEastAsia" w:cstheme="majorEastAsia"/>
          <w:bCs/>
          <w:color w:val="auto"/>
          <w:szCs w:val="21"/>
          <w:highlight w:val="none"/>
        </w:rPr>
        <w:t xml:space="preserve"> 投标人对采购内容中规定的技术参数、规格等要求必须完全响应或优于</w:t>
      </w:r>
      <w:r>
        <w:rPr>
          <w:rFonts w:hint="eastAsia" w:asciiTheme="majorEastAsia" w:hAnsiTheme="majorEastAsia" w:eastAsiaTheme="majorEastAsia" w:cstheme="majorEastAsia"/>
          <w:bCs/>
          <w:color w:val="auto"/>
          <w:szCs w:val="21"/>
          <w:highlight w:val="none"/>
          <w:lang w:eastAsia="zh-CN"/>
        </w:rPr>
        <w:t>采购文件</w:t>
      </w:r>
      <w:r>
        <w:rPr>
          <w:rFonts w:hint="eastAsia" w:asciiTheme="majorEastAsia" w:hAnsiTheme="majorEastAsia" w:eastAsiaTheme="majorEastAsia" w:cstheme="majorEastAsia"/>
          <w:bCs/>
          <w:color w:val="auto"/>
          <w:szCs w:val="21"/>
          <w:highlight w:val="none"/>
        </w:rPr>
        <w:t>中的要求</w:t>
      </w:r>
      <w:r>
        <w:rPr>
          <w:rFonts w:hint="eastAsia" w:asciiTheme="majorEastAsia" w:hAnsiTheme="majorEastAsia" w:eastAsiaTheme="majorEastAsia" w:cstheme="majorEastAsia"/>
          <w:b/>
          <w:bCs w:val="0"/>
          <w:color w:val="auto"/>
          <w:szCs w:val="21"/>
          <w:highlight w:val="none"/>
        </w:rPr>
        <w:t>。</w:t>
      </w:r>
    </w:p>
    <w:p w14:paraId="0DC4C972">
      <w:pPr>
        <w:shd w:val="clear" w:color="auto" w:fill="auto"/>
        <w:spacing w:line="440" w:lineRule="exact"/>
        <w:ind w:firstLine="411" w:firstLineChars="196"/>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3</w:t>
      </w:r>
      <w:r>
        <w:rPr>
          <w:rFonts w:hint="eastAsia" w:asciiTheme="majorEastAsia" w:hAnsiTheme="majorEastAsia" w:eastAsiaTheme="majorEastAsia" w:cstheme="majorEastAsia"/>
          <w:bCs/>
          <w:color w:val="auto"/>
          <w:szCs w:val="21"/>
          <w:highlight w:val="none"/>
        </w:rPr>
        <w:t>所有投标人的投标保证金都应在</w:t>
      </w:r>
      <w:r>
        <w:rPr>
          <w:rFonts w:hint="eastAsia" w:asciiTheme="majorEastAsia" w:hAnsiTheme="majorEastAsia" w:eastAsiaTheme="majorEastAsia" w:cstheme="majorEastAsia"/>
          <w:bCs/>
          <w:color w:val="auto"/>
          <w:szCs w:val="21"/>
          <w:highlight w:val="none"/>
          <w:lang w:eastAsia="zh-CN"/>
        </w:rPr>
        <w:t>采购文件</w:t>
      </w:r>
      <w:r>
        <w:rPr>
          <w:rFonts w:hint="eastAsia" w:asciiTheme="majorEastAsia" w:hAnsiTheme="majorEastAsia" w:eastAsiaTheme="majorEastAsia" w:cstheme="majorEastAsia"/>
          <w:bCs/>
          <w:color w:val="auto"/>
          <w:szCs w:val="21"/>
          <w:highlight w:val="none"/>
        </w:rPr>
        <w:t>规定的投标保证金缴纳截止日期前缴纳。</w:t>
      </w:r>
    </w:p>
    <w:p w14:paraId="63CFF1CC">
      <w:pPr>
        <w:shd w:val="clear" w:color="auto" w:fill="auto"/>
        <w:spacing w:line="440" w:lineRule="exact"/>
        <w:ind w:firstLine="411" w:firstLineChars="196"/>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4</w:t>
      </w:r>
      <w:r>
        <w:rPr>
          <w:rFonts w:hint="eastAsia" w:asciiTheme="majorEastAsia" w:hAnsiTheme="majorEastAsia" w:eastAsiaTheme="majorEastAsia" w:cstheme="majorEastAsia"/>
          <w:bCs/>
          <w:color w:val="auto"/>
          <w:szCs w:val="21"/>
          <w:highlight w:val="none"/>
        </w:rPr>
        <w:t>单位负责人为同一人或者存在直接控股、管理关系的不同供应商，不得参加同一合同项下的政府采购活动。</w:t>
      </w:r>
      <w:r>
        <w:rPr>
          <w:rFonts w:hint="eastAsia" w:asciiTheme="majorEastAsia" w:hAnsiTheme="majorEastAsia" w:eastAsiaTheme="majorEastAsia" w:cstheme="majorEastAsia"/>
          <w:color w:val="auto"/>
          <w:szCs w:val="21"/>
          <w:highlight w:val="none"/>
        </w:rPr>
        <w:t>为采购项目提供整体设计、规范编制或者项目管理、监理、检测等服务的供应商，不得再参加该采购项目的其他采购活动。</w:t>
      </w:r>
    </w:p>
    <w:p w14:paraId="07588942">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5</w:t>
      </w:r>
      <w:r>
        <w:rPr>
          <w:rFonts w:hint="eastAsia" w:asciiTheme="majorEastAsia" w:hAnsiTheme="majorEastAsia" w:eastAsiaTheme="majorEastAsia" w:cstheme="majorEastAsia"/>
          <w:bCs/>
          <w:color w:val="auto"/>
          <w:szCs w:val="21"/>
          <w:highlight w:val="none"/>
        </w:rPr>
        <w:t>本项目</w:t>
      </w:r>
      <w:r>
        <w:rPr>
          <w:rFonts w:hint="eastAsia" w:asciiTheme="majorEastAsia" w:hAnsiTheme="majorEastAsia" w:eastAsiaTheme="majorEastAsia" w:cstheme="majorEastAsia"/>
          <w:color w:val="auto"/>
          <w:szCs w:val="21"/>
          <w:highlight w:val="none"/>
        </w:rPr>
        <w:t>因未注册入库、未办理CA数字证书等原因造成无法投标或投标失败等后果由供应商自行承担。</w:t>
      </w:r>
    </w:p>
    <w:p w14:paraId="789174C4">
      <w:pPr>
        <w:shd w:val="clear" w:color="auto" w:fill="auto"/>
        <w:wordWrap w:val="0"/>
        <w:spacing w:line="44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6</w:t>
      </w:r>
      <w:r>
        <w:rPr>
          <w:rFonts w:hint="eastAsia" w:asciiTheme="majorEastAsia" w:hAnsiTheme="majorEastAsia" w:eastAsiaTheme="majorEastAsia" w:cstheme="majorEastAsia"/>
          <w:bCs/>
          <w:color w:val="auto"/>
          <w:szCs w:val="21"/>
          <w:highlight w:val="none"/>
        </w:rPr>
        <w:t xml:space="preserve">  投标人被视为充分熟悉本招标项目所在地的与履行合同有关的各种情况，包括但不限于：</w:t>
      </w:r>
    </w:p>
    <w:p w14:paraId="7201B6BB">
      <w:pPr>
        <w:shd w:val="clear" w:color="auto" w:fill="auto"/>
        <w:spacing w:line="400" w:lineRule="exact"/>
        <w:ind w:firstLine="315" w:firstLineChars="15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（1）国家对本次投标货物和服务的生产、安装调试、验收、维修等有关法律、法规及行业管理标准；</w:t>
      </w:r>
    </w:p>
    <w:p w14:paraId="56684AD9">
      <w:pPr>
        <w:shd w:val="clear" w:color="auto" w:fill="auto"/>
        <w:spacing w:line="400" w:lineRule="exact"/>
        <w:ind w:firstLine="315" w:firstLineChars="15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w:t>
      </w:r>
      <w:r>
        <w:rPr>
          <w:rFonts w:hint="eastAsia" w:asciiTheme="majorEastAsia" w:hAnsiTheme="majorEastAsia" w:eastAsiaTheme="majorEastAsia" w:cstheme="majorEastAsia"/>
          <w:bCs/>
          <w:color w:val="auto"/>
          <w:szCs w:val="21"/>
          <w:highlight w:val="none"/>
          <w:lang w:eastAsia="zh-CN"/>
        </w:rPr>
        <w:t>本地区</w:t>
      </w:r>
      <w:r>
        <w:rPr>
          <w:rFonts w:hint="eastAsia" w:asciiTheme="majorEastAsia" w:hAnsiTheme="majorEastAsia" w:eastAsiaTheme="majorEastAsia" w:cstheme="majorEastAsia"/>
          <w:bCs/>
          <w:color w:val="auto"/>
          <w:szCs w:val="21"/>
          <w:highlight w:val="none"/>
        </w:rPr>
        <w:t>有关管理部门的相关规定；</w:t>
      </w:r>
    </w:p>
    <w:p w14:paraId="1CDFC697">
      <w:pPr>
        <w:shd w:val="clear" w:color="auto" w:fill="auto"/>
        <w:spacing w:line="400" w:lineRule="exact"/>
        <w:ind w:firstLine="315" w:firstLineChars="15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（3）招标人的相关场地情况、基础建设、电力供应情况及相关设计标准。</w:t>
      </w:r>
    </w:p>
    <w:p w14:paraId="4EEE74EF">
      <w:pPr>
        <w:shd w:val="clear" w:color="auto" w:fill="auto"/>
        <w:spacing w:line="400" w:lineRule="exact"/>
        <w:ind w:firstLine="315" w:firstLineChars="15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Cs/>
          <w:color w:val="auto"/>
          <w:szCs w:val="21"/>
          <w:highlight w:val="none"/>
        </w:rPr>
        <w:t>本</w:t>
      </w:r>
      <w:r>
        <w:rPr>
          <w:rFonts w:hint="eastAsia" w:asciiTheme="majorEastAsia" w:hAnsiTheme="majorEastAsia" w:eastAsiaTheme="majorEastAsia" w:cstheme="majorEastAsia"/>
          <w:bCs/>
          <w:color w:val="auto"/>
          <w:szCs w:val="21"/>
          <w:highlight w:val="none"/>
          <w:lang w:eastAsia="zh-CN"/>
        </w:rPr>
        <w:t>采购文件</w:t>
      </w:r>
      <w:r>
        <w:rPr>
          <w:rFonts w:hint="eastAsia" w:asciiTheme="majorEastAsia" w:hAnsiTheme="majorEastAsia" w:eastAsiaTheme="majorEastAsia" w:cstheme="majorEastAsia"/>
          <w:bCs/>
          <w:color w:val="auto"/>
          <w:szCs w:val="21"/>
          <w:highlight w:val="none"/>
        </w:rPr>
        <w:t>不再对上述情况进行描述。</w:t>
      </w:r>
      <w:bookmarkStart w:id="18" w:name="_Toc469495725"/>
    </w:p>
    <w:p w14:paraId="538F1EAA">
      <w:pPr>
        <w:shd w:val="clear" w:color="auto" w:fill="auto"/>
        <w:spacing w:before="312" w:beforeLines="100" w:after="312" w:afterLines="100" w:line="440" w:lineRule="exact"/>
        <w:jc w:val="center"/>
        <w:outlineLvl w:val="2"/>
        <w:rPr>
          <w:rFonts w:hint="eastAsia" w:asciiTheme="majorEastAsia" w:hAnsiTheme="majorEastAsia" w:eastAsiaTheme="majorEastAsia" w:cstheme="majorEastAsia"/>
          <w:b/>
          <w:color w:val="auto"/>
          <w:sz w:val="28"/>
          <w:szCs w:val="28"/>
          <w:highlight w:val="none"/>
          <w:lang w:eastAsia="zh-CN"/>
        </w:rPr>
      </w:pPr>
      <w:r>
        <w:rPr>
          <w:rFonts w:hint="eastAsia" w:asciiTheme="majorEastAsia" w:hAnsiTheme="majorEastAsia" w:eastAsiaTheme="majorEastAsia" w:cstheme="majorEastAsia"/>
          <w:b/>
          <w:color w:val="auto"/>
          <w:sz w:val="28"/>
          <w:szCs w:val="28"/>
          <w:highlight w:val="none"/>
        </w:rPr>
        <w:t>（二）</w:t>
      </w:r>
      <w:bookmarkEnd w:id="18"/>
      <w:r>
        <w:rPr>
          <w:rFonts w:hint="eastAsia" w:asciiTheme="majorEastAsia" w:hAnsiTheme="majorEastAsia" w:eastAsiaTheme="majorEastAsia" w:cstheme="majorEastAsia"/>
          <w:b/>
          <w:color w:val="auto"/>
          <w:sz w:val="28"/>
          <w:szCs w:val="28"/>
          <w:highlight w:val="none"/>
          <w:lang w:eastAsia="zh-CN"/>
        </w:rPr>
        <w:t>谈判文件</w:t>
      </w:r>
    </w:p>
    <w:p w14:paraId="7E713998">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14</w:t>
      </w: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b/>
          <w:color w:val="auto"/>
          <w:szCs w:val="21"/>
          <w:highlight w:val="none"/>
          <w:lang w:eastAsia="zh-CN"/>
        </w:rPr>
        <w:t>采购文件</w:t>
      </w:r>
      <w:r>
        <w:rPr>
          <w:rFonts w:hint="eastAsia" w:asciiTheme="majorEastAsia" w:hAnsiTheme="majorEastAsia" w:eastAsiaTheme="majorEastAsia" w:cstheme="majorEastAsia"/>
          <w:b/>
          <w:color w:val="auto"/>
          <w:szCs w:val="21"/>
          <w:highlight w:val="none"/>
        </w:rPr>
        <w:t>的编制依据</w:t>
      </w:r>
    </w:p>
    <w:p w14:paraId="6D6B3C04">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根据《中华人民共和国政府采购法》、《政府采购货物和服务招标投标管理办法》和《中华人民共和国合同法》</w:t>
      </w:r>
      <w:r>
        <w:rPr>
          <w:rFonts w:hint="eastAsia" w:asciiTheme="majorEastAsia" w:hAnsiTheme="majorEastAsia" w:eastAsiaTheme="majorEastAsia" w:cstheme="majorEastAsia"/>
          <w:color w:val="auto"/>
          <w:spacing w:val="-2"/>
          <w:szCs w:val="21"/>
          <w:highlight w:val="none"/>
        </w:rPr>
        <w:t>等相关法律法规和规章及部、省、市级规范性文件的规定，编制本</w:t>
      </w:r>
      <w:r>
        <w:rPr>
          <w:rFonts w:hint="eastAsia" w:asciiTheme="majorEastAsia" w:hAnsiTheme="majorEastAsia" w:eastAsiaTheme="majorEastAsia" w:cstheme="majorEastAsia"/>
          <w:color w:val="auto"/>
          <w:spacing w:val="-2"/>
          <w:szCs w:val="21"/>
          <w:highlight w:val="none"/>
          <w:lang w:eastAsia="zh-CN"/>
        </w:rPr>
        <w:t>采购文件</w:t>
      </w:r>
      <w:r>
        <w:rPr>
          <w:rFonts w:hint="eastAsia" w:asciiTheme="majorEastAsia" w:hAnsiTheme="majorEastAsia" w:eastAsiaTheme="majorEastAsia" w:cstheme="majorEastAsia"/>
          <w:color w:val="auto"/>
          <w:spacing w:val="-2"/>
          <w:szCs w:val="21"/>
          <w:highlight w:val="none"/>
        </w:rPr>
        <w:t>。</w:t>
      </w:r>
    </w:p>
    <w:p w14:paraId="4C588B21">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15</w:t>
      </w: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b/>
          <w:color w:val="auto"/>
          <w:szCs w:val="21"/>
          <w:highlight w:val="none"/>
          <w:lang w:eastAsia="zh-CN"/>
        </w:rPr>
        <w:t>采购文件</w:t>
      </w:r>
      <w:r>
        <w:rPr>
          <w:rFonts w:hint="eastAsia" w:asciiTheme="majorEastAsia" w:hAnsiTheme="majorEastAsia" w:eastAsiaTheme="majorEastAsia" w:cstheme="majorEastAsia"/>
          <w:b/>
          <w:color w:val="auto"/>
          <w:szCs w:val="21"/>
          <w:highlight w:val="none"/>
        </w:rPr>
        <w:t>的组成</w:t>
      </w:r>
    </w:p>
    <w:p w14:paraId="217D6C57">
      <w:pPr>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 xml:space="preserve">.1 </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包括内容：</w:t>
      </w:r>
    </w:p>
    <w:p w14:paraId="60983791">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第一章  </w:t>
      </w:r>
      <w:r>
        <w:rPr>
          <w:rFonts w:hint="eastAsia" w:asciiTheme="majorEastAsia" w:hAnsiTheme="majorEastAsia" w:eastAsiaTheme="majorEastAsia" w:cstheme="majorEastAsia"/>
          <w:color w:val="auto"/>
          <w:szCs w:val="21"/>
          <w:highlight w:val="none"/>
          <w:lang w:eastAsia="zh-CN"/>
        </w:rPr>
        <w:t>招</w:t>
      </w:r>
      <w:r>
        <w:rPr>
          <w:rFonts w:hint="eastAsia" w:asciiTheme="majorEastAsia" w:hAnsiTheme="majorEastAsia" w:eastAsiaTheme="majorEastAsia" w:cstheme="majorEastAsia"/>
          <w:color w:val="auto"/>
          <w:szCs w:val="21"/>
          <w:highlight w:val="none"/>
        </w:rPr>
        <w:t>标公告</w:t>
      </w:r>
    </w:p>
    <w:p w14:paraId="64629C9F">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第二章  投标须知</w:t>
      </w:r>
    </w:p>
    <w:p w14:paraId="47E57A74">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第三章  评标办法</w:t>
      </w:r>
    </w:p>
    <w:p w14:paraId="60AD09E6">
      <w:pPr>
        <w:ind w:firstLine="1470" w:firstLineChars="7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第四章  </w:t>
      </w:r>
      <w:r>
        <w:rPr>
          <w:rFonts w:hint="eastAsia" w:asciiTheme="majorEastAsia" w:hAnsiTheme="majorEastAsia" w:eastAsiaTheme="majorEastAsia" w:cstheme="majorEastAsia"/>
          <w:color w:val="auto"/>
          <w:szCs w:val="21"/>
          <w:highlight w:val="none"/>
          <w:lang w:val="en-US" w:eastAsia="zh-CN"/>
        </w:rPr>
        <w:t>采购内容（技术）及商务要求</w:t>
      </w:r>
    </w:p>
    <w:p w14:paraId="2D057BA3">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第五章  合同条款及格式</w:t>
      </w:r>
    </w:p>
    <w:p w14:paraId="1112F4F8">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第六章  投标文件格式文本</w:t>
      </w:r>
    </w:p>
    <w:p w14:paraId="1D1D7EBA">
      <w:pPr>
        <w:shd w:val="clear" w:color="auto" w:fill="auto"/>
        <w:spacing w:line="44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.2 除1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.1内容外，招标答疑亦为</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的组成部分，对招标人和投标人起约束作用。</w:t>
      </w:r>
    </w:p>
    <w:p w14:paraId="2DD33BF6">
      <w:pPr>
        <w:pStyle w:val="14"/>
        <w:shd w:val="clear" w:color="auto" w:fill="auto"/>
        <w:wordWrap w:val="0"/>
        <w:spacing w:line="400" w:lineRule="exact"/>
        <w:rPr>
          <w:rFonts w:hint="eastAsia" w:asciiTheme="majorEastAsia" w:hAnsiTheme="majorEastAsia" w:eastAsiaTheme="majorEastAsia" w:cstheme="majorEastAsia"/>
          <w:color w:val="auto"/>
          <w:szCs w:val="21"/>
          <w:highlight w:val="none"/>
          <w:lang w:val="en-US"/>
        </w:rPr>
      </w:pPr>
      <w:r>
        <w:rPr>
          <w:rFonts w:hint="eastAsia" w:asciiTheme="majorEastAsia" w:hAnsiTheme="majorEastAsia" w:eastAsiaTheme="majorEastAsia" w:cstheme="majorEastAsia"/>
          <w:color w:val="auto"/>
          <w:szCs w:val="21"/>
          <w:highlight w:val="none"/>
        </w:rPr>
        <w:t xml:space="preserve">   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szCs w:val="21"/>
          <w:highlight w:val="none"/>
          <w:u w:val="none" w:color="auto"/>
        </w:rPr>
        <w:t>投标人应仔细阅读和检查</w:t>
      </w:r>
      <w:r>
        <w:rPr>
          <w:rFonts w:hint="eastAsia" w:asciiTheme="majorEastAsia" w:hAnsiTheme="majorEastAsia" w:eastAsiaTheme="majorEastAsia" w:cstheme="majorEastAsia"/>
          <w:color w:val="auto"/>
          <w:szCs w:val="21"/>
          <w:highlight w:val="none"/>
          <w:u w:val="none" w:color="auto"/>
          <w:lang w:eastAsia="zh-CN"/>
        </w:rPr>
        <w:t>采购文件</w:t>
      </w:r>
      <w:r>
        <w:rPr>
          <w:rFonts w:hint="eastAsia" w:asciiTheme="majorEastAsia" w:hAnsiTheme="majorEastAsia" w:eastAsiaTheme="majorEastAsia" w:cstheme="majorEastAsia"/>
          <w:color w:val="auto"/>
          <w:szCs w:val="21"/>
          <w:highlight w:val="none"/>
          <w:u w:val="none" w:color="auto"/>
        </w:rPr>
        <w:t>的全部内容。如发现缺页或附件不全，应及时向招标人提出，以便补齐。如有疑问，投标人应在</w:t>
      </w:r>
      <w:r>
        <w:rPr>
          <w:rFonts w:hint="eastAsia" w:asciiTheme="majorEastAsia" w:hAnsiTheme="majorEastAsia" w:eastAsiaTheme="majorEastAsia" w:cstheme="majorEastAsia"/>
          <w:color w:val="auto"/>
          <w:szCs w:val="21"/>
          <w:highlight w:val="none"/>
        </w:rPr>
        <w:t>以书面形式一次性向采购人和采购代理机构提出同一环节的质疑</w:t>
      </w:r>
      <w:r>
        <w:rPr>
          <w:rFonts w:hint="eastAsia" w:asciiTheme="majorEastAsia" w:hAnsiTheme="majorEastAsia" w:eastAsiaTheme="majorEastAsia" w:cstheme="majorEastAsia"/>
          <w:color w:val="auto"/>
          <w:szCs w:val="21"/>
          <w:highlight w:val="none"/>
          <w:u w:val="none" w:color="auto"/>
        </w:rPr>
        <w:t>。</w:t>
      </w:r>
    </w:p>
    <w:p w14:paraId="477999B6">
      <w:pPr>
        <w:shd w:val="clear" w:color="auto" w:fill="auto"/>
        <w:wordWrap w:val="0"/>
        <w:spacing w:line="44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Theme="majorEastAsia" w:hAnsiTheme="majorEastAsia" w:eastAsiaTheme="majorEastAsia" w:cstheme="majorEastAsia"/>
          <w:color w:val="auto"/>
          <w:szCs w:val="21"/>
          <w:highlight w:val="none"/>
          <w:lang w:val="en-US" w:eastAsia="zh-CN"/>
        </w:rPr>
        <w:t>新疆</w:t>
      </w:r>
      <w:r>
        <w:rPr>
          <w:rFonts w:hint="eastAsia" w:asciiTheme="majorEastAsia" w:hAnsiTheme="majorEastAsia" w:eastAsiaTheme="majorEastAsia" w:cstheme="majorEastAsia"/>
          <w:color w:val="auto"/>
          <w:szCs w:val="21"/>
          <w:highlight w:val="none"/>
        </w:rPr>
        <w:t>政府采购网下载专区下载。</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的澄清将在</w:t>
      </w:r>
      <w:r>
        <w:rPr>
          <w:rFonts w:hint="eastAsia" w:asciiTheme="majorEastAsia" w:hAnsiTheme="majorEastAsia" w:eastAsiaTheme="majorEastAsia" w:cstheme="majorEastAsia"/>
          <w:color w:val="auto"/>
          <w:szCs w:val="21"/>
          <w:highlight w:val="none"/>
          <w:lang w:eastAsia="zh-CN"/>
        </w:rPr>
        <w:t>政采云平台“更正公告”栏目予以公告</w:t>
      </w:r>
      <w:r>
        <w:rPr>
          <w:rFonts w:hint="eastAsia" w:asciiTheme="majorEastAsia" w:hAnsiTheme="majorEastAsia" w:eastAsiaTheme="majorEastAsia" w:cstheme="majorEastAsia"/>
          <w:color w:val="auto"/>
          <w:szCs w:val="21"/>
          <w:highlight w:val="none"/>
        </w:rPr>
        <w:t>，但不指明澄清问题的来源。如果澄清内容影响投标文件编制的，将相应延长投标截止时间。</w:t>
      </w:r>
    </w:p>
    <w:p w14:paraId="29BEC0F4">
      <w:pPr>
        <w:shd w:val="clear" w:color="auto" w:fill="auto"/>
        <w:spacing w:line="440" w:lineRule="exac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1</w:t>
      </w:r>
      <w:r>
        <w:rPr>
          <w:rFonts w:hint="eastAsia" w:asciiTheme="majorEastAsia" w:hAnsiTheme="majorEastAsia" w:eastAsiaTheme="majorEastAsia" w:cstheme="majorEastAsia"/>
          <w:b/>
          <w:bCs/>
          <w:color w:val="auto"/>
          <w:szCs w:val="21"/>
          <w:highlight w:val="none"/>
          <w:lang w:val="en-US" w:eastAsia="zh-CN"/>
        </w:rPr>
        <w:t>6</w:t>
      </w:r>
      <w:r>
        <w:rPr>
          <w:rFonts w:hint="eastAsia" w:asciiTheme="majorEastAsia" w:hAnsiTheme="majorEastAsia" w:eastAsiaTheme="majorEastAsia" w:cstheme="majorEastAsia"/>
          <w:b/>
          <w:bCs/>
          <w:color w:val="auto"/>
          <w:szCs w:val="21"/>
          <w:highlight w:val="none"/>
        </w:rPr>
        <w:t xml:space="preserve">. </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的修改、补充、解释</w:t>
      </w:r>
    </w:p>
    <w:p w14:paraId="162C5394">
      <w:pPr>
        <w:shd w:val="clear" w:color="auto" w:fill="auto"/>
        <w:wordWrap w:val="0"/>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发出后，招标人在规定的投标截止时间前可对</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进行必要的修改和补充，并以</w:t>
      </w:r>
      <w:r>
        <w:rPr>
          <w:rFonts w:hint="eastAsia" w:asciiTheme="majorEastAsia" w:hAnsiTheme="majorEastAsia" w:eastAsiaTheme="majorEastAsia" w:cstheme="majorEastAsia"/>
          <w:color w:val="auto"/>
          <w:szCs w:val="21"/>
          <w:highlight w:val="none"/>
          <w:lang w:eastAsia="zh-CN"/>
        </w:rPr>
        <w:t>更正</w:t>
      </w:r>
      <w:r>
        <w:rPr>
          <w:rFonts w:hint="eastAsia" w:asciiTheme="majorEastAsia" w:hAnsiTheme="majorEastAsia" w:eastAsiaTheme="majorEastAsia" w:cstheme="majorEastAsia"/>
          <w:color w:val="auto"/>
          <w:szCs w:val="21"/>
          <w:highlight w:val="none"/>
        </w:rPr>
        <w:t>公告形式在</w:t>
      </w:r>
      <w:r>
        <w:rPr>
          <w:rFonts w:hint="eastAsia" w:asciiTheme="majorEastAsia" w:hAnsiTheme="majorEastAsia" w:eastAsiaTheme="majorEastAsia" w:cstheme="majorEastAsia"/>
          <w:color w:val="auto"/>
          <w:szCs w:val="21"/>
          <w:highlight w:val="none"/>
          <w:lang w:eastAsia="zh-CN"/>
        </w:rPr>
        <w:t>政采云平台</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eastAsia="zh-CN"/>
        </w:rPr>
        <w:t>更正公告</w:t>
      </w:r>
      <w:r>
        <w:rPr>
          <w:rFonts w:hint="eastAsia" w:asciiTheme="majorEastAsia" w:hAnsiTheme="majorEastAsia" w:eastAsiaTheme="majorEastAsia" w:cstheme="majorEastAsia"/>
          <w:color w:val="auto"/>
          <w:szCs w:val="21"/>
          <w:highlight w:val="none"/>
        </w:rPr>
        <w:t>”栏目予以公告，请各位投标人注意查看有关澄清内容，如不及时查看造成后果由投标人自负。</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的修改、补充等内容作为</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的组成部分，具有约束作用。</w:t>
      </w:r>
    </w:p>
    <w:p w14:paraId="3D732595">
      <w:pPr>
        <w:shd w:val="clear" w:color="auto" w:fill="auto"/>
        <w:wordWrap w:val="0"/>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AE3907F">
      <w:pPr>
        <w:shd w:val="clear" w:color="auto" w:fill="auto"/>
        <w:wordWrap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1</w:t>
      </w:r>
      <w:r>
        <w:rPr>
          <w:rFonts w:hint="eastAsia" w:asciiTheme="majorEastAsia" w:hAnsiTheme="majorEastAsia" w:eastAsiaTheme="majorEastAsia" w:cstheme="majorEastAsia"/>
          <w:bCs/>
          <w:color w:val="auto"/>
          <w:szCs w:val="21"/>
          <w:highlight w:val="none"/>
          <w:lang w:val="en-US" w:eastAsia="zh-CN"/>
        </w:rPr>
        <w:t>6</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bCs/>
          <w:color w:val="auto"/>
          <w:szCs w:val="21"/>
          <w:highlight w:val="none"/>
          <w:lang w:val="en-US" w:eastAsia="zh-CN"/>
        </w:rPr>
        <w:t>3</w:t>
      </w: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color w:val="auto"/>
          <w:szCs w:val="21"/>
          <w:highlight w:val="none"/>
        </w:rPr>
        <w:t>供应商在规定的时间内未对采购文件提出疑问、质疑或要求澄清的，将视其为无异议。</w:t>
      </w:r>
    </w:p>
    <w:p w14:paraId="35F33DE7">
      <w:pPr>
        <w:shd w:val="clear" w:color="auto" w:fill="auto"/>
        <w:spacing w:line="40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w:t>
      </w:r>
      <w:r>
        <w:rPr>
          <w:rFonts w:hint="eastAsia" w:asciiTheme="majorEastAsia" w:hAnsiTheme="majorEastAsia" w:eastAsiaTheme="majorEastAsia" w:cstheme="majorEastAsia"/>
          <w:bCs/>
          <w:color w:val="auto"/>
          <w:szCs w:val="21"/>
          <w:highlight w:val="none"/>
          <w:lang w:val="en-US" w:eastAsia="zh-CN"/>
        </w:rPr>
        <w:t>6</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bCs/>
          <w:color w:val="auto"/>
          <w:szCs w:val="21"/>
          <w:highlight w:val="none"/>
          <w:lang w:val="en-US" w:eastAsia="zh-CN"/>
        </w:rPr>
        <w:t>4</w:t>
      </w: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Cs/>
          <w:color w:val="auto"/>
          <w:szCs w:val="21"/>
          <w:highlight w:val="none"/>
          <w:lang w:eastAsia="zh-CN"/>
        </w:rPr>
        <w:t>采购文件</w:t>
      </w:r>
      <w:r>
        <w:rPr>
          <w:rFonts w:hint="eastAsia" w:asciiTheme="majorEastAsia" w:hAnsiTheme="majorEastAsia" w:eastAsiaTheme="majorEastAsia" w:cstheme="majorEastAsia"/>
          <w:bCs/>
          <w:color w:val="auto"/>
          <w:szCs w:val="21"/>
          <w:highlight w:val="none"/>
        </w:rPr>
        <w:t>的解释</w:t>
      </w:r>
    </w:p>
    <w:p w14:paraId="1297226C">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由招标人（或其委托的招标代理机构）负责解释。</w:t>
      </w:r>
    </w:p>
    <w:p w14:paraId="2DE26475">
      <w:pPr>
        <w:shd w:val="clear" w:color="auto" w:fill="auto"/>
        <w:spacing w:line="400" w:lineRule="exact"/>
        <w:rPr>
          <w:rFonts w:hint="eastAsia" w:asciiTheme="majorEastAsia" w:hAnsiTheme="majorEastAsia" w:eastAsiaTheme="majorEastAsia" w:cstheme="majorEastAsia"/>
          <w:b/>
          <w:color w:val="0000FF"/>
          <w:szCs w:val="21"/>
          <w:highlight w:val="none"/>
        </w:rPr>
      </w:pPr>
      <w:r>
        <w:rPr>
          <w:rFonts w:hint="eastAsia" w:asciiTheme="majorEastAsia" w:hAnsiTheme="majorEastAsia" w:eastAsiaTheme="majorEastAsia" w:cstheme="majorEastAsia"/>
          <w:b/>
          <w:color w:val="auto"/>
          <w:szCs w:val="21"/>
          <w:highlight w:val="none"/>
        </w:rPr>
        <w:t>1</w:t>
      </w:r>
      <w:r>
        <w:rPr>
          <w:rFonts w:hint="eastAsia" w:asciiTheme="majorEastAsia" w:hAnsiTheme="majorEastAsia" w:eastAsiaTheme="majorEastAsia" w:cstheme="majorEastAsia"/>
          <w:b/>
          <w:color w:val="auto"/>
          <w:szCs w:val="21"/>
          <w:highlight w:val="none"/>
          <w:lang w:val="en-US" w:eastAsia="zh-CN"/>
        </w:rPr>
        <w:t>7</w:t>
      </w: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b/>
          <w:color w:val="auto"/>
          <w:szCs w:val="21"/>
          <w:highlight w:val="none"/>
          <w:lang w:eastAsia="zh-CN"/>
        </w:rPr>
        <w:t>采购文件</w:t>
      </w:r>
      <w:r>
        <w:rPr>
          <w:rFonts w:hint="eastAsia" w:asciiTheme="majorEastAsia" w:hAnsiTheme="majorEastAsia" w:eastAsiaTheme="majorEastAsia" w:cstheme="majorEastAsia"/>
          <w:b/>
          <w:color w:val="auto"/>
          <w:szCs w:val="21"/>
          <w:highlight w:val="none"/>
        </w:rPr>
        <w:t>的发出</w:t>
      </w:r>
    </w:p>
    <w:p w14:paraId="704AC654">
      <w:pPr>
        <w:shd w:val="clear" w:color="auto" w:fill="auto"/>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 xml:space="preserve">.1  </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的澄清、修改、补充及招标答疑等均应报</w:t>
      </w:r>
      <w:r>
        <w:rPr>
          <w:rFonts w:hint="eastAsia" w:asciiTheme="majorEastAsia" w:hAnsiTheme="majorEastAsia" w:eastAsiaTheme="majorEastAsia" w:cstheme="majorEastAsia"/>
          <w:color w:val="auto"/>
          <w:szCs w:val="21"/>
          <w:highlight w:val="none"/>
          <w:lang w:eastAsia="zh-CN"/>
        </w:rPr>
        <w:t>相关部门</w:t>
      </w:r>
      <w:r>
        <w:rPr>
          <w:rFonts w:hint="eastAsia" w:asciiTheme="majorEastAsia" w:hAnsiTheme="majorEastAsia" w:eastAsiaTheme="majorEastAsia" w:cstheme="majorEastAsia"/>
          <w:color w:val="auto"/>
          <w:szCs w:val="21"/>
          <w:highlight w:val="none"/>
        </w:rPr>
        <w:t>备案后，方可发出。</w:t>
      </w:r>
    </w:p>
    <w:p w14:paraId="47DB71E9">
      <w:pPr>
        <w:shd w:val="clear" w:color="auto" w:fill="auto"/>
        <w:spacing w:line="440" w:lineRule="exact"/>
        <w:ind w:firstLine="422" w:firstLineChars="200"/>
        <w:rPr>
          <w:rFonts w:hint="eastAsia" w:asciiTheme="majorEastAsia" w:hAnsiTheme="majorEastAsia" w:eastAsiaTheme="majorEastAsia" w:cstheme="majorEastAsia"/>
          <w:color w:val="auto"/>
          <w:szCs w:val="21"/>
          <w:highlight w:val="none"/>
        </w:rPr>
      </w:pPr>
      <w:bookmarkStart w:id="19" w:name="_Toc469495726"/>
      <w:r>
        <w:rPr>
          <w:rFonts w:hint="eastAsia" w:asciiTheme="majorEastAsia" w:hAnsiTheme="majorEastAsia" w:eastAsiaTheme="majorEastAsia" w:cstheme="majorEastAsia"/>
          <w:b/>
          <w:bCs/>
          <w:color w:val="auto"/>
          <w:szCs w:val="21"/>
          <w:highlight w:val="none"/>
        </w:rPr>
        <w:t>1</w:t>
      </w:r>
      <w:r>
        <w:rPr>
          <w:rFonts w:hint="eastAsia" w:asciiTheme="majorEastAsia" w:hAnsiTheme="majorEastAsia" w:eastAsiaTheme="majorEastAsia" w:cstheme="majorEastAsia"/>
          <w:b/>
          <w:bCs/>
          <w:color w:val="auto"/>
          <w:szCs w:val="21"/>
          <w:highlight w:val="none"/>
          <w:lang w:val="en-US" w:eastAsia="zh-CN"/>
        </w:rPr>
        <w:t>8</w:t>
      </w: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color w:val="auto"/>
          <w:szCs w:val="21"/>
          <w:highlight w:val="none"/>
        </w:rPr>
        <w:t xml:space="preserve"> 凡需要设置样品情形时，必须明确是否需要随样品提交检测报告，并明确检测机构的要求、检测内容、</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b w:val="0"/>
          <w:bCs w:val="0"/>
          <w:color w:val="auto"/>
          <w:szCs w:val="21"/>
          <w:highlight w:val="none"/>
        </w:rPr>
        <w:t>样品封存</w:t>
      </w:r>
      <w:r>
        <w:rPr>
          <w:rFonts w:hint="eastAsia" w:asciiTheme="majorEastAsia" w:hAnsiTheme="majorEastAsia" w:eastAsiaTheme="majorEastAsia" w:cstheme="majorEastAsia"/>
          <w:color w:val="auto"/>
          <w:szCs w:val="21"/>
          <w:highlight w:val="none"/>
        </w:rPr>
        <w:t>等事项。（</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无法判断样品是否合格且样品需要提供给第三方权威检测机构检测的,在投标人提供招标人认可的第三方权威检测机构检测报告后，</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推荐的</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候选人方可生效，采购人或代理机构发布</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（成交）结果公告。</w:t>
      </w:r>
    </w:p>
    <w:p w14:paraId="61E2D5F8">
      <w:pPr>
        <w:shd w:val="clear" w:color="auto" w:fill="auto"/>
        <w:spacing w:line="400" w:lineRule="exact"/>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中应明确样品送检方式、检测费用支付方法、投标人在规定时间内无法提供第三方权威检测机构检测报告的处理方式。（</w:t>
      </w:r>
      <w:r>
        <w:rPr>
          <w:rFonts w:hint="eastAsia" w:asciiTheme="majorEastAsia" w:hAnsiTheme="majorEastAsia" w:eastAsiaTheme="majorEastAsia" w:cstheme="majorEastAsia"/>
          <w:color w:val="auto"/>
          <w:szCs w:val="21"/>
          <w:highlight w:val="none"/>
          <w:lang w:eastAsia="zh-CN"/>
        </w:rPr>
        <w:t>采购人</w:t>
      </w:r>
      <w:r>
        <w:rPr>
          <w:rFonts w:hint="eastAsia" w:asciiTheme="majorEastAsia" w:hAnsiTheme="majorEastAsia" w:eastAsiaTheme="majorEastAsia" w:cstheme="majorEastAsia"/>
          <w:color w:val="auto"/>
          <w:szCs w:val="21"/>
          <w:highlight w:val="none"/>
        </w:rPr>
        <w:t>根据项目需求按上述要求自行描述）</w:t>
      </w:r>
    </w:p>
    <w:p w14:paraId="2B40FED8">
      <w:pPr>
        <w:shd w:val="clear" w:color="auto" w:fill="auto"/>
        <w:spacing w:before="312" w:beforeLines="100" w:after="312" w:afterLines="100" w:line="440" w:lineRule="exact"/>
        <w:jc w:val="center"/>
        <w:outlineLvl w:val="2"/>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（三）投标文件的编制</w:t>
      </w:r>
      <w:bookmarkEnd w:id="19"/>
    </w:p>
    <w:p w14:paraId="56095BA0">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19</w:t>
      </w:r>
      <w:r>
        <w:rPr>
          <w:rFonts w:hint="eastAsia" w:asciiTheme="majorEastAsia" w:hAnsiTheme="majorEastAsia" w:eastAsiaTheme="majorEastAsia" w:cstheme="majorEastAsia"/>
          <w:b/>
          <w:color w:val="auto"/>
          <w:szCs w:val="21"/>
          <w:highlight w:val="none"/>
        </w:rPr>
        <w:t>. 投标的语言及度量衡单位</w:t>
      </w:r>
    </w:p>
    <w:p w14:paraId="0E14F19C">
      <w:pPr>
        <w:shd w:val="clear" w:color="auto" w:fill="auto"/>
        <w:spacing w:line="440" w:lineRule="exact"/>
        <w:ind w:firstLine="283" w:firstLineChars="135"/>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19</w:t>
      </w:r>
      <w:r>
        <w:rPr>
          <w:rFonts w:hint="eastAsia" w:asciiTheme="majorEastAsia" w:hAnsiTheme="majorEastAsia" w:eastAsiaTheme="majorEastAsia" w:cstheme="majorEastAsia"/>
          <w:color w:val="auto"/>
          <w:szCs w:val="21"/>
          <w:highlight w:val="none"/>
        </w:rPr>
        <w:t>.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6E1FCA4C">
      <w:pPr>
        <w:shd w:val="clear" w:color="auto" w:fill="auto"/>
        <w:spacing w:line="440" w:lineRule="exact"/>
        <w:ind w:firstLine="283" w:firstLineChars="135"/>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19</w:t>
      </w:r>
      <w:r>
        <w:rPr>
          <w:rFonts w:hint="eastAsia" w:asciiTheme="majorEastAsia" w:hAnsiTheme="majorEastAsia" w:eastAsiaTheme="majorEastAsia" w:cstheme="majorEastAsia"/>
          <w:color w:val="auto"/>
          <w:szCs w:val="21"/>
          <w:highlight w:val="none"/>
        </w:rPr>
        <w:t>.2除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中另有规定外，投标书所使用的度量衡均须采用法定计量单位。</w:t>
      </w:r>
    </w:p>
    <w:p w14:paraId="3C5839B7">
      <w:pPr>
        <w:shd w:val="clear" w:color="auto" w:fill="auto"/>
        <w:spacing w:line="40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val="en-US" w:eastAsia="zh-CN"/>
        </w:rPr>
        <w:t>0</w:t>
      </w:r>
      <w:r>
        <w:rPr>
          <w:rFonts w:hint="eastAsia" w:asciiTheme="majorEastAsia" w:hAnsiTheme="majorEastAsia" w:eastAsiaTheme="majorEastAsia" w:cstheme="majorEastAsia"/>
          <w:b/>
          <w:color w:val="auto"/>
          <w:szCs w:val="21"/>
          <w:highlight w:val="none"/>
        </w:rPr>
        <w:t>. 投标文件的组成</w:t>
      </w:r>
    </w:p>
    <w:p w14:paraId="6DACBF94">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资格证明文件和</w:t>
      </w:r>
      <w:r>
        <w:rPr>
          <w:rFonts w:hint="eastAsia" w:asciiTheme="majorEastAsia" w:hAnsiTheme="majorEastAsia" w:eastAsiaTheme="majorEastAsia" w:cstheme="majorEastAsia"/>
          <w:color w:val="auto"/>
          <w:szCs w:val="21"/>
          <w:highlight w:val="none"/>
          <w:lang w:val="en-US" w:eastAsia="zh-CN"/>
        </w:rPr>
        <w:t>报价文件、</w:t>
      </w:r>
      <w:r>
        <w:rPr>
          <w:rFonts w:hint="eastAsia" w:asciiTheme="majorEastAsia" w:hAnsiTheme="majorEastAsia" w:eastAsiaTheme="majorEastAsia" w:cstheme="majorEastAsia"/>
          <w:color w:val="auto"/>
          <w:szCs w:val="21"/>
          <w:highlight w:val="none"/>
        </w:rPr>
        <w:t>商务</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技术文件。</w:t>
      </w:r>
    </w:p>
    <w:p w14:paraId="1DE28D2E">
      <w:pPr>
        <w:shd w:val="clear" w:color="auto" w:fill="auto"/>
        <w:spacing w:line="440" w:lineRule="exact"/>
        <w:ind w:firstLine="420" w:firstLineChars="200"/>
        <w:rPr>
          <w:rFonts w:hint="eastAsia" w:ascii="宋体" w:hAnsi="宋体" w:eastAsia="宋体" w:cs="宋体"/>
          <w:b/>
          <w:color w:val="0000FF"/>
          <w:sz w:val="24"/>
          <w:szCs w:val="24"/>
          <w:highlight w:val="none"/>
          <w:lang w:eastAsia="zh-CN"/>
        </w:rPr>
      </w:pPr>
      <w:r>
        <w:rPr>
          <w:rFonts w:hint="eastAsia" w:asciiTheme="majorEastAsia" w:hAnsiTheme="majorEastAsia" w:eastAsiaTheme="majorEastAsia" w:cstheme="majorEastAsia"/>
          <w:color w:val="auto"/>
          <w:szCs w:val="21"/>
          <w:highlight w:val="none"/>
          <w:lang w:val="en-US" w:eastAsia="zh-CN"/>
        </w:rPr>
        <w:t>20.1</w:t>
      </w:r>
      <w:r>
        <w:rPr>
          <w:rFonts w:hint="eastAsia" w:ascii="宋体" w:hAnsi="宋体" w:eastAsia="宋体" w:cs="宋体"/>
          <w:b/>
          <w:bCs w:val="0"/>
          <w:color w:val="0000FF"/>
          <w:sz w:val="21"/>
          <w:szCs w:val="21"/>
          <w:highlight w:val="none"/>
        </w:rPr>
        <w:t>资格证明文件</w:t>
      </w:r>
      <w:r>
        <w:rPr>
          <w:rFonts w:hint="eastAsia" w:ascii="宋体" w:hAnsi="宋体" w:eastAsia="宋体" w:cs="宋体"/>
          <w:b/>
          <w:bCs w:val="0"/>
          <w:color w:val="0000FF"/>
          <w:sz w:val="21"/>
          <w:szCs w:val="21"/>
          <w:highlight w:val="none"/>
          <w:lang w:eastAsia="zh-CN"/>
        </w:rPr>
        <w:t>（</w:t>
      </w:r>
      <w:r>
        <w:rPr>
          <w:rFonts w:hint="eastAsia" w:ascii="宋体" w:hAnsi="宋体" w:eastAsia="宋体" w:cs="宋体"/>
          <w:b/>
          <w:bCs w:val="0"/>
          <w:color w:val="0000FF"/>
          <w:sz w:val="21"/>
          <w:szCs w:val="21"/>
          <w:highlight w:val="none"/>
          <w:lang w:val="en-US" w:eastAsia="zh-CN"/>
        </w:rPr>
        <w:t>目录</w:t>
      </w:r>
      <w:r>
        <w:rPr>
          <w:rFonts w:hint="eastAsia" w:ascii="宋体" w:hAnsi="宋体" w:eastAsia="宋体" w:cs="宋体"/>
          <w:b/>
          <w:bCs w:val="0"/>
          <w:color w:val="0000FF"/>
          <w:sz w:val="21"/>
          <w:szCs w:val="21"/>
          <w:highlight w:val="none"/>
          <w:lang w:eastAsia="zh-CN"/>
        </w:rPr>
        <w:t>）</w:t>
      </w:r>
    </w:p>
    <w:p w14:paraId="66C1DA6C">
      <w:pPr>
        <w:shd w:val="clear" w:color="auto" w:fill="auto"/>
        <w:spacing w:line="440" w:lineRule="exact"/>
        <w:ind w:firstLine="310" w:firstLineChars="147"/>
        <w:rPr>
          <w:rFonts w:hint="eastAsia" w:ascii="宋体" w:hAnsi="宋体" w:eastAsia="宋体" w:cs="宋体"/>
          <w:color w:val="auto"/>
          <w:szCs w:val="21"/>
          <w:highlight w:val="none"/>
        </w:rPr>
      </w:pPr>
      <w:r>
        <w:rPr>
          <w:rFonts w:hint="eastAsia" w:ascii="宋体" w:hAnsi="宋体" w:eastAsia="宋体" w:cs="宋体"/>
          <w:b/>
          <w:bCs/>
          <w:color w:val="0000FF"/>
          <w:sz w:val="21"/>
          <w:szCs w:val="21"/>
          <w:highlight w:val="none"/>
        </w:rPr>
        <w:t>资格证明</w:t>
      </w:r>
      <w:r>
        <w:rPr>
          <w:rFonts w:hint="eastAsia" w:ascii="宋体" w:hAnsi="宋体" w:eastAsia="宋体" w:cs="宋体"/>
          <w:b/>
          <w:bCs/>
          <w:color w:val="0000FF"/>
          <w:sz w:val="21"/>
          <w:szCs w:val="21"/>
          <w:highlight w:val="none"/>
          <w:lang w:eastAsia="zh-CN"/>
        </w:rPr>
        <w:t>文件</w:t>
      </w:r>
      <w:r>
        <w:rPr>
          <w:rFonts w:hint="eastAsia" w:ascii="宋体" w:hAnsi="宋体" w:eastAsia="宋体" w:cs="宋体"/>
          <w:b/>
          <w:bCs/>
          <w:color w:val="0000FF"/>
          <w:sz w:val="21"/>
          <w:szCs w:val="21"/>
          <w:highlight w:val="none"/>
        </w:rPr>
        <w:t>是证明投标人有资格参加投标和</w:t>
      </w:r>
      <w:r>
        <w:rPr>
          <w:rFonts w:hint="eastAsia" w:ascii="宋体" w:hAnsi="宋体" w:eastAsia="宋体" w:cs="宋体"/>
          <w:b/>
          <w:bCs/>
          <w:color w:val="0000FF"/>
          <w:sz w:val="21"/>
          <w:szCs w:val="21"/>
          <w:highlight w:val="none"/>
          <w:lang w:eastAsia="zh-CN"/>
        </w:rPr>
        <w:t>成交</w:t>
      </w:r>
      <w:r>
        <w:rPr>
          <w:rFonts w:hint="eastAsia" w:ascii="宋体" w:hAnsi="宋体" w:eastAsia="宋体" w:cs="宋体"/>
          <w:b/>
          <w:bCs/>
          <w:color w:val="0000FF"/>
          <w:sz w:val="21"/>
          <w:szCs w:val="21"/>
          <w:highlight w:val="none"/>
        </w:rPr>
        <w:t>后有能力履行合同的文件，这些文件应能满足招标的要求，否则作无效投标处理。</w:t>
      </w:r>
    </w:p>
    <w:p w14:paraId="1C1EDD68">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1、法人或者非法人组织的营业执照等证明文件或自然人的身份证明复印件；</w:t>
      </w:r>
    </w:p>
    <w:p w14:paraId="15329A98">
      <w:pPr>
        <w:shd w:val="clear" w:color="auto" w:fill="auto"/>
        <w:spacing w:line="440" w:lineRule="exact"/>
        <w:ind w:firstLine="310" w:firstLineChars="147"/>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2、</w:t>
      </w:r>
      <w:r>
        <w:rPr>
          <w:rFonts w:hint="eastAsia" w:ascii="宋体" w:hAnsi="宋体" w:cs="宋体"/>
          <w:b/>
          <w:bCs/>
          <w:color w:val="0000FF"/>
          <w:szCs w:val="21"/>
          <w:highlight w:val="none"/>
          <w:lang w:val="en-US" w:eastAsia="zh-CN"/>
        </w:rPr>
        <w:t>投标人提供</w:t>
      </w:r>
      <w:r>
        <w:rPr>
          <w:rFonts w:hint="eastAsia" w:ascii="宋体" w:hAnsi="宋体" w:eastAsia="宋体" w:cs="宋体"/>
          <w:b/>
          <w:bCs/>
          <w:color w:val="0000FF"/>
          <w:szCs w:val="21"/>
          <w:highlight w:val="none"/>
          <w:lang w:val="en-US" w:eastAsia="zh-CN"/>
        </w:rPr>
        <w:t>投标文件递交截止之日前</w:t>
      </w:r>
      <w:r>
        <w:rPr>
          <w:rFonts w:hint="eastAsia" w:ascii="宋体" w:hAnsi="宋体" w:cs="宋体"/>
          <w:b/>
          <w:bCs/>
          <w:color w:val="0000FF"/>
          <w:szCs w:val="21"/>
          <w:highlight w:val="none"/>
          <w:lang w:val="en-US" w:eastAsia="zh-CN"/>
        </w:rPr>
        <w:t>6</w:t>
      </w:r>
      <w:r>
        <w:rPr>
          <w:rFonts w:hint="eastAsia" w:ascii="宋体" w:hAnsi="宋体" w:eastAsia="宋体" w:cs="宋体"/>
          <w:b/>
          <w:bCs/>
          <w:color w:val="0000FF"/>
          <w:szCs w:val="21"/>
          <w:highlight w:val="none"/>
          <w:lang w:val="en-US" w:eastAsia="zh-CN"/>
        </w:rPr>
        <w:t>个月内任</w:t>
      </w:r>
      <w:r>
        <w:rPr>
          <w:rFonts w:hint="eastAsia" w:ascii="宋体" w:hAnsi="宋体" w:cs="宋体"/>
          <w:b/>
          <w:bCs/>
          <w:color w:val="0000FF"/>
          <w:szCs w:val="21"/>
          <w:highlight w:val="none"/>
          <w:lang w:val="en-US" w:eastAsia="zh-CN"/>
        </w:rPr>
        <w:t>1</w:t>
      </w:r>
      <w:r>
        <w:rPr>
          <w:rFonts w:hint="eastAsia" w:ascii="宋体" w:hAnsi="宋体" w:eastAsia="宋体" w:cs="宋体"/>
          <w:b/>
          <w:bCs/>
          <w:color w:val="0000FF"/>
          <w:szCs w:val="21"/>
          <w:highlight w:val="none"/>
          <w:lang w:val="en-US" w:eastAsia="zh-CN"/>
        </w:rPr>
        <w:t>个月的缴纳税收的完税凭证，依法免税的投标人应提供相应文件证明其依法免税）；</w:t>
      </w:r>
    </w:p>
    <w:p w14:paraId="2A2CDBB3">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3</w:t>
      </w:r>
      <w:r>
        <w:rPr>
          <w:rFonts w:hint="eastAsia" w:ascii="宋体" w:hAnsi="宋体" w:eastAsia="宋体" w:cs="宋体"/>
          <w:b/>
          <w:bCs/>
          <w:color w:val="0000FF"/>
          <w:szCs w:val="21"/>
          <w:highlight w:val="none"/>
          <w:lang w:val="en-US" w:eastAsia="zh-CN"/>
        </w:rPr>
        <w:t>、法定代表人投标需提供法定代表人资格证明书，委托代理人投标需提供法定代表人授权委托书及被授权在职人员近6个月内任意1个月有效的社保证明（自然人投标的无需提供）；</w:t>
      </w:r>
    </w:p>
    <w:p w14:paraId="185D58B0">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4</w:t>
      </w:r>
      <w:r>
        <w:rPr>
          <w:rFonts w:hint="eastAsia" w:ascii="宋体" w:hAnsi="宋体" w:eastAsia="宋体" w:cs="宋体"/>
          <w:b/>
          <w:bCs/>
          <w:color w:val="0000FF"/>
          <w:szCs w:val="21"/>
          <w:highlight w:val="none"/>
          <w:lang w:val="en-US" w:eastAsia="zh-CN"/>
        </w:rPr>
        <w:t>、投标保证金汇款凭证或投标保函；</w:t>
      </w:r>
    </w:p>
    <w:p w14:paraId="3C21490C">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kern w:val="2"/>
          <w:sz w:val="21"/>
          <w:szCs w:val="24"/>
          <w:lang w:val="en-US" w:eastAsia="zh-CN" w:bidi="ar-SA"/>
        </w:rPr>
        <w:t>5</w:t>
      </w:r>
      <w:r>
        <w:rPr>
          <w:rFonts w:hint="eastAsia" w:ascii="宋体" w:hAnsi="宋体" w:eastAsia="宋体" w:cs="宋体"/>
          <w:b/>
          <w:bCs/>
          <w:color w:val="0000FF"/>
          <w:kern w:val="2"/>
          <w:sz w:val="21"/>
          <w:szCs w:val="24"/>
          <w:lang w:val="en-US" w:eastAsia="zh-CN" w:bidi="ar-SA"/>
        </w:rPr>
        <w:t>、在“信用</w:t>
      </w:r>
      <w:r>
        <w:rPr>
          <w:rFonts w:hint="eastAsia" w:ascii="宋体" w:hAnsi="宋体" w:eastAsia="宋体" w:cs="宋体"/>
          <w:b/>
          <w:bCs/>
          <w:color w:val="0000FF"/>
          <w:szCs w:val="21"/>
          <w:highlight w:val="none"/>
          <w:lang w:val="en-US" w:eastAsia="zh-CN"/>
        </w:rPr>
        <w:t>中国”及“中国政府采购网”网站上未被列入失信被执行人、重大税收违法案件当事人名单以及政府采购严重违法失信行为记录名单的投标企业；</w:t>
      </w:r>
    </w:p>
    <w:p w14:paraId="79C73819">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6</w:t>
      </w:r>
      <w:r>
        <w:rPr>
          <w:rFonts w:hint="eastAsia" w:ascii="宋体" w:hAnsi="宋体" w:eastAsia="宋体" w:cs="宋体"/>
          <w:b/>
          <w:bCs/>
          <w:color w:val="0000FF"/>
          <w:szCs w:val="21"/>
          <w:highlight w:val="none"/>
          <w:lang w:val="en-US" w:eastAsia="zh-CN"/>
        </w:rPr>
        <w:t>、具有良好的商业信誉和健全的财务会计制度（经审计的近3年内任意1年的财务审计报告（新成立不足一年的提供成立之日起至今的财务报表）或基本开户银行出具的资信证明）</w:t>
      </w:r>
    </w:p>
    <w:p w14:paraId="300968FC">
      <w:pPr>
        <w:shd w:val="clear" w:color="auto" w:fill="auto"/>
        <w:spacing w:line="440" w:lineRule="exact"/>
        <w:ind w:firstLine="285" w:firstLineChars="135"/>
        <w:rPr>
          <w:rFonts w:hint="eastAsia" w:ascii="宋体" w:hAnsi="宋体" w:cs="宋体"/>
          <w:b/>
          <w:color w:val="auto"/>
          <w:szCs w:val="21"/>
          <w:highlight w:val="none"/>
        </w:rPr>
      </w:pPr>
      <w:r>
        <w:rPr>
          <w:rFonts w:hint="eastAsia" w:ascii="宋体" w:hAnsi="宋体" w:cs="宋体"/>
          <w:b/>
          <w:bCs/>
          <w:color w:val="0000FF"/>
          <w:szCs w:val="21"/>
          <w:highlight w:val="none"/>
          <w:lang w:val="en-US" w:eastAsia="zh-CN"/>
        </w:rPr>
        <w:t>7</w:t>
      </w:r>
      <w:r>
        <w:rPr>
          <w:rFonts w:hint="eastAsia" w:ascii="宋体" w:hAnsi="宋体" w:eastAsia="宋体" w:cs="宋体"/>
          <w:b/>
          <w:bCs/>
          <w:color w:val="0000FF"/>
          <w:szCs w:val="21"/>
          <w:highlight w:val="none"/>
          <w:lang w:val="en-US" w:eastAsia="zh-CN"/>
        </w:rPr>
        <w:t>、</w:t>
      </w:r>
      <w:r>
        <w:rPr>
          <w:rFonts w:hint="eastAsia" w:ascii="宋体" w:hAnsi="宋体" w:eastAsia="宋体" w:cs="宋体"/>
          <w:b/>
          <w:bCs/>
          <w:color w:val="0000FF"/>
          <w:kern w:val="2"/>
          <w:sz w:val="21"/>
          <w:szCs w:val="21"/>
          <w:lang w:val="en-US" w:eastAsia="zh-CN" w:bidi="ar-SA"/>
        </w:rPr>
        <w:t>提供</w:t>
      </w:r>
      <w:r>
        <w:rPr>
          <w:rFonts w:hint="eastAsia" w:ascii="宋体" w:hAnsi="宋体" w:cs="宋体"/>
          <w:b/>
          <w:bCs/>
          <w:color w:val="0000FF"/>
          <w:kern w:val="2"/>
          <w:sz w:val="21"/>
          <w:szCs w:val="21"/>
          <w:lang w:val="en-US" w:eastAsia="zh-CN" w:bidi="ar-SA"/>
        </w:rPr>
        <w:t>本次投标</w:t>
      </w:r>
      <w:r>
        <w:rPr>
          <w:rFonts w:hint="eastAsia" w:ascii="宋体" w:hAnsi="宋体" w:eastAsia="宋体" w:cs="宋体"/>
          <w:b/>
          <w:bCs/>
          <w:color w:val="0000FF"/>
          <w:kern w:val="2"/>
          <w:sz w:val="21"/>
          <w:szCs w:val="21"/>
          <w:lang w:val="en-US" w:eastAsia="zh-CN" w:bidi="ar-SA"/>
        </w:rPr>
        <w:t>货物制造商为</w:t>
      </w:r>
      <w:r>
        <w:rPr>
          <w:rFonts w:hint="eastAsia" w:ascii="宋体" w:hAnsi="宋体" w:cs="宋体"/>
          <w:b/>
          <w:bCs/>
          <w:color w:val="0000FF"/>
          <w:kern w:val="2"/>
          <w:sz w:val="21"/>
          <w:szCs w:val="21"/>
          <w:lang w:val="en-US" w:eastAsia="zh-CN" w:bidi="ar-SA"/>
        </w:rPr>
        <w:t>中小</w:t>
      </w:r>
      <w:r>
        <w:rPr>
          <w:rFonts w:hint="eastAsia" w:ascii="宋体" w:hAnsi="宋体" w:eastAsia="宋体" w:cs="宋体"/>
          <w:b/>
          <w:bCs/>
          <w:color w:val="0000FF"/>
          <w:kern w:val="2"/>
          <w:sz w:val="21"/>
          <w:szCs w:val="21"/>
          <w:lang w:val="en-US" w:eastAsia="zh-CN" w:bidi="ar-SA"/>
        </w:rPr>
        <w:t>企业的</w:t>
      </w:r>
      <w:r>
        <w:rPr>
          <w:rFonts w:hint="eastAsia" w:ascii="宋体" w:hAnsi="宋体" w:cs="宋体"/>
          <w:b/>
          <w:bCs/>
          <w:color w:val="0000FF"/>
          <w:kern w:val="2"/>
          <w:sz w:val="21"/>
          <w:szCs w:val="21"/>
          <w:lang w:val="en-US" w:eastAsia="zh-CN" w:bidi="ar-SA"/>
        </w:rPr>
        <w:t>《</w:t>
      </w:r>
      <w:r>
        <w:rPr>
          <w:rFonts w:hint="eastAsia" w:ascii="宋体" w:hAnsi="宋体" w:eastAsia="宋体" w:cs="宋体"/>
          <w:b/>
          <w:bCs/>
          <w:color w:val="0000FF"/>
          <w:kern w:val="2"/>
          <w:sz w:val="21"/>
          <w:szCs w:val="21"/>
          <w:lang w:val="en-US" w:eastAsia="zh-CN" w:bidi="ar-SA"/>
        </w:rPr>
        <w:t>中小企业声明函</w:t>
      </w:r>
      <w:r>
        <w:rPr>
          <w:rFonts w:hint="eastAsia" w:ascii="宋体" w:hAnsi="宋体" w:cs="宋体"/>
          <w:b/>
          <w:bCs/>
          <w:color w:val="0000FF"/>
          <w:kern w:val="2"/>
          <w:sz w:val="21"/>
          <w:szCs w:val="21"/>
          <w:lang w:val="en-US" w:eastAsia="zh-CN" w:bidi="ar-SA"/>
        </w:rPr>
        <w:t>》</w:t>
      </w:r>
    </w:p>
    <w:p w14:paraId="258A0045">
      <w:pPr>
        <w:shd w:val="clear" w:color="auto" w:fill="auto"/>
        <w:spacing w:line="440" w:lineRule="exact"/>
        <w:ind w:firstLine="422" w:firstLineChars="200"/>
        <w:rPr>
          <w:rFonts w:hint="eastAsia" w:ascii="宋体" w:hAnsi="宋体" w:eastAsia="宋体" w:cs="宋体"/>
          <w:b/>
          <w:bCs w:val="0"/>
          <w:color w:val="0000FF"/>
          <w:sz w:val="21"/>
          <w:szCs w:val="21"/>
          <w:highlight w:val="none"/>
          <w:lang w:val="en-US" w:eastAsia="zh-CN"/>
        </w:rPr>
      </w:pPr>
      <w:r>
        <w:rPr>
          <w:rFonts w:hint="eastAsia" w:ascii="宋体" w:hAnsi="宋体" w:cs="宋体"/>
          <w:b/>
          <w:bCs w:val="0"/>
          <w:color w:val="0000FF"/>
          <w:sz w:val="21"/>
          <w:szCs w:val="21"/>
          <w:highlight w:val="none"/>
          <w:lang w:val="en-US" w:eastAsia="zh-CN"/>
        </w:rPr>
        <w:t>20.2</w:t>
      </w:r>
      <w:r>
        <w:rPr>
          <w:rFonts w:hint="eastAsia" w:ascii="宋体" w:hAnsi="宋体" w:eastAsia="宋体" w:cs="宋体"/>
          <w:b/>
          <w:bCs w:val="0"/>
          <w:color w:val="0000FF"/>
          <w:sz w:val="21"/>
          <w:szCs w:val="21"/>
          <w:highlight w:val="none"/>
          <w:lang w:val="en-US" w:eastAsia="zh-CN"/>
        </w:rPr>
        <w:t xml:space="preserve"> 报价文件</w:t>
      </w:r>
      <w:r>
        <w:rPr>
          <w:rFonts w:hint="eastAsia" w:ascii="宋体" w:hAnsi="宋体" w:cs="宋体"/>
          <w:b/>
          <w:bCs w:val="0"/>
          <w:color w:val="0000FF"/>
          <w:sz w:val="21"/>
          <w:szCs w:val="21"/>
          <w:highlight w:val="none"/>
          <w:lang w:val="en-US" w:eastAsia="zh-CN"/>
        </w:rPr>
        <w:t>（目录）</w:t>
      </w:r>
    </w:p>
    <w:p w14:paraId="14562E2C">
      <w:pPr>
        <w:shd w:val="clear" w:color="auto" w:fill="auto"/>
        <w:spacing w:line="440" w:lineRule="exact"/>
        <w:ind w:firstLine="422" w:firstLineChars="200"/>
        <w:rPr>
          <w:rFonts w:hint="eastAsia" w:ascii="宋体" w:hAnsi="宋体" w:eastAsia="宋体" w:cs="宋体"/>
          <w:b/>
          <w:bCs w:val="0"/>
          <w:color w:val="0000FF"/>
          <w:sz w:val="21"/>
          <w:szCs w:val="21"/>
          <w:highlight w:val="none"/>
          <w:lang w:val="en-US" w:eastAsia="zh-CN"/>
        </w:rPr>
      </w:pPr>
      <w:r>
        <w:rPr>
          <w:rFonts w:hint="eastAsia" w:ascii="宋体" w:hAnsi="宋体" w:eastAsia="宋体" w:cs="宋体"/>
          <w:b/>
          <w:bCs w:val="0"/>
          <w:color w:val="0000FF"/>
          <w:sz w:val="21"/>
          <w:szCs w:val="21"/>
          <w:highlight w:val="none"/>
          <w:lang w:val="en-US" w:eastAsia="zh-CN"/>
        </w:rPr>
        <w:t>1、开标一览表</w:t>
      </w:r>
    </w:p>
    <w:p w14:paraId="3A586893">
      <w:pPr>
        <w:shd w:val="clear" w:color="auto" w:fill="auto"/>
        <w:spacing w:line="440" w:lineRule="exact"/>
        <w:ind w:firstLine="493" w:firstLineChars="234"/>
        <w:rPr>
          <w:rFonts w:hint="default" w:ascii="宋体" w:hAnsi="宋体" w:cs="宋体"/>
          <w:b/>
          <w:color w:val="auto"/>
          <w:szCs w:val="21"/>
          <w:highlight w:val="none"/>
          <w:lang w:val="en-US" w:eastAsia="zh-CN"/>
        </w:rPr>
      </w:pPr>
      <w:r>
        <w:rPr>
          <w:rFonts w:hint="eastAsia" w:ascii="宋体" w:hAnsi="宋体" w:cs="宋体"/>
          <w:b/>
          <w:bCs/>
          <w:color w:val="0000FF"/>
          <w:szCs w:val="21"/>
          <w:highlight w:val="none"/>
          <w:lang w:val="en-US" w:eastAsia="zh-CN"/>
        </w:rPr>
        <w:t>2</w:t>
      </w:r>
      <w:r>
        <w:rPr>
          <w:rFonts w:hint="eastAsia" w:ascii="宋体" w:hAnsi="宋体" w:eastAsia="宋体" w:cs="宋体"/>
          <w:b/>
          <w:bCs/>
          <w:color w:val="0000FF"/>
          <w:szCs w:val="21"/>
          <w:highlight w:val="none"/>
          <w:lang w:val="en-US" w:eastAsia="zh-CN"/>
        </w:rPr>
        <w:t>、投标分项报价表</w:t>
      </w:r>
    </w:p>
    <w:p w14:paraId="62525B1A">
      <w:pPr>
        <w:shd w:val="clear" w:color="auto" w:fill="auto"/>
        <w:spacing w:line="440" w:lineRule="exact"/>
        <w:ind w:firstLine="310" w:firstLineChars="147"/>
        <w:rPr>
          <w:rFonts w:hint="eastAsia"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20.3</w:t>
      </w:r>
      <w:r>
        <w:rPr>
          <w:rFonts w:hint="eastAsia" w:ascii="宋体" w:hAnsi="宋体" w:eastAsia="宋体" w:cs="宋体"/>
          <w:b/>
          <w:bCs/>
          <w:color w:val="0000FF"/>
          <w:sz w:val="21"/>
          <w:szCs w:val="21"/>
          <w:highlight w:val="none"/>
          <w:lang w:val="en-US" w:eastAsia="zh-CN"/>
        </w:rPr>
        <w:t>商务及技术文件（目录）</w:t>
      </w:r>
    </w:p>
    <w:p w14:paraId="72A70B29">
      <w:pPr>
        <w:shd w:val="clear" w:color="auto" w:fill="auto"/>
        <w:spacing w:line="440" w:lineRule="exact"/>
        <w:ind w:firstLine="310" w:firstLineChars="147"/>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1、</w:t>
      </w:r>
      <w:r>
        <w:rPr>
          <w:rFonts w:hint="eastAsia" w:ascii="宋体" w:hAnsi="宋体" w:eastAsia="宋体" w:cs="宋体"/>
          <w:b/>
          <w:bCs/>
          <w:color w:val="0000FF"/>
          <w:szCs w:val="21"/>
          <w:highlight w:val="none"/>
          <w:lang w:val="en-US" w:eastAsia="zh-CN"/>
        </w:rPr>
        <w:t>投标函</w:t>
      </w:r>
    </w:p>
    <w:p w14:paraId="5B8608BF">
      <w:pPr>
        <w:shd w:val="clear" w:color="auto" w:fill="auto"/>
        <w:spacing w:line="440" w:lineRule="exact"/>
        <w:ind w:firstLine="310" w:firstLineChars="147"/>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2</w:t>
      </w:r>
      <w:r>
        <w:rPr>
          <w:rFonts w:hint="eastAsia" w:ascii="宋体" w:hAnsi="宋体" w:eastAsia="宋体" w:cs="宋体"/>
          <w:b/>
          <w:bCs/>
          <w:color w:val="0000FF"/>
          <w:szCs w:val="21"/>
          <w:highlight w:val="none"/>
          <w:lang w:val="en-US" w:eastAsia="zh-CN"/>
        </w:rPr>
        <w:t>、</w:t>
      </w:r>
      <w:r>
        <w:rPr>
          <w:rFonts w:hint="eastAsia" w:ascii="宋体" w:hAnsi="宋体" w:cs="宋体"/>
          <w:b/>
          <w:bCs/>
          <w:color w:val="0000FF"/>
          <w:szCs w:val="21"/>
          <w:highlight w:val="none"/>
          <w:lang w:val="en-US" w:eastAsia="zh-CN"/>
        </w:rPr>
        <w:t>诚信声明</w:t>
      </w:r>
    </w:p>
    <w:p w14:paraId="4809ABE2">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3、</w:t>
      </w:r>
      <w:r>
        <w:rPr>
          <w:rFonts w:hint="eastAsia" w:ascii="宋体" w:hAnsi="宋体" w:eastAsia="宋体" w:cs="宋体"/>
          <w:b/>
          <w:bCs/>
          <w:color w:val="0000FF"/>
          <w:szCs w:val="21"/>
          <w:highlight w:val="none"/>
          <w:lang w:val="en-US" w:eastAsia="zh-CN"/>
        </w:rPr>
        <w:t>参加政府采购活动前三年内，在经营活动中没有重大违法记录（提供承诺函）</w:t>
      </w:r>
    </w:p>
    <w:p w14:paraId="2A1CC0A1">
      <w:pPr>
        <w:shd w:val="clear" w:color="auto" w:fill="auto"/>
        <w:spacing w:line="440" w:lineRule="exact"/>
        <w:ind w:firstLine="285" w:firstLineChars="135"/>
        <w:rPr>
          <w:rFonts w:hint="eastAsia" w:ascii="宋体" w:hAnsi="宋体" w:eastAsia="宋体" w:cs="宋体"/>
          <w:b/>
          <w:bCs/>
          <w:color w:val="0000FF"/>
          <w:kern w:val="2"/>
          <w:sz w:val="21"/>
          <w:szCs w:val="24"/>
          <w:lang w:val="en-US" w:eastAsia="zh-CN" w:bidi="ar-SA"/>
        </w:rPr>
      </w:pPr>
      <w:r>
        <w:rPr>
          <w:rFonts w:hint="eastAsia" w:ascii="宋体" w:hAnsi="宋体" w:cs="宋体"/>
          <w:b/>
          <w:bCs/>
          <w:color w:val="0000FF"/>
          <w:szCs w:val="21"/>
          <w:highlight w:val="none"/>
          <w:lang w:val="en-US" w:eastAsia="zh-CN"/>
        </w:rPr>
        <w:t>4</w:t>
      </w:r>
      <w:r>
        <w:rPr>
          <w:rFonts w:hint="eastAsia" w:ascii="宋体" w:hAnsi="宋体" w:eastAsia="宋体" w:cs="宋体"/>
          <w:b/>
          <w:bCs/>
          <w:color w:val="0000FF"/>
          <w:kern w:val="2"/>
          <w:sz w:val="21"/>
          <w:szCs w:val="24"/>
          <w:lang w:val="en-US" w:eastAsia="zh-CN" w:bidi="ar-SA"/>
        </w:rPr>
        <w:t>、针对本次采购项目《反商业贿赂承诺书》</w:t>
      </w:r>
    </w:p>
    <w:p w14:paraId="54A93D2D">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5</w:t>
      </w:r>
      <w:r>
        <w:rPr>
          <w:rFonts w:hint="eastAsia" w:ascii="宋体" w:hAnsi="宋体" w:eastAsia="宋体" w:cs="宋体"/>
          <w:b/>
          <w:bCs/>
          <w:color w:val="0000FF"/>
          <w:szCs w:val="21"/>
          <w:highlight w:val="none"/>
          <w:lang w:val="en-US" w:eastAsia="zh-CN"/>
        </w:rPr>
        <w:t>、投标人关联单位的说明</w:t>
      </w:r>
    </w:p>
    <w:p w14:paraId="20DA2773">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6</w:t>
      </w:r>
      <w:r>
        <w:rPr>
          <w:rFonts w:hint="eastAsia" w:ascii="宋体" w:hAnsi="宋体" w:eastAsia="宋体" w:cs="宋体"/>
          <w:b/>
          <w:bCs/>
          <w:color w:val="0000FF"/>
          <w:szCs w:val="21"/>
          <w:highlight w:val="none"/>
          <w:lang w:val="en-US" w:eastAsia="zh-CN"/>
        </w:rPr>
        <w:t>、技术规格偏离表</w:t>
      </w:r>
    </w:p>
    <w:p w14:paraId="74B169B2">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7</w:t>
      </w:r>
      <w:r>
        <w:rPr>
          <w:rFonts w:hint="eastAsia" w:ascii="宋体" w:hAnsi="宋体" w:eastAsia="宋体" w:cs="宋体"/>
          <w:b/>
          <w:bCs/>
          <w:color w:val="0000FF"/>
          <w:szCs w:val="21"/>
          <w:highlight w:val="none"/>
          <w:lang w:val="en-US" w:eastAsia="zh-CN"/>
        </w:rPr>
        <w:t>、商务条款偏离表</w:t>
      </w:r>
    </w:p>
    <w:p w14:paraId="1729D6D2">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8</w:t>
      </w:r>
      <w:r>
        <w:rPr>
          <w:rFonts w:hint="eastAsia" w:ascii="宋体" w:hAnsi="宋体" w:eastAsia="宋体" w:cs="宋体"/>
          <w:b/>
          <w:bCs/>
          <w:color w:val="0000FF"/>
          <w:szCs w:val="21"/>
          <w:highlight w:val="none"/>
          <w:lang w:val="en-US" w:eastAsia="zh-CN"/>
        </w:rPr>
        <w:t>、投标人基本情况表</w:t>
      </w:r>
    </w:p>
    <w:p w14:paraId="064D3DF3">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9</w:t>
      </w:r>
      <w:r>
        <w:rPr>
          <w:rFonts w:hint="eastAsia" w:ascii="宋体" w:hAnsi="宋体" w:eastAsia="宋体" w:cs="宋体"/>
          <w:b/>
          <w:bCs/>
          <w:color w:val="0000FF"/>
          <w:szCs w:val="21"/>
          <w:highlight w:val="none"/>
          <w:lang w:val="en-US" w:eastAsia="zh-CN"/>
        </w:rPr>
        <w:t>、供货、培训、验收、售后服务方案</w:t>
      </w:r>
    </w:p>
    <w:p w14:paraId="0FDAAF31">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10</w:t>
      </w:r>
      <w:r>
        <w:rPr>
          <w:rFonts w:hint="eastAsia" w:ascii="宋体" w:hAnsi="宋体" w:eastAsia="宋体" w:cs="宋体"/>
          <w:b/>
          <w:bCs/>
          <w:color w:val="0000FF"/>
          <w:szCs w:val="21"/>
          <w:highlight w:val="none"/>
          <w:lang w:val="en-US" w:eastAsia="zh-CN"/>
        </w:rPr>
        <w:t>、投标人认为有必要提供的其他证明材料</w:t>
      </w:r>
    </w:p>
    <w:p w14:paraId="45F0F02F">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0</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投标文件的要求</w:t>
      </w:r>
    </w:p>
    <w:p w14:paraId="2F3B68FE">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791DA29">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lang w:eastAsia="zh-CN"/>
        </w:rPr>
        <w:t>）投标文件格式应按本采购文件第六章格式要求编制，不得对采购文件格式进行增删更改，否则按无效标处理。</w:t>
      </w:r>
    </w:p>
    <w:p w14:paraId="3086117B">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7DA21C0A">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）投标文件为电子投标文件，电子投标文件按“政采云供应商项目采购-电子招投标操作指南”及本采购文件要求制作、加密传输。</w:t>
      </w:r>
    </w:p>
    <w:p w14:paraId="337A9F4E">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lang w:eastAsia="zh-CN"/>
        </w:rPr>
        <w:t>）投标文件未在投标截止时间前完成传输的，视为投标文件撤回；投标文件未按时解密也未提供备份投标文件的，亦视为投标文件撤回。</w:t>
      </w:r>
    </w:p>
    <w:p w14:paraId="7EE2C61F">
      <w:pPr>
        <w:shd w:val="clear" w:color="auto" w:fill="auto"/>
        <w:spacing w:line="44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val="en-US" w:eastAsia="zh-CN"/>
        </w:rPr>
        <w:t>1</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b/>
          <w:color w:val="auto"/>
          <w:szCs w:val="21"/>
          <w:highlight w:val="none"/>
        </w:rPr>
        <w:t>投标报价</w:t>
      </w:r>
    </w:p>
    <w:p w14:paraId="3F5C6552">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.1投标报价文件中的单价和总价全部采用人民币表示。</w:t>
      </w:r>
    </w:p>
    <w:p w14:paraId="336105DD">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.2投标报价表上应清楚地标明投标人拟提供</w:t>
      </w:r>
      <w:r>
        <w:rPr>
          <w:rFonts w:hint="eastAsia" w:asciiTheme="majorEastAsia" w:hAnsiTheme="majorEastAsia" w:eastAsiaTheme="majorEastAsia" w:cstheme="majorEastAsia"/>
          <w:color w:val="auto"/>
          <w:szCs w:val="21"/>
          <w:highlight w:val="none"/>
          <w:lang w:val="en-US" w:eastAsia="zh-CN"/>
        </w:rPr>
        <w:t>货物及服务</w:t>
      </w:r>
      <w:r>
        <w:rPr>
          <w:rFonts w:hint="eastAsia" w:asciiTheme="majorEastAsia" w:hAnsiTheme="majorEastAsia" w:eastAsiaTheme="majorEastAsia" w:cstheme="majorEastAsia"/>
          <w:color w:val="auto"/>
          <w:szCs w:val="21"/>
          <w:highlight w:val="none"/>
        </w:rPr>
        <w:t>的名称、数量、单价和总价。</w:t>
      </w:r>
    </w:p>
    <w:p w14:paraId="0DB968A8">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.3投标人只允许有一个方案、一个报价。</w:t>
      </w:r>
    </w:p>
    <w:p w14:paraId="1B7E7528">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.4投标人应按“</w:t>
      </w:r>
      <w:r>
        <w:rPr>
          <w:rFonts w:hint="eastAsia" w:asciiTheme="majorEastAsia" w:hAnsiTheme="majorEastAsia" w:eastAsiaTheme="majorEastAsia" w:cstheme="majorEastAsia"/>
          <w:color w:val="auto"/>
          <w:szCs w:val="21"/>
          <w:highlight w:val="none"/>
          <w:lang w:eastAsia="zh-CN"/>
        </w:rPr>
        <w:t>采购内容（技术）及商务要求</w:t>
      </w:r>
      <w:r>
        <w:rPr>
          <w:rFonts w:hint="eastAsia" w:asciiTheme="majorEastAsia" w:hAnsiTheme="majorEastAsia" w:eastAsiaTheme="majorEastAsia" w:cstheme="majorEastAsia"/>
          <w:color w:val="auto"/>
          <w:szCs w:val="21"/>
          <w:highlight w:val="none"/>
        </w:rPr>
        <w:t>”所列</w:t>
      </w:r>
      <w:r>
        <w:rPr>
          <w:rFonts w:hint="eastAsia" w:asciiTheme="majorEastAsia" w:hAnsiTheme="majorEastAsia" w:eastAsiaTheme="majorEastAsia" w:cstheme="majorEastAsia"/>
          <w:color w:val="auto"/>
          <w:szCs w:val="21"/>
          <w:highlight w:val="none"/>
          <w:lang w:val="en-US" w:eastAsia="zh-CN"/>
        </w:rPr>
        <w:t>货物</w:t>
      </w:r>
      <w:r>
        <w:rPr>
          <w:rFonts w:hint="eastAsia" w:asciiTheme="majorEastAsia" w:hAnsiTheme="majorEastAsia" w:eastAsiaTheme="majorEastAsia" w:cstheme="majorEastAsia"/>
          <w:color w:val="auto"/>
          <w:szCs w:val="21"/>
          <w:highlight w:val="none"/>
        </w:rPr>
        <w:t>逐项进行单价报价，并最终单价报</w:t>
      </w:r>
      <w:r>
        <w:rPr>
          <w:rFonts w:hint="eastAsia" w:asciiTheme="majorEastAsia" w:hAnsiTheme="majorEastAsia" w:eastAsiaTheme="majorEastAsia" w:cstheme="majorEastAsia"/>
          <w:color w:val="auto"/>
          <w:szCs w:val="21"/>
          <w:highlight w:val="none"/>
          <w:lang w:val="en-US" w:eastAsia="zh-CN"/>
        </w:rPr>
        <w:t>合计</w:t>
      </w:r>
      <w:r>
        <w:rPr>
          <w:rFonts w:hint="eastAsia" w:asciiTheme="majorEastAsia" w:hAnsiTheme="majorEastAsia" w:eastAsiaTheme="majorEastAsia" w:cstheme="majorEastAsia"/>
          <w:color w:val="auto"/>
          <w:szCs w:val="21"/>
          <w:highlight w:val="none"/>
        </w:rPr>
        <w:t>总价。综合单价包括：</w:t>
      </w:r>
      <w:r>
        <w:rPr>
          <w:rFonts w:hint="eastAsia" w:asciiTheme="majorEastAsia" w:hAnsiTheme="majorEastAsia" w:eastAsiaTheme="majorEastAsia" w:cstheme="majorEastAsia"/>
          <w:color w:val="auto"/>
          <w:szCs w:val="21"/>
          <w:highlight w:val="none"/>
          <w:lang w:val="en-US" w:eastAsia="zh-CN"/>
        </w:rPr>
        <w:t>产品</w:t>
      </w:r>
      <w:r>
        <w:rPr>
          <w:rFonts w:hint="eastAsia" w:asciiTheme="majorEastAsia" w:hAnsiTheme="majorEastAsia" w:eastAsiaTheme="majorEastAsia" w:cstheme="majorEastAsia"/>
          <w:color w:val="auto"/>
          <w:szCs w:val="21"/>
          <w:highlight w:val="none"/>
        </w:rPr>
        <w:t>费、材料费、辅材费、运输费、管理费、利润、风险费用、代理费、</w:t>
      </w:r>
      <w:r>
        <w:rPr>
          <w:rFonts w:hint="eastAsia" w:asciiTheme="majorEastAsia" w:hAnsiTheme="majorEastAsia" w:eastAsiaTheme="majorEastAsia" w:cstheme="majorEastAsia"/>
          <w:color w:val="auto"/>
          <w:szCs w:val="21"/>
          <w:highlight w:val="none"/>
          <w:lang w:val="en-US" w:eastAsia="zh-CN"/>
        </w:rPr>
        <w:t>安装、</w:t>
      </w:r>
      <w:r>
        <w:rPr>
          <w:rFonts w:hint="eastAsia" w:asciiTheme="majorEastAsia" w:hAnsiTheme="majorEastAsia" w:eastAsiaTheme="majorEastAsia" w:cstheme="majorEastAsia"/>
          <w:color w:val="auto"/>
          <w:szCs w:val="21"/>
          <w:highlight w:val="none"/>
        </w:rPr>
        <w:t>调试、验收、培训及后期服务及国家对</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单位征收的各种税费等所有一切费用，综合单价今后将不作任何调整。</w:t>
      </w:r>
    </w:p>
    <w:p w14:paraId="02EFF4F4">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.5投标报价的价格是</w:t>
      </w:r>
      <w:r>
        <w:rPr>
          <w:rFonts w:hint="eastAsia" w:asciiTheme="majorEastAsia" w:hAnsiTheme="majorEastAsia" w:eastAsiaTheme="majorEastAsia" w:cstheme="majorEastAsia"/>
          <w:color w:val="auto"/>
          <w:szCs w:val="21"/>
          <w:highlight w:val="none"/>
          <w:lang w:val="en-US" w:eastAsia="zh-CN"/>
        </w:rPr>
        <w:t>货物及服务</w:t>
      </w:r>
      <w:r>
        <w:rPr>
          <w:rFonts w:hint="eastAsia" w:asciiTheme="majorEastAsia" w:hAnsiTheme="majorEastAsia" w:eastAsiaTheme="majorEastAsia" w:cstheme="majorEastAsia"/>
          <w:color w:val="auto"/>
          <w:szCs w:val="21"/>
          <w:highlight w:val="none"/>
        </w:rPr>
        <w:t>交货地验收价格，其</w:t>
      </w:r>
      <w:r>
        <w:rPr>
          <w:rFonts w:hint="eastAsia" w:asciiTheme="majorEastAsia" w:hAnsiTheme="majorEastAsia" w:eastAsiaTheme="majorEastAsia" w:cstheme="majorEastAsia"/>
          <w:color w:val="auto"/>
          <w:szCs w:val="21"/>
          <w:highlight w:val="none"/>
          <w:lang w:val="en-US" w:eastAsia="zh-CN"/>
        </w:rPr>
        <w:t>总价</w:t>
      </w:r>
      <w:r>
        <w:rPr>
          <w:rFonts w:hint="eastAsia" w:asciiTheme="majorEastAsia" w:hAnsiTheme="majorEastAsia" w:eastAsiaTheme="majorEastAsia" w:cstheme="majorEastAsia"/>
          <w:color w:val="auto"/>
          <w:szCs w:val="21"/>
          <w:highlight w:val="none"/>
        </w:rPr>
        <w:t>即为履行合同的固定</w:t>
      </w:r>
      <w:r>
        <w:rPr>
          <w:rFonts w:hint="eastAsia" w:asciiTheme="majorEastAsia" w:hAnsiTheme="majorEastAsia" w:eastAsiaTheme="majorEastAsia" w:cstheme="majorEastAsia"/>
          <w:color w:val="auto"/>
          <w:szCs w:val="21"/>
          <w:highlight w:val="none"/>
          <w:lang w:val="en-US" w:eastAsia="zh-CN"/>
        </w:rPr>
        <w:t>总价</w:t>
      </w:r>
      <w:r>
        <w:rPr>
          <w:rFonts w:hint="eastAsia" w:asciiTheme="majorEastAsia" w:hAnsiTheme="majorEastAsia" w:eastAsiaTheme="majorEastAsia" w:cstheme="majorEastAsia"/>
          <w:color w:val="auto"/>
          <w:szCs w:val="21"/>
          <w:highlight w:val="none"/>
        </w:rPr>
        <w:t>。</w:t>
      </w:r>
    </w:p>
    <w:p w14:paraId="0AFE417A">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.6技术要求中规定的</w:t>
      </w:r>
      <w:r>
        <w:rPr>
          <w:rFonts w:hint="eastAsia" w:asciiTheme="majorEastAsia" w:hAnsiTheme="majorEastAsia" w:eastAsiaTheme="majorEastAsia" w:cstheme="majorEastAsia"/>
          <w:color w:val="auto"/>
          <w:szCs w:val="21"/>
          <w:highlight w:val="none"/>
          <w:lang w:val="en-US" w:eastAsia="zh-CN"/>
        </w:rPr>
        <w:t>相关所有</w:t>
      </w:r>
      <w:r>
        <w:rPr>
          <w:rFonts w:hint="eastAsia" w:asciiTheme="majorEastAsia" w:hAnsiTheme="majorEastAsia" w:eastAsiaTheme="majorEastAsia" w:cstheme="majorEastAsia"/>
          <w:color w:val="auto"/>
          <w:szCs w:val="21"/>
          <w:highlight w:val="none"/>
        </w:rPr>
        <w:t>费用应包括在投标价格中。投标文件报价为含税价，招标人不再为此次招标支付任何费用。</w:t>
      </w:r>
    </w:p>
    <w:p w14:paraId="7E4EC6E6">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.7投标报价应由法定代表人或被授权人签署。</w:t>
      </w:r>
    </w:p>
    <w:p w14:paraId="09C77FF2">
      <w:pPr>
        <w:shd w:val="clear" w:color="auto" w:fill="auto"/>
        <w:spacing w:line="44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w:t>
      </w:r>
      <w:r>
        <w:rPr>
          <w:rFonts w:hint="eastAsia" w:asciiTheme="majorEastAsia" w:hAnsiTheme="majorEastAsia" w:eastAsiaTheme="majorEastAsia" w:cstheme="majorEastAsia"/>
          <w:bCs/>
          <w:color w:val="auto"/>
          <w:szCs w:val="21"/>
          <w:highlight w:val="none"/>
          <w:lang w:val="en-US" w:eastAsia="zh-CN"/>
        </w:rPr>
        <w:t>1</w:t>
      </w:r>
      <w:r>
        <w:rPr>
          <w:rFonts w:hint="eastAsia" w:asciiTheme="majorEastAsia" w:hAnsiTheme="majorEastAsia" w:eastAsiaTheme="majorEastAsia" w:cstheme="majorEastAsia"/>
          <w:bCs/>
          <w:color w:val="auto"/>
          <w:szCs w:val="21"/>
          <w:highlight w:val="none"/>
        </w:rPr>
        <w:t>.8</w:t>
      </w:r>
      <w:r>
        <w:rPr>
          <w:rFonts w:hint="eastAsia" w:asciiTheme="majorEastAsia" w:hAnsiTheme="majorEastAsia" w:eastAsiaTheme="majorEastAsia" w:cstheme="majorEastAsia"/>
          <w:b/>
          <w:color w:val="auto"/>
          <w:szCs w:val="21"/>
          <w:highlight w:val="none"/>
        </w:rPr>
        <w:t>投标人投标</w:t>
      </w:r>
      <w:r>
        <w:rPr>
          <w:rFonts w:hint="eastAsia" w:asciiTheme="majorEastAsia" w:hAnsiTheme="majorEastAsia" w:eastAsiaTheme="majorEastAsia" w:cstheme="majorEastAsia"/>
          <w:b/>
          <w:color w:val="auto"/>
          <w:szCs w:val="21"/>
          <w:highlight w:val="none"/>
          <w:lang w:val="en-US" w:eastAsia="zh-CN"/>
        </w:rPr>
        <w:t>总价</w:t>
      </w:r>
      <w:r>
        <w:rPr>
          <w:rFonts w:hint="eastAsia" w:asciiTheme="majorEastAsia" w:hAnsiTheme="majorEastAsia" w:eastAsiaTheme="majorEastAsia" w:cstheme="majorEastAsia"/>
          <w:b/>
          <w:color w:val="auto"/>
          <w:szCs w:val="21"/>
          <w:highlight w:val="none"/>
        </w:rPr>
        <w:t>，不得高于本次招标设置的最</w:t>
      </w:r>
      <w:r>
        <w:rPr>
          <w:rFonts w:hint="eastAsia" w:asciiTheme="majorEastAsia" w:hAnsiTheme="majorEastAsia" w:eastAsiaTheme="majorEastAsia" w:cstheme="majorEastAsia"/>
          <w:b/>
          <w:color w:val="auto"/>
          <w:szCs w:val="21"/>
          <w:highlight w:val="none"/>
          <w:lang w:val="en-US" w:eastAsia="zh-CN"/>
        </w:rPr>
        <w:t>高限价</w:t>
      </w:r>
      <w:r>
        <w:rPr>
          <w:rFonts w:hint="eastAsia" w:asciiTheme="majorEastAsia" w:hAnsiTheme="majorEastAsia" w:eastAsiaTheme="majorEastAsia" w:cstheme="majorEastAsia"/>
          <w:b/>
          <w:color w:val="auto"/>
          <w:szCs w:val="21"/>
          <w:highlight w:val="none"/>
        </w:rPr>
        <w:t>，</w:t>
      </w:r>
      <w:r>
        <w:rPr>
          <w:rFonts w:hint="eastAsia" w:asciiTheme="majorEastAsia" w:hAnsiTheme="majorEastAsia" w:eastAsiaTheme="majorEastAsia" w:cstheme="majorEastAsia"/>
          <w:b/>
          <w:bCs/>
          <w:color w:val="auto"/>
          <w:szCs w:val="21"/>
          <w:highlight w:val="none"/>
        </w:rPr>
        <w:t>否则将作为无效投标处理。</w:t>
      </w:r>
    </w:p>
    <w:p w14:paraId="2CB829C1">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.9如投标文件中未列明全面实现投标</w:t>
      </w:r>
      <w:r>
        <w:rPr>
          <w:rFonts w:hint="eastAsia" w:asciiTheme="majorEastAsia" w:hAnsiTheme="majorEastAsia" w:eastAsiaTheme="majorEastAsia" w:cstheme="majorEastAsia"/>
          <w:color w:val="auto"/>
          <w:szCs w:val="21"/>
          <w:highlight w:val="none"/>
          <w:lang w:val="en-US" w:eastAsia="zh-CN"/>
        </w:rPr>
        <w:t>服务</w:t>
      </w:r>
      <w:r>
        <w:rPr>
          <w:rFonts w:hint="eastAsia" w:asciiTheme="majorEastAsia" w:hAnsiTheme="majorEastAsia" w:eastAsiaTheme="majorEastAsia" w:cstheme="majorEastAsia"/>
          <w:color w:val="auto"/>
          <w:szCs w:val="21"/>
          <w:highlight w:val="none"/>
        </w:rPr>
        <w:t>功能而必须配置的配套或辅助设施及相应技术措施的费用，这些费用将被视为已包含在总投标价中。</w:t>
      </w:r>
    </w:p>
    <w:p w14:paraId="12B6FAC6">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.10总投标价中不得包含</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要求以外的内容，否则，在评标时不予核减，但在授予合同时，招标人有权将这部分价格从其</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价格中扣除。</w:t>
      </w:r>
    </w:p>
    <w:p w14:paraId="3BF408CF">
      <w:pPr>
        <w:shd w:val="clear" w:color="auto" w:fill="auto"/>
        <w:spacing w:line="440" w:lineRule="exact"/>
        <w:ind w:firstLine="403" w:firstLineChars="192"/>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.11总投标价中不得缺漏</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Theme="majorEastAsia" w:hAnsiTheme="majorEastAsia" w:eastAsiaTheme="majorEastAsia" w:cstheme="majorEastAsia"/>
          <w:color w:val="auto"/>
          <w:szCs w:val="21"/>
          <w:highlight w:val="none"/>
          <w:lang w:val="en-US" w:eastAsia="zh-CN"/>
        </w:rPr>
        <w:t xml:space="preserve">    </w:t>
      </w:r>
    </w:p>
    <w:p w14:paraId="3FC8530C">
      <w:pPr>
        <w:shd w:val="clear" w:color="auto" w:fill="auto"/>
        <w:spacing w:line="440" w:lineRule="exact"/>
        <w:ind w:firstLine="403" w:firstLineChars="192"/>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.12投标人不得对从第三方采购</w:t>
      </w:r>
      <w:r>
        <w:rPr>
          <w:rFonts w:hint="eastAsia" w:asciiTheme="majorEastAsia" w:hAnsiTheme="majorEastAsia" w:eastAsiaTheme="majorEastAsia" w:cstheme="majorEastAsia"/>
          <w:color w:val="auto"/>
          <w:szCs w:val="21"/>
          <w:highlight w:val="none"/>
          <w:lang w:val="en-US" w:eastAsia="zh-CN"/>
        </w:rPr>
        <w:t>货物及服务</w:t>
      </w:r>
      <w:r>
        <w:rPr>
          <w:rFonts w:hint="eastAsia" w:asciiTheme="majorEastAsia" w:hAnsiTheme="majorEastAsia" w:eastAsiaTheme="majorEastAsia" w:cstheme="majorEastAsia"/>
          <w:color w:val="auto"/>
          <w:szCs w:val="21"/>
          <w:highlight w:val="none"/>
        </w:rPr>
        <w:t>的随机备品、备件另行收费，否则在计算评标价时这部分费用将不予扣除，在授予合同时将从</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价格中扣除该部分费用。</w:t>
      </w:r>
    </w:p>
    <w:p w14:paraId="0E9EF5B6">
      <w:pPr>
        <w:shd w:val="clear" w:color="auto" w:fill="auto"/>
        <w:spacing w:line="440" w:lineRule="exact"/>
        <w:ind w:firstLine="403" w:firstLineChars="192"/>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.13投标人应根据</w:t>
      </w:r>
      <w:r>
        <w:rPr>
          <w:rFonts w:hint="eastAsia" w:asciiTheme="majorEastAsia" w:hAnsiTheme="majorEastAsia" w:eastAsiaTheme="majorEastAsia" w:cstheme="majorEastAsia"/>
          <w:color w:val="auto"/>
          <w:szCs w:val="21"/>
          <w:highlight w:val="none"/>
          <w:lang w:val="en-US" w:eastAsia="zh-CN"/>
        </w:rPr>
        <w:t>服务</w:t>
      </w:r>
      <w:r>
        <w:rPr>
          <w:rFonts w:hint="eastAsia" w:asciiTheme="majorEastAsia" w:hAnsiTheme="majorEastAsia" w:eastAsiaTheme="majorEastAsia" w:cstheme="majorEastAsia"/>
          <w:color w:val="auto"/>
          <w:szCs w:val="21"/>
          <w:highlight w:val="none"/>
        </w:rPr>
        <w:t>的技术状况列出随机备品备件的清单和数量</w:t>
      </w:r>
      <w:r>
        <w:rPr>
          <w:rFonts w:hint="eastAsia" w:asciiTheme="majorEastAsia" w:hAnsiTheme="majorEastAsia" w:eastAsiaTheme="majorEastAsia" w:cstheme="majorEastAsia"/>
          <w:color w:val="auto"/>
          <w:szCs w:val="21"/>
          <w:highlight w:val="none"/>
          <w:lang w:eastAsia="zh-CN"/>
        </w:rPr>
        <w:t>（如有）</w:t>
      </w:r>
      <w:r>
        <w:rPr>
          <w:rFonts w:hint="eastAsia" w:asciiTheme="majorEastAsia" w:hAnsiTheme="majorEastAsia" w:eastAsiaTheme="majorEastAsia" w:cstheme="majorEastAsia"/>
          <w:color w:val="auto"/>
          <w:szCs w:val="21"/>
          <w:highlight w:val="none"/>
        </w:rPr>
        <w:t>，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40D063BC">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val="en-US" w:eastAsia="zh-CN"/>
        </w:rPr>
        <w:t>2</w:t>
      </w:r>
      <w:r>
        <w:rPr>
          <w:rFonts w:hint="eastAsia" w:asciiTheme="majorEastAsia" w:hAnsiTheme="majorEastAsia" w:eastAsiaTheme="majorEastAsia" w:cstheme="majorEastAsia"/>
          <w:b/>
          <w:color w:val="auto"/>
          <w:szCs w:val="21"/>
          <w:highlight w:val="none"/>
        </w:rPr>
        <w:t>. 投标有效期</w:t>
      </w:r>
    </w:p>
    <w:p w14:paraId="3F9638E4">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.1 除投标人须知前附表另有规定外，投标有效期为</w:t>
      </w:r>
      <w:r>
        <w:rPr>
          <w:rFonts w:hint="eastAsia" w:asciiTheme="majorEastAsia" w:hAnsiTheme="majorEastAsia" w:eastAsiaTheme="majorEastAsia" w:cstheme="majorEastAsia"/>
          <w:color w:val="auto"/>
          <w:szCs w:val="21"/>
          <w:highlight w:val="none"/>
          <w:u w:val="single"/>
        </w:rPr>
        <w:t>60天</w:t>
      </w:r>
      <w:r>
        <w:rPr>
          <w:rFonts w:hint="eastAsia" w:asciiTheme="majorEastAsia" w:hAnsiTheme="majorEastAsia" w:eastAsiaTheme="majorEastAsia" w:cstheme="majorEastAsia"/>
          <w:color w:val="auto"/>
          <w:szCs w:val="21"/>
          <w:highlight w:val="none"/>
        </w:rPr>
        <w:t>。</w:t>
      </w:r>
    </w:p>
    <w:p w14:paraId="397C4634">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.2在投标有效期内，投标人撤销或修改其投标文件的，应承担</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和法律规定的责任。</w:t>
      </w:r>
    </w:p>
    <w:p w14:paraId="02292A8D">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854C729">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val="en-US" w:eastAsia="zh-CN"/>
        </w:rPr>
        <w:t>3</w:t>
      </w:r>
      <w:r>
        <w:rPr>
          <w:rFonts w:hint="eastAsia" w:asciiTheme="majorEastAsia" w:hAnsiTheme="majorEastAsia" w:eastAsiaTheme="majorEastAsia" w:cstheme="majorEastAsia"/>
          <w:b/>
          <w:color w:val="auto"/>
          <w:szCs w:val="21"/>
          <w:highlight w:val="none"/>
        </w:rPr>
        <w:t>. 投标保证金</w:t>
      </w:r>
    </w:p>
    <w:p w14:paraId="4A9DBF32">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将否决其投标。</w:t>
      </w:r>
    </w:p>
    <w:p w14:paraId="3214AB6D">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.2自</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通知书发出之日起5个工作日内退还未</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投标人的投标保证金，自政府采购合同签订之日起5个工作日内退还</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人的投标保证金。</w:t>
      </w:r>
    </w:p>
    <w:p w14:paraId="3ACB9013">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 xml:space="preserve">.3有下列情形之一的，投标保证金将不予退还： </w:t>
      </w:r>
    </w:p>
    <w:p w14:paraId="37208C8E">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（1）投标人在规定的投标有效期内撤回或修改其投标文件；</w:t>
      </w:r>
    </w:p>
    <w:p w14:paraId="58303432">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通知书发出后三十天内，</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人无正当理由拒签合同协议书或未按</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规定提交履约担保。</w:t>
      </w:r>
    </w:p>
    <w:p w14:paraId="2F341195">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（3）提供虚假材料谋取</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的；</w:t>
      </w:r>
    </w:p>
    <w:p w14:paraId="3CB3057B">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（4）经查实属于陪标、串通投标的等。</w:t>
      </w:r>
    </w:p>
    <w:p w14:paraId="31B18292">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bookmarkStart w:id="20" w:name="_Toc469495727"/>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.4投标保证金按</w:t>
      </w:r>
      <w:r>
        <w:rPr>
          <w:rFonts w:hint="eastAsia" w:asciiTheme="majorEastAsia" w:hAnsiTheme="majorEastAsia" w:eastAsiaTheme="majorEastAsia" w:cstheme="majorEastAsia"/>
          <w:color w:val="auto"/>
          <w:szCs w:val="21"/>
          <w:highlight w:val="none"/>
          <w:lang w:eastAsia="zh-CN"/>
        </w:rPr>
        <w:t>投标人须知前附表第</w:t>
      </w:r>
      <w:r>
        <w:rPr>
          <w:rFonts w:hint="eastAsia" w:asciiTheme="majorEastAsia" w:hAnsiTheme="majorEastAsia" w:eastAsiaTheme="majorEastAsia" w:cstheme="majorEastAsia"/>
          <w:color w:val="auto"/>
          <w:szCs w:val="21"/>
          <w:highlight w:val="none"/>
          <w:lang w:val="en-US" w:eastAsia="zh-CN"/>
        </w:rPr>
        <w:t>16条</w:t>
      </w:r>
      <w:r>
        <w:rPr>
          <w:rFonts w:hint="eastAsia" w:asciiTheme="majorEastAsia" w:hAnsiTheme="majorEastAsia" w:eastAsiaTheme="majorEastAsia" w:cstheme="majorEastAsia"/>
          <w:color w:val="auto"/>
          <w:szCs w:val="21"/>
          <w:highlight w:val="none"/>
        </w:rPr>
        <w:t>规定执行。</w:t>
      </w:r>
    </w:p>
    <w:p w14:paraId="0EA00FE4">
      <w:pPr>
        <w:pStyle w:val="2"/>
        <w:shd w:val="clear" w:color="auto" w:fill="auto"/>
        <w:bidi w:val="0"/>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（四）</w:t>
      </w:r>
      <w:bookmarkEnd w:id="20"/>
      <w:r>
        <w:rPr>
          <w:rFonts w:hint="eastAsia" w:asciiTheme="majorEastAsia" w:hAnsiTheme="majorEastAsia" w:eastAsiaTheme="majorEastAsia" w:cstheme="majorEastAsia"/>
          <w:color w:val="auto"/>
          <w:sz w:val="28"/>
          <w:szCs w:val="28"/>
          <w:highlight w:val="none"/>
        </w:rPr>
        <w:t>投标文件的制作、上传及递交要求</w:t>
      </w:r>
    </w:p>
    <w:p w14:paraId="1C360ECB">
      <w:pPr>
        <w:shd w:val="clear" w:color="auto" w:fill="auto"/>
        <w:snapToGrid w:val="0"/>
        <w:spacing w:line="360" w:lineRule="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24.</w:t>
      </w:r>
      <w:r>
        <w:rPr>
          <w:rFonts w:hint="eastAsia" w:asciiTheme="majorEastAsia" w:hAnsiTheme="majorEastAsia" w:eastAsiaTheme="majorEastAsia" w:cstheme="majorEastAsia"/>
          <w:b/>
          <w:bCs/>
          <w:color w:val="auto"/>
          <w:sz w:val="21"/>
          <w:szCs w:val="21"/>
          <w:highlight w:val="none"/>
        </w:rPr>
        <w:t>投标文件的制作要求</w:t>
      </w:r>
    </w:p>
    <w:p w14:paraId="56653E25">
      <w:pPr>
        <w:pStyle w:val="6"/>
        <w:shd w:val="clear" w:color="auto" w:fill="auto"/>
        <w:snapToGrid w:val="0"/>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（1）供应商应按照投标文件组成内容及项目招标需求和</w:t>
      </w:r>
      <w:r>
        <w:rPr>
          <w:rFonts w:hint="eastAsia" w:asciiTheme="majorEastAsia" w:hAnsiTheme="majorEastAsia" w:eastAsiaTheme="majorEastAsia" w:cstheme="majorEastAsia"/>
          <w:b w:val="0"/>
          <w:bCs/>
          <w:color w:val="auto"/>
          <w:sz w:val="21"/>
          <w:szCs w:val="21"/>
          <w:highlight w:val="none"/>
          <w:lang w:eastAsia="zh-CN"/>
        </w:rPr>
        <w:t>新疆</w:t>
      </w:r>
      <w:r>
        <w:rPr>
          <w:rFonts w:hint="eastAsia" w:asciiTheme="majorEastAsia" w:hAnsiTheme="majorEastAsia" w:eastAsiaTheme="majorEastAsia" w:cstheme="majorEastAsia"/>
          <w:b w:val="0"/>
          <w:bCs/>
          <w:color w:val="auto"/>
          <w:sz w:val="21"/>
          <w:szCs w:val="21"/>
          <w:highlight w:val="none"/>
        </w:rPr>
        <w:t>政府采购云平台要求制作投标文件，不按采购文件和</w:t>
      </w:r>
      <w:r>
        <w:rPr>
          <w:rFonts w:hint="eastAsia" w:asciiTheme="majorEastAsia" w:hAnsiTheme="majorEastAsia" w:eastAsiaTheme="majorEastAsia" w:cstheme="majorEastAsia"/>
          <w:b w:val="0"/>
          <w:bCs/>
          <w:color w:val="auto"/>
          <w:sz w:val="21"/>
          <w:szCs w:val="21"/>
          <w:highlight w:val="none"/>
          <w:lang w:eastAsia="zh-CN"/>
        </w:rPr>
        <w:t>新疆</w:t>
      </w:r>
      <w:r>
        <w:rPr>
          <w:rFonts w:hint="eastAsia" w:asciiTheme="majorEastAsia" w:hAnsiTheme="majorEastAsia" w:eastAsiaTheme="majorEastAsia" w:cstheme="majorEastAsia"/>
          <w:b w:val="0"/>
          <w:bCs/>
          <w:color w:val="auto"/>
          <w:sz w:val="21"/>
          <w:szCs w:val="21"/>
          <w:highlight w:val="none"/>
        </w:rPr>
        <w:t>政府采购云平台要求制作投标文件的将视情况处理（拒收等），由此产生的责任由供应商自行承担。</w:t>
      </w:r>
    </w:p>
    <w:p w14:paraId="619F4CA1">
      <w:pPr>
        <w:pStyle w:val="6"/>
        <w:shd w:val="clear" w:color="auto" w:fill="auto"/>
        <w:snapToGrid w:val="0"/>
        <w:spacing w:line="360" w:lineRule="auto"/>
        <w:ind w:firstLine="420" w:firstLineChars="200"/>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B2B5AF8">
      <w:pPr>
        <w:pStyle w:val="6"/>
        <w:shd w:val="clear" w:color="auto" w:fill="auto"/>
        <w:snapToGrid w:val="0"/>
        <w:spacing w:line="360" w:lineRule="auto"/>
        <w:ind w:firstLine="420" w:firstLineChars="20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备份电子投标文件：通过“政采云”平台电子投标工具制作投标文件所产生的备份文件。</w:t>
      </w:r>
    </w:p>
    <w:p w14:paraId="01F923A3">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（2）供应商应对所提供的全部资料的真实性、有效性承担法律责任，电子投标文件中所须加盖公章部分均采用CA签章。</w:t>
      </w:r>
    </w:p>
    <w:p w14:paraId="64424061">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29B46949">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141E72C1">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（5）若供应商不按采购文件的要求提供资格审查材料，其风险由供应商自行承担。</w:t>
      </w:r>
    </w:p>
    <w:p w14:paraId="58EBD0AF">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（6）与本次投标无关的内容请不要制作在内，确保投标文件有针对性、简洁明了。</w:t>
      </w:r>
    </w:p>
    <w:p w14:paraId="721CE666">
      <w:pPr>
        <w:shd w:val="clear" w:color="auto" w:fill="auto"/>
        <w:snapToGrid w:val="0"/>
        <w:spacing w:line="360" w:lineRule="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25.</w:t>
      </w:r>
      <w:r>
        <w:rPr>
          <w:rFonts w:hint="eastAsia" w:asciiTheme="majorEastAsia" w:hAnsiTheme="majorEastAsia" w:eastAsiaTheme="majorEastAsia" w:cstheme="majorEastAsia"/>
          <w:b/>
          <w:bCs/>
          <w:color w:val="auto"/>
          <w:sz w:val="21"/>
          <w:szCs w:val="21"/>
          <w:highlight w:val="none"/>
        </w:rPr>
        <w:t>投标文件的上传</w:t>
      </w:r>
    </w:p>
    <w:p w14:paraId="6371E8CA">
      <w:pPr>
        <w:pStyle w:val="6"/>
        <w:shd w:val="clear" w:color="auto" w:fill="auto"/>
        <w:snapToGrid w:val="0"/>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（1）</w:t>
      </w:r>
      <w:r>
        <w:rPr>
          <w:rFonts w:hint="eastAsia" w:asciiTheme="majorEastAsia" w:hAnsiTheme="majorEastAsia" w:eastAsiaTheme="majorEastAsia" w:cstheme="majorEastAsia"/>
          <w:b/>
          <w:bCs/>
          <w:color w:val="auto"/>
          <w:sz w:val="21"/>
          <w:szCs w:val="21"/>
          <w:highlight w:val="none"/>
          <w:lang w:bidi="zh-CN"/>
        </w:rPr>
        <w:t>电子加密投标文件（“.jmbs”格式）</w:t>
      </w:r>
      <w:r>
        <w:rPr>
          <w:rFonts w:hint="eastAsia" w:asciiTheme="majorEastAsia" w:hAnsiTheme="majorEastAsia" w:eastAsiaTheme="majorEastAsia" w:cstheme="majorEastAsia"/>
          <w:b/>
          <w:bCs/>
          <w:color w:val="auto"/>
          <w:sz w:val="21"/>
          <w:szCs w:val="21"/>
          <w:highlight w:val="none"/>
        </w:rPr>
        <w:t>：</w:t>
      </w:r>
    </w:p>
    <w:p w14:paraId="5F1243F6">
      <w:pPr>
        <w:pStyle w:val="6"/>
        <w:shd w:val="clear" w:color="auto" w:fill="auto"/>
        <w:snapToGrid w:val="0"/>
        <w:spacing w:line="360" w:lineRule="auto"/>
        <w:ind w:firstLine="525" w:firstLineChars="250"/>
        <w:rPr>
          <w:rFonts w:hint="eastAsia" w:asciiTheme="majorEastAsia" w:hAnsiTheme="majorEastAsia" w:eastAsiaTheme="majorEastAsia" w:cstheme="majorEastAsia"/>
          <w:b w:val="0"/>
          <w:bCs/>
          <w:color w:val="auto"/>
          <w:sz w:val="21"/>
          <w:szCs w:val="21"/>
          <w:highlight w:val="none"/>
          <w:lang w:bidi="zh-CN"/>
        </w:rPr>
      </w:pPr>
      <w:r>
        <w:rPr>
          <w:rFonts w:hint="eastAsia" w:asciiTheme="majorEastAsia" w:hAnsiTheme="majorEastAsia" w:eastAsiaTheme="majorEastAsia" w:cstheme="majorEastAsia"/>
          <w:b w:val="0"/>
          <w:bCs/>
          <w:color w:val="auto"/>
          <w:sz w:val="21"/>
          <w:szCs w:val="21"/>
          <w:highlight w:val="none"/>
          <w:lang w:bidi="zh-CN"/>
        </w:rPr>
        <w:t>a.</w:t>
      </w:r>
      <w:r>
        <w:rPr>
          <w:rFonts w:hint="eastAsia" w:asciiTheme="majorEastAsia" w:hAnsiTheme="majorEastAsia" w:eastAsiaTheme="majorEastAsia" w:cstheme="majorEastAsia"/>
          <w:b w:val="0"/>
          <w:bCs/>
          <w:color w:val="auto"/>
          <w:kern w:val="0"/>
          <w:sz w:val="21"/>
          <w:szCs w:val="21"/>
          <w:highlight w:val="none"/>
        </w:rPr>
        <w:t xml:space="preserve"> </w:t>
      </w:r>
      <w:r>
        <w:rPr>
          <w:rFonts w:hint="eastAsia" w:asciiTheme="majorEastAsia" w:hAnsiTheme="majorEastAsia" w:eastAsiaTheme="majorEastAsia" w:cstheme="majorEastAsia"/>
          <w:b w:val="0"/>
          <w:bCs/>
          <w:color w:val="auto"/>
          <w:sz w:val="21"/>
          <w:szCs w:val="21"/>
          <w:highlight w:val="none"/>
          <w:lang w:bidi="zh-CN"/>
        </w:rPr>
        <w:t>供应商应在投标截止时间前将电子加密投标文件成功上传递交至新疆政府采购云平台，否则投标无效；</w:t>
      </w:r>
    </w:p>
    <w:p w14:paraId="00041DCF">
      <w:pPr>
        <w:pStyle w:val="6"/>
        <w:shd w:val="clear" w:color="auto" w:fill="auto"/>
        <w:snapToGrid w:val="0"/>
        <w:spacing w:line="360" w:lineRule="auto"/>
        <w:ind w:firstLine="525" w:firstLineChars="25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bidi="zh-CN"/>
        </w:rPr>
        <w:t>b.供应商成功上传电子加密投标文件后，可自行打印投标文件接收回执。</w:t>
      </w:r>
    </w:p>
    <w:p w14:paraId="2F2B2910">
      <w:pPr>
        <w:pStyle w:val="6"/>
        <w:shd w:val="clear" w:color="auto" w:fill="auto"/>
        <w:snapToGrid w:val="0"/>
        <w:spacing w:line="360" w:lineRule="auto"/>
        <w:rPr>
          <w:rFonts w:hint="eastAsia" w:asciiTheme="majorEastAsia" w:hAnsiTheme="majorEastAsia" w:eastAsiaTheme="majorEastAsia" w:cstheme="majorEastAsia"/>
          <w:b/>
          <w:bCs/>
          <w:color w:val="auto"/>
          <w:sz w:val="21"/>
          <w:szCs w:val="21"/>
          <w:highlight w:val="none"/>
          <w:lang w:bidi="zh-CN"/>
        </w:rPr>
      </w:pPr>
      <w:r>
        <w:rPr>
          <w:rFonts w:hint="eastAsia" w:asciiTheme="majorEastAsia" w:hAnsiTheme="majorEastAsia" w:eastAsiaTheme="majorEastAsia" w:cstheme="majorEastAsia"/>
          <w:b/>
          <w:bCs/>
          <w:color w:val="auto"/>
          <w:sz w:val="21"/>
          <w:szCs w:val="21"/>
          <w:highlight w:val="none"/>
        </w:rPr>
        <w:t>（2）</w:t>
      </w:r>
      <w:r>
        <w:rPr>
          <w:rFonts w:hint="eastAsia" w:asciiTheme="majorEastAsia" w:hAnsiTheme="majorEastAsia" w:eastAsiaTheme="majorEastAsia" w:cstheme="majorEastAsia"/>
          <w:b/>
          <w:bCs/>
          <w:color w:val="auto"/>
          <w:sz w:val="21"/>
          <w:szCs w:val="21"/>
          <w:highlight w:val="none"/>
          <w:lang w:bidi="zh-CN"/>
        </w:rPr>
        <w:t>备份投标文件（“.bfbs”格式）：</w:t>
      </w:r>
    </w:p>
    <w:p w14:paraId="29FF24B7">
      <w:pPr>
        <w:pStyle w:val="6"/>
        <w:shd w:val="clear" w:color="auto" w:fill="auto"/>
        <w:snapToGrid w:val="0"/>
        <w:spacing w:line="360" w:lineRule="auto"/>
        <w:ind w:firstLine="525" w:firstLineChars="250"/>
        <w:rPr>
          <w:rFonts w:hint="eastAsia" w:asciiTheme="majorEastAsia" w:hAnsiTheme="majorEastAsia" w:eastAsiaTheme="majorEastAsia" w:cstheme="majorEastAsia"/>
          <w:color w:val="auto"/>
          <w:sz w:val="21"/>
          <w:szCs w:val="21"/>
          <w:highlight w:val="none"/>
          <w:lang w:val="en-US" w:bidi="zh-CN"/>
        </w:rPr>
      </w:pPr>
      <w:r>
        <w:rPr>
          <w:rFonts w:hint="eastAsia" w:asciiTheme="majorEastAsia" w:hAnsiTheme="majorEastAsia" w:eastAsiaTheme="majorEastAsia" w:cstheme="majorEastAsia"/>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Theme="majorEastAsia" w:hAnsiTheme="majorEastAsia" w:eastAsiaTheme="majorEastAsia" w:cstheme="majorEastAsia"/>
          <w:color w:val="auto"/>
          <w:sz w:val="21"/>
          <w:szCs w:val="21"/>
          <w:highlight w:val="none"/>
          <w:lang w:bidi="zh-CN"/>
        </w:rPr>
        <w:t>“备份投标文件”以投标截止时间前指定接收邮箱最终收到的文件为准，逾期或未按要求提供的视为未提供，建议供应商提前1日办理邮件提供事宜</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b/>
          <w:bCs/>
          <w:color w:val="000000"/>
          <w:sz w:val="21"/>
          <w:szCs w:val="21"/>
          <w:highlight w:val="none"/>
          <w:lang w:val="en-US" w:eastAsia="zh-CN"/>
        </w:rPr>
        <w:t>接收人邮箱：3608912708@qq.com，</w:t>
      </w:r>
      <w:r>
        <w:rPr>
          <w:rFonts w:hint="eastAsia" w:asciiTheme="majorEastAsia" w:hAnsiTheme="majorEastAsia" w:eastAsiaTheme="majorEastAsia" w:cstheme="majorEastAsia"/>
          <w:b/>
          <w:bCs/>
          <w:color w:val="auto"/>
          <w:sz w:val="21"/>
          <w:szCs w:val="21"/>
          <w:highlight w:val="none"/>
          <w:lang w:val="en-US" w:eastAsia="zh-CN" w:bidi="zh-CN"/>
        </w:rPr>
        <w:t>联系人：刘女士   联系电话：18609081081）</w:t>
      </w:r>
    </w:p>
    <w:p w14:paraId="44636DCB">
      <w:pPr>
        <w:pStyle w:val="6"/>
        <w:shd w:val="clear" w:color="auto" w:fill="auto"/>
        <w:snapToGrid w:val="0"/>
        <w:spacing w:line="360" w:lineRule="auto"/>
        <w:ind w:firstLine="525" w:firstLineChars="250"/>
        <w:rPr>
          <w:rFonts w:hint="eastAsia" w:asciiTheme="majorEastAsia" w:hAnsiTheme="majorEastAsia" w:eastAsiaTheme="majorEastAsia" w:cstheme="majorEastAsia"/>
          <w:b w:val="0"/>
          <w:bCs/>
          <w:color w:val="auto"/>
          <w:sz w:val="21"/>
          <w:szCs w:val="21"/>
          <w:highlight w:val="none"/>
          <w:lang w:bidi="zh-CN"/>
        </w:rPr>
      </w:pPr>
      <w:r>
        <w:rPr>
          <w:rFonts w:hint="eastAsia" w:asciiTheme="majorEastAsia" w:hAnsiTheme="majorEastAsia" w:eastAsiaTheme="majorEastAsia" w:cstheme="majorEastAsia"/>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B80281E">
      <w:pPr>
        <w:shd w:val="clear" w:color="auto" w:fill="auto"/>
        <w:snapToGrid w:val="0"/>
        <w:spacing w:line="360" w:lineRule="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26.</w:t>
      </w:r>
      <w:r>
        <w:rPr>
          <w:rFonts w:hint="eastAsia" w:asciiTheme="majorEastAsia" w:hAnsiTheme="majorEastAsia" w:eastAsiaTheme="majorEastAsia" w:cstheme="majorEastAsia"/>
          <w:b/>
          <w:color w:val="auto"/>
          <w:sz w:val="21"/>
          <w:szCs w:val="21"/>
          <w:highlight w:val="none"/>
        </w:rPr>
        <w:t>投标文件的递交要求</w:t>
      </w:r>
    </w:p>
    <w:p w14:paraId="1709EEA4">
      <w:pPr>
        <w:shd w:val="clear" w:color="auto" w:fill="auto"/>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4BBD2433">
      <w:pPr>
        <w:shd w:val="clear" w:color="auto" w:fill="auto"/>
        <w:tabs>
          <w:tab w:val="left" w:pos="1418"/>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（2）备份电子投标文件必须在投标截止时间前送达指定的投标地点。备份电子投标文件在截止时间后提交，采购组织机构将拒绝接收。</w:t>
      </w:r>
    </w:p>
    <w:p w14:paraId="15E184BA">
      <w:pPr>
        <w:shd w:val="clear" w:color="auto" w:fill="auto"/>
        <w:tabs>
          <w:tab w:val="left" w:pos="1418"/>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（3）如有特殊情况，采购组织机构延长截止时间和开标时间，采购组织机构和供应商的权利和义务将受到新的截止时间和开标时间的约束。</w:t>
      </w:r>
    </w:p>
    <w:p w14:paraId="5B6D5628">
      <w:pPr>
        <w:shd w:val="clear" w:color="auto" w:fill="auto"/>
        <w:tabs>
          <w:tab w:val="left" w:pos="1418"/>
        </w:tabs>
        <w:autoSpaceDE w:val="0"/>
        <w:autoSpaceDN w:val="0"/>
        <w:adjustRightInd w:val="0"/>
        <w:snapToGrid w:val="0"/>
        <w:spacing w:line="360" w:lineRule="auto"/>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27．投标文件的补充、修改与撤回</w:t>
      </w:r>
    </w:p>
    <w:p w14:paraId="21B93367">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3C18E32">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Theme="majorEastAsia" w:hAnsiTheme="majorEastAsia" w:eastAsiaTheme="majorEastAsia" w:cstheme="majorEastAsia"/>
          <w:b/>
          <w:bCs/>
          <w:color w:val="auto"/>
          <w:sz w:val="28"/>
          <w:szCs w:val="28"/>
          <w:highlight w:val="none"/>
        </w:rPr>
      </w:pPr>
      <w:bookmarkStart w:id="21" w:name="_Toc469495728"/>
      <w:r>
        <w:rPr>
          <w:rFonts w:hint="eastAsia" w:asciiTheme="majorEastAsia" w:hAnsiTheme="majorEastAsia" w:eastAsiaTheme="majorEastAsia" w:cstheme="majorEastAsia"/>
          <w:b/>
          <w:bCs/>
          <w:color w:val="auto"/>
          <w:sz w:val="28"/>
          <w:szCs w:val="28"/>
          <w:highlight w:val="none"/>
        </w:rPr>
        <w:t>（五）开 标、评标和定标</w:t>
      </w:r>
      <w:bookmarkEnd w:id="21"/>
    </w:p>
    <w:p w14:paraId="576ED6A2">
      <w:pPr>
        <w:shd w:val="clear" w:color="auto" w:fill="auto"/>
        <w:snapToGrid w:val="0"/>
        <w:spacing w:line="360" w:lineRule="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28. 开标</w:t>
      </w:r>
    </w:p>
    <w:p w14:paraId="17A42481">
      <w:pPr>
        <w:shd w:val="clear" w:color="auto" w:fill="auto"/>
        <w:snapToGrid w:val="0"/>
        <w:spacing w:line="360" w:lineRule="auto"/>
        <w:rPr>
          <w:rFonts w:hint="eastAsia" w:asciiTheme="majorEastAsia" w:hAnsiTheme="majorEastAsia" w:eastAsiaTheme="majorEastAsia" w:cstheme="majorEastAsia"/>
          <w:b/>
          <w:bCs/>
          <w:color w:val="auto"/>
          <w:sz w:val="21"/>
          <w:szCs w:val="21"/>
          <w:highlight w:val="none"/>
          <w:lang w:val="en-US" w:eastAsia="zh-CN"/>
        </w:rPr>
      </w:pPr>
      <w:bookmarkStart w:id="22" w:name="_Toc73975822"/>
      <w:r>
        <w:rPr>
          <w:rFonts w:hint="eastAsia" w:asciiTheme="majorEastAsia" w:hAnsiTheme="majorEastAsia" w:eastAsiaTheme="majorEastAsia" w:cstheme="majorEastAsia"/>
          <w:b/>
          <w:bCs/>
          <w:color w:val="auto"/>
          <w:sz w:val="21"/>
          <w:szCs w:val="21"/>
          <w:highlight w:val="none"/>
          <w:lang w:val="en-US" w:eastAsia="zh-CN"/>
        </w:rPr>
        <w:t>28.1开标邀请</w:t>
      </w:r>
      <w:bookmarkEnd w:id="22"/>
    </w:p>
    <w:p w14:paraId="1EF18511">
      <w:pPr>
        <w:pStyle w:val="14"/>
        <w:shd w:val="clear" w:color="auto" w:fill="auto"/>
        <w:snapToGrid w:val="0"/>
        <w:spacing w:line="360" w:lineRule="auto"/>
        <w:ind w:firstLine="420" w:firstLineChars="20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开标准备：本项目开标的准备工作由采购组织机构负责落实，开标过程由采购组织机构负责记录；</w:t>
      </w:r>
    </w:p>
    <w:p w14:paraId="05A81E35">
      <w:pPr>
        <w:pStyle w:val="14"/>
        <w:shd w:val="clear" w:color="auto" w:fill="auto"/>
        <w:snapToGrid w:val="0"/>
        <w:spacing w:line="360" w:lineRule="auto"/>
        <w:ind w:firstLine="420" w:firstLineChars="20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2）</w:t>
      </w:r>
      <w:r>
        <w:rPr>
          <w:rFonts w:hint="eastAsia" w:asciiTheme="majorEastAsia" w:hAnsiTheme="majorEastAsia" w:eastAsiaTheme="majorEastAsia" w:cstheme="majorEastAsia"/>
          <w:b w:val="0"/>
          <w:bCs/>
          <w:color w:val="auto"/>
          <w:sz w:val="21"/>
          <w:szCs w:val="21"/>
          <w:highlight w:val="none"/>
        </w:rPr>
        <w:t>开标主持：本项目开标由采购人或者采购代理机构主持；</w:t>
      </w:r>
    </w:p>
    <w:p w14:paraId="6CF79D09">
      <w:pPr>
        <w:pStyle w:val="14"/>
        <w:shd w:val="clear" w:color="auto" w:fill="auto"/>
        <w:snapToGrid w:val="0"/>
        <w:spacing w:line="360" w:lineRule="auto"/>
        <w:ind w:firstLine="420" w:firstLineChars="200"/>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lang w:eastAsia="zh-CN"/>
        </w:rPr>
        <w:t>（</w:t>
      </w:r>
      <w:r>
        <w:rPr>
          <w:rFonts w:hint="eastAsia" w:asciiTheme="majorEastAsia" w:hAnsiTheme="majorEastAsia" w:eastAsiaTheme="majorEastAsia" w:cstheme="majorEastAsia"/>
          <w:b w:val="0"/>
          <w:color w:val="auto"/>
          <w:sz w:val="21"/>
          <w:szCs w:val="21"/>
          <w:highlight w:val="none"/>
          <w:lang w:val="en-US" w:eastAsia="zh-CN"/>
        </w:rPr>
        <w:t>3</w:t>
      </w:r>
      <w:r>
        <w:rPr>
          <w:rFonts w:hint="eastAsia" w:asciiTheme="majorEastAsia" w:hAnsiTheme="majorEastAsia" w:eastAsiaTheme="majorEastAsia" w:cstheme="majorEastAsia"/>
          <w:b w:val="0"/>
          <w:color w:val="auto"/>
          <w:sz w:val="21"/>
          <w:szCs w:val="21"/>
          <w:highlight w:val="none"/>
          <w:lang w:eastAsia="zh-CN"/>
        </w:rPr>
        <w:t>）</w:t>
      </w:r>
      <w:r>
        <w:rPr>
          <w:rFonts w:hint="eastAsia" w:asciiTheme="majorEastAsia" w:hAnsiTheme="majorEastAsia" w:eastAsiaTheme="majorEastAsia" w:cstheme="majorEastAsia"/>
          <w:b w:val="0"/>
          <w:color w:val="auto"/>
          <w:sz w:val="21"/>
          <w:szCs w:val="21"/>
          <w:highlight w:val="none"/>
        </w:rPr>
        <w:t>开标邀请：本项目采用电子交易，采购组织机构将按照采购文件规定的时间通过“</w:t>
      </w:r>
      <w:r>
        <w:rPr>
          <w:rFonts w:hint="eastAsia" w:asciiTheme="majorEastAsia" w:hAnsiTheme="majorEastAsia" w:eastAsiaTheme="majorEastAsia" w:cstheme="majorEastAsia"/>
          <w:b w:val="0"/>
          <w:color w:val="auto"/>
          <w:sz w:val="21"/>
          <w:szCs w:val="21"/>
          <w:highlight w:val="none"/>
          <w:lang w:eastAsia="zh-CN"/>
        </w:rPr>
        <w:t>新疆</w:t>
      </w:r>
      <w:r>
        <w:rPr>
          <w:rFonts w:hint="eastAsia" w:asciiTheme="majorEastAsia" w:hAnsiTheme="majorEastAsia" w:eastAsiaTheme="majorEastAsia" w:cstheme="majorEastAsia"/>
          <w:b w:val="0"/>
          <w:color w:val="auto"/>
          <w:sz w:val="21"/>
          <w:szCs w:val="21"/>
          <w:highlight w:val="none"/>
        </w:rPr>
        <w:t>政府采购云平台，网址：</w:t>
      </w:r>
      <w:r>
        <w:rPr>
          <w:rFonts w:hint="eastAsia" w:asciiTheme="majorEastAsia" w:hAnsiTheme="majorEastAsia" w:eastAsiaTheme="majorEastAsia" w:cstheme="majorEastAsia"/>
          <w:b w:val="0"/>
          <w:color w:val="auto"/>
          <w:sz w:val="21"/>
          <w:szCs w:val="21"/>
          <w:highlight w:val="none"/>
        </w:rPr>
        <w:fldChar w:fldCharType="begin"/>
      </w:r>
      <w:r>
        <w:rPr>
          <w:rFonts w:hint="eastAsia" w:asciiTheme="majorEastAsia" w:hAnsiTheme="majorEastAsia" w:eastAsiaTheme="majorEastAsia" w:cstheme="majorEastAsia"/>
          <w:b w:val="0"/>
          <w:color w:val="auto"/>
          <w:sz w:val="21"/>
          <w:szCs w:val="21"/>
          <w:highlight w:val="none"/>
        </w:rPr>
        <w:instrText xml:space="preserve">HYPERLINK "http://www.zcygov.cn"</w:instrText>
      </w:r>
      <w:r>
        <w:rPr>
          <w:rFonts w:hint="eastAsia" w:asciiTheme="majorEastAsia" w:hAnsiTheme="majorEastAsia" w:eastAsiaTheme="majorEastAsia" w:cstheme="majorEastAsia"/>
          <w:b w:val="0"/>
          <w:color w:val="auto"/>
          <w:sz w:val="21"/>
          <w:szCs w:val="21"/>
          <w:highlight w:val="none"/>
        </w:rPr>
        <w:fldChar w:fldCharType="separate"/>
      </w:r>
      <w:r>
        <w:rPr>
          <w:rStyle w:val="37"/>
          <w:rFonts w:hint="eastAsia" w:asciiTheme="majorEastAsia" w:hAnsiTheme="majorEastAsia" w:eastAsiaTheme="majorEastAsia" w:cstheme="majorEastAsia"/>
          <w:b w:val="0"/>
          <w:color w:val="auto"/>
          <w:sz w:val="21"/>
          <w:szCs w:val="21"/>
          <w:highlight w:val="none"/>
          <w:u w:val="none"/>
        </w:rPr>
        <w:t>www.zcygov.cn</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b w:val="0"/>
          <w:color w:val="auto"/>
          <w:sz w:val="21"/>
          <w:szCs w:val="21"/>
          <w:highlight w:val="none"/>
        </w:rPr>
        <w:t>”组织开标、开启投标响应文件，所有供应商均应当准时在线参加。</w:t>
      </w:r>
    </w:p>
    <w:p w14:paraId="7BBACFC5">
      <w:pPr>
        <w:pStyle w:val="14"/>
        <w:shd w:val="clear" w:color="auto" w:fill="auto"/>
        <w:snapToGrid w:val="0"/>
        <w:spacing w:line="360" w:lineRule="auto"/>
        <w:ind w:firstLine="420" w:firstLineChars="200"/>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lang w:eastAsia="zh-CN"/>
        </w:rPr>
        <w:t>（</w:t>
      </w:r>
      <w:r>
        <w:rPr>
          <w:rFonts w:hint="eastAsia" w:asciiTheme="majorEastAsia" w:hAnsiTheme="majorEastAsia" w:eastAsiaTheme="majorEastAsia" w:cstheme="majorEastAsia"/>
          <w:b w:val="0"/>
          <w:color w:val="auto"/>
          <w:sz w:val="21"/>
          <w:szCs w:val="21"/>
          <w:highlight w:val="none"/>
          <w:lang w:val="en-US" w:eastAsia="zh-CN"/>
        </w:rPr>
        <w:t>4</w:t>
      </w:r>
      <w:r>
        <w:rPr>
          <w:rFonts w:hint="eastAsia" w:asciiTheme="majorEastAsia" w:hAnsiTheme="majorEastAsia" w:eastAsiaTheme="majorEastAsia" w:cstheme="majorEastAsia"/>
          <w:b w:val="0"/>
          <w:color w:val="auto"/>
          <w:sz w:val="21"/>
          <w:szCs w:val="21"/>
          <w:highlight w:val="none"/>
          <w:lang w:eastAsia="zh-CN"/>
        </w:rPr>
        <w:t>）</w:t>
      </w:r>
      <w:r>
        <w:rPr>
          <w:rFonts w:hint="eastAsia" w:asciiTheme="majorEastAsia" w:hAnsiTheme="majorEastAsia" w:eastAsiaTheme="majorEastAsia" w:cstheme="majorEastAsia"/>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0B99DDE">
      <w:pPr>
        <w:shd w:val="clear" w:color="auto" w:fill="auto"/>
        <w:snapToGrid w:val="0"/>
        <w:spacing w:line="360" w:lineRule="auto"/>
        <w:outlineLvl w:val="2"/>
        <w:rPr>
          <w:rFonts w:hint="eastAsia" w:asciiTheme="majorEastAsia" w:hAnsiTheme="majorEastAsia" w:eastAsiaTheme="majorEastAsia" w:cstheme="majorEastAsia"/>
          <w:b/>
          <w:color w:val="auto"/>
          <w:sz w:val="21"/>
          <w:szCs w:val="21"/>
          <w:highlight w:val="none"/>
        </w:rPr>
      </w:pPr>
      <w:bookmarkStart w:id="23" w:name="_Toc73975823"/>
      <w:r>
        <w:rPr>
          <w:rFonts w:hint="eastAsia" w:asciiTheme="majorEastAsia" w:hAnsiTheme="majorEastAsia" w:eastAsiaTheme="majorEastAsia" w:cstheme="majorEastAsia"/>
          <w:b/>
          <w:color w:val="auto"/>
          <w:sz w:val="21"/>
          <w:szCs w:val="21"/>
          <w:highlight w:val="none"/>
          <w:lang w:val="en-US" w:eastAsia="zh-CN"/>
        </w:rPr>
        <w:t>28.2</w:t>
      </w:r>
      <w:r>
        <w:rPr>
          <w:rFonts w:hint="eastAsia" w:asciiTheme="majorEastAsia" w:hAnsiTheme="majorEastAsia" w:eastAsiaTheme="majorEastAsia" w:cstheme="majorEastAsia"/>
          <w:b/>
          <w:bCs/>
          <w:color w:val="auto"/>
          <w:sz w:val="21"/>
          <w:szCs w:val="21"/>
          <w:highlight w:val="none"/>
        </w:rPr>
        <w:t>开标程序</w:t>
      </w:r>
      <w:bookmarkEnd w:id="23"/>
    </w:p>
    <w:p w14:paraId="058D1F5C">
      <w:pPr>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（1）开标时间到后，主持人宣布开标会议开始。</w:t>
      </w:r>
    </w:p>
    <w:p w14:paraId="7B014212">
      <w:pPr>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kern w:val="0"/>
          <w:szCs w:val="21"/>
          <w:highlight w:val="none"/>
        </w:rPr>
        <w:t>投标文件解密（</w:t>
      </w:r>
      <w:r>
        <w:rPr>
          <w:rFonts w:hint="eastAsia" w:asciiTheme="majorEastAsia" w:hAnsiTheme="majorEastAsia" w:eastAsiaTheme="majorEastAsia" w:cstheme="majorEastAsia"/>
          <w:b/>
          <w:kern w:val="0"/>
          <w:szCs w:val="21"/>
          <w:highlight w:val="none"/>
        </w:rPr>
        <w:t>解密规定见《供应商须知前附表》</w:t>
      </w:r>
      <w:r>
        <w:rPr>
          <w:rFonts w:hint="eastAsia" w:asciiTheme="majorEastAsia" w:hAnsiTheme="majorEastAsia" w:eastAsiaTheme="majorEastAsia" w:cstheme="majorEastAsia"/>
          <w:kern w:val="0"/>
          <w:szCs w:val="21"/>
          <w:highlight w:val="none"/>
        </w:rPr>
        <w:t>）</w:t>
      </w:r>
      <w:r>
        <w:rPr>
          <w:rFonts w:hint="eastAsia" w:asciiTheme="majorEastAsia" w:hAnsiTheme="majorEastAsia" w:eastAsiaTheme="majorEastAsia" w:cstheme="majorEastAsia"/>
          <w:szCs w:val="21"/>
          <w:highlight w:val="none"/>
        </w:rPr>
        <w:t>。</w:t>
      </w:r>
    </w:p>
    <w:p w14:paraId="3D67DB72">
      <w:pPr>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kern w:val="0"/>
          <w:szCs w:val="21"/>
          <w:highlight w:val="none"/>
        </w:rPr>
        <w:t>投标文件解密异常情况处理（</w:t>
      </w:r>
      <w:r>
        <w:rPr>
          <w:rFonts w:hint="eastAsia" w:asciiTheme="majorEastAsia" w:hAnsiTheme="majorEastAsia" w:eastAsiaTheme="majorEastAsia" w:cstheme="majorEastAsia"/>
          <w:b/>
          <w:kern w:val="0"/>
          <w:szCs w:val="21"/>
          <w:highlight w:val="none"/>
        </w:rPr>
        <w:t>处理办法见《供应商须知前附表》</w:t>
      </w:r>
      <w:r>
        <w:rPr>
          <w:rFonts w:hint="eastAsia" w:asciiTheme="majorEastAsia" w:hAnsiTheme="majorEastAsia" w:eastAsiaTheme="majorEastAsia" w:cstheme="majorEastAsia"/>
          <w:kern w:val="0"/>
          <w:szCs w:val="21"/>
          <w:highlight w:val="none"/>
        </w:rPr>
        <w:t>）</w:t>
      </w:r>
      <w:r>
        <w:rPr>
          <w:rFonts w:hint="eastAsia" w:asciiTheme="majorEastAsia" w:hAnsiTheme="majorEastAsia" w:eastAsiaTheme="majorEastAsia" w:cstheme="majorEastAsia"/>
          <w:szCs w:val="21"/>
          <w:highlight w:val="none"/>
        </w:rPr>
        <w:t>。</w:t>
      </w:r>
    </w:p>
    <w:p w14:paraId="31A016DC">
      <w:pPr>
        <w:snapToGrid w:val="0"/>
        <w:spacing w:line="360" w:lineRule="auto"/>
        <w:ind w:firstLine="420" w:firstLineChars="200"/>
        <w:rPr>
          <w:rFonts w:hint="eastAsia" w:asciiTheme="majorEastAsia" w:hAnsiTheme="majorEastAsia" w:eastAsiaTheme="majorEastAsia" w:cstheme="majorEastAsia"/>
          <w:kern w:val="0"/>
          <w:szCs w:val="21"/>
          <w:highlight w:val="none"/>
          <w:lang w:eastAsia="zh-CN"/>
        </w:rPr>
      </w:pPr>
      <w:r>
        <w:rPr>
          <w:rFonts w:hint="eastAsia" w:asciiTheme="majorEastAsia" w:hAnsiTheme="majorEastAsia" w:eastAsiaTheme="majorEastAsia" w:cstheme="majorEastAsia"/>
          <w:kern w:val="0"/>
          <w:szCs w:val="21"/>
          <w:highlight w:val="none"/>
        </w:rPr>
        <w:t>（4）公布投标文件解密情况（投标文件成功解密的供应商名单等信息）</w:t>
      </w:r>
      <w:r>
        <w:rPr>
          <w:rFonts w:hint="eastAsia" w:asciiTheme="majorEastAsia" w:hAnsiTheme="majorEastAsia" w:eastAsiaTheme="majorEastAsia" w:cstheme="majorEastAsia"/>
          <w:kern w:val="0"/>
          <w:szCs w:val="21"/>
          <w:highlight w:val="none"/>
          <w:lang w:eastAsia="zh-CN"/>
        </w:rPr>
        <w:t>。</w:t>
      </w:r>
    </w:p>
    <w:p w14:paraId="6890AAAD">
      <w:pPr>
        <w:snapToGrid w:val="0"/>
        <w:spacing w:line="360" w:lineRule="auto"/>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（5）开启标书信息（资格证明文件、商务技术文件</w:t>
      </w:r>
      <w:r>
        <w:rPr>
          <w:rFonts w:hint="eastAsia" w:asciiTheme="majorEastAsia" w:hAnsiTheme="majorEastAsia" w:eastAsiaTheme="majorEastAsia" w:cstheme="majorEastAsia"/>
          <w:kern w:val="0"/>
          <w:szCs w:val="21"/>
          <w:highlight w:val="none"/>
          <w:lang w:eastAsia="zh-CN"/>
        </w:rPr>
        <w:t>、</w:t>
      </w:r>
      <w:r>
        <w:rPr>
          <w:rFonts w:hint="eastAsia" w:asciiTheme="majorEastAsia" w:hAnsiTheme="majorEastAsia" w:eastAsiaTheme="majorEastAsia" w:cstheme="majorEastAsia"/>
          <w:kern w:val="0"/>
          <w:szCs w:val="21"/>
          <w:highlight w:val="none"/>
          <w:lang w:val="en-US" w:eastAsia="zh-CN"/>
        </w:rPr>
        <w:t>报价文件</w:t>
      </w:r>
      <w:r>
        <w:rPr>
          <w:rFonts w:hint="eastAsia" w:asciiTheme="majorEastAsia" w:hAnsiTheme="majorEastAsia" w:eastAsiaTheme="majorEastAsia" w:cstheme="majorEastAsia"/>
          <w:kern w:val="0"/>
          <w:szCs w:val="21"/>
          <w:highlight w:val="none"/>
        </w:rPr>
        <w:t>）。标书信息开启后，首先由</w:t>
      </w:r>
      <w:r>
        <w:rPr>
          <w:rFonts w:hint="eastAsia" w:asciiTheme="majorEastAsia" w:hAnsiTheme="majorEastAsia" w:eastAsiaTheme="majorEastAsia" w:cstheme="majorEastAsia"/>
          <w:kern w:val="0"/>
          <w:szCs w:val="21"/>
          <w:highlight w:val="none"/>
          <w:lang w:val="en-US" w:eastAsia="zh-CN"/>
        </w:rPr>
        <w:t>资格审查小组</w:t>
      </w:r>
      <w:r>
        <w:rPr>
          <w:rFonts w:hint="eastAsia" w:asciiTheme="majorEastAsia" w:hAnsiTheme="majorEastAsia" w:eastAsiaTheme="majorEastAsia" w:cstheme="majorEastAsia"/>
          <w:kern w:val="0"/>
          <w:szCs w:val="21"/>
          <w:highlight w:val="none"/>
        </w:rPr>
        <w:t>依法对投标供应商的资格证明文件进行审查（具体见本章“24.3 投标供应商资格审查”）， 审查结束公布投标供应商的资格符合情况。资格审查未获通过的供应商，其商务技术文件及报价文件不再进入评审。</w:t>
      </w:r>
    </w:p>
    <w:p w14:paraId="04B6FB2A">
      <w:pPr>
        <w:snapToGrid w:val="0"/>
        <w:spacing w:line="360" w:lineRule="auto"/>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（6）商务技术评审结束后，主持人公布商务技术评审无效投标供应商名单和商务技术评审有效投标供应商名单</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kern w:val="0"/>
          <w:szCs w:val="21"/>
          <w:highlight w:val="none"/>
        </w:rPr>
        <w:t>商务技术评审无效的供应商，其报价不再进入评审。</w:t>
      </w:r>
    </w:p>
    <w:p w14:paraId="19A23350">
      <w:pPr>
        <w:snapToGrid w:val="0"/>
        <w:spacing w:line="360" w:lineRule="auto"/>
        <w:ind w:firstLine="420" w:firstLineChars="200"/>
        <w:jc w:val="left"/>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（7）</w:t>
      </w:r>
      <w:r>
        <w:rPr>
          <w:rFonts w:hint="eastAsia" w:asciiTheme="majorEastAsia" w:hAnsiTheme="majorEastAsia" w:eastAsiaTheme="majorEastAsia" w:cstheme="majorEastAsia"/>
          <w:kern w:val="0"/>
          <w:szCs w:val="21"/>
          <w:highlight w:val="none"/>
          <w:lang w:val="en-US" w:eastAsia="zh-CN"/>
        </w:rPr>
        <w:t>谈判报价，</w:t>
      </w:r>
      <w:r>
        <w:rPr>
          <w:rFonts w:hint="eastAsia" w:asciiTheme="majorEastAsia" w:hAnsiTheme="majorEastAsia" w:eastAsiaTheme="majorEastAsia" w:cstheme="majorEastAsia"/>
          <w:kern w:val="0"/>
          <w:szCs w:val="21"/>
          <w:highlight w:val="none"/>
        </w:rPr>
        <w:t>开启有效投标供应商的报价，</w:t>
      </w:r>
      <w:r>
        <w:rPr>
          <w:rFonts w:hint="eastAsia" w:asciiTheme="majorEastAsia" w:hAnsiTheme="majorEastAsia" w:eastAsiaTheme="majorEastAsia" w:cstheme="majorEastAsia"/>
          <w:szCs w:val="21"/>
          <w:highlight w:val="none"/>
          <w:lang w:bidi="zh-CN"/>
        </w:rPr>
        <w:t>并【开启签字时段】，供应商对开标纪录进行在线签字确认（不予确认的应说明理由，否则视为无异议）</w:t>
      </w:r>
      <w:r>
        <w:rPr>
          <w:rFonts w:hint="eastAsia" w:asciiTheme="majorEastAsia" w:hAnsiTheme="majorEastAsia" w:eastAsiaTheme="majorEastAsia" w:cstheme="majorEastAsia"/>
          <w:kern w:val="0"/>
          <w:szCs w:val="21"/>
          <w:highlight w:val="none"/>
        </w:rPr>
        <w:t>。</w:t>
      </w:r>
    </w:p>
    <w:p w14:paraId="76E1C0B8">
      <w:pPr>
        <w:snapToGrid w:val="0"/>
        <w:spacing w:line="360" w:lineRule="auto"/>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开标结束后，由谈判小组对报价的合理性、准确性等进行审查核实</w:t>
      </w:r>
      <w:r>
        <w:rPr>
          <w:rFonts w:hint="eastAsia" w:asciiTheme="majorEastAsia" w:hAnsiTheme="majorEastAsia" w:eastAsiaTheme="majorEastAsia" w:cstheme="majorEastAsia"/>
          <w:szCs w:val="21"/>
          <w:highlight w:val="none"/>
        </w:rPr>
        <w:t>。</w:t>
      </w:r>
    </w:p>
    <w:p w14:paraId="00B367A8">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highlight w:val="none"/>
        </w:rPr>
        <w:t>（8）</w:t>
      </w:r>
      <w:r>
        <w:rPr>
          <w:rFonts w:hint="eastAsia" w:asciiTheme="majorEastAsia" w:hAnsiTheme="majorEastAsia" w:eastAsiaTheme="majorEastAsia" w:cstheme="majorEastAsia"/>
          <w:kern w:val="0"/>
          <w:szCs w:val="21"/>
          <w:highlight w:val="none"/>
        </w:rPr>
        <w:t>评审结束后，采购代理机构在系统上公布评审结果。</w:t>
      </w:r>
    </w:p>
    <w:p w14:paraId="620A00A7">
      <w:pPr>
        <w:shd w:val="clear" w:color="auto" w:fill="auto"/>
        <w:snapToGrid w:val="0"/>
        <w:spacing w:line="360" w:lineRule="auto"/>
        <w:ind w:left="48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特别情况说明：</w:t>
      </w:r>
    </w:p>
    <w:p w14:paraId="5B20567C">
      <w:pPr>
        <w:shd w:val="clear" w:color="auto" w:fill="auto"/>
        <w:snapToGrid w:val="0"/>
        <w:spacing w:line="360" w:lineRule="auto"/>
        <w:ind w:firstLine="373" w:firstLineChars="177"/>
        <w:jc w:val="left"/>
        <w:rPr>
          <w:rFonts w:hint="eastAsia" w:asciiTheme="majorEastAsia" w:hAnsiTheme="majorEastAsia" w:eastAsiaTheme="majorEastAsia" w:cstheme="majorEastAsia"/>
          <w:b/>
          <w:color w:val="auto"/>
          <w:kern w:val="0"/>
          <w:sz w:val="21"/>
          <w:szCs w:val="21"/>
          <w:highlight w:val="none"/>
        </w:rPr>
      </w:pPr>
      <w:r>
        <w:rPr>
          <w:rFonts w:hint="eastAsia" w:asciiTheme="majorEastAsia" w:hAnsiTheme="majorEastAsia" w:eastAsiaTheme="majorEastAsia" w:cstheme="majorEastAsia"/>
          <w:b/>
          <w:color w:val="auto"/>
          <w:kern w:val="0"/>
          <w:sz w:val="21"/>
          <w:szCs w:val="21"/>
          <w:highlight w:val="none"/>
        </w:rPr>
        <w:t>（1）本项目采用电子交易，如遇“</w:t>
      </w:r>
      <w:r>
        <w:rPr>
          <w:rFonts w:hint="eastAsia" w:asciiTheme="majorEastAsia" w:hAnsiTheme="majorEastAsia" w:eastAsiaTheme="majorEastAsia" w:cstheme="majorEastAsia"/>
          <w:b/>
          <w:color w:val="auto"/>
          <w:kern w:val="0"/>
          <w:sz w:val="21"/>
          <w:szCs w:val="21"/>
          <w:highlight w:val="none"/>
          <w:lang w:eastAsia="zh-CN"/>
        </w:rPr>
        <w:t>新疆</w:t>
      </w:r>
      <w:r>
        <w:rPr>
          <w:rFonts w:hint="eastAsia" w:asciiTheme="majorEastAsia" w:hAnsiTheme="majorEastAsia" w:eastAsiaTheme="majorEastAsia" w:cstheme="majorEastAsia"/>
          <w:b/>
          <w:color w:val="auto"/>
          <w:kern w:val="0"/>
          <w:sz w:val="21"/>
          <w:szCs w:val="21"/>
          <w:highlight w:val="none"/>
        </w:rPr>
        <w:t>政府采购云平台”电子化开标或评审程序调整的，按调整后程序执行。</w:t>
      </w:r>
    </w:p>
    <w:p w14:paraId="2B619FC1">
      <w:pPr>
        <w:shd w:val="clear" w:color="auto" w:fill="auto"/>
        <w:snapToGrid w:val="0"/>
        <w:spacing w:line="360" w:lineRule="auto"/>
        <w:ind w:firstLine="373" w:firstLineChars="177"/>
        <w:jc w:val="left"/>
        <w:rPr>
          <w:rFonts w:hint="eastAsia" w:asciiTheme="majorEastAsia" w:hAnsiTheme="majorEastAsia" w:eastAsiaTheme="majorEastAsia" w:cstheme="majorEastAsia"/>
          <w:b/>
          <w:color w:val="auto"/>
          <w:kern w:val="0"/>
          <w:sz w:val="21"/>
          <w:szCs w:val="21"/>
          <w:highlight w:val="none"/>
        </w:rPr>
      </w:pPr>
      <w:r>
        <w:rPr>
          <w:rFonts w:hint="eastAsia" w:asciiTheme="majorEastAsia" w:hAnsiTheme="majorEastAsia" w:eastAsiaTheme="majorEastAsia" w:cstheme="majorEastAsia"/>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Theme="majorEastAsia" w:hAnsiTheme="majorEastAsia" w:eastAsiaTheme="majorEastAsia" w:cstheme="majorEastAsia"/>
          <w:b/>
          <w:color w:val="auto"/>
          <w:kern w:val="0"/>
          <w:sz w:val="21"/>
          <w:szCs w:val="21"/>
          <w:highlight w:val="none"/>
          <w:u w:val="single"/>
        </w:rPr>
        <w:t>请供应商保证办理投标事宜人员电话畅通、网络在线，签字或盖章确认的时间为</w:t>
      </w:r>
      <w:r>
        <w:rPr>
          <w:rFonts w:hint="eastAsia" w:asciiTheme="majorEastAsia" w:hAnsiTheme="majorEastAsia" w:eastAsiaTheme="majorEastAsia" w:cstheme="majorEastAsia"/>
          <w:b/>
          <w:color w:val="auto"/>
          <w:kern w:val="0"/>
          <w:sz w:val="21"/>
          <w:szCs w:val="21"/>
          <w:highlight w:val="none"/>
          <w:u w:val="single"/>
          <w:lang w:val="en-US" w:eastAsia="zh-CN"/>
        </w:rPr>
        <w:t>20</w:t>
      </w:r>
      <w:r>
        <w:rPr>
          <w:rFonts w:hint="eastAsia" w:asciiTheme="majorEastAsia" w:hAnsiTheme="majorEastAsia" w:eastAsiaTheme="majorEastAsia" w:cstheme="majorEastAsia"/>
          <w:b/>
          <w:color w:val="auto"/>
          <w:kern w:val="0"/>
          <w:sz w:val="21"/>
          <w:szCs w:val="21"/>
          <w:highlight w:val="none"/>
          <w:u w:val="single"/>
        </w:rPr>
        <w:t>分钟。如未及时签字或盖章确认的，视为无异议</w:t>
      </w:r>
      <w:r>
        <w:rPr>
          <w:rFonts w:hint="eastAsia" w:asciiTheme="majorEastAsia" w:hAnsiTheme="majorEastAsia" w:eastAsiaTheme="majorEastAsia" w:cstheme="majorEastAsia"/>
          <w:b/>
          <w:color w:val="auto"/>
          <w:kern w:val="0"/>
          <w:sz w:val="21"/>
          <w:szCs w:val="21"/>
          <w:highlight w:val="none"/>
        </w:rPr>
        <w:t>。</w:t>
      </w:r>
    </w:p>
    <w:p w14:paraId="07B154B2">
      <w:pPr>
        <w:shd w:val="clear" w:color="auto" w:fill="auto"/>
        <w:snapToGrid w:val="0"/>
        <w:spacing w:line="360" w:lineRule="auto"/>
        <w:jc w:val="left"/>
        <w:rPr>
          <w:rFonts w:hint="eastAsia" w:asciiTheme="majorEastAsia" w:hAnsiTheme="majorEastAsia" w:eastAsiaTheme="majorEastAsia" w:cstheme="majorEastAsia"/>
          <w:b/>
          <w:color w:val="auto"/>
          <w:kern w:val="0"/>
          <w:sz w:val="21"/>
          <w:szCs w:val="21"/>
          <w:highlight w:val="none"/>
        </w:rPr>
      </w:pPr>
      <w:r>
        <w:rPr>
          <w:rFonts w:hint="eastAsia" w:asciiTheme="majorEastAsia" w:hAnsiTheme="majorEastAsia" w:eastAsiaTheme="majorEastAsia" w:cstheme="majorEastAsia"/>
          <w:b/>
          <w:color w:val="auto"/>
          <w:kern w:val="0"/>
          <w:sz w:val="21"/>
          <w:szCs w:val="21"/>
          <w:highlight w:val="none"/>
          <w:lang w:val="en-US" w:eastAsia="zh-CN"/>
        </w:rPr>
        <w:t>28.3</w:t>
      </w:r>
      <w:r>
        <w:rPr>
          <w:rFonts w:hint="eastAsia" w:asciiTheme="majorEastAsia" w:hAnsiTheme="majorEastAsia" w:eastAsiaTheme="majorEastAsia" w:cstheme="majorEastAsia"/>
          <w:b/>
          <w:color w:val="auto"/>
          <w:kern w:val="0"/>
          <w:sz w:val="21"/>
          <w:szCs w:val="21"/>
          <w:highlight w:val="none"/>
        </w:rPr>
        <w:t xml:space="preserve"> 投标供应商资格审查：</w:t>
      </w:r>
    </w:p>
    <w:p w14:paraId="25648E65">
      <w:pPr>
        <w:shd w:val="clear" w:color="auto" w:fill="auto"/>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bCs/>
          <w:color w:val="auto"/>
          <w:kern w:val="0"/>
          <w:sz w:val="21"/>
          <w:szCs w:val="21"/>
          <w:highlight w:val="none"/>
        </w:rPr>
        <w:t>开标（标书信息开启）后，</w:t>
      </w:r>
      <w:r>
        <w:rPr>
          <w:rFonts w:hint="eastAsia" w:asciiTheme="majorEastAsia" w:hAnsiTheme="majorEastAsia" w:eastAsiaTheme="majorEastAsia" w:cstheme="majorEastAsia"/>
          <w:bCs/>
          <w:color w:val="auto"/>
          <w:kern w:val="0"/>
          <w:sz w:val="21"/>
          <w:szCs w:val="21"/>
          <w:highlight w:val="none"/>
          <w:lang w:val="en-US" w:eastAsia="zh-CN"/>
        </w:rPr>
        <w:t>资格审查小组</w:t>
      </w:r>
      <w:r>
        <w:rPr>
          <w:rFonts w:hint="eastAsia" w:asciiTheme="majorEastAsia" w:hAnsiTheme="majorEastAsia" w:eastAsiaTheme="majorEastAsia" w:cstheme="majorEastAsia"/>
          <w:bCs/>
          <w:color w:val="auto"/>
          <w:kern w:val="0"/>
          <w:sz w:val="21"/>
          <w:szCs w:val="21"/>
          <w:highlight w:val="none"/>
        </w:rPr>
        <w:t>首先依法对投标供应商的资格文件进行审查，审查各投标供应商的资格符合情况。</w:t>
      </w:r>
      <w:r>
        <w:rPr>
          <w:rFonts w:hint="eastAsia" w:asciiTheme="majorEastAsia" w:hAnsiTheme="majorEastAsia" w:eastAsiaTheme="majorEastAsia" w:cstheme="majorEastAsia"/>
          <w:color w:val="auto"/>
          <w:sz w:val="21"/>
          <w:szCs w:val="21"/>
          <w:highlight w:val="none"/>
          <w:lang w:val="en-US" w:eastAsia="zh-CN"/>
        </w:rPr>
        <w:t>资格审查小组</w:t>
      </w:r>
      <w:r>
        <w:rPr>
          <w:rFonts w:hint="eastAsia" w:asciiTheme="majorEastAsia" w:hAnsiTheme="majorEastAsia" w:eastAsiaTheme="majorEastAsia" w:cstheme="majorEastAsia"/>
          <w:color w:val="auto"/>
          <w:sz w:val="21"/>
          <w:szCs w:val="21"/>
          <w:highlight w:val="none"/>
        </w:rPr>
        <w:t>对投标供应商所提交的资格证明材料仅负审核的责任。如发现投标供应商所提交的资格证明材料不合法或与事实不符，采购人可取消其</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 w:val="21"/>
          <w:szCs w:val="21"/>
          <w:highlight w:val="none"/>
        </w:rPr>
        <w:t>资格并追究投标供应商的法律责任。</w:t>
      </w:r>
    </w:p>
    <w:p w14:paraId="2D40BB99">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（2）投标供应商提交的资格证明材料无法证明其符合采购文件规定的“投标供应商资格要求”的，</w:t>
      </w:r>
      <w:r>
        <w:rPr>
          <w:rFonts w:hint="eastAsia" w:asciiTheme="majorEastAsia" w:hAnsiTheme="majorEastAsia" w:eastAsiaTheme="majorEastAsia" w:cstheme="majorEastAsia"/>
          <w:b w:val="0"/>
          <w:bCs/>
          <w:color w:val="auto"/>
          <w:sz w:val="21"/>
          <w:szCs w:val="21"/>
          <w:highlight w:val="none"/>
          <w:lang w:val="en-US" w:eastAsia="zh-CN"/>
        </w:rPr>
        <w:t>资格审查小组</w:t>
      </w:r>
      <w:r>
        <w:rPr>
          <w:rFonts w:hint="eastAsia" w:asciiTheme="majorEastAsia" w:hAnsiTheme="majorEastAsia" w:eastAsiaTheme="majorEastAsia" w:cstheme="majorEastAsia"/>
          <w:b w:val="0"/>
          <w:bCs/>
          <w:color w:val="auto"/>
          <w:sz w:val="21"/>
          <w:szCs w:val="21"/>
          <w:highlight w:val="none"/>
        </w:rPr>
        <w:t>将对其作“资格审查不合格”处理（无效投标），并不再将其投标提交</w:t>
      </w:r>
      <w:r>
        <w:rPr>
          <w:rFonts w:hint="eastAsia" w:asciiTheme="majorEastAsia" w:hAnsiTheme="majorEastAsia" w:eastAsiaTheme="majorEastAsia" w:cstheme="majorEastAsia"/>
          <w:b w:val="0"/>
          <w:bCs/>
          <w:color w:val="auto"/>
          <w:sz w:val="21"/>
          <w:szCs w:val="21"/>
          <w:highlight w:val="none"/>
          <w:lang w:eastAsia="zh-CN"/>
        </w:rPr>
        <w:t>谈判小组</w:t>
      </w:r>
      <w:r>
        <w:rPr>
          <w:rFonts w:hint="eastAsia" w:asciiTheme="majorEastAsia" w:hAnsiTheme="majorEastAsia" w:eastAsiaTheme="majorEastAsia" w:cstheme="majorEastAsia"/>
          <w:b w:val="0"/>
          <w:bCs/>
          <w:color w:val="auto"/>
          <w:sz w:val="21"/>
          <w:szCs w:val="21"/>
          <w:highlight w:val="none"/>
        </w:rPr>
        <w:t>进行后续评审。</w:t>
      </w:r>
    </w:p>
    <w:p w14:paraId="0D58569B">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（3）</w:t>
      </w:r>
      <w:r>
        <w:rPr>
          <w:rFonts w:hint="eastAsia" w:asciiTheme="majorEastAsia" w:hAnsiTheme="majorEastAsia" w:eastAsiaTheme="majorEastAsia" w:cstheme="majorEastAsia"/>
          <w:b w:val="0"/>
          <w:bCs/>
          <w:color w:val="auto"/>
          <w:kern w:val="0"/>
          <w:sz w:val="21"/>
          <w:szCs w:val="21"/>
          <w:highlight w:val="none"/>
        </w:rPr>
        <w:t>供应商</w:t>
      </w:r>
      <w:r>
        <w:rPr>
          <w:rFonts w:hint="eastAsia" w:asciiTheme="majorEastAsia" w:hAnsiTheme="majorEastAsia" w:eastAsiaTheme="majorEastAsia" w:cstheme="majorEastAsia"/>
          <w:b w:val="0"/>
          <w:bCs/>
          <w:color w:val="auto"/>
          <w:sz w:val="21"/>
          <w:szCs w:val="21"/>
          <w:highlight w:val="none"/>
        </w:rPr>
        <w:t>信用记录查询与使用：</w:t>
      </w:r>
      <w:r>
        <w:rPr>
          <w:rFonts w:hint="eastAsia" w:asciiTheme="majorEastAsia" w:hAnsiTheme="majorEastAsia" w:eastAsiaTheme="majorEastAsia" w:cstheme="majorEastAsia"/>
          <w:b w:val="0"/>
          <w:bCs/>
          <w:color w:val="auto"/>
          <w:kern w:val="0"/>
          <w:sz w:val="21"/>
          <w:szCs w:val="21"/>
          <w:highlight w:val="none"/>
        </w:rPr>
        <w:t>见《供应商须知前附表》。</w:t>
      </w:r>
    </w:p>
    <w:p w14:paraId="5D722891">
      <w:pPr>
        <w:shd w:val="clear" w:color="auto" w:fill="auto"/>
        <w:snapToGrid w:val="0"/>
        <w:spacing w:line="360" w:lineRule="auto"/>
        <w:outlineLvl w:val="2"/>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29.评审工作的组织</w:t>
      </w:r>
    </w:p>
    <w:p w14:paraId="6E0DF0BE">
      <w:pPr>
        <w:widowControl/>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采购人或采购代理机构负责组织本项目的评审工作，并依据《政府采购货物和服务招标投标管理办法（财政部第87号令）》第四十五条的相关规定履行职责。</w:t>
      </w:r>
    </w:p>
    <w:p w14:paraId="7A734DDC">
      <w:pPr>
        <w:shd w:val="clear" w:color="auto" w:fill="auto"/>
        <w:snapToGrid w:val="0"/>
        <w:spacing w:line="360" w:lineRule="auto"/>
        <w:outlineLvl w:val="2"/>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30. 谈判小组的组建</w:t>
      </w:r>
    </w:p>
    <w:p w14:paraId="1381E667">
      <w:pPr>
        <w:widowControl/>
        <w:shd w:val="clear" w:color="auto" w:fill="auto"/>
        <w:spacing w:line="440" w:lineRule="exact"/>
        <w:ind w:firstLine="210" w:firstLineChars="1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color w:val="auto"/>
          <w:szCs w:val="21"/>
          <w:highlight w:val="none"/>
          <w:lang w:val="en-US" w:eastAsia="zh-CN"/>
        </w:rPr>
        <w:t>30</w:t>
      </w: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由采购人或采购代理机构依法组建，成员由采购人代表和评审专家组成，成员人数为</w:t>
      </w:r>
      <w:r>
        <w:rPr>
          <w:rFonts w:hint="eastAsia" w:asciiTheme="majorEastAsia" w:hAnsiTheme="majorEastAsia" w:eastAsiaTheme="majorEastAsia" w:cstheme="majorEastAsia"/>
          <w:b/>
          <w:bCs/>
          <w:color w:val="auto"/>
          <w:szCs w:val="21"/>
          <w:highlight w:val="none"/>
          <w:lang w:val="en-US" w:eastAsia="zh-CN"/>
        </w:rPr>
        <w:t>3</w:t>
      </w:r>
      <w:r>
        <w:rPr>
          <w:rFonts w:hint="eastAsia" w:asciiTheme="majorEastAsia" w:hAnsiTheme="majorEastAsia" w:eastAsiaTheme="majorEastAsia" w:cstheme="majorEastAsia"/>
          <w:b/>
          <w:bCs/>
          <w:color w:val="auto"/>
          <w:szCs w:val="21"/>
          <w:highlight w:val="none"/>
        </w:rPr>
        <w:t>人，其中评审专家不少于成员总数的三分之二。</w:t>
      </w:r>
    </w:p>
    <w:p w14:paraId="527A8F79">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30</w:t>
      </w:r>
      <w:r>
        <w:rPr>
          <w:rFonts w:hint="eastAsia" w:asciiTheme="majorEastAsia" w:hAnsiTheme="majorEastAsia" w:eastAsiaTheme="majorEastAsia" w:cstheme="majorEastAsia"/>
          <w:color w:val="auto"/>
          <w:szCs w:val="21"/>
          <w:highlight w:val="none"/>
        </w:rPr>
        <w:t>.2评审专家从</w:t>
      </w:r>
      <w:r>
        <w:rPr>
          <w:rFonts w:hint="eastAsia" w:asciiTheme="majorEastAsia" w:hAnsiTheme="majorEastAsia" w:eastAsiaTheme="majorEastAsia" w:cstheme="majorEastAsia"/>
          <w:color w:val="auto"/>
          <w:szCs w:val="21"/>
          <w:highlight w:val="none"/>
          <w:lang w:eastAsia="zh-CN"/>
        </w:rPr>
        <w:t>新疆</w:t>
      </w:r>
      <w:r>
        <w:rPr>
          <w:rFonts w:hint="eastAsia" w:asciiTheme="majorEastAsia" w:hAnsiTheme="majorEastAsia" w:eastAsiaTheme="majorEastAsia" w:cstheme="majorEastAsia"/>
          <w:color w:val="auto"/>
          <w:szCs w:val="21"/>
          <w:highlight w:val="none"/>
        </w:rPr>
        <w:t>政府采购云平台专家库中通过随机方式抽取产生。</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成员名单在采购结果公告前保密。</w:t>
      </w:r>
    </w:p>
    <w:p w14:paraId="4A38B4C7">
      <w:pPr>
        <w:widowControl/>
        <w:shd w:val="clear" w:color="auto" w:fill="auto"/>
        <w:spacing w:line="440" w:lineRule="exact"/>
        <w:ind w:firstLine="211" w:firstLineChars="10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31.谈判小组的职责</w:t>
      </w:r>
    </w:p>
    <w:p w14:paraId="39735350">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.1审查、评价投标文件是否符合采购文件的商务、技术等实质性要求。</w:t>
      </w:r>
    </w:p>
    <w:p w14:paraId="09ACB2B0">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.2要求供应商对投标文件有关事项作出澄清或者说明。</w:t>
      </w:r>
    </w:p>
    <w:p w14:paraId="55F8EBF5">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.3对投标文件进行比较和评价。</w:t>
      </w:r>
    </w:p>
    <w:p w14:paraId="5809F4F8">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.4确定</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候选人名单，</w:t>
      </w:r>
      <w:r>
        <w:rPr>
          <w:rFonts w:hint="eastAsia" w:asciiTheme="majorEastAsia" w:hAnsiTheme="majorEastAsia" w:eastAsiaTheme="majorEastAsia" w:cstheme="majorEastAsia"/>
          <w:color w:val="auto"/>
          <w:szCs w:val="21"/>
          <w:highlight w:val="none"/>
          <w:lang w:val="en-US" w:eastAsia="zh-CN"/>
        </w:rPr>
        <w:t>或</w:t>
      </w:r>
      <w:r>
        <w:rPr>
          <w:rFonts w:hint="eastAsia" w:asciiTheme="majorEastAsia" w:hAnsiTheme="majorEastAsia" w:eastAsiaTheme="majorEastAsia" w:cstheme="majorEastAsia"/>
          <w:color w:val="auto"/>
          <w:szCs w:val="21"/>
          <w:highlight w:val="none"/>
        </w:rPr>
        <w:t>根据采购人委托直接确定</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人。</w:t>
      </w:r>
    </w:p>
    <w:p w14:paraId="6BE6A67D">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.5向采购人、采购代理机构或者有关部门报告评审中发现的违法行为。</w:t>
      </w:r>
    </w:p>
    <w:p w14:paraId="366B2532">
      <w:pPr>
        <w:widowControl/>
        <w:shd w:val="clear" w:color="auto" w:fill="auto"/>
        <w:spacing w:line="440" w:lineRule="exact"/>
        <w:ind w:firstLine="211" w:firstLineChars="10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32. 评标原则</w:t>
      </w:r>
    </w:p>
    <w:p w14:paraId="074D2F57">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将遵循公平、公正、科学的原则，对供应商提交的投标文件进行</w:t>
      </w:r>
      <w:r>
        <w:rPr>
          <w:rFonts w:hint="eastAsia" w:asciiTheme="majorEastAsia" w:hAnsiTheme="majorEastAsia" w:eastAsiaTheme="majorEastAsia" w:cstheme="majorEastAsia"/>
          <w:color w:val="auto"/>
          <w:szCs w:val="21"/>
          <w:highlight w:val="none"/>
          <w:lang w:val="en-US" w:eastAsia="zh-CN"/>
        </w:rPr>
        <w:t>最低价</w:t>
      </w:r>
      <w:r>
        <w:rPr>
          <w:rFonts w:hint="eastAsia" w:asciiTheme="majorEastAsia" w:hAnsiTheme="majorEastAsia" w:eastAsiaTheme="majorEastAsia" w:cstheme="majorEastAsia"/>
          <w:color w:val="auto"/>
          <w:szCs w:val="21"/>
          <w:highlight w:val="none"/>
        </w:rPr>
        <w:t>评审，</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按照采购文件规定的评标</w:t>
      </w:r>
      <w:r>
        <w:rPr>
          <w:rFonts w:hint="eastAsia" w:asciiTheme="majorEastAsia" w:hAnsiTheme="majorEastAsia" w:eastAsiaTheme="majorEastAsia" w:cstheme="majorEastAsia"/>
          <w:color w:val="auto"/>
          <w:szCs w:val="21"/>
          <w:highlight w:val="none"/>
          <w:lang w:val="en-US" w:eastAsia="zh-CN"/>
        </w:rPr>
        <w:t>要求</w:t>
      </w:r>
      <w:r>
        <w:rPr>
          <w:rFonts w:hint="eastAsia" w:asciiTheme="majorEastAsia" w:hAnsiTheme="majorEastAsia" w:eastAsiaTheme="majorEastAsia" w:cstheme="majorEastAsia"/>
          <w:color w:val="auto"/>
          <w:szCs w:val="21"/>
          <w:highlight w:val="none"/>
        </w:rPr>
        <w:t>进行</w:t>
      </w:r>
      <w:r>
        <w:rPr>
          <w:rFonts w:hint="eastAsia" w:asciiTheme="majorEastAsia" w:hAnsiTheme="majorEastAsia" w:eastAsiaTheme="majorEastAsia" w:cstheme="majorEastAsia"/>
          <w:color w:val="auto"/>
          <w:szCs w:val="21"/>
          <w:highlight w:val="none"/>
          <w:lang w:val="en-US" w:eastAsia="zh-CN"/>
        </w:rPr>
        <w:t>比较</w:t>
      </w:r>
      <w:r>
        <w:rPr>
          <w:rFonts w:hint="eastAsia" w:asciiTheme="majorEastAsia" w:hAnsiTheme="majorEastAsia" w:eastAsiaTheme="majorEastAsia" w:cstheme="majorEastAsia"/>
          <w:color w:val="auto"/>
          <w:szCs w:val="21"/>
          <w:highlight w:val="none"/>
        </w:rPr>
        <w:t>。</w:t>
      </w:r>
    </w:p>
    <w:p w14:paraId="6E865E48">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Theme="majorEastAsia" w:hAnsiTheme="majorEastAsia" w:eastAsiaTheme="majorEastAsia" w:cstheme="majorEastAsia"/>
          <w:color w:val="auto"/>
          <w:szCs w:val="21"/>
          <w:highlight w:val="none"/>
        </w:rPr>
        <w:t>.2客观公正对待所有供应商，对所有投标</w:t>
      </w:r>
      <w:r>
        <w:rPr>
          <w:rFonts w:hint="eastAsia" w:asciiTheme="majorEastAsia" w:hAnsiTheme="majorEastAsia" w:eastAsiaTheme="majorEastAsia" w:cstheme="majorEastAsia"/>
          <w:color w:val="auto"/>
          <w:szCs w:val="21"/>
          <w:highlight w:val="none"/>
          <w:lang w:val="en-US" w:eastAsia="zh-CN"/>
        </w:rPr>
        <w:t>文件</w:t>
      </w:r>
      <w:r>
        <w:rPr>
          <w:rFonts w:hint="eastAsia" w:asciiTheme="majorEastAsia" w:hAnsiTheme="majorEastAsia" w:eastAsiaTheme="majorEastAsia" w:cstheme="majorEastAsia"/>
          <w:color w:val="auto"/>
          <w:szCs w:val="21"/>
          <w:highlight w:val="none"/>
        </w:rPr>
        <w:t xml:space="preserve">均采用相同的程序和标准。 </w:t>
      </w:r>
    </w:p>
    <w:p w14:paraId="4B0F7741">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成员对需要共同认定的事项存在争议的，按照少数服从多数的原则作出结论。持不同意见的</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 xml:space="preserve">成员应当在评审报告上签署不同意见及理由，否则视为同意评审报告。     </w:t>
      </w:r>
    </w:p>
    <w:p w14:paraId="5FD367B8">
      <w:pPr>
        <w:widowControl/>
        <w:shd w:val="clear" w:color="auto" w:fill="auto"/>
        <w:spacing w:line="440" w:lineRule="exact"/>
        <w:ind w:firstLine="211" w:firstLineChars="10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33. 评委纪律</w:t>
      </w:r>
    </w:p>
    <w:p w14:paraId="5E6456C3">
      <w:pPr>
        <w:widowControl/>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成员必须严格遵守保密规定，不得泄露评审的有关情况，任何单位和个人不得干扰、影响评标的正常进行，</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成员不得私下与投标供应商接触，不得出现</w:t>
      </w:r>
      <w:r>
        <w:rPr>
          <w:rFonts w:hint="eastAsia" w:asciiTheme="majorEastAsia" w:hAnsiTheme="majorEastAsia" w:eastAsiaTheme="majorEastAsia" w:cstheme="majorEastAsia"/>
          <w:color w:val="auto"/>
          <w:szCs w:val="21"/>
          <w:highlight w:val="none"/>
          <w:lang w:val="en-US" w:eastAsia="zh-CN"/>
        </w:rPr>
        <w:t>新疆</w:t>
      </w:r>
      <w:r>
        <w:rPr>
          <w:rFonts w:hint="eastAsia" w:asciiTheme="majorEastAsia" w:hAnsiTheme="majorEastAsia" w:eastAsiaTheme="majorEastAsia" w:cstheme="majorEastAsia"/>
          <w:color w:val="auto"/>
          <w:szCs w:val="21"/>
          <w:highlight w:val="none"/>
        </w:rPr>
        <w:t>省政府采购活动现场组织管理办法中规定的其他禁止行为。</w:t>
      </w:r>
    </w:p>
    <w:p w14:paraId="3F76A29F">
      <w:pPr>
        <w:widowControl/>
        <w:shd w:val="clear" w:color="auto" w:fill="auto"/>
        <w:spacing w:line="440" w:lineRule="exact"/>
        <w:ind w:firstLine="211"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 w:val="21"/>
          <w:szCs w:val="21"/>
          <w:highlight w:val="none"/>
          <w:lang w:val="en-US" w:eastAsia="zh-CN"/>
        </w:rPr>
        <w:t>34.评标程序（详见“本采购文件：第三章  评标办法”）</w:t>
      </w:r>
    </w:p>
    <w:p w14:paraId="6BF4ECCB">
      <w:pPr>
        <w:shd w:val="clear" w:color="auto" w:fill="auto"/>
        <w:spacing w:line="440" w:lineRule="exact"/>
        <w:ind w:firstLine="211"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35．澄清、说明或补正的形式</w:t>
      </w:r>
    </w:p>
    <w:p w14:paraId="08BE64C3">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35.1对于投标文件中含义不明确、同类问题表述不一致或者有明显文字和计算错误的内容，谈判小组将通过“政府采购云平台”在线询标的方式要求投标供应商在规定的时间内作出必要的澄清、说明或者补正，</w:t>
      </w:r>
      <w:r>
        <w:rPr>
          <w:rFonts w:hint="eastAsia" w:asciiTheme="majorEastAsia" w:hAnsiTheme="majorEastAsia" w:eastAsiaTheme="majorEastAsia" w:cstheme="majorEastAsia"/>
          <w:b/>
          <w:bCs/>
          <w:color w:val="auto"/>
          <w:szCs w:val="21"/>
          <w:highlight w:val="none"/>
          <w:lang w:val="en-US" w:eastAsia="zh-CN"/>
        </w:rPr>
        <w:t>投标供应商澄清、说明或补正时间为20分钟</w:t>
      </w:r>
      <w:r>
        <w:rPr>
          <w:rFonts w:hint="eastAsia" w:asciiTheme="majorEastAsia" w:hAnsiTheme="majorEastAsia" w:eastAsiaTheme="majorEastAsia" w:cstheme="majorEastAsia"/>
          <w:b w:val="0"/>
          <w:bCs w:val="0"/>
          <w:color w:val="auto"/>
          <w:szCs w:val="21"/>
          <w:highlight w:val="none"/>
          <w:lang w:val="en-US" w:eastAsia="zh-CN"/>
        </w:rPr>
        <w:t>。</w:t>
      </w:r>
    </w:p>
    <w:p w14:paraId="0CD97516">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35.2投标供应商的澄清、说明或者补正应当通过“政府采购云平台”在线答复的方式提交，并加盖公章（电子印章），或者由法定代表人或其授权的代表签字。投标供应商的澄清、说明或者补正不得超出投标文件的范围或者改变投标文件的实质性内容，不接受投标供应商主动对投标文件的澄清、说明或者补正。</w:t>
      </w:r>
    </w:p>
    <w:p w14:paraId="729A05A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25728F5">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36．错误修正的原则</w:t>
      </w:r>
    </w:p>
    <w:p w14:paraId="69FA2534">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1068D46E">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投标文件报价出现前后不一致的，除采购文件另有规定外，按照下列规定修正：</w:t>
      </w:r>
    </w:p>
    <w:p w14:paraId="3978E29B">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36.1 投标函中表述的内容与报价表中不一致的，以报价表为准；报价表中的内容与报价明细表不一致的，以报价表为准；</w:t>
      </w:r>
    </w:p>
    <w:p w14:paraId="571EA43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36.2 投标文件中的大写金额和小写金额不一致的，以大写金额为准；</w:t>
      </w:r>
    </w:p>
    <w:p w14:paraId="23DBA0A0">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36.3 单价金额小数点或者百分比有明显错位的，以开标一览表的总价为准，并修改单价；</w:t>
      </w:r>
    </w:p>
    <w:p w14:paraId="6B09BB53">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36.4 总价金额与按单价汇总金额不一致的，以单价金额计算结果为准；</w:t>
      </w:r>
    </w:p>
    <w:p w14:paraId="51A37551">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36.5 若用文字表示的数值与用数字表示的数值不一致，以文字表示的数值为准；</w:t>
      </w:r>
    </w:p>
    <w:p w14:paraId="18167357">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36.6 如有多报（指数量超出采购文件需求）、重报（指同一货物重复报价），其投标总价在评标过程中不予调整，如其成交，其合同价按其投标单价予以调整；</w:t>
      </w:r>
    </w:p>
    <w:p w14:paraId="021CBDCE">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36.7 对不同文字文本投标文件的解释发生异议的，以中文文本为准；</w:t>
      </w:r>
    </w:p>
    <w:p w14:paraId="19B454D7">
      <w:pPr>
        <w:shd w:val="clear" w:color="auto" w:fill="auto"/>
        <w:spacing w:line="440" w:lineRule="exact"/>
        <w:ind w:firstLine="210" w:firstLineChars="100"/>
        <w:jc w:val="left"/>
        <w:rPr>
          <w:rFonts w:hint="eastAsia" w:asciiTheme="majorEastAsia" w:hAnsiTheme="majorEastAsia" w:eastAsiaTheme="majorEastAsia" w:cstheme="majorEastAsia"/>
          <w:b/>
          <w:bCs/>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Theme="majorEastAsia" w:hAnsiTheme="majorEastAsia" w:eastAsiaTheme="majorEastAsia" w:cstheme="majorEastAsia"/>
          <w:b/>
          <w:bCs/>
          <w:color w:val="auto"/>
          <w:szCs w:val="21"/>
          <w:highlight w:val="none"/>
          <w:lang w:val="en-US" w:eastAsia="zh-CN"/>
        </w:rPr>
        <w:t>修正应当采用电子询标的形式，并加盖公章（电子印章）。</w:t>
      </w:r>
    </w:p>
    <w:p w14:paraId="07D0AB98">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37．无效投标文件</w:t>
      </w:r>
    </w:p>
    <w:p w14:paraId="50355983">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有下列情形之一的，投标文件按无效标处理：</w:t>
      </w:r>
    </w:p>
    <w:p w14:paraId="53F8D56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03C696C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14:paraId="34513869">
      <w:pPr>
        <w:shd w:val="clear" w:color="auto" w:fill="auto"/>
        <w:spacing w:line="360" w:lineRule="auto"/>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法定代表人投标投标文件非投标人法定代表人签署的；委托代理人投标未提供或提供无效的法定代表人授权书的；</w:t>
      </w:r>
    </w:p>
    <w:p w14:paraId="463FF9C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未按采购文件规定编制的；</w:t>
      </w:r>
    </w:p>
    <w:p w14:paraId="126662E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投标文件内容未按采购文件规定签字、盖章的；</w:t>
      </w:r>
    </w:p>
    <w:p w14:paraId="7D36D79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投标文件组成漏项或未按规定的格式编制或或内容不全或内容字迹模糊辨认不清的等而导致评标活动无法正常进行；</w:t>
      </w:r>
    </w:p>
    <w:p w14:paraId="3209A9B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投标人未按采购文件变更通知更改投标文件的；</w:t>
      </w:r>
    </w:p>
    <w:p w14:paraId="25C50A5F">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483FE63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标项投标报价超过采购文件规定的最高限价；</w:t>
      </w:r>
    </w:p>
    <w:p w14:paraId="5FC4579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684FEDC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2EB6060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未实质性响应采购文件中条款要求的投标文件；</w:t>
      </w:r>
    </w:p>
    <w:p w14:paraId="03432FB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14:paraId="70D4BED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14:paraId="710E1DD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14:paraId="5004A28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投标文件中承诺的投标有效期少于采购文件中载明的投标有效期；</w:t>
      </w:r>
    </w:p>
    <w:p w14:paraId="52F3D62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7920DE7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6FF467F2">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38．废标</w:t>
      </w:r>
    </w:p>
    <w:p w14:paraId="093F1F8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38.1 符合谈判文件规定废标情形的；</w:t>
      </w:r>
    </w:p>
    <w:p w14:paraId="0D1B798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38.2 出现影响采购公正的违法、违规行为的；</w:t>
      </w:r>
    </w:p>
    <w:p w14:paraId="758DE324">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38.3 供应商的报价均超过了采购最高限价的，采购人不能支付的;</w:t>
      </w:r>
    </w:p>
    <w:p w14:paraId="0DA84529">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38.4 因重大变故，采购任务取消的。</w:t>
      </w:r>
    </w:p>
    <w:p w14:paraId="235F06BD">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39．突发情况处理</w:t>
      </w:r>
    </w:p>
    <w:p w14:paraId="7204D81C">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16D79A8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 xml:space="preserve">（1）电子交易平台发生故障而无法登录访问的； </w:t>
      </w:r>
    </w:p>
    <w:p w14:paraId="79595CC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（2）电子交易平台应用或数据库出现错误，不能进行正常操作的；</w:t>
      </w:r>
    </w:p>
    <w:p w14:paraId="34E1C17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（3）电子交易平台发现严重安全漏洞，有潜在泄密危险的；</w:t>
      </w:r>
    </w:p>
    <w:p w14:paraId="2E0664BF">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 xml:space="preserve">（4）病毒发作导致不能进行正常操作的； </w:t>
      </w:r>
    </w:p>
    <w:p w14:paraId="76CC9437">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（5）其他无法保证电子交易的公平、公正和安全的情况。</w:t>
      </w:r>
    </w:p>
    <w:p w14:paraId="73A99519">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8A35D9C">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39.2 采购代理机构或资格审查小组或谈判小组因不可抗力（不可抗力包括但不限于自然灾害、断电、传播疫病等）原因造成电子交易活动无法正常运行的，将采取以下措施：</w:t>
      </w:r>
    </w:p>
    <w:p w14:paraId="7D9A10AE">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（1）短时间内能消除不可抗力因素的，采购代理机构或资格审查小组或谈判小组在消除不可抗力因素后继续组织电子交易活动；</w:t>
      </w:r>
    </w:p>
    <w:p w14:paraId="6A0DA60F">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（2）长时间内无法消除不可抗力因素的，采购代理机构或资格审查小组或谈判小组将中止电子交易活动。中止电子交易活动的，采购人应当重新组织政府采购活动。</w:t>
      </w:r>
    </w:p>
    <w:p w14:paraId="48322536">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40.定标</w:t>
      </w:r>
    </w:p>
    <w:p w14:paraId="0E7E4140">
      <w:pPr>
        <w:shd w:val="clear" w:color="auto" w:fill="auto"/>
        <w:spacing w:line="440" w:lineRule="exact"/>
        <w:ind w:firstLine="420" w:firstLineChars="200"/>
        <w:jc w:val="left"/>
        <w:rPr>
          <w:rFonts w:hint="eastAsia" w:asciiTheme="majorEastAsia" w:hAnsiTheme="majorEastAsia" w:eastAsiaTheme="majorEastAsia" w:cstheme="majorEastAsia"/>
          <w:b w:val="0"/>
          <w:bCs w:val="0"/>
          <w:color w:val="auto"/>
          <w:szCs w:val="21"/>
          <w:highlight w:val="none"/>
          <w:lang w:val="en-US" w:eastAsia="zh-CN"/>
        </w:rPr>
      </w:pPr>
      <w:bookmarkStart w:id="24" w:name="_Toc469495729"/>
      <w:r>
        <w:rPr>
          <w:rFonts w:hint="eastAsia" w:asciiTheme="majorEastAsia" w:hAnsiTheme="majorEastAsia" w:eastAsiaTheme="majorEastAsia" w:cstheme="majorEastAsia"/>
          <w:b w:val="0"/>
          <w:bCs w:val="0"/>
          <w:color w:val="auto"/>
          <w:szCs w:val="21"/>
          <w:highlight w:val="none"/>
          <w:lang w:val="en-US" w:eastAsia="zh-CN"/>
        </w:rPr>
        <w:t>4</w:t>
      </w:r>
      <w:r>
        <w:rPr>
          <w:rFonts w:hint="eastAsia" w:asciiTheme="majorEastAsia" w:hAnsiTheme="majorEastAsia" w:eastAsiaTheme="majorEastAsia" w:cstheme="majorEastAsia"/>
          <w:b/>
          <w:color w:val="auto"/>
          <w:sz w:val="21"/>
          <w:szCs w:val="21"/>
          <w:highlight w:val="none"/>
          <w:lang w:val="en-US" w:eastAsia="zh-CN"/>
        </w:rPr>
        <w:t>0</w:t>
      </w:r>
      <w:r>
        <w:rPr>
          <w:rFonts w:hint="eastAsia" w:asciiTheme="majorEastAsia" w:hAnsiTheme="majorEastAsia" w:eastAsiaTheme="majorEastAsia" w:cstheme="majorEastAsia"/>
          <w:b w:val="0"/>
          <w:bCs w:val="0"/>
          <w:color w:val="auto"/>
          <w:szCs w:val="21"/>
          <w:highlight w:val="none"/>
          <w:lang w:val="en-US" w:eastAsia="zh-CN"/>
        </w:rPr>
        <w:t>.1采购结果确认（确定成交供应商）</w:t>
      </w:r>
    </w:p>
    <w:p w14:paraId="3E391D58">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采购结果确认（确定成交供应商）：本项目由采购人根据谈判小组提交的《评审报告》，通过“政府采购云平台”依法确认采购结果、确定成交供应商。具体流程如下：</w:t>
      </w:r>
    </w:p>
    <w:p w14:paraId="06A6C000">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（1）采购代理机构将在评审结束后2个工作日内将评审报告送采购人。</w:t>
      </w:r>
    </w:p>
    <w:p w14:paraId="5784F6D1">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 xml:space="preserve">（2）采购人将在收到评审报告之日起5个工作日内，在评审报告推荐的成交候选供应商名单中按顺序确定成交供应商，并将确认意见以书面形式回复采购代理机构。 </w:t>
      </w:r>
    </w:p>
    <w:p w14:paraId="7DFFD98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0000FF"/>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40.2</w:t>
      </w:r>
      <w:r>
        <w:rPr>
          <w:rFonts w:hint="eastAsia" w:asciiTheme="majorEastAsia" w:hAnsiTheme="majorEastAsia" w:eastAsiaTheme="majorEastAsia" w:cstheme="majorEastAsia"/>
          <w:b/>
          <w:bCs/>
          <w:color w:val="auto"/>
          <w:szCs w:val="21"/>
          <w:highlight w:val="none"/>
          <w:lang w:val="en-US" w:eastAsia="zh-CN"/>
        </w:rPr>
        <w:t>采购结果经采购人确认后2个工作日内，采购代理机构将在新疆政府采购网、克州公共资源交易中心网（www.zjzfcg.gov.cn）上公告采购结果，成交公告期限为1个工作日。</w:t>
      </w:r>
    </w:p>
    <w:p w14:paraId="4F3B5FE1">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41. 成交通知书</w:t>
      </w:r>
    </w:p>
    <w:p w14:paraId="7068411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41.1</w:t>
      </w:r>
      <w:r>
        <w:rPr>
          <w:rFonts w:hint="eastAsia" w:asciiTheme="majorEastAsia" w:hAnsiTheme="majorEastAsia" w:eastAsiaTheme="majorEastAsia" w:cstheme="majorEastAsia"/>
          <w:color w:val="auto"/>
          <w:szCs w:val="21"/>
          <w:highlight w:val="none"/>
        </w:rPr>
        <w:t>在</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通知书发出前，招标人将</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侯选人的情况在</w:t>
      </w:r>
      <w:r>
        <w:rPr>
          <w:rFonts w:hint="eastAsia" w:asciiTheme="majorEastAsia" w:hAnsiTheme="majorEastAsia" w:eastAsiaTheme="majorEastAsia" w:cstheme="majorEastAsia"/>
          <w:color w:val="auto"/>
          <w:szCs w:val="21"/>
          <w:highlight w:val="none"/>
          <w:lang w:eastAsia="zh-CN"/>
        </w:rPr>
        <w:t>新疆政府采购网、</w:t>
      </w:r>
      <w:r>
        <w:rPr>
          <w:rFonts w:hint="eastAsia" w:asciiTheme="majorEastAsia" w:hAnsiTheme="majorEastAsia" w:eastAsiaTheme="majorEastAsia" w:cstheme="majorEastAsia"/>
          <w:color w:val="auto"/>
          <w:szCs w:val="21"/>
          <w:highlight w:val="none"/>
          <w:lang w:val="en-US" w:eastAsia="zh-CN"/>
        </w:rPr>
        <w:t>克州公共资源交易中心网</w:t>
      </w:r>
      <w:r>
        <w:rPr>
          <w:rFonts w:hint="eastAsia" w:asciiTheme="majorEastAsia" w:hAnsiTheme="majorEastAsia" w:eastAsiaTheme="majorEastAsia" w:cstheme="majorEastAsia"/>
          <w:color w:val="auto"/>
          <w:szCs w:val="21"/>
          <w:highlight w:val="none"/>
        </w:rPr>
        <w:t>予以公示，</w:t>
      </w:r>
      <w:r>
        <w:rPr>
          <w:rFonts w:hint="eastAsia" w:asciiTheme="majorEastAsia" w:hAnsiTheme="majorEastAsia" w:eastAsiaTheme="majorEastAsia" w:cstheme="majorEastAsia"/>
          <w:b/>
          <w:bCs/>
          <w:color w:val="auto"/>
          <w:szCs w:val="21"/>
          <w:highlight w:val="none"/>
        </w:rPr>
        <w:t>公示期为</w:t>
      </w:r>
      <w:r>
        <w:rPr>
          <w:rFonts w:hint="eastAsia" w:asciiTheme="majorEastAsia" w:hAnsiTheme="majorEastAsia" w:eastAsiaTheme="majorEastAsia" w:cstheme="majorEastAsia"/>
          <w:b/>
          <w:bCs/>
          <w:color w:val="auto"/>
          <w:szCs w:val="21"/>
          <w:highlight w:val="none"/>
          <w:lang w:eastAsia="zh-CN"/>
        </w:rPr>
        <w:t>一</w:t>
      </w:r>
      <w:r>
        <w:rPr>
          <w:rFonts w:hint="eastAsia" w:asciiTheme="majorEastAsia" w:hAnsiTheme="majorEastAsia" w:eastAsiaTheme="majorEastAsia" w:cstheme="majorEastAsia"/>
          <w:b/>
          <w:bCs/>
          <w:color w:val="auto"/>
          <w:szCs w:val="21"/>
          <w:highlight w:val="none"/>
        </w:rPr>
        <w:t>个工作日。</w:t>
      </w:r>
      <w:r>
        <w:rPr>
          <w:rFonts w:hint="eastAsia" w:asciiTheme="majorEastAsia" w:hAnsiTheme="majorEastAsia" w:eastAsiaTheme="majorEastAsia" w:cstheme="majorEastAsia"/>
          <w:b/>
          <w:bCs/>
          <w:color w:val="auto"/>
          <w:szCs w:val="21"/>
          <w:highlight w:val="none"/>
          <w:lang w:eastAsia="zh-CN"/>
        </w:rPr>
        <w:t>待公示期结束后，</w:t>
      </w:r>
      <w:r>
        <w:rPr>
          <w:rFonts w:hint="eastAsia" w:asciiTheme="majorEastAsia" w:hAnsiTheme="majorEastAsia" w:eastAsiaTheme="majorEastAsia" w:cstheme="majorEastAsia"/>
          <w:b/>
          <w:bCs/>
          <w:color w:val="auto"/>
          <w:szCs w:val="21"/>
          <w:highlight w:val="none"/>
          <w:lang w:val="en-US" w:eastAsia="zh-CN"/>
        </w:rPr>
        <w:t>采购组织机构向成交人发出成交通知书。</w:t>
      </w:r>
    </w:p>
    <w:p w14:paraId="0F821D07">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41.2成交通知书作为签订合同的重要依据，对采购人和成交供应商均具有法律效力。采购人改变成交结果或者成交供应商放弃成交项目的都应承担法律责任。成交供应商不得向他人转让成交项目，也不得将成交项目肢解后分别向他人转让。</w:t>
      </w:r>
    </w:p>
    <w:p w14:paraId="4CFC077B">
      <w:pPr>
        <w:shd w:val="clear" w:color="auto" w:fill="auto"/>
        <w:spacing w:before="156" w:beforeLines="50" w:line="440" w:lineRule="exact"/>
        <w:ind w:firstLine="3092" w:firstLineChars="1100"/>
        <w:jc w:val="both"/>
        <w:outlineLvl w:val="2"/>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8"/>
          <w:szCs w:val="28"/>
          <w:highlight w:val="none"/>
        </w:rPr>
        <w:t>（六）合同的授予</w:t>
      </w:r>
      <w:bookmarkEnd w:id="24"/>
    </w:p>
    <w:p w14:paraId="3C71190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bookmarkStart w:id="25" w:name="_Toc73975842"/>
      <w:bookmarkStart w:id="26" w:name="_Toc469495730"/>
      <w:r>
        <w:rPr>
          <w:rFonts w:hint="eastAsia" w:asciiTheme="majorEastAsia" w:hAnsiTheme="majorEastAsia" w:eastAsiaTheme="majorEastAsia" w:cstheme="majorEastAsia"/>
          <w:b w:val="0"/>
          <w:bCs w:val="0"/>
          <w:color w:val="auto"/>
          <w:szCs w:val="21"/>
          <w:highlight w:val="none"/>
          <w:lang w:val="en-US" w:eastAsia="zh-CN"/>
        </w:rPr>
        <w:t>42．履约保证金</w:t>
      </w:r>
      <w:bookmarkEnd w:id="25"/>
      <w:r>
        <w:rPr>
          <w:rFonts w:hint="eastAsia" w:asciiTheme="majorEastAsia" w:hAnsiTheme="majorEastAsia" w:eastAsiaTheme="majorEastAsia" w:cstheme="majorEastAsia"/>
          <w:b w:val="0"/>
          <w:bCs w:val="0"/>
          <w:color w:val="auto"/>
          <w:szCs w:val="21"/>
          <w:highlight w:val="none"/>
          <w:lang w:val="en-US" w:eastAsia="zh-CN"/>
        </w:rPr>
        <w:t>（详见投标人须知）</w:t>
      </w:r>
    </w:p>
    <w:p w14:paraId="67A4050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bookmarkStart w:id="27" w:name="_Toc73975843"/>
      <w:r>
        <w:rPr>
          <w:rFonts w:hint="eastAsia" w:asciiTheme="majorEastAsia" w:hAnsiTheme="majorEastAsia" w:eastAsiaTheme="majorEastAsia" w:cstheme="majorEastAsia"/>
          <w:b w:val="0"/>
          <w:bCs w:val="0"/>
          <w:color w:val="auto"/>
          <w:szCs w:val="21"/>
          <w:highlight w:val="none"/>
          <w:lang w:val="en-US" w:eastAsia="zh-CN"/>
        </w:rPr>
        <w:t>43．签订合同及公告</w:t>
      </w:r>
      <w:bookmarkEnd w:id="27"/>
    </w:p>
    <w:p w14:paraId="30B54AD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43.1采购人在成交通知书发出之日起30日内与成交供应商签订合同。</w:t>
      </w:r>
    </w:p>
    <w:p w14:paraId="47AF199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43.2成交供应商拖延、拒签合同的,取消成交资格。</w:t>
      </w:r>
    </w:p>
    <w:p w14:paraId="062F80E8">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43.3 采购文件、成交供应商的投标文件及评标过程中有关澄清文件等均作为签订合同的依据。所签订的合同不得对采购文件和成交供应商的投标文件的内容作实质性修改。</w:t>
      </w:r>
    </w:p>
    <w:p w14:paraId="29499FB8">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43.4采购人应当自政府采购合同签订之日起2个工作日内，在省级以上财政部门指定的政府采购信息发布媒体及相关网站上公告。</w:t>
      </w:r>
    </w:p>
    <w:p w14:paraId="24B290C6">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14:paraId="559AB1B2">
      <w:pPr>
        <w:shd w:val="clear" w:color="auto" w:fill="auto"/>
        <w:adjustRightInd w:val="0"/>
        <w:snapToGrid w:val="0"/>
        <w:spacing w:line="440" w:lineRule="exact"/>
        <w:jc w:val="center"/>
        <w:outlineLvl w:val="2"/>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（七）纪律和监督</w:t>
      </w:r>
      <w:bookmarkEnd w:id="26"/>
    </w:p>
    <w:p w14:paraId="62F6FF7D">
      <w:pPr>
        <w:shd w:val="clear" w:color="auto" w:fill="auto"/>
        <w:spacing w:line="440" w:lineRule="exact"/>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44</w:t>
      </w:r>
      <w:r>
        <w:rPr>
          <w:rFonts w:hint="eastAsia" w:asciiTheme="majorEastAsia" w:hAnsiTheme="majorEastAsia" w:eastAsiaTheme="majorEastAsia" w:cstheme="majorEastAsia"/>
          <w:b/>
          <w:color w:val="auto"/>
          <w:szCs w:val="21"/>
          <w:highlight w:val="none"/>
        </w:rPr>
        <w:t xml:space="preserve">. 对招标人的纪律要求 </w:t>
      </w:r>
    </w:p>
    <w:p w14:paraId="1B207A6A">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lang w:val="en-US" w:eastAsia="zh-CN"/>
        </w:rPr>
        <w:t>44</w:t>
      </w:r>
      <w:r>
        <w:rPr>
          <w:rFonts w:hint="eastAsia" w:asciiTheme="majorEastAsia" w:hAnsiTheme="majorEastAsia" w:eastAsiaTheme="majorEastAsia" w:cstheme="majorEastAsia"/>
          <w:color w:val="auto"/>
          <w:kern w:val="10"/>
          <w:szCs w:val="21"/>
          <w:highlight w:val="none"/>
        </w:rPr>
        <w:t xml:space="preserve">.1招标人不得泄漏招标投标活动中应当保密的情况和资料，不得与投标人串通损害国家利益，社会公共利益或者他人合法权益。 </w:t>
      </w:r>
    </w:p>
    <w:p w14:paraId="2CE6C4AF">
      <w:pPr>
        <w:shd w:val="clear" w:color="auto" w:fill="auto"/>
        <w:spacing w:line="440" w:lineRule="exact"/>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45</w:t>
      </w:r>
      <w:r>
        <w:rPr>
          <w:rFonts w:hint="eastAsia" w:asciiTheme="majorEastAsia" w:hAnsiTheme="majorEastAsia" w:eastAsiaTheme="majorEastAsia" w:cstheme="majorEastAsia"/>
          <w:b/>
          <w:color w:val="auto"/>
          <w:szCs w:val="21"/>
          <w:highlight w:val="none"/>
        </w:rPr>
        <w:t xml:space="preserve">. 对投标人的纪律要求 </w:t>
      </w:r>
    </w:p>
    <w:p w14:paraId="48E424FE">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lang w:val="en-US" w:eastAsia="zh-CN"/>
        </w:rPr>
        <w:t>45</w:t>
      </w:r>
      <w:r>
        <w:rPr>
          <w:rFonts w:hint="eastAsia" w:asciiTheme="majorEastAsia" w:hAnsiTheme="majorEastAsia" w:eastAsiaTheme="majorEastAsia" w:cstheme="majorEastAsia"/>
          <w:color w:val="auto"/>
          <w:kern w:val="10"/>
          <w:szCs w:val="21"/>
          <w:highlight w:val="none"/>
        </w:rPr>
        <w:t>.1投标人不得相互串通投标或者与招标人串通投标，不得向招标人或者</w:t>
      </w:r>
      <w:r>
        <w:rPr>
          <w:rFonts w:hint="eastAsia" w:asciiTheme="majorEastAsia" w:hAnsiTheme="majorEastAsia" w:eastAsiaTheme="majorEastAsia" w:cstheme="majorEastAsia"/>
          <w:color w:val="auto"/>
          <w:kern w:val="10"/>
          <w:szCs w:val="21"/>
          <w:highlight w:val="none"/>
          <w:lang w:eastAsia="zh-CN"/>
        </w:rPr>
        <w:t>谈判小组</w:t>
      </w:r>
      <w:r>
        <w:rPr>
          <w:rFonts w:hint="eastAsia" w:asciiTheme="majorEastAsia" w:hAnsiTheme="majorEastAsia" w:eastAsiaTheme="majorEastAsia" w:cstheme="majorEastAsia"/>
          <w:color w:val="auto"/>
          <w:kern w:val="10"/>
          <w:szCs w:val="21"/>
          <w:highlight w:val="none"/>
        </w:rPr>
        <w:t>成员行贿谋取</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kern w:val="10"/>
          <w:szCs w:val="21"/>
          <w:highlight w:val="none"/>
        </w:rPr>
        <w:t>，不得以他人名义投标或者以其他方式弄虚作假骗取</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kern w:val="10"/>
          <w:szCs w:val="21"/>
          <w:highlight w:val="none"/>
        </w:rPr>
        <w:t>；投标人不得以任何方式干扰、影响评标工作。</w:t>
      </w:r>
    </w:p>
    <w:p w14:paraId="32EE8E7D">
      <w:pPr>
        <w:shd w:val="clear" w:color="auto" w:fill="auto"/>
        <w:spacing w:line="440" w:lineRule="exact"/>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46</w:t>
      </w:r>
      <w:r>
        <w:rPr>
          <w:rFonts w:hint="eastAsia" w:asciiTheme="majorEastAsia" w:hAnsiTheme="majorEastAsia" w:eastAsiaTheme="majorEastAsia" w:cstheme="majorEastAsia"/>
          <w:b/>
          <w:color w:val="auto"/>
          <w:szCs w:val="21"/>
          <w:highlight w:val="none"/>
        </w:rPr>
        <w:t>. 对</w:t>
      </w:r>
      <w:r>
        <w:rPr>
          <w:rFonts w:hint="eastAsia" w:asciiTheme="majorEastAsia" w:hAnsiTheme="majorEastAsia" w:eastAsiaTheme="majorEastAsia" w:cstheme="majorEastAsia"/>
          <w:b/>
          <w:color w:val="auto"/>
          <w:szCs w:val="21"/>
          <w:highlight w:val="none"/>
          <w:lang w:eastAsia="zh-CN"/>
        </w:rPr>
        <w:t>谈判小组</w:t>
      </w:r>
      <w:r>
        <w:rPr>
          <w:rFonts w:hint="eastAsia" w:asciiTheme="majorEastAsia" w:hAnsiTheme="majorEastAsia" w:eastAsiaTheme="majorEastAsia" w:cstheme="majorEastAsia"/>
          <w:b/>
          <w:color w:val="auto"/>
          <w:szCs w:val="21"/>
          <w:highlight w:val="none"/>
        </w:rPr>
        <w:t xml:space="preserve">成员的纪律要求 </w:t>
      </w:r>
    </w:p>
    <w:p w14:paraId="009A7302">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lang w:val="en-US" w:eastAsia="zh-CN"/>
        </w:rPr>
        <w:t>46</w:t>
      </w:r>
      <w:r>
        <w:rPr>
          <w:rFonts w:hint="eastAsia" w:asciiTheme="majorEastAsia" w:hAnsiTheme="majorEastAsia" w:eastAsiaTheme="majorEastAsia" w:cstheme="majorEastAsia"/>
          <w:color w:val="auto"/>
          <w:kern w:val="10"/>
          <w:szCs w:val="21"/>
          <w:highlight w:val="none"/>
        </w:rPr>
        <w:t>.1</w:t>
      </w:r>
      <w:r>
        <w:rPr>
          <w:rFonts w:hint="eastAsia" w:asciiTheme="majorEastAsia" w:hAnsiTheme="majorEastAsia" w:eastAsiaTheme="majorEastAsia" w:cstheme="majorEastAsia"/>
          <w:color w:val="auto"/>
          <w:kern w:val="10"/>
          <w:szCs w:val="21"/>
          <w:highlight w:val="none"/>
          <w:lang w:eastAsia="zh-CN"/>
        </w:rPr>
        <w:t>谈判小组</w:t>
      </w:r>
      <w:r>
        <w:rPr>
          <w:rFonts w:hint="eastAsia" w:asciiTheme="majorEastAsia" w:hAnsiTheme="majorEastAsia" w:eastAsiaTheme="majorEastAsia" w:cstheme="majorEastAsia"/>
          <w:color w:val="auto"/>
          <w:kern w:val="10"/>
          <w:szCs w:val="21"/>
          <w:highlight w:val="none"/>
        </w:rPr>
        <w:t>成员不得收受他人的财物或者其他好处，不得向他人透漏对投标文件的评审和比较、</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kern w:val="10"/>
          <w:szCs w:val="21"/>
          <w:highlight w:val="none"/>
        </w:rPr>
        <w:t>候选人的推荐情况以及评标有关的其他情况。</w:t>
      </w:r>
    </w:p>
    <w:p w14:paraId="4335C648">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lang w:val="en-US" w:eastAsia="zh-CN"/>
        </w:rPr>
        <w:t>46</w:t>
      </w:r>
      <w:r>
        <w:rPr>
          <w:rFonts w:hint="eastAsia" w:asciiTheme="majorEastAsia" w:hAnsiTheme="majorEastAsia" w:eastAsiaTheme="majorEastAsia" w:cstheme="majorEastAsia"/>
          <w:color w:val="auto"/>
          <w:kern w:val="10"/>
          <w:szCs w:val="21"/>
          <w:highlight w:val="none"/>
        </w:rPr>
        <w:t>.2在评标活动中，</w:t>
      </w:r>
      <w:r>
        <w:rPr>
          <w:rFonts w:hint="eastAsia" w:asciiTheme="majorEastAsia" w:hAnsiTheme="majorEastAsia" w:eastAsiaTheme="majorEastAsia" w:cstheme="majorEastAsia"/>
          <w:color w:val="auto"/>
          <w:kern w:val="10"/>
          <w:szCs w:val="21"/>
          <w:highlight w:val="none"/>
          <w:lang w:eastAsia="zh-CN"/>
        </w:rPr>
        <w:t>谈判小组</w:t>
      </w:r>
      <w:r>
        <w:rPr>
          <w:rFonts w:hint="eastAsia" w:asciiTheme="majorEastAsia" w:hAnsiTheme="majorEastAsia" w:eastAsiaTheme="majorEastAsia" w:cstheme="majorEastAsia"/>
          <w:color w:val="auto"/>
          <w:kern w:val="10"/>
          <w:szCs w:val="21"/>
          <w:highlight w:val="none"/>
        </w:rPr>
        <w:t xml:space="preserve">成员不得擅离职守，影响评标程序正常进行，不得使用第三章“评标办法”没有规定的评审因素和标准进行评标。 </w:t>
      </w:r>
    </w:p>
    <w:p w14:paraId="1D8B3E73">
      <w:pPr>
        <w:shd w:val="clear" w:color="auto" w:fill="auto"/>
        <w:adjustRightInd w:val="0"/>
        <w:snapToGrid w:val="0"/>
        <w:spacing w:line="440" w:lineRule="exact"/>
        <w:ind w:firstLine="316" w:firstLineChars="15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47</w:t>
      </w:r>
      <w:r>
        <w:rPr>
          <w:rFonts w:hint="eastAsia" w:asciiTheme="majorEastAsia" w:hAnsiTheme="majorEastAsia" w:eastAsiaTheme="majorEastAsia" w:cstheme="majorEastAsia"/>
          <w:b/>
          <w:color w:val="auto"/>
          <w:szCs w:val="21"/>
          <w:highlight w:val="none"/>
        </w:rPr>
        <w:t xml:space="preserve">. 对与评标活动有关的工作人员的纪律要求 </w:t>
      </w:r>
    </w:p>
    <w:p w14:paraId="1BF9C206">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rPr>
        <w:t>4</w:t>
      </w:r>
      <w:r>
        <w:rPr>
          <w:rFonts w:hint="eastAsia" w:asciiTheme="majorEastAsia" w:hAnsiTheme="majorEastAsia" w:eastAsiaTheme="majorEastAsia" w:cstheme="majorEastAsia"/>
          <w:color w:val="auto"/>
          <w:kern w:val="10"/>
          <w:szCs w:val="21"/>
          <w:highlight w:val="none"/>
          <w:lang w:val="en-US" w:eastAsia="zh-CN"/>
        </w:rPr>
        <w:t>7</w:t>
      </w:r>
      <w:r>
        <w:rPr>
          <w:rFonts w:hint="eastAsia" w:asciiTheme="majorEastAsia" w:hAnsiTheme="majorEastAsia" w:eastAsiaTheme="majorEastAsia" w:cstheme="majorEastAsia"/>
          <w:color w:val="auto"/>
          <w:kern w:val="10"/>
          <w:szCs w:val="21"/>
          <w:highlight w:val="none"/>
        </w:rPr>
        <w:t>.1与评标活动有关的工作人员不得收受他人的财物或者其他好处，不得向他人透漏对投标文件的评审和比较、</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kern w:val="10"/>
          <w:szCs w:val="21"/>
          <w:highlight w:val="none"/>
        </w:rPr>
        <w:t>候选人的推荐情况以及评标有关的其他情况。在评标活动中，与评标活动有关的工作人员不得擅离职守，影响评标程序正常进行。</w:t>
      </w:r>
    </w:p>
    <w:p w14:paraId="4B90944E">
      <w:pPr>
        <w:shd w:val="clear" w:color="auto" w:fill="auto"/>
        <w:spacing w:before="156" w:beforeLines="50" w:after="156" w:afterLines="50" w:line="500" w:lineRule="exact"/>
        <w:ind w:firstLine="843" w:firstLineChars="300"/>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（八）质疑与投诉</w:t>
      </w:r>
    </w:p>
    <w:p w14:paraId="21BEE318">
      <w:pPr>
        <w:shd w:val="clear" w:color="auto" w:fill="auto"/>
        <w:spacing w:line="440" w:lineRule="exact"/>
        <w:ind w:firstLine="310" w:firstLineChars="147"/>
        <w:jc w:val="left"/>
        <w:rPr>
          <w:rFonts w:hint="eastAsia" w:asciiTheme="majorEastAsia" w:hAnsiTheme="majorEastAsia" w:eastAsiaTheme="majorEastAsia" w:cstheme="majorEastAsia"/>
          <w:b/>
          <w:color w:val="auto"/>
          <w:szCs w:val="21"/>
          <w:highlight w:val="none"/>
          <w:lang w:val="en-US" w:eastAsia="zh-CN"/>
        </w:rPr>
      </w:pPr>
      <w:r>
        <w:rPr>
          <w:rFonts w:hint="eastAsia" w:asciiTheme="majorEastAsia" w:hAnsiTheme="majorEastAsia" w:eastAsiaTheme="majorEastAsia" w:cstheme="majorEastAsia"/>
          <w:b/>
          <w:color w:val="auto"/>
          <w:szCs w:val="21"/>
          <w:highlight w:val="none"/>
          <w:lang w:val="en-US" w:eastAsia="zh-CN"/>
        </w:rPr>
        <w:t>48．质疑和投诉</w:t>
      </w:r>
    </w:p>
    <w:p w14:paraId="5BB61C00">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863249C">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（一）对可以质疑的采购文件提出质疑的，为收到采购文件之日或者采购文件公告期限届满之日；</w:t>
      </w:r>
    </w:p>
    <w:p w14:paraId="42F5775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（二）对采购过程提出质疑的，为各采购程序环节结束之日；</w:t>
      </w:r>
    </w:p>
    <w:p w14:paraId="3ED1D13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（三）对成交或者成交结果提出质疑的，为成交或者成交结果公告期限届满之日。</w:t>
      </w:r>
    </w:p>
    <w:p w14:paraId="16275529">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C8C0D7B">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56F4349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12F3366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14:paraId="2B5F241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48.5供应商有下列情形之一的，采购代理机构上报至</w:t>
      </w:r>
      <w:r>
        <w:rPr>
          <w:rFonts w:hint="eastAsia" w:ascii="宋体" w:hAnsi="宋体" w:eastAsia="宋体" w:cs="宋体"/>
          <w:color w:val="auto"/>
          <w:sz w:val="21"/>
          <w:szCs w:val="21"/>
          <w:highlight w:val="none"/>
          <w:lang w:val="en-US" w:eastAsia="zh-CN"/>
        </w:rPr>
        <w:t>财政局政府采购</w:t>
      </w:r>
      <w:r>
        <w:rPr>
          <w:rFonts w:hint="eastAsia" w:ascii="宋体" w:hAnsi="宋体" w:cs="宋体"/>
          <w:color w:val="auto"/>
          <w:sz w:val="21"/>
          <w:szCs w:val="21"/>
          <w:highlight w:val="none"/>
          <w:lang w:val="en-US" w:eastAsia="zh-CN"/>
        </w:rPr>
        <w:t>服务中心</w:t>
      </w:r>
      <w:r>
        <w:rPr>
          <w:rFonts w:hint="eastAsia" w:asciiTheme="majorEastAsia" w:hAnsiTheme="majorEastAsia" w:eastAsiaTheme="majorEastAsia" w:cstheme="majorEastAsia"/>
          <w:b w:val="0"/>
          <w:bCs w:val="0"/>
          <w:color w:val="auto"/>
          <w:szCs w:val="21"/>
          <w:highlight w:val="none"/>
          <w:lang w:val="en-US" w:eastAsia="zh-CN"/>
        </w:rPr>
        <w:t>，将其列入不良行为记录名单：</w:t>
      </w:r>
    </w:p>
    <w:p w14:paraId="433BDF4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（一）一年内三次以上质疑均查无实据的；</w:t>
      </w:r>
    </w:p>
    <w:p w14:paraId="742CE8DF">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（二）捏造事实或者提供虚假质疑材料的。</w:t>
      </w:r>
    </w:p>
    <w:p w14:paraId="0572A0CB">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14A4FE58">
      <w:pPr>
        <w:pStyle w:val="43"/>
        <w:rPr>
          <w:rFonts w:hint="eastAsia" w:asciiTheme="majorEastAsia" w:hAnsiTheme="majorEastAsia" w:eastAsiaTheme="majorEastAsia" w:cstheme="majorEastAsia"/>
          <w:b w:val="0"/>
          <w:bCs w:val="0"/>
          <w:color w:val="auto"/>
          <w:szCs w:val="21"/>
          <w:highlight w:val="none"/>
          <w:lang w:val="en-US" w:eastAsia="zh-CN"/>
        </w:rPr>
      </w:pPr>
    </w:p>
    <w:p w14:paraId="44A1A064">
      <w:pPr>
        <w:pStyle w:val="43"/>
        <w:rPr>
          <w:rFonts w:hint="eastAsia" w:asciiTheme="majorEastAsia" w:hAnsiTheme="majorEastAsia" w:eastAsiaTheme="majorEastAsia" w:cstheme="majorEastAsia"/>
          <w:b w:val="0"/>
          <w:bCs w:val="0"/>
          <w:color w:val="auto"/>
          <w:szCs w:val="21"/>
          <w:highlight w:val="none"/>
          <w:lang w:val="en-US" w:eastAsia="zh-CN"/>
        </w:rPr>
      </w:pPr>
    </w:p>
    <w:p w14:paraId="0D8A8121">
      <w:pPr>
        <w:pStyle w:val="43"/>
        <w:rPr>
          <w:rFonts w:hint="eastAsia" w:asciiTheme="majorEastAsia" w:hAnsiTheme="majorEastAsia" w:eastAsiaTheme="majorEastAsia" w:cstheme="majorEastAsia"/>
          <w:b w:val="0"/>
          <w:bCs w:val="0"/>
          <w:color w:val="auto"/>
          <w:szCs w:val="21"/>
          <w:highlight w:val="none"/>
          <w:lang w:val="en-US" w:eastAsia="zh-CN"/>
        </w:rPr>
      </w:pPr>
    </w:p>
    <w:p w14:paraId="0C7E533D">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33AD200">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B91B27A">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7DA3CE0">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5BE087BC">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6747397">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B63D679">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A402FCD">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0C36088">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E4CFB2C">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F60FE34">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E6EC204">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68DB11D">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5D10725">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565F4922">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59E8B45">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8C94202">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F09723B">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79B19F8">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4A55C60B">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65EA8D5C">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D6F491C">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41B80A5">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B645990">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655E5EA">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A5E39ED">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635289DF">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A687509">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9C63F6B">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6C0F912">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F3849B7">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D5DBF67">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15009938">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77684D3">
      <w:pPr>
        <w:shd w:val="clear" w:color="auto" w:fill="auto"/>
        <w:spacing w:line="360" w:lineRule="auto"/>
        <w:jc w:val="both"/>
        <w:outlineLvl w:val="0"/>
        <w:rPr>
          <w:rFonts w:hint="eastAsia" w:ascii="宋体" w:hAnsi="宋体" w:eastAsia="宋体" w:cs="宋体"/>
          <w:b/>
          <w:bCs/>
          <w:color w:val="auto"/>
          <w:sz w:val="28"/>
          <w:szCs w:val="28"/>
          <w:highlight w:val="none"/>
          <w:lang w:eastAsia="zh-CN"/>
        </w:rPr>
      </w:pPr>
      <w:bookmarkStart w:id="28" w:name="_Toc17515"/>
      <w:bookmarkStart w:id="29" w:name="_Toc469495731"/>
      <w:r>
        <w:rPr>
          <w:rFonts w:hint="eastAsia" w:ascii="宋体" w:hAnsi="宋体" w:eastAsia="宋体" w:cs="宋体"/>
          <w:b/>
          <w:bCs/>
          <w:color w:val="auto"/>
          <w:sz w:val="28"/>
          <w:szCs w:val="28"/>
          <w:highlight w:val="none"/>
          <w:lang w:eastAsia="zh-CN"/>
        </w:rPr>
        <w:t>附件：</w:t>
      </w:r>
    </w:p>
    <w:p w14:paraId="6A2CCB6E">
      <w:pPr>
        <w:shd w:val="clear" w:color="auto" w:fill="auto"/>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lang w:eastAsia="zh-CN"/>
        </w:rPr>
        <w:t>政府采购投诉书（范本）、质疑函范本</w:t>
      </w:r>
    </w:p>
    <w:p w14:paraId="154A04B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center"/>
        <w:textAlignment w:val="auto"/>
        <w:rPr>
          <w:rFonts w:hint="eastAsia" w:ascii="宋体" w:hAnsi="宋体" w:eastAsia="宋体" w:cs="宋体"/>
          <w:b/>
          <w:bCs/>
          <w:color w:val="auto"/>
          <w:sz w:val="22"/>
          <w:szCs w:val="22"/>
          <w:highlight w:val="none"/>
          <w:lang w:val="en-US" w:eastAsia="zh-CN"/>
        </w:rPr>
      </w:pPr>
      <w:bookmarkStart w:id="30" w:name="_Toc13447"/>
      <w:bookmarkStart w:id="31" w:name="_Toc29624"/>
      <w:r>
        <w:rPr>
          <w:rFonts w:hint="eastAsia" w:ascii="宋体" w:hAnsi="宋体" w:eastAsia="宋体" w:cs="宋体"/>
          <w:b/>
          <w:bCs/>
          <w:color w:val="auto"/>
          <w:sz w:val="22"/>
          <w:szCs w:val="22"/>
          <w:highlight w:val="none"/>
          <w:lang w:val="en-US" w:eastAsia="zh-CN"/>
        </w:rPr>
        <w:t>投 诉 书</w:t>
      </w:r>
      <w:bookmarkEnd w:id="30"/>
      <w:bookmarkEnd w:id="31"/>
    </w:p>
    <w:p w14:paraId="1FC8E543">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32" w:name="_Toc18623"/>
      <w:bookmarkStart w:id="33" w:name="_Toc21897"/>
      <w:bookmarkStart w:id="34" w:name="_Toc22042"/>
      <w:bookmarkStart w:id="35" w:name="_Toc30403"/>
      <w:bookmarkStart w:id="36" w:name="_Toc4730"/>
      <w:r>
        <w:rPr>
          <w:rFonts w:hint="eastAsia" w:ascii="宋体" w:hAnsi="宋体" w:eastAsia="宋体" w:cs="宋体"/>
          <w:color w:val="auto"/>
          <w:sz w:val="21"/>
          <w:szCs w:val="21"/>
          <w:highlight w:val="none"/>
          <w:lang w:val="en-US" w:eastAsia="zh-CN"/>
        </w:rPr>
        <w:t>一、投诉相关主体基本情况</w:t>
      </w:r>
      <w:bookmarkEnd w:id="32"/>
      <w:bookmarkEnd w:id="33"/>
      <w:bookmarkEnd w:id="34"/>
      <w:bookmarkEnd w:id="35"/>
      <w:bookmarkEnd w:id="36"/>
    </w:p>
    <w:p w14:paraId="278E216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投诉人：                           </w:t>
      </w:r>
    </w:p>
    <w:p w14:paraId="440D082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 编：             </w:t>
      </w:r>
    </w:p>
    <w:p w14:paraId="78CED17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法定代表人/主要负责人：                             </w:t>
      </w:r>
    </w:p>
    <w:p w14:paraId="3F124C3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联系电话：                                          </w:t>
      </w:r>
    </w:p>
    <w:p w14:paraId="4D8039AC">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 编：             </w:t>
      </w:r>
    </w:p>
    <w:p w14:paraId="7582640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授权代表（如有）：                         </w:t>
      </w:r>
    </w:p>
    <w:p w14:paraId="5160D70A">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联系电话：                                      </w:t>
      </w:r>
    </w:p>
    <w:p w14:paraId="7EB27D4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 编：                  </w:t>
      </w:r>
    </w:p>
    <w:p w14:paraId="2059041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被投诉人1：                                </w:t>
      </w:r>
    </w:p>
    <w:p w14:paraId="11A6FBD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 编：             </w:t>
      </w:r>
    </w:p>
    <w:p w14:paraId="0F6DB0C7">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                        联系电话：               </w:t>
      </w:r>
    </w:p>
    <w:p w14:paraId="1B905A8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被投诉人2：                                           </w:t>
      </w:r>
    </w:p>
    <w:p w14:paraId="1745F58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相关供应商（如有）：                                       </w:t>
      </w:r>
    </w:p>
    <w:p w14:paraId="7CD91D2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邮编：                 </w:t>
      </w:r>
    </w:p>
    <w:p w14:paraId="205C07B8">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                        联系电话：               </w:t>
      </w:r>
    </w:p>
    <w:p w14:paraId="2FA97A2B">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37" w:name="_Toc25214"/>
      <w:bookmarkStart w:id="38" w:name="_Toc7437"/>
      <w:bookmarkStart w:id="39" w:name="_Toc17048"/>
      <w:bookmarkStart w:id="40" w:name="_Toc18283"/>
      <w:bookmarkStart w:id="41" w:name="_Toc10853"/>
      <w:r>
        <w:rPr>
          <w:rFonts w:hint="eastAsia" w:ascii="宋体" w:hAnsi="宋体" w:eastAsia="宋体" w:cs="宋体"/>
          <w:color w:val="auto"/>
          <w:sz w:val="21"/>
          <w:szCs w:val="21"/>
          <w:highlight w:val="none"/>
          <w:lang w:val="en-US" w:eastAsia="zh-CN"/>
        </w:rPr>
        <w:t>二、投诉项目基本情况</w:t>
      </w:r>
      <w:bookmarkEnd w:id="37"/>
      <w:bookmarkEnd w:id="38"/>
      <w:bookmarkEnd w:id="39"/>
      <w:bookmarkEnd w:id="40"/>
      <w:bookmarkEnd w:id="41"/>
    </w:p>
    <w:p w14:paraId="70992ED5">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采购项目名称：</w:t>
      </w:r>
    </w:p>
    <w:p w14:paraId="1291F5F3">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采购项目编号：        包号：</w:t>
      </w:r>
    </w:p>
    <w:p w14:paraId="7704915B">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w:t>
      </w:r>
    </w:p>
    <w:p w14:paraId="0CA697BA">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w:t>
      </w:r>
    </w:p>
    <w:p w14:paraId="79D1658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采购文件公告：是/否 公告期限：</w:t>
      </w:r>
    </w:p>
    <w:p w14:paraId="38DC160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采购结果公告：是/否 公告期限：</w:t>
      </w:r>
    </w:p>
    <w:p w14:paraId="4D083833">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42" w:name="_Toc2182"/>
      <w:bookmarkStart w:id="43" w:name="_Toc13582"/>
      <w:bookmarkStart w:id="44" w:name="_Toc13183"/>
      <w:bookmarkStart w:id="45" w:name="_Toc14152"/>
      <w:bookmarkStart w:id="46" w:name="_Toc25877"/>
      <w:r>
        <w:rPr>
          <w:rFonts w:hint="eastAsia" w:ascii="宋体" w:hAnsi="宋体" w:eastAsia="宋体" w:cs="宋体"/>
          <w:color w:val="auto"/>
          <w:sz w:val="21"/>
          <w:szCs w:val="21"/>
          <w:highlight w:val="none"/>
          <w:lang w:val="en-US" w:eastAsia="zh-CN"/>
        </w:rPr>
        <w:t>三、质疑基本情况</w:t>
      </w:r>
      <w:bookmarkEnd w:id="42"/>
      <w:bookmarkEnd w:id="43"/>
      <w:bookmarkEnd w:id="44"/>
      <w:bookmarkEnd w:id="45"/>
      <w:bookmarkEnd w:id="46"/>
    </w:p>
    <w:p w14:paraId="2FFF949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投诉人于    年  月  日，向       提出质疑，</w:t>
      </w:r>
    </w:p>
    <w:p w14:paraId="4ED97C1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质疑事项为：</w:t>
      </w:r>
    </w:p>
    <w:p w14:paraId="35398D4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采购人/代理机构于    年  月  日，就质疑事项做出了答复/没有在法定期限内做出答复。</w:t>
      </w:r>
    </w:p>
    <w:p w14:paraId="5EF278A5">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default" w:ascii="宋体" w:hAnsi="宋体" w:eastAsia="宋体" w:cs="宋体"/>
          <w:color w:val="auto"/>
          <w:sz w:val="21"/>
          <w:szCs w:val="21"/>
          <w:highlight w:val="none"/>
          <w:lang w:val="en-US" w:eastAsia="zh-CN"/>
        </w:rPr>
      </w:pPr>
      <w:bookmarkStart w:id="47" w:name="_Toc15203"/>
      <w:bookmarkStart w:id="48" w:name="_Toc26083"/>
      <w:bookmarkStart w:id="49" w:name="_Toc17256"/>
      <w:bookmarkStart w:id="50" w:name="_Toc23110"/>
      <w:bookmarkStart w:id="51" w:name="_Toc3347"/>
      <w:r>
        <w:rPr>
          <w:rFonts w:hint="eastAsia" w:ascii="宋体" w:hAnsi="宋体" w:eastAsia="宋体" w:cs="宋体"/>
          <w:color w:val="auto"/>
          <w:sz w:val="21"/>
          <w:szCs w:val="21"/>
          <w:highlight w:val="none"/>
          <w:lang w:val="en-US" w:eastAsia="zh-CN"/>
        </w:rPr>
        <w:t>四、投诉事项具体内容</w:t>
      </w:r>
      <w:bookmarkEnd w:id="47"/>
      <w:bookmarkEnd w:id="48"/>
      <w:bookmarkEnd w:id="49"/>
      <w:bookmarkEnd w:id="50"/>
      <w:bookmarkEnd w:id="51"/>
    </w:p>
    <w:p w14:paraId="368162C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投诉事项1：</w:t>
      </w:r>
    </w:p>
    <w:p w14:paraId="622C211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事实依据：</w:t>
      </w:r>
    </w:p>
    <w:p w14:paraId="748F8A4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法律依据1：</w:t>
      </w:r>
    </w:p>
    <w:p w14:paraId="656E856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法律依据2：</w:t>
      </w:r>
    </w:p>
    <w:p w14:paraId="3FFBFD5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p>
    <w:p w14:paraId="52C54D13">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投诉事项2：</w:t>
      </w:r>
    </w:p>
    <w:p w14:paraId="7975368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14:paraId="7AE862B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52" w:name="_Toc31495"/>
      <w:bookmarkStart w:id="53" w:name="_Toc32324"/>
      <w:bookmarkStart w:id="54" w:name="_Toc16741"/>
      <w:bookmarkStart w:id="55" w:name="_Toc13424"/>
      <w:bookmarkStart w:id="56" w:name="_Toc16036"/>
      <w:r>
        <w:rPr>
          <w:rFonts w:hint="eastAsia" w:ascii="宋体" w:hAnsi="宋体" w:eastAsia="宋体" w:cs="宋体"/>
          <w:color w:val="auto"/>
          <w:sz w:val="21"/>
          <w:szCs w:val="21"/>
          <w:highlight w:val="none"/>
          <w:lang w:val="en-US" w:eastAsia="zh-CN"/>
        </w:rPr>
        <w:t>五、与投诉事项相关的投诉请求</w:t>
      </w:r>
      <w:bookmarkEnd w:id="52"/>
      <w:bookmarkEnd w:id="53"/>
      <w:bookmarkEnd w:id="54"/>
      <w:bookmarkEnd w:id="55"/>
      <w:bookmarkEnd w:id="56"/>
    </w:p>
    <w:p w14:paraId="00F2E10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请求：</w:t>
      </w:r>
    </w:p>
    <w:p w14:paraId="399F4BDD">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p>
    <w:p w14:paraId="6DEA669B">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签字（签章）（法人代表或负责人、代理人）：       </w:t>
      </w:r>
    </w:p>
    <w:p w14:paraId="120A508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公章（单位）：               </w:t>
      </w:r>
    </w:p>
    <w:p w14:paraId="181E304D">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p>
    <w:p w14:paraId="7D26EC8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57" w:name="_Toc7988"/>
      <w:r>
        <w:rPr>
          <w:rFonts w:hint="eastAsia" w:ascii="宋体" w:hAnsi="宋体" w:eastAsia="宋体" w:cs="宋体"/>
          <w:color w:val="auto"/>
          <w:sz w:val="21"/>
          <w:szCs w:val="21"/>
          <w:highlight w:val="none"/>
          <w:lang w:val="en-US" w:eastAsia="zh-CN"/>
        </w:rPr>
        <w:t>附件：质疑及答复材料</w:t>
      </w:r>
    </w:p>
    <w:p w14:paraId="0009CE1E">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58" w:name="_Toc5781"/>
      <w:bookmarkStart w:id="59" w:name="_Toc31452"/>
      <w:bookmarkStart w:id="60" w:name="_Toc29658"/>
      <w:bookmarkStart w:id="61" w:name="_Toc20349"/>
      <w:r>
        <w:rPr>
          <w:rFonts w:hint="eastAsia" w:ascii="宋体" w:hAnsi="宋体" w:eastAsia="宋体" w:cs="宋体"/>
          <w:color w:val="auto"/>
          <w:sz w:val="21"/>
          <w:szCs w:val="21"/>
          <w:highlight w:val="none"/>
          <w:lang w:val="en-US" w:eastAsia="zh-CN"/>
        </w:rPr>
        <w:t>投诉书制作说明：</w:t>
      </w:r>
      <w:bookmarkEnd w:id="57"/>
      <w:bookmarkEnd w:id="58"/>
      <w:bookmarkEnd w:id="59"/>
      <w:bookmarkEnd w:id="60"/>
      <w:bookmarkEnd w:id="61"/>
    </w:p>
    <w:p w14:paraId="32CEE2D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1.投诉人应当按照</w:t>
      </w:r>
      <w:r>
        <w:rPr>
          <w:rFonts w:hint="default" w:ascii="宋体" w:hAnsi="宋体" w:eastAsia="宋体" w:cs="宋体"/>
          <w:color w:val="auto"/>
          <w:sz w:val="21"/>
          <w:szCs w:val="21"/>
          <w:highlight w:val="none"/>
          <w:lang w:val="en-US" w:eastAsia="zh-CN"/>
        </w:rPr>
        <w:t>《政府采购质疑和投诉办法》</w:t>
      </w:r>
      <w:r>
        <w:rPr>
          <w:rFonts w:hint="eastAsia" w:ascii="宋体" w:hAnsi="宋体" w:eastAsia="宋体" w:cs="宋体"/>
          <w:color w:val="auto"/>
          <w:sz w:val="21"/>
          <w:szCs w:val="21"/>
          <w:highlight w:val="none"/>
          <w:lang w:val="en-US" w:eastAsia="zh-CN"/>
        </w:rPr>
        <w:t>（财政部令第94号）规定提起投诉。</w:t>
      </w:r>
    </w:p>
    <w:p w14:paraId="01FB7EEA">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2.投诉人提起投诉时，应当提交投诉书和必要的证明材料，并按照被投诉人和与投诉事项有关的供应商数量提供投诉书副本。</w:t>
      </w:r>
    </w:p>
    <w:p w14:paraId="7681CF1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3270E7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4.投诉人若对项目的某一分包进行投诉，投诉书应列明具体分包号。</w:t>
      </w:r>
    </w:p>
    <w:p w14:paraId="0C715DBB">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5.投诉书应简要列明质疑事项，质疑函、质疑答复等作为附件材料提供。</w:t>
      </w:r>
    </w:p>
    <w:p w14:paraId="5CD3514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6.投诉书的投诉事项应具体、明确，并由必要的事实依据和法律依据。</w:t>
      </w:r>
    </w:p>
    <w:p w14:paraId="66D3D68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7.投诉书的投诉请求应与投诉事项相关。</w:t>
      </w:r>
    </w:p>
    <w:p w14:paraId="6DBAB97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lang w:val="en-US" w:eastAsia="zh-CN"/>
        </w:rPr>
        <w:t>8.投诉人为自然人的，投诉书应当由本人签字；投诉书应当由法定代表人、主要负责人，或者其授权代表签字或者盖章，并加盖公章。</w:t>
      </w:r>
    </w:p>
    <w:p w14:paraId="155930CB">
      <w:pPr>
        <w:shd w:val="clear" w:color="auto" w:fill="auto"/>
        <w:spacing w:line="360" w:lineRule="auto"/>
        <w:jc w:val="center"/>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投诉相关说明</w:t>
      </w:r>
      <w:bookmarkEnd w:id="28"/>
    </w:p>
    <w:p w14:paraId="7E385F2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1D8EF1AE">
      <w:pPr>
        <w:keepNext w:val="0"/>
        <w:keepLines w:val="0"/>
        <w:pageBreakBefore w:val="0"/>
        <w:numPr>
          <w:ilvl w:val="0"/>
          <w:numId w:val="8"/>
        </w:numPr>
        <w:shd w:val="clear" w:color="auto" w:fill="auto"/>
        <w:kinsoku/>
        <w:wordWrap/>
        <w:overflowPunct/>
        <w:topLinePunct w:val="0"/>
        <w:autoSpaceDE/>
        <w:autoSpaceDN/>
        <w:bidi w:val="0"/>
        <w:adjustRightInd/>
        <w:snapToGrid/>
        <w:spacing w:line="360" w:lineRule="auto"/>
        <w:ind w:left="4011" w:leftChars="304" w:hanging="3373" w:hangingChars="1600"/>
        <w:textAlignment w:val="auto"/>
        <w:outlineLvl w:val="0"/>
        <w:rPr>
          <w:rFonts w:hint="eastAsia" w:ascii="宋体" w:hAnsi="宋体" w:eastAsia="宋体" w:cs="宋体"/>
          <w:b/>
          <w:bCs/>
          <w:color w:val="auto"/>
          <w:sz w:val="21"/>
          <w:szCs w:val="21"/>
          <w:highlight w:val="none"/>
        </w:rPr>
      </w:pPr>
      <w:bookmarkStart w:id="62" w:name="_Toc11499"/>
      <w:r>
        <w:rPr>
          <w:rFonts w:hint="eastAsia" w:ascii="宋体" w:hAnsi="宋体" w:eastAsia="宋体" w:cs="宋体"/>
          <w:b/>
          <w:bCs/>
          <w:color w:val="auto"/>
          <w:sz w:val="21"/>
          <w:szCs w:val="21"/>
          <w:highlight w:val="none"/>
        </w:rPr>
        <w:t>质疑前置及时间要求</w:t>
      </w:r>
      <w:bookmarkEnd w:id="62"/>
    </w:p>
    <w:p w14:paraId="1A2CF4D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7CFC397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w:t>
      </w:r>
      <w:r>
        <w:rPr>
          <w:rFonts w:hint="eastAsia" w:ascii="宋体" w:hAnsi="宋体" w:eastAsia="宋体" w:cs="宋体"/>
          <w:color w:val="auto"/>
          <w:kern w:val="0"/>
          <w:sz w:val="21"/>
          <w:szCs w:val="21"/>
          <w:highlight w:val="none"/>
          <w:shd w:val="clear" w:color="auto" w:fill="FFFFFF"/>
          <w:lang w:eastAsia="zh-CN"/>
        </w:rPr>
        <w:t>成交</w:t>
      </w: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eastAsia="zh-CN"/>
        </w:rPr>
        <w:t>成交</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64FC60C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176E470D">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CBB6CBA">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7AAEC1A0">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28508F23">
      <w:pPr>
        <w:keepNext w:val="0"/>
        <w:keepLines w:val="0"/>
        <w:pageBreakBefore w:val="0"/>
        <w:shd w:val="clear" w:color="auto" w:fill="auto"/>
        <w:kinsoku/>
        <w:wordWrap/>
        <w:overflowPunct/>
        <w:topLinePunct w:val="0"/>
        <w:autoSpaceDE/>
        <w:autoSpaceDN/>
        <w:bidi w:val="0"/>
        <w:adjustRightInd/>
        <w:snapToGrid/>
        <w:spacing w:line="360" w:lineRule="auto"/>
        <w:ind w:left="5760" w:hanging="3780" w:hangingChars="18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3" w:name="_Toc13508"/>
      <w:r>
        <w:rPr>
          <w:rFonts w:hint="eastAsia" w:ascii="宋体" w:hAnsi="宋体" w:eastAsia="宋体" w:cs="宋体"/>
          <w:b/>
          <w:bCs/>
          <w:color w:val="auto"/>
          <w:sz w:val="21"/>
          <w:szCs w:val="21"/>
          <w:highlight w:val="none"/>
        </w:rPr>
        <w:t>二、书面方式</w:t>
      </w:r>
      <w:bookmarkEnd w:id="63"/>
    </w:p>
    <w:p w14:paraId="44EF8716">
      <w:pPr>
        <w:keepNext w:val="0"/>
        <w:keepLines w:val="0"/>
        <w:pageBreakBefore w:val="0"/>
        <w:shd w:val="clear" w:color="auto" w:fill="auto"/>
        <w:kinsoku/>
        <w:wordWrap/>
        <w:overflowPunct/>
        <w:topLinePunct w:val="0"/>
        <w:autoSpaceDE/>
        <w:autoSpaceDN/>
        <w:bidi w:val="0"/>
        <w:adjustRightInd/>
        <w:snapToGrid/>
        <w:spacing w:line="360" w:lineRule="auto"/>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14:paraId="4CA58B52">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14:paraId="14DA9B12">
      <w:pPr>
        <w:keepNext w:val="0"/>
        <w:keepLines w:val="0"/>
        <w:pageBreakBefore w:val="0"/>
        <w:shd w:val="clear" w:color="auto" w:fill="auto"/>
        <w:kinsoku/>
        <w:wordWrap/>
        <w:overflowPunct/>
        <w:topLinePunct w:val="0"/>
        <w:autoSpaceDE/>
        <w:autoSpaceDN/>
        <w:bidi w:val="0"/>
        <w:adjustRightInd/>
        <w:snapToGrid/>
        <w:spacing w:line="360" w:lineRule="auto"/>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14:paraId="46ADA83C">
      <w:pPr>
        <w:keepNext w:val="0"/>
        <w:keepLines w:val="0"/>
        <w:pageBreakBefore w:val="0"/>
        <w:numPr>
          <w:ilvl w:val="0"/>
          <w:numId w:val="9"/>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2B47A314">
      <w:pPr>
        <w:keepNext w:val="0"/>
        <w:keepLines w:val="0"/>
        <w:pageBreakBefore w:val="0"/>
        <w:numPr>
          <w:ilvl w:val="0"/>
          <w:numId w:val="9"/>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73D83BCD">
      <w:pPr>
        <w:keepNext w:val="0"/>
        <w:keepLines w:val="0"/>
        <w:pageBreakBefore w:val="0"/>
        <w:numPr>
          <w:ilvl w:val="0"/>
          <w:numId w:val="9"/>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68DC701C">
      <w:pPr>
        <w:keepNext w:val="0"/>
        <w:keepLines w:val="0"/>
        <w:pageBreakBefore w:val="0"/>
        <w:numPr>
          <w:ilvl w:val="0"/>
          <w:numId w:val="9"/>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7D6AA0F3">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5738C2B1">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49257BCC">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6D20B010">
      <w:pPr>
        <w:keepNext w:val="0"/>
        <w:keepLines w:val="0"/>
        <w:pageBreakBefore w:val="0"/>
        <w:numPr>
          <w:ilvl w:val="0"/>
          <w:numId w:val="1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046DC38E">
      <w:pPr>
        <w:keepNext w:val="0"/>
        <w:keepLines w:val="0"/>
        <w:pageBreakBefore w:val="0"/>
        <w:numPr>
          <w:ilvl w:val="0"/>
          <w:numId w:val="1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31301EA3">
      <w:pPr>
        <w:keepNext w:val="0"/>
        <w:keepLines w:val="0"/>
        <w:pageBreakBefore w:val="0"/>
        <w:numPr>
          <w:ilvl w:val="0"/>
          <w:numId w:val="1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010B99EA">
      <w:pPr>
        <w:keepNext w:val="0"/>
        <w:keepLines w:val="0"/>
        <w:pageBreakBefore w:val="0"/>
        <w:numPr>
          <w:ilvl w:val="0"/>
          <w:numId w:val="1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1B02CB9C">
      <w:pPr>
        <w:keepNext w:val="0"/>
        <w:keepLines w:val="0"/>
        <w:pageBreakBefore w:val="0"/>
        <w:numPr>
          <w:ilvl w:val="0"/>
          <w:numId w:val="1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565F1668">
      <w:pPr>
        <w:keepNext w:val="0"/>
        <w:keepLines w:val="0"/>
        <w:pageBreakBefore w:val="0"/>
        <w:numPr>
          <w:ilvl w:val="0"/>
          <w:numId w:val="1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6C0E00FE">
      <w:pPr>
        <w:keepNext w:val="0"/>
        <w:keepLines w:val="0"/>
        <w:pageBreakBefore w:val="0"/>
        <w:numPr>
          <w:ilvl w:val="0"/>
          <w:numId w:val="1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1A02C29A">
      <w:pPr>
        <w:keepNext w:val="0"/>
        <w:keepLines w:val="0"/>
        <w:pageBreakBefore w:val="0"/>
        <w:shd w:val="clear" w:color="auto" w:fill="auto"/>
        <w:kinsoku/>
        <w:wordWrap/>
        <w:overflowPunct/>
        <w:topLinePunct w:val="0"/>
        <w:autoSpaceDE/>
        <w:autoSpaceDN/>
        <w:bidi w:val="0"/>
        <w:adjustRightInd/>
        <w:snapToGrid/>
        <w:spacing w:line="360" w:lineRule="auto"/>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F3C7445">
      <w:pPr>
        <w:shd w:val="clear" w:color="auto" w:fill="auto"/>
        <w:spacing w:line="360" w:lineRule="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4" w:name="_Toc5978"/>
      <w:r>
        <w:rPr>
          <w:rFonts w:hint="eastAsia" w:ascii="宋体" w:hAnsi="宋体" w:eastAsia="宋体" w:cs="宋体"/>
          <w:b/>
          <w:bCs/>
          <w:color w:val="auto"/>
          <w:sz w:val="21"/>
          <w:szCs w:val="21"/>
          <w:highlight w:val="none"/>
        </w:rPr>
        <w:t>三、虚假、恶意投诉法律责任</w:t>
      </w:r>
      <w:bookmarkEnd w:id="64"/>
    </w:p>
    <w:p w14:paraId="15FBC2E7">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1A844765">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429C5C81">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549E2BF0">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7B524E03">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1F958C07">
      <w:pPr>
        <w:shd w:val="clear" w:color="auto" w:fill="auto"/>
        <w:spacing w:line="360" w:lineRule="auto"/>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递交投诉书地址：</w:t>
      </w:r>
      <w:r>
        <w:rPr>
          <w:rFonts w:hint="eastAsia" w:ascii="宋体" w:hAnsi="宋体" w:cs="宋体"/>
          <w:color w:val="auto"/>
          <w:sz w:val="21"/>
          <w:szCs w:val="21"/>
          <w:highlight w:val="none"/>
          <w:lang w:val="en-US" w:eastAsia="zh-CN"/>
        </w:rPr>
        <w:t>阿克陶县</w:t>
      </w:r>
      <w:r>
        <w:rPr>
          <w:rFonts w:hint="eastAsia" w:ascii="宋体" w:hAnsi="宋体" w:eastAsia="宋体" w:cs="宋体"/>
          <w:color w:val="auto"/>
          <w:sz w:val="21"/>
          <w:szCs w:val="21"/>
          <w:highlight w:val="none"/>
          <w:lang w:val="en-US" w:eastAsia="zh-CN"/>
        </w:rPr>
        <w:t>财政局政府采购办监管办公室</w:t>
      </w:r>
    </w:p>
    <w:p w14:paraId="679E4AE3">
      <w:pPr>
        <w:shd w:val="clear" w:color="auto" w:fill="auto"/>
        <w:spacing w:line="360" w:lineRule="auto"/>
        <w:jc w:val="both"/>
        <w:rPr>
          <w:rFonts w:hint="eastAsia" w:ascii="宋体" w:hAnsi="宋体" w:eastAsia="宋体" w:cs="宋体"/>
          <w:color w:val="auto"/>
          <w:sz w:val="21"/>
          <w:szCs w:val="21"/>
          <w:highlight w:val="none"/>
        </w:rPr>
      </w:pPr>
    </w:p>
    <w:p w14:paraId="211F1055">
      <w:pPr>
        <w:shd w:val="clear" w:color="auto" w:fill="auto"/>
        <w:spacing w:line="360" w:lineRule="auto"/>
        <w:jc w:val="right"/>
        <w:rPr>
          <w:rFonts w:hint="eastAsia" w:ascii="宋体" w:hAnsi="宋体" w:eastAsia="宋体" w:cs="宋体"/>
          <w:color w:val="auto"/>
          <w:sz w:val="32"/>
          <w:szCs w:val="32"/>
          <w:highlight w:val="none"/>
        </w:rPr>
      </w:pPr>
    </w:p>
    <w:p w14:paraId="20727031">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hint="eastAsia" w:ascii="宋体" w:hAnsi="宋体" w:eastAsia="宋体" w:cs="宋体"/>
          <w:b/>
          <w:bCs/>
          <w:color w:val="auto"/>
          <w:sz w:val="44"/>
          <w:szCs w:val="44"/>
          <w:highlight w:val="none"/>
        </w:rPr>
      </w:pPr>
    </w:p>
    <w:p w14:paraId="364DFC99">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hint="eastAsia" w:ascii="宋体" w:hAnsi="宋体" w:eastAsia="宋体" w:cs="宋体"/>
          <w:b/>
          <w:bCs/>
          <w:color w:val="auto"/>
          <w:sz w:val="44"/>
          <w:szCs w:val="44"/>
          <w:highlight w:val="none"/>
        </w:rPr>
      </w:pPr>
    </w:p>
    <w:p w14:paraId="108D3157">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hint="eastAsia" w:ascii="宋体" w:hAnsi="宋体" w:eastAsia="宋体" w:cs="宋体"/>
          <w:b/>
          <w:bCs/>
          <w:color w:val="auto"/>
          <w:sz w:val="44"/>
          <w:szCs w:val="44"/>
          <w:highlight w:val="none"/>
        </w:rPr>
      </w:pPr>
    </w:p>
    <w:p w14:paraId="5AF0BAF5">
      <w:pPr>
        <w:rPr>
          <w:rFonts w:hint="eastAsia"/>
        </w:rPr>
      </w:pPr>
      <w:bookmarkStart w:id="65" w:name="_Toc1697"/>
    </w:p>
    <w:p w14:paraId="11D99516">
      <w:pPr>
        <w:rPr>
          <w:rFonts w:hint="eastAsia"/>
        </w:rPr>
      </w:pPr>
    </w:p>
    <w:p w14:paraId="04BFE200">
      <w:pPr>
        <w:rPr>
          <w:rFonts w:hint="eastAsia"/>
        </w:rPr>
      </w:pPr>
    </w:p>
    <w:p w14:paraId="742EA01F">
      <w:pPr>
        <w:rPr>
          <w:rFonts w:hint="eastAsia"/>
        </w:rPr>
      </w:pPr>
    </w:p>
    <w:p w14:paraId="18618C2E">
      <w:pPr>
        <w:pStyle w:val="10"/>
        <w:rPr>
          <w:rFonts w:hint="eastAsia"/>
        </w:rPr>
      </w:pPr>
    </w:p>
    <w:bookmarkEnd w:id="65"/>
    <w:p w14:paraId="2177616B">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p>
    <w:p w14:paraId="5B978F49">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360" w:lineRule="auto"/>
        <w:ind w:firstLine="420" w:firstLineChars="200"/>
        <w:textAlignment w:val="auto"/>
        <w:outlineLvl w:val="0"/>
        <w:rPr>
          <w:rFonts w:hint="eastAsia" w:ascii="宋体" w:hAnsi="宋体" w:eastAsia="宋体" w:cs="宋体"/>
          <w:bCs/>
          <w:color w:val="auto"/>
          <w:sz w:val="21"/>
          <w:szCs w:val="21"/>
          <w:highlight w:val="none"/>
        </w:rPr>
      </w:pPr>
      <w:bookmarkStart w:id="66" w:name="_Toc9061"/>
      <w:r>
        <w:rPr>
          <w:rFonts w:hint="eastAsia" w:ascii="宋体" w:hAnsi="宋体" w:eastAsia="宋体" w:cs="宋体"/>
          <w:bCs/>
          <w:color w:val="auto"/>
          <w:sz w:val="21"/>
          <w:szCs w:val="21"/>
          <w:highlight w:val="none"/>
        </w:rPr>
        <w:t>一、质疑供应商基本信息</w:t>
      </w:r>
      <w:bookmarkEnd w:id="66"/>
    </w:p>
    <w:p w14:paraId="2A98D94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163C718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03CA90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174FB0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35F8567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3A11E0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6EA44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bookmarkStart w:id="67" w:name="_Toc15938"/>
      <w:r>
        <w:rPr>
          <w:rFonts w:hint="eastAsia" w:ascii="宋体" w:hAnsi="宋体" w:eastAsia="宋体" w:cs="宋体"/>
          <w:bCs/>
          <w:color w:val="auto"/>
          <w:sz w:val="21"/>
          <w:szCs w:val="21"/>
          <w:highlight w:val="none"/>
        </w:rPr>
        <w:t>二、质疑项目基本情况</w:t>
      </w:r>
      <w:bookmarkEnd w:id="67"/>
    </w:p>
    <w:p w14:paraId="4F5FFE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4D2D99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20E26F2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0C4932B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343158F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bookmarkStart w:id="68" w:name="_Toc18271"/>
      <w:r>
        <w:rPr>
          <w:rFonts w:hint="eastAsia" w:ascii="宋体" w:hAnsi="宋体" w:eastAsia="宋体" w:cs="宋体"/>
          <w:bCs/>
          <w:color w:val="auto"/>
          <w:sz w:val="21"/>
          <w:szCs w:val="21"/>
          <w:highlight w:val="none"/>
        </w:rPr>
        <w:t>三、质疑事项具体内容</w:t>
      </w:r>
      <w:bookmarkEnd w:id="68"/>
    </w:p>
    <w:p w14:paraId="3851BDE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700EA8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4D33071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4475179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0EB7EB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B27ED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bookmarkStart w:id="69" w:name="_Toc22365"/>
      <w:r>
        <w:rPr>
          <w:rFonts w:hint="eastAsia" w:ascii="宋体" w:hAnsi="宋体" w:eastAsia="宋体" w:cs="宋体"/>
          <w:bCs/>
          <w:color w:val="auto"/>
          <w:sz w:val="21"/>
          <w:szCs w:val="21"/>
          <w:highlight w:val="none"/>
        </w:rPr>
        <w:t>四、与质疑事项相关的质疑请求</w:t>
      </w:r>
      <w:bookmarkEnd w:id="69"/>
    </w:p>
    <w:p w14:paraId="23B8C5F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6D823225">
      <w:pPr>
        <w:keepNext w:val="0"/>
        <w:keepLines w:val="0"/>
        <w:pageBreakBefore w:val="0"/>
        <w:widowControl w:val="0"/>
        <w:shd w:val="clear" w:color="auto" w:fill="auto"/>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0EF7971C">
      <w:pPr>
        <w:keepNext w:val="0"/>
        <w:keepLines w:val="0"/>
        <w:pageBreakBefore w:val="0"/>
        <w:widowControl w:val="0"/>
        <w:shd w:val="clear" w:color="auto" w:fill="auto"/>
        <w:kinsoku/>
        <w:wordWrap/>
        <w:overflowPunct/>
        <w:topLinePunct w:val="0"/>
        <w:autoSpaceDE/>
        <w:autoSpaceDN/>
        <w:bidi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14:paraId="0D1873C4">
      <w:pPr>
        <w:shd w:val="clear" w:color="auto" w:fill="auto"/>
        <w:spacing w:line="360" w:lineRule="auto"/>
        <w:jc w:val="center"/>
        <w:outlineLvl w:val="0"/>
        <w:rPr>
          <w:rFonts w:hint="eastAsia" w:ascii="宋体" w:hAnsi="宋体" w:eastAsia="宋体" w:cs="宋体"/>
          <w:b/>
          <w:bCs/>
          <w:color w:val="auto"/>
          <w:sz w:val="21"/>
          <w:szCs w:val="21"/>
          <w:highlight w:val="none"/>
          <w:lang w:eastAsia="zh-CN"/>
        </w:rPr>
      </w:pPr>
    </w:p>
    <w:p w14:paraId="7DDB49D5">
      <w:pPr>
        <w:pageBreakBefore/>
        <w:shd w:val="clear" w:color="auto" w:fill="auto"/>
        <w:spacing w:line="440" w:lineRule="exact"/>
        <w:jc w:val="center"/>
        <w:outlineLvl w:val="0"/>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第三章  评标办法</w:t>
      </w:r>
      <w:bookmarkEnd w:id="29"/>
    </w:p>
    <w:p w14:paraId="1793E8D1">
      <w:pPr>
        <w:pStyle w:val="14"/>
        <w:spacing w:line="440" w:lineRule="exact"/>
        <w:jc w:val="center"/>
        <w:rPr>
          <w:rFonts w:hint="eastAsia" w:asciiTheme="majorEastAsia" w:hAnsiTheme="majorEastAsia" w:eastAsiaTheme="majorEastAsia" w:cstheme="majorEastAsia"/>
          <w:b/>
          <w:sz w:val="28"/>
          <w:szCs w:val="28"/>
          <w:highlight w:val="none"/>
        </w:rPr>
      </w:pPr>
      <w:bookmarkStart w:id="70" w:name="_Toc362983802"/>
      <w:bookmarkStart w:id="71" w:name="_Toc469495733"/>
      <w:bookmarkStart w:id="72" w:name="_Toc363135205"/>
      <w:bookmarkStart w:id="73" w:name="_Toc267320058"/>
      <w:r>
        <w:rPr>
          <w:rFonts w:hint="eastAsia" w:asciiTheme="majorEastAsia" w:hAnsiTheme="majorEastAsia" w:eastAsiaTheme="majorEastAsia" w:cstheme="majorEastAsia"/>
          <w:b/>
          <w:sz w:val="28"/>
          <w:szCs w:val="28"/>
          <w:highlight w:val="none"/>
          <w:lang w:val="en-US" w:eastAsia="zh-CN"/>
        </w:rPr>
        <w:t>一、</w:t>
      </w:r>
      <w:r>
        <w:rPr>
          <w:rFonts w:hint="eastAsia" w:asciiTheme="majorEastAsia" w:hAnsiTheme="majorEastAsia" w:eastAsiaTheme="majorEastAsia" w:cstheme="majorEastAsia"/>
          <w:b/>
          <w:sz w:val="28"/>
          <w:szCs w:val="28"/>
          <w:highlight w:val="none"/>
        </w:rPr>
        <w:t>评定成交标准</w:t>
      </w:r>
    </w:p>
    <w:p w14:paraId="573822C1">
      <w:pPr>
        <w:pStyle w:val="14"/>
        <w:spacing w:line="360" w:lineRule="exac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一、评标原则</w:t>
      </w:r>
    </w:p>
    <w:p w14:paraId="2607D5F8">
      <w:pPr>
        <w:pStyle w:val="14"/>
        <w:spacing w:line="360" w:lineRule="exact"/>
        <w:ind w:firstLine="420" w:firstLineChars="200"/>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(一)谈判小组构成：本项目的谈判小组由采购人代表和有关技术、经济等方面的专家组成。成员人数应当为</w:t>
      </w:r>
      <w:r>
        <w:rPr>
          <w:rFonts w:hint="eastAsia" w:asciiTheme="majorEastAsia" w:hAnsiTheme="majorEastAsia" w:eastAsiaTheme="majorEastAsia" w:cstheme="majorEastAsia"/>
          <w:bCs/>
          <w:highlight w:val="none"/>
          <w:lang w:val="en-US" w:eastAsia="zh-CN"/>
        </w:rPr>
        <w:t>3</w:t>
      </w:r>
      <w:r>
        <w:rPr>
          <w:rFonts w:hint="eastAsia" w:asciiTheme="majorEastAsia" w:hAnsiTheme="majorEastAsia" w:eastAsiaTheme="majorEastAsia" w:cstheme="majorEastAsia"/>
          <w:bCs/>
          <w:highlight w:val="none"/>
        </w:rPr>
        <w:t>人单数。</w:t>
      </w:r>
    </w:p>
    <w:p w14:paraId="31096FA0">
      <w:pPr>
        <w:pStyle w:val="14"/>
        <w:spacing w:line="360" w:lineRule="exact"/>
        <w:ind w:firstLine="420" w:firstLineChars="200"/>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(二)评标依据：谈判小组将以竞争性谈判采购文件和投标文件为评定依据进行评审。</w:t>
      </w:r>
    </w:p>
    <w:p w14:paraId="403C4332">
      <w:pPr>
        <w:pStyle w:val="14"/>
        <w:spacing w:line="360" w:lineRule="exact"/>
        <w:ind w:firstLine="411" w:firstLineChars="196"/>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(三)评标方法：最低评标价法。</w:t>
      </w:r>
    </w:p>
    <w:p w14:paraId="6DA16E3A">
      <w:pPr>
        <w:pStyle w:val="14"/>
        <w:spacing w:line="360" w:lineRule="exac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二、评标方法</w:t>
      </w:r>
    </w:p>
    <w:p w14:paraId="1FA277E6">
      <w:pPr>
        <w:pStyle w:val="14"/>
        <w:spacing w:line="360" w:lineRule="exact"/>
        <w:ind w:firstLine="42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谈判小组将以采购文件、投标文件为评定依据，对资格性和符合性审查合格的投标文件，依据统一的价格要素评定评标价，在符合采购需求的前提下，以报价最低的供应商作为成交供应商。</w:t>
      </w:r>
    </w:p>
    <w:p w14:paraId="68009119">
      <w:pPr>
        <w:pStyle w:val="14"/>
        <w:spacing w:line="360" w:lineRule="exac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三、谈判</w:t>
      </w:r>
    </w:p>
    <w:p w14:paraId="3400942A">
      <w:pPr>
        <w:pStyle w:val="14"/>
        <w:spacing w:line="360" w:lineRule="exact"/>
        <w:rPr>
          <w:rFonts w:hint="eastAsia" w:asciiTheme="majorEastAsia" w:hAnsiTheme="majorEastAsia" w:eastAsiaTheme="majorEastAsia" w:cstheme="majorEastAsia"/>
          <w:b/>
          <w:szCs w:val="21"/>
          <w:highlight w:val="none"/>
          <w:shd w:val="clear" w:color="auto" w:fill="FFFFFF"/>
        </w:rPr>
      </w:pPr>
      <w:r>
        <w:rPr>
          <w:rFonts w:hint="eastAsia" w:asciiTheme="majorEastAsia" w:hAnsiTheme="majorEastAsia" w:eastAsiaTheme="majorEastAsia" w:cstheme="majorEastAsia"/>
          <w:b/>
          <w:bCs/>
          <w:sz w:val="24"/>
          <w:highlight w:val="none"/>
        </w:rPr>
        <w:t xml:space="preserve">   （一</w:t>
      </w:r>
      <w:r>
        <w:rPr>
          <w:rFonts w:hint="eastAsia" w:asciiTheme="majorEastAsia" w:hAnsiTheme="majorEastAsia" w:eastAsiaTheme="majorEastAsia" w:cstheme="majorEastAsia"/>
          <w:b/>
          <w:szCs w:val="21"/>
          <w:highlight w:val="none"/>
          <w:shd w:val="clear" w:color="auto" w:fill="FFFFFF"/>
        </w:rPr>
        <w:t>）第一轮谈判</w:t>
      </w:r>
    </w:p>
    <w:p w14:paraId="6D9EE182">
      <w:pPr>
        <w:pStyle w:val="14"/>
        <w:spacing w:line="360" w:lineRule="exact"/>
        <w:rPr>
          <w:rFonts w:hint="eastAsia" w:asciiTheme="majorEastAsia" w:hAnsiTheme="majorEastAsia" w:eastAsiaTheme="majorEastAsia" w:cstheme="majorEastAsia"/>
          <w:bCs/>
          <w:szCs w:val="21"/>
          <w:highlight w:val="none"/>
          <w:shd w:val="clear" w:color="auto" w:fill="FFFFFF"/>
        </w:rPr>
      </w:pPr>
      <w:r>
        <w:rPr>
          <w:rFonts w:hint="eastAsia" w:asciiTheme="majorEastAsia" w:hAnsiTheme="majorEastAsia" w:eastAsiaTheme="majorEastAsia" w:cstheme="majorEastAsia"/>
          <w:b/>
          <w:szCs w:val="21"/>
          <w:highlight w:val="none"/>
          <w:shd w:val="clear" w:color="auto" w:fill="FFFFFF"/>
        </w:rPr>
        <w:t xml:space="preserve">     </w:t>
      </w:r>
      <w:r>
        <w:rPr>
          <w:rFonts w:hint="eastAsia" w:asciiTheme="majorEastAsia" w:hAnsiTheme="majorEastAsia" w:eastAsiaTheme="majorEastAsia" w:cstheme="majorEastAsia"/>
          <w:bCs/>
          <w:szCs w:val="21"/>
          <w:highlight w:val="none"/>
          <w:shd w:val="clear" w:color="auto" w:fill="FFFFFF"/>
        </w:rPr>
        <w:t>1、谈判小组根据采购项目的特点及投标人商务技术谈判响应文件，认真审核以下内容：</w:t>
      </w:r>
    </w:p>
    <w:p w14:paraId="63072068">
      <w:pPr>
        <w:pStyle w:val="23"/>
        <w:spacing w:before="0" w:beforeAutospacing="0" w:after="0" w:afterAutospacing="0" w:line="320" w:lineRule="exact"/>
        <w:rPr>
          <w:rFonts w:hint="eastAsia" w:asciiTheme="majorEastAsia" w:hAnsiTheme="majorEastAsia" w:eastAsiaTheme="majorEastAsia" w:cstheme="majorEastAsia"/>
          <w:sz w:val="21"/>
          <w:szCs w:val="21"/>
          <w:highlight w:val="none"/>
          <w:shd w:val="clear" w:color="auto" w:fill="FFFFFF"/>
        </w:rPr>
      </w:pPr>
      <w:r>
        <w:rPr>
          <w:rFonts w:hint="eastAsia" w:asciiTheme="majorEastAsia" w:hAnsiTheme="majorEastAsia" w:eastAsiaTheme="majorEastAsia" w:cstheme="majorEastAsia"/>
          <w:sz w:val="21"/>
          <w:szCs w:val="21"/>
          <w:highlight w:val="none"/>
          <w:shd w:val="clear" w:color="auto" w:fill="FFFFFF"/>
        </w:rPr>
        <w:t xml:space="preserve">     </w:t>
      </w:r>
      <w:r>
        <w:rPr>
          <w:rFonts w:hint="eastAsia" w:asciiTheme="majorEastAsia" w:hAnsiTheme="majorEastAsia" w:eastAsiaTheme="majorEastAsia" w:cstheme="majorEastAsia"/>
          <w:sz w:val="21"/>
          <w:szCs w:val="21"/>
          <w:highlight w:val="none"/>
          <w:shd w:val="clear" w:color="auto" w:fill="FFFFFF"/>
          <w:lang w:eastAsia="zh-CN"/>
        </w:rPr>
        <w:t>谈判文件</w:t>
      </w:r>
      <w:r>
        <w:rPr>
          <w:rFonts w:hint="eastAsia" w:asciiTheme="majorEastAsia" w:hAnsiTheme="majorEastAsia" w:eastAsiaTheme="majorEastAsia" w:cstheme="majorEastAsia"/>
          <w:sz w:val="21"/>
          <w:szCs w:val="21"/>
          <w:highlight w:val="none"/>
          <w:shd w:val="clear" w:color="auto" w:fill="FFFFFF"/>
        </w:rPr>
        <w:t>技术要求的响应、产品的主要功能、性能、公司实力、售后服务承诺、免费质保期、对</w:t>
      </w:r>
      <w:r>
        <w:rPr>
          <w:rFonts w:hint="eastAsia" w:asciiTheme="majorEastAsia" w:hAnsiTheme="majorEastAsia" w:eastAsiaTheme="majorEastAsia" w:cstheme="majorEastAsia"/>
          <w:sz w:val="21"/>
          <w:szCs w:val="21"/>
          <w:highlight w:val="none"/>
          <w:shd w:val="clear" w:color="auto" w:fill="FFFFFF"/>
          <w:lang w:eastAsia="zh-CN"/>
        </w:rPr>
        <w:t>谈判文件</w:t>
      </w:r>
      <w:r>
        <w:rPr>
          <w:rFonts w:hint="eastAsia" w:asciiTheme="majorEastAsia" w:hAnsiTheme="majorEastAsia" w:eastAsiaTheme="majorEastAsia" w:cstheme="majorEastAsia"/>
          <w:sz w:val="21"/>
          <w:szCs w:val="21"/>
          <w:highlight w:val="none"/>
          <w:shd w:val="clear" w:color="auto" w:fill="FFFFFF"/>
        </w:rPr>
        <w:t>商务条款的响应（交货时间、付款方式等）。</w:t>
      </w:r>
    </w:p>
    <w:p w14:paraId="10CB92E1">
      <w:pPr>
        <w:pStyle w:val="23"/>
        <w:spacing w:before="0" w:beforeAutospacing="0" w:after="0" w:afterAutospacing="0" w:line="340" w:lineRule="exact"/>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 xml:space="preserve">     2、在本轮谈判过程中，谈判小组认为，参与谈判的投标人满足谈判文件的要求，通知所有投标人在规定的时间内，进行最终报价，谈判小组对投标报价进行审核，若发现</w:t>
      </w:r>
      <w:r>
        <w:rPr>
          <w:rFonts w:hint="eastAsia" w:asciiTheme="majorEastAsia" w:hAnsiTheme="majorEastAsia" w:eastAsiaTheme="majorEastAsia" w:cstheme="majorEastAsia"/>
          <w:sz w:val="21"/>
          <w:szCs w:val="21"/>
          <w:highlight w:val="none"/>
          <w:shd w:val="clear" w:color="auto" w:fill="FFFFFF"/>
        </w:rPr>
        <w:t>投标报价中，单价与总价不相符，大、小写不相符，谈判小组应提请投标人当场修正。</w:t>
      </w:r>
      <w:r>
        <w:rPr>
          <w:rFonts w:hint="eastAsia" w:asciiTheme="majorEastAsia" w:hAnsiTheme="majorEastAsia" w:eastAsiaTheme="majorEastAsia" w:cstheme="majorEastAsia"/>
          <w:bCs/>
          <w:sz w:val="21"/>
          <w:szCs w:val="21"/>
          <w:highlight w:val="none"/>
          <w:shd w:val="clear" w:color="auto" w:fill="FFFFFF"/>
        </w:rPr>
        <w:t>最终报价一旦报出，谈判小组不再要求投标人再次报价。由各评审专家依据最低评标价法，</w:t>
      </w:r>
      <w:r>
        <w:rPr>
          <w:rFonts w:hint="eastAsia" w:asciiTheme="majorEastAsia" w:hAnsiTheme="majorEastAsia" w:eastAsiaTheme="majorEastAsia" w:cstheme="majorEastAsia"/>
          <w:b/>
          <w:sz w:val="21"/>
          <w:szCs w:val="21"/>
          <w:highlight w:val="none"/>
          <w:shd w:val="clear" w:color="auto" w:fill="FFFFFF"/>
        </w:rPr>
        <w:t>在满足</w:t>
      </w:r>
      <w:r>
        <w:rPr>
          <w:rFonts w:hint="eastAsia" w:asciiTheme="majorEastAsia" w:hAnsiTheme="majorEastAsia" w:eastAsiaTheme="majorEastAsia" w:cstheme="majorEastAsia"/>
          <w:b/>
          <w:sz w:val="21"/>
          <w:szCs w:val="21"/>
          <w:highlight w:val="none"/>
          <w:shd w:val="clear" w:color="auto" w:fill="FFFFFF"/>
          <w:lang w:eastAsia="zh-CN"/>
        </w:rPr>
        <w:t>谈判文件</w:t>
      </w:r>
      <w:r>
        <w:rPr>
          <w:rFonts w:hint="eastAsia" w:asciiTheme="majorEastAsia" w:hAnsiTheme="majorEastAsia" w:eastAsiaTheme="majorEastAsia" w:cstheme="majorEastAsia"/>
          <w:b/>
          <w:sz w:val="21"/>
          <w:szCs w:val="21"/>
          <w:highlight w:val="none"/>
          <w:shd w:val="clear" w:color="auto" w:fill="FFFFFF"/>
        </w:rPr>
        <w:t>实质性要求前提下,按照</w:t>
      </w:r>
      <w:r>
        <w:rPr>
          <w:rFonts w:hint="eastAsia" w:asciiTheme="majorEastAsia" w:hAnsiTheme="majorEastAsia" w:eastAsiaTheme="majorEastAsia" w:cstheme="majorEastAsia"/>
          <w:b/>
          <w:sz w:val="21"/>
          <w:szCs w:val="21"/>
          <w:highlight w:val="none"/>
          <w:shd w:val="clear" w:color="auto" w:fill="FFFFFF"/>
          <w:lang w:eastAsia="zh-CN"/>
        </w:rPr>
        <w:t>谈判文件</w:t>
      </w:r>
      <w:r>
        <w:rPr>
          <w:rFonts w:hint="eastAsia" w:asciiTheme="majorEastAsia" w:hAnsiTheme="majorEastAsia" w:eastAsiaTheme="majorEastAsia" w:cstheme="majorEastAsia"/>
          <w:b/>
          <w:sz w:val="21"/>
          <w:szCs w:val="21"/>
          <w:highlight w:val="none"/>
          <w:shd w:val="clear" w:color="auto" w:fill="FFFFFF"/>
        </w:rPr>
        <w:t>中规定的各项因素进行评审后,以报价最低的投标人作为成交候选投标人或者成交投标人，</w:t>
      </w:r>
      <w:r>
        <w:rPr>
          <w:rFonts w:hint="eastAsia" w:asciiTheme="majorEastAsia" w:hAnsiTheme="majorEastAsia" w:eastAsiaTheme="majorEastAsia" w:cstheme="majorEastAsia"/>
          <w:sz w:val="21"/>
          <w:szCs w:val="21"/>
          <w:highlight w:val="none"/>
          <w:shd w:val="clear" w:color="auto" w:fill="FFFFFF"/>
        </w:rPr>
        <w:t>第一轮</w:t>
      </w:r>
      <w:r>
        <w:rPr>
          <w:rFonts w:hint="eastAsia" w:asciiTheme="majorEastAsia" w:hAnsiTheme="majorEastAsia" w:eastAsiaTheme="majorEastAsia" w:cstheme="majorEastAsia"/>
          <w:bCs/>
          <w:sz w:val="21"/>
          <w:szCs w:val="21"/>
          <w:highlight w:val="none"/>
          <w:shd w:val="clear" w:color="auto" w:fill="FFFFFF"/>
        </w:rPr>
        <w:t xml:space="preserve">谈判结束。   </w:t>
      </w:r>
    </w:p>
    <w:p w14:paraId="3C075413">
      <w:pPr>
        <w:pStyle w:val="23"/>
        <w:spacing w:before="0" w:beforeAutospacing="0" w:after="0" w:afterAutospacing="0" w:line="340" w:lineRule="exact"/>
        <w:ind w:firstLine="422" w:firstLineChars="200"/>
        <w:rPr>
          <w:rFonts w:hint="eastAsia" w:asciiTheme="majorEastAsia" w:hAnsiTheme="majorEastAsia" w:eastAsiaTheme="majorEastAsia" w:cstheme="majorEastAsia"/>
          <w:b/>
          <w:sz w:val="21"/>
          <w:szCs w:val="21"/>
          <w:highlight w:val="none"/>
          <w:shd w:val="clear" w:color="auto" w:fill="FFFFFF"/>
        </w:rPr>
      </w:pPr>
      <w:r>
        <w:rPr>
          <w:rFonts w:hint="eastAsia" w:asciiTheme="majorEastAsia" w:hAnsiTheme="majorEastAsia" w:eastAsiaTheme="majorEastAsia" w:cstheme="majorEastAsia"/>
          <w:b/>
          <w:sz w:val="21"/>
          <w:szCs w:val="21"/>
          <w:highlight w:val="none"/>
          <w:shd w:val="clear" w:color="auto" w:fill="FFFFFF"/>
        </w:rPr>
        <w:t>（二）谈判文件的修改</w:t>
      </w:r>
    </w:p>
    <w:p w14:paraId="6945603B">
      <w:pPr>
        <w:pStyle w:val="23"/>
        <w:spacing w:before="0" w:beforeAutospacing="0" w:after="0" w:afterAutospacing="0" w:line="340" w:lineRule="exact"/>
        <w:ind w:firstLine="420" w:firstLineChars="200"/>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在第一轮谈判过程中，不能确定成交结果的，经采购人同意，谈判小组可以修改谈判文件，优化采购方案，进行第二轮谈判。谈判文件修改，应经谈判小组集体讨论，且以书面形式通知所有参加第一轮谈判的投标人，并征求投标人的意见，确定投标人修正原响应文件所需的时间，要求投标人签收修改后的谈判文件。</w:t>
      </w:r>
    </w:p>
    <w:p w14:paraId="7239C7DD">
      <w:pPr>
        <w:pStyle w:val="23"/>
        <w:spacing w:before="0" w:beforeAutospacing="0" w:after="0" w:afterAutospacing="0" w:line="320" w:lineRule="exact"/>
        <w:rPr>
          <w:rFonts w:hint="eastAsia" w:asciiTheme="majorEastAsia" w:hAnsiTheme="majorEastAsia" w:eastAsiaTheme="majorEastAsia" w:cstheme="majorEastAsia"/>
          <w:b/>
          <w:sz w:val="21"/>
          <w:szCs w:val="21"/>
          <w:highlight w:val="none"/>
          <w:shd w:val="clear" w:color="auto" w:fill="FFFFFF"/>
        </w:rPr>
      </w:pPr>
      <w:r>
        <w:rPr>
          <w:rFonts w:hint="eastAsia" w:asciiTheme="majorEastAsia" w:hAnsiTheme="majorEastAsia" w:eastAsiaTheme="majorEastAsia" w:cstheme="majorEastAsia"/>
          <w:b/>
          <w:sz w:val="21"/>
          <w:szCs w:val="21"/>
          <w:highlight w:val="none"/>
          <w:shd w:val="clear" w:color="auto" w:fill="FFFFFF"/>
        </w:rPr>
        <w:t xml:space="preserve">    （三）第二轮谈判</w:t>
      </w:r>
    </w:p>
    <w:p w14:paraId="11E2942C">
      <w:pPr>
        <w:pStyle w:val="23"/>
        <w:spacing w:before="0" w:beforeAutospacing="0" w:after="0" w:afterAutospacing="0" w:line="320" w:lineRule="exact"/>
        <w:ind w:firstLine="420"/>
        <w:rPr>
          <w:rFonts w:hint="eastAsia" w:asciiTheme="majorEastAsia" w:hAnsiTheme="majorEastAsia" w:eastAsiaTheme="majorEastAsia" w:cstheme="majorEastAsia"/>
          <w:b/>
          <w:bCs w:val="0"/>
          <w:color w:val="0000FF"/>
          <w:sz w:val="28"/>
          <w:szCs w:val="28"/>
          <w:highlight w:val="none"/>
          <w:shd w:val="clear" w:color="auto" w:fill="FFFFFF"/>
          <w:lang w:val="en-US" w:eastAsia="zh-CN"/>
        </w:rPr>
      </w:pPr>
      <w:r>
        <w:rPr>
          <w:rFonts w:hint="eastAsia" w:asciiTheme="majorEastAsia" w:hAnsiTheme="majorEastAsia" w:eastAsiaTheme="majorEastAsia" w:cstheme="majorEastAsia"/>
          <w:bCs/>
          <w:sz w:val="21"/>
          <w:szCs w:val="21"/>
          <w:highlight w:val="none"/>
          <w:shd w:val="clear" w:color="auto" w:fill="FFFFFF"/>
        </w:rPr>
        <w:t>1、参与第一轮谈判的投标人递交修正后的商务技术谈判响应文件及报价文件，并由授权代表签字（盖章）后递交给谈判小组，修正后的响应文件同样具有法律效力。在规定时间内未递交的，视同放弃谈判。</w:t>
      </w:r>
    </w:p>
    <w:p w14:paraId="3E4CABB4">
      <w:pPr>
        <w:pStyle w:val="23"/>
        <w:spacing w:before="0" w:beforeAutospacing="0" w:after="0" w:afterAutospacing="0" w:line="320" w:lineRule="exact"/>
        <w:ind w:firstLine="420"/>
        <w:rPr>
          <w:rFonts w:hint="default" w:asciiTheme="majorEastAsia" w:hAnsiTheme="majorEastAsia" w:eastAsiaTheme="majorEastAsia" w:cstheme="majorEastAsia"/>
          <w:b/>
          <w:bCs w:val="0"/>
          <w:color w:val="FF0000"/>
          <w:sz w:val="28"/>
          <w:szCs w:val="28"/>
          <w:highlight w:val="none"/>
          <w:shd w:val="clear" w:color="auto" w:fill="FFFFFF"/>
          <w:lang w:val="en-US" w:eastAsia="zh-CN"/>
        </w:rPr>
      </w:pPr>
      <w:r>
        <w:rPr>
          <w:rFonts w:hint="eastAsia" w:asciiTheme="majorEastAsia" w:hAnsiTheme="majorEastAsia" w:eastAsiaTheme="majorEastAsia" w:cstheme="majorEastAsia"/>
          <w:b/>
          <w:bCs w:val="0"/>
          <w:color w:val="FF0000"/>
          <w:sz w:val="28"/>
          <w:szCs w:val="28"/>
          <w:highlight w:val="none"/>
          <w:shd w:val="clear" w:color="auto" w:fill="FFFFFF"/>
          <w:lang w:val="en-US" w:eastAsia="zh-CN"/>
        </w:rPr>
        <w:t>2、投标人谈判过程中，新疆政府采购云平台（www.zcygov.cn）除上传谈判总价价格外，还应对每次谈判的分项报价签章上传。</w:t>
      </w:r>
    </w:p>
    <w:p w14:paraId="7F39135E">
      <w:pPr>
        <w:pStyle w:val="23"/>
        <w:spacing w:before="0" w:beforeAutospacing="0" w:after="0" w:afterAutospacing="0" w:line="320" w:lineRule="exact"/>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 xml:space="preserve">   </w:t>
      </w:r>
      <w:r>
        <w:rPr>
          <w:rFonts w:hint="eastAsia" w:asciiTheme="majorEastAsia" w:hAnsiTheme="majorEastAsia" w:eastAsiaTheme="majorEastAsia" w:cstheme="majorEastAsia"/>
          <w:bCs/>
          <w:sz w:val="21"/>
          <w:szCs w:val="21"/>
          <w:highlight w:val="none"/>
          <w:shd w:val="clear" w:color="auto" w:fill="FFFFFF"/>
          <w:lang w:val="en-US" w:eastAsia="zh-CN"/>
        </w:rPr>
        <w:t xml:space="preserve"> 3</w:t>
      </w:r>
      <w:r>
        <w:rPr>
          <w:rFonts w:hint="eastAsia" w:asciiTheme="majorEastAsia" w:hAnsiTheme="majorEastAsia" w:eastAsiaTheme="majorEastAsia" w:cstheme="majorEastAsia"/>
          <w:bCs/>
          <w:sz w:val="21"/>
          <w:szCs w:val="21"/>
          <w:highlight w:val="none"/>
          <w:shd w:val="clear" w:color="auto" w:fill="FFFFFF"/>
        </w:rPr>
        <w:t>、谈判小组依据修改后的谈判文件及投标人修正后的商务技术响应文件进行谈判。</w:t>
      </w:r>
    </w:p>
    <w:p w14:paraId="02274E7B">
      <w:pPr>
        <w:pStyle w:val="23"/>
        <w:spacing w:before="0" w:beforeAutospacing="0" w:after="0" w:afterAutospacing="0" w:line="320" w:lineRule="exact"/>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 xml:space="preserve">  </w:t>
      </w:r>
      <w:r>
        <w:rPr>
          <w:rFonts w:hint="eastAsia" w:asciiTheme="majorEastAsia" w:hAnsiTheme="majorEastAsia" w:eastAsiaTheme="majorEastAsia" w:cstheme="majorEastAsia"/>
          <w:bCs/>
          <w:sz w:val="21"/>
          <w:szCs w:val="21"/>
          <w:highlight w:val="none"/>
          <w:shd w:val="clear" w:color="auto" w:fill="FFFFFF"/>
          <w:lang w:val="en-US" w:eastAsia="zh-CN"/>
        </w:rPr>
        <w:t xml:space="preserve"> </w:t>
      </w:r>
      <w:r>
        <w:rPr>
          <w:rFonts w:hint="eastAsia" w:asciiTheme="majorEastAsia" w:hAnsiTheme="majorEastAsia" w:eastAsiaTheme="majorEastAsia" w:cstheme="majorEastAsia"/>
          <w:bCs/>
          <w:sz w:val="21"/>
          <w:szCs w:val="21"/>
          <w:highlight w:val="none"/>
          <w:shd w:val="clear" w:color="auto" w:fill="FFFFFF"/>
        </w:rPr>
        <w:t xml:space="preserve"> </w:t>
      </w:r>
      <w:r>
        <w:rPr>
          <w:rFonts w:hint="eastAsia" w:asciiTheme="majorEastAsia" w:hAnsiTheme="majorEastAsia" w:eastAsiaTheme="majorEastAsia" w:cstheme="majorEastAsia"/>
          <w:bCs/>
          <w:sz w:val="21"/>
          <w:szCs w:val="21"/>
          <w:highlight w:val="none"/>
          <w:shd w:val="clear" w:color="auto" w:fill="FFFFFF"/>
          <w:lang w:val="en-US" w:eastAsia="zh-CN"/>
        </w:rPr>
        <w:t>4</w:t>
      </w:r>
      <w:r>
        <w:rPr>
          <w:rFonts w:hint="eastAsia" w:asciiTheme="majorEastAsia" w:hAnsiTheme="majorEastAsia" w:eastAsiaTheme="majorEastAsia" w:cstheme="majorEastAsia"/>
          <w:bCs/>
          <w:sz w:val="21"/>
          <w:szCs w:val="21"/>
          <w:highlight w:val="none"/>
          <w:shd w:val="clear" w:color="auto" w:fill="FFFFFF"/>
        </w:rPr>
        <w:t>、谈判小组确认投标人的谈判响应文件满足谈判文件的要求，通知所有投标人在规定的时间内，进行分次报价和最终报价。由各评审专家依据最低评标价法，</w:t>
      </w:r>
      <w:r>
        <w:rPr>
          <w:rFonts w:hint="eastAsia" w:asciiTheme="majorEastAsia" w:hAnsiTheme="majorEastAsia" w:eastAsiaTheme="majorEastAsia" w:cstheme="majorEastAsia"/>
          <w:b/>
          <w:sz w:val="21"/>
          <w:szCs w:val="21"/>
          <w:highlight w:val="none"/>
          <w:shd w:val="clear" w:color="auto" w:fill="FFFFFF"/>
        </w:rPr>
        <w:t>在满足</w:t>
      </w:r>
      <w:r>
        <w:rPr>
          <w:rFonts w:hint="eastAsia" w:asciiTheme="majorEastAsia" w:hAnsiTheme="majorEastAsia" w:eastAsiaTheme="majorEastAsia" w:cstheme="majorEastAsia"/>
          <w:b/>
          <w:sz w:val="21"/>
          <w:szCs w:val="21"/>
          <w:highlight w:val="none"/>
          <w:shd w:val="clear" w:color="auto" w:fill="FFFFFF"/>
          <w:lang w:eastAsia="zh-CN"/>
        </w:rPr>
        <w:t>谈判文件</w:t>
      </w:r>
      <w:r>
        <w:rPr>
          <w:rFonts w:hint="eastAsia" w:asciiTheme="majorEastAsia" w:hAnsiTheme="majorEastAsia" w:eastAsiaTheme="majorEastAsia" w:cstheme="majorEastAsia"/>
          <w:b/>
          <w:sz w:val="21"/>
          <w:szCs w:val="21"/>
          <w:highlight w:val="none"/>
          <w:shd w:val="clear" w:color="auto" w:fill="FFFFFF"/>
        </w:rPr>
        <w:t>实质性要求前提下,按照</w:t>
      </w:r>
      <w:r>
        <w:rPr>
          <w:rFonts w:hint="eastAsia" w:asciiTheme="majorEastAsia" w:hAnsiTheme="majorEastAsia" w:eastAsiaTheme="majorEastAsia" w:cstheme="majorEastAsia"/>
          <w:b/>
          <w:sz w:val="21"/>
          <w:szCs w:val="21"/>
          <w:highlight w:val="none"/>
          <w:shd w:val="clear" w:color="auto" w:fill="FFFFFF"/>
          <w:lang w:eastAsia="zh-CN"/>
        </w:rPr>
        <w:t>谈判文件</w:t>
      </w:r>
      <w:r>
        <w:rPr>
          <w:rFonts w:hint="eastAsia" w:asciiTheme="majorEastAsia" w:hAnsiTheme="majorEastAsia" w:eastAsiaTheme="majorEastAsia" w:cstheme="majorEastAsia"/>
          <w:b/>
          <w:sz w:val="21"/>
          <w:szCs w:val="21"/>
          <w:highlight w:val="none"/>
          <w:shd w:val="clear" w:color="auto" w:fill="FFFFFF"/>
        </w:rPr>
        <w:t>中规定的各项因素进行评审后,以报价最低的投标人作为成交候选投标人或者成交投标人，</w:t>
      </w:r>
      <w:r>
        <w:rPr>
          <w:rFonts w:hint="eastAsia" w:asciiTheme="majorEastAsia" w:hAnsiTheme="majorEastAsia" w:eastAsiaTheme="majorEastAsia" w:cstheme="majorEastAsia"/>
          <w:bCs/>
          <w:sz w:val="21"/>
          <w:szCs w:val="21"/>
          <w:highlight w:val="none"/>
          <w:shd w:val="clear" w:color="auto" w:fill="FFFFFF"/>
        </w:rPr>
        <w:t>谈判结束。</w:t>
      </w:r>
    </w:p>
    <w:p w14:paraId="4867CAF5">
      <w:pPr>
        <w:pStyle w:val="23"/>
        <w:spacing w:before="0" w:beforeAutospacing="0" w:after="0" w:afterAutospacing="0" w:line="375" w:lineRule="atLeast"/>
        <w:rPr>
          <w:rFonts w:hint="eastAsia" w:asciiTheme="majorEastAsia" w:hAnsiTheme="majorEastAsia" w:eastAsiaTheme="majorEastAsia" w:cstheme="majorEastAsia"/>
          <w:kern w:val="2"/>
          <w:sz w:val="21"/>
          <w:szCs w:val="20"/>
          <w:highlight w:val="none"/>
        </w:rPr>
      </w:pPr>
      <w:r>
        <w:rPr>
          <w:rFonts w:hint="eastAsia" w:asciiTheme="majorEastAsia" w:hAnsiTheme="majorEastAsia" w:eastAsiaTheme="majorEastAsia" w:cstheme="majorEastAsia"/>
          <w:kern w:val="2"/>
          <w:sz w:val="21"/>
          <w:szCs w:val="20"/>
          <w:highlight w:val="none"/>
        </w:rPr>
        <w:t xml:space="preserve">    16．7 谈判中止</w:t>
      </w:r>
    </w:p>
    <w:p w14:paraId="291158D6">
      <w:pPr>
        <w:pStyle w:val="23"/>
        <w:spacing w:before="0" w:beforeAutospacing="0" w:after="0" w:afterAutospacing="0" w:line="375" w:lineRule="atLeast"/>
        <w:ind w:firstLine="420" w:firstLineChars="200"/>
        <w:rPr>
          <w:rFonts w:hint="eastAsia" w:asciiTheme="majorEastAsia" w:hAnsiTheme="majorEastAsia" w:eastAsiaTheme="majorEastAsia" w:cstheme="majorEastAsia"/>
          <w:kern w:val="2"/>
          <w:sz w:val="21"/>
          <w:szCs w:val="20"/>
          <w:highlight w:val="none"/>
        </w:rPr>
      </w:pPr>
      <w:r>
        <w:rPr>
          <w:rFonts w:hint="eastAsia" w:asciiTheme="majorEastAsia" w:hAnsiTheme="majorEastAsia" w:eastAsiaTheme="majorEastAsia" w:cstheme="majorEastAsia"/>
          <w:kern w:val="2"/>
          <w:sz w:val="21"/>
          <w:szCs w:val="20"/>
          <w:highlight w:val="none"/>
        </w:rPr>
        <w:t>1、谈判时，遇到下列情况之一时，谈判应当终止：</w:t>
      </w:r>
    </w:p>
    <w:p w14:paraId="481EE8E1">
      <w:pPr>
        <w:pStyle w:val="23"/>
        <w:spacing w:before="0" w:beforeAutospacing="0" w:after="0" w:afterAutospacing="0" w:line="375" w:lineRule="atLeast"/>
        <w:ind w:firstLine="420" w:firstLineChars="200"/>
        <w:rPr>
          <w:rFonts w:hint="eastAsia" w:asciiTheme="majorEastAsia" w:hAnsiTheme="majorEastAsia" w:eastAsiaTheme="majorEastAsia" w:cstheme="majorEastAsia"/>
          <w:color w:val="auto"/>
          <w:kern w:val="2"/>
          <w:sz w:val="21"/>
          <w:szCs w:val="21"/>
          <w:highlight w:val="none"/>
          <w:u w:val="none" w:color="000000"/>
          <w:lang w:val="en-US" w:eastAsia="zh-CN" w:bidi="ar-SA"/>
        </w:rPr>
      </w:pPr>
      <w:r>
        <w:rPr>
          <w:rFonts w:hint="eastAsia" w:asciiTheme="majorEastAsia" w:hAnsiTheme="majorEastAsia" w:eastAsiaTheme="majorEastAsia" w:cstheme="majorEastAsia"/>
          <w:color w:val="auto"/>
          <w:kern w:val="2"/>
          <w:sz w:val="21"/>
          <w:szCs w:val="21"/>
          <w:highlight w:val="none"/>
          <w:u w:val="none" w:color="000000"/>
          <w:lang w:val="en-US" w:eastAsia="zh-CN" w:bidi="ar-SA"/>
        </w:rPr>
        <w:t>（1）出现影响采购公正的违法、违规行为的；</w:t>
      </w:r>
    </w:p>
    <w:p w14:paraId="0EEE85BF">
      <w:pPr>
        <w:widowControl/>
        <w:spacing w:line="0" w:lineRule="atLeast"/>
        <w:jc w:val="left"/>
        <w:rPr>
          <w:rFonts w:hint="eastAsia" w:asciiTheme="majorEastAsia" w:hAnsiTheme="majorEastAsia" w:eastAsiaTheme="majorEastAsia" w:cstheme="majorEastAsia"/>
          <w:color w:val="auto"/>
          <w:kern w:val="2"/>
          <w:sz w:val="21"/>
          <w:szCs w:val="21"/>
          <w:highlight w:val="none"/>
          <w:u w:val="none" w:color="000000"/>
          <w:lang w:val="en-US" w:eastAsia="zh-CN" w:bidi="ar-SA"/>
        </w:rPr>
      </w:pPr>
      <w:r>
        <w:rPr>
          <w:rFonts w:hint="eastAsia" w:asciiTheme="majorEastAsia" w:hAnsiTheme="majorEastAsia" w:eastAsiaTheme="majorEastAsia" w:cstheme="majorEastAsia"/>
          <w:color w:val="auto"/>
          <w:kern w:val="2"/>
          <w:sz w:val="21"/>
          <w:szCs w:val="21"/>
          <w:highlight w:val="none"/>
          <w:u w:val="none" w:color="000000"/>
          <w:lang w:val="en-US" w:eastAsia="zh-CN" w:bidi="ar-SA"/>
        </w:rPr>
        <w:t xml:space="preserve">    （2）投标人的最终报价超过最高限价的，采购人不能支付的；</w:t>
      </w:r>
    </w:p>
    <w:p w14:paraId="4B0FF4C7">
      <w:pPr>
        <w:pStyle w:val="23"/>
        <w:spacing w:before="0" w:beforeAutospacing="0" w:after="0" w:afterAutospacing="0" w:line="375" w:lineRule="atLeast"/>
        <w:rPr>
          <w:rFonts w:hint="eastAsia" w:asciiTheme="majorEastAsia" w:hAnsiTheme="majorEastAsia" w:eastAsiaTheme="majorEastAsia" w:cstheme="majorEastAsia"/>
          <w:color w:val="auto"/>
          <w:kern w:val="2"/>
          <w:sz w:val="21"/>
          <w:szCs w:val="21"/>
          <w:highlight w:val="none"/>
          <w:u w:val="none" w:color="000000"/>
          <w:lang w:val="en-US" w:eastAsia="zh-CN" w:bidi="ar-SA"/>
        </w:rPr>
      </w:pPr>
      <w:r>
        <w:rPr>
          <w:rFonts w:hint="eastAsia" w:asciiTheme="majorEastAsia" w:hAnsiTheme="majorEastAsia" w:eastAsiaTheme="majorEastAsia" w:cstheme="majorEastAsia"/>
          <w:color w:val="auto"/>
          <w:kern w:val="2"/>
          <w:sz w:val="21"/>
          <w:szCs w:val="21"/>
          <w:highlight w:val="none"/>
          <w:u w:val="none" w:color="000000"/>
          <w:lang w:val="en-US" w:eastAsia="zh-CN" w:bidi="ar-SA"/>
        </w:rPr>
        <w:t xml:space="preserve">    （3）因重大变故，采购任务取消。</w:t>
      </w:r>
    </w:p>
    <w:p w14:paraId="5802AFA6">
      <w:pPr>
        <w:pStyle w:val="23"/>
        <w:spacing w:before="0" w:beforeAutospacing="0" w:after="0" w:afterAutospacing="0" w:line="375" w:lineRule="atLeast"/>
        <w:rPr>
          <w:rFonts w:hint="eastAsia" w:asciiTheme="majorEastAsia" w:hAnsiTheme="majorEastAsia" w:eastAsiaTheme="majorEastAsia" w:cstheme="majorEastAsia"/>
          <w:color w:val="auto"/>
          <w:kern w:val="2"/>
          <w:sz w:val="21"/>
          <w:szCs w:val="21"/>
          <w:highlight w:val="none"/>
          <w:u w:val="none" w:color="000000"/>
          <w:lang w:val="en-US" w:eastAsia="zh-CN" w:bidi="ar-SA"/>
        </w:rPr>
      </w:pPr>
      <w:r>
        <w:rPr>
          <w:rFonts w:hint="eastAsia" w:asciiTheme="majorEastAsia" w:hAnsiTheme="majorEastAsia" w:eastAsiaTheme="majorEastAsia" w:cstheme="majorEastAsia"/>
          <w:color w:val="auto"/>
          <w:kern w:val="2"/>
          <w:sz w:val="21"/>
          <w:szCs w:val="21"/>
          <w:highlight w:val="none"/>
          <w:u w:val="none" w:color="000000"/>
          <w:lang w:val="en-US" w:eastAsia="zh-CN" w:bidi="ar-SA"/>
        </w:rPr>
        <w:t xml:space="preserve">    2、谈判小组将谈判终止理由通知所有参与谈判的投标人。</w:t>
      </w:r>
    </w:p>
    <w:p w14:paraId="421A5F36">
      <w:pPr>
        <w:pStyle w:val="14"/>
        <w:spacing w:line="400" w:lineRule="exac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四、成交候选供应商推荐原则</w:t>
      </w:r>
    </w:p>
    <w:p w14:paraId="11F69BB5">
      <w:pPr>
        <w:pStyle w:val="14"/>
        <w:spacing w:line="400" w:lineRule="exact"/>
        <w:ind w:firstLine="105" w:firstLineChars="5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（一）“谈判小组”</w:t>
      </w:r>
      <w:r>
        <w:rPr>
          <w:rFonts w:hint="eastAsia" w:asciiTheme="majorEastAsia" w:hAnsiTheme="majorEastAsia" w:eastAsiaTheme="majorEastAsia" w:cstheme="majorEastAsia"/>
          <w:bCs/>
          <w:highlight w:val="none"/>
        </w:rPr>
        <w:t>将根据评标价由低到高排列次序（</w:t>
      </w:r>
      <w:r>
        <w:rPr>
          <w:rFonts w:hint="eastAsia" w:asciiTheme="majorEastAsia" w:hAnsiTheme="majorEastAsia" w:eastAsiaTheme="majorEastAsia" w:cstheme="majorEastAsia"/>
          <w:color w:val="auto"/>
          <w:szCs w:val="21"/>
          <w:highlight w:val="none"/>
        </w:rPr>
        <w:t>若出现最低评标价相同时,按投标报价由低到高的方式确定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候选人排序</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如果评标价相同且最低最终报价也相同，根据技术指标优劣顺序确定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如果技术指标也相同，评标委员会应按照少数服从多数的原则进行投票表决，确定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bCs/>
          <w:highlight w:val="none"/>
        </w:rPr>
        <w:t>）并推荐</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候选供应商名单</w:t>
      </w:r>
      <w:r>
        <w:rPr>
          <w:rFonts w:hint="eastAsia" w:asciiTheme="majorEastAsia" w:hAnsiTheme="majorEastAsia" w:eastAsiaTheme="majorEastAsia" w:cstheme="majorEastAsia"/>
          <w:highlight w:val="none"/>
        </w:rPr>
        <w:t>，可推荐前三名为成交候选供应商，排名第一者为成交供应商，排名第二、第三者为成交候选供应商；</w:t>
      </w:r>
    </w:p>
    <w:p w14:paraId="614C2D28">
      <w:pPr>
        <w:pStyle w:val="14"/>
        <w:spacing w:line="400" w:lineRule="exact"/>
        <w:ind w:firstLine="420" w:firstLineChars="200"/>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1、第一</w:t>
      </w:r>
      <w:r>
        <w:rPr>
          <w:rFonts w:hint="eastAsia" w:asciiTheme="majorEastAsia" w:hAnsiTheme="majorEastAsia" w:eastAsiaTheme="majorEastAsia" w:cstheme="majorEastAsia"/>
          <w:bCs/>
          <w:highlight w:val="none"/>
          <w:lang w:eastAsia="zh-CN"/>
        </w:rPr>
        <w:t>成交</w:t>
      </w:r>
      <w:r>
        <w:rPr>
          <w:rFonts w:hint="eastAsia" w:asciiTheme="majorEastAsia" w:hAnsiTheme="majorEastAsia" w:eastAsiaTheme="majorEastAsia" w:cstheme="majorEastAsia"/>
          <w:bCs/>
          <w:highlight w:val="none"/>
        </w:rPr>
        <w:t>候选供应商确定为</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供应商，如第一</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候选供应商放弃</w:t>
      </w:r>
      <w:r>
        <w:rPr>
          <w:rFonts w:hint="eastAsia" w:asciiTheme="majorEastAsia" w:hAnsiTheme="majorEastAsia" w:eastAsiaTheme="majorEastAsia" w:cstheme="majorEastAsia"/>
          <w:bCs/>
          <w:highlight w:val="none"/>
          <w:lang w:eastAsia="zh-CN"/>
        </w:rPr>
        <w:t>成交</w:t>
      </w:r>
      <w:r>
        <w:rPr>
          <w:rFonts w:hint="eastAsia" w:asciiTheme="majorEastAsia" w:hAnsiTheme="majorEastAsia" w:eastAsiaTheme="majorEastAsia" w:cstheme="majorEastAsia"/>
          <w:bCs/>
          <w:highlight w:val="none"/>
        </w:rPr>
        <w:t>、或因不可抗力提出不能履行合同，或竞争性谈判采购文件规定应当提交履约保证金而在规定的期限内未能提交的，采购人可确定排名第二的</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候选供应商为</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供应商</w:t>
      </w:r>
      <w:r>
        <w:rPr>
          <w:rFonts w:hint="eastAsia" w:asciiTheme="majorEastAsia" w:hAnsiTheme="majorEastAsia" w:eastAsiaTheme="majorEastAsia" w:cstheme="majorEastAsia"/>
          <w:bCs/>
          <w:highlight w:val="none"/>
          <w:lang w:val="en-US" w:eastAsia="zh-CN"/>
        </w:rPr>
        <w:t>或重新组织采购活动</w:t>
      </w:r>
      <w:r>
        <w:rPr>
          <w:rFonts w:hint="eastAsia" w:asciiTheme="majorEastAsia" w:hAnsiTheme="majorEastAsia" w:eastAsiaTheme="majorEastAsia" w:cstheme="majorEastAsia"/>
          <w:bCs/>
          <w:highlight w:val="none"/>
        </w:rPr>
        <w:t>。</w:t>
      </w:r>
    </w:p>
    <w:p w14:paraId="1FB45E00">
      <w:pPr>
        <w:pStyle w:val="14"/>
        <w:spacing w:line="400" w:lineRule="exact"/>
        <w:ind w:firstLine="420" w:firstLineChars="200"/>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2、第二</w:t>
      </w:r>
      <w:r>
        <w:rPr>
          <w:rFonts w:hint="eastAsia" w:asciiTheme="majorEastAsia" w:hAnsiTheme="majorEastAsia" w:eastAsiaTheme="majorEastAsia" w:cstheme="majorEastAsia"/>
          <w:bCs/>
          <w:highlight w:val="none"/>
          <w:lang w:eastAsia="zh-CN"/>
        </w:rPr>
        <w:t>成交</w:t>
      </w:r>
      <w:r>
        <w:rPr>
          <w:rFonts w:hint="eastAsia" w:asciiTheme="majorEastAsia" w:hAnsiTheme="majorEastAsia" w:eastAsiaTheme="majorEastAsia" w:cstheme="majorEastAsia"/>
          <w:bCs/>
          <w:highlight w:val="none"/>
        </w:rPr>
        <w:t>候选供应商因前款规定的同样原因不能签订合同的，可确定第三</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候选供应商为</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候应商</w:t>
      </w:r>
      <w:r>
        <w:rPr>
          <w:rFonts w:hint="eastAsia" w:asciiTheme="majorEastAsia" w:hAnsiTheme="majorEastAsia" w:eastAsiaTheme="majorEastAsia" w:cstheme="majorEastAsia"/>
          <w:bCs/>
          <w:highlight w:val="none"/>
          <w:lang w:val="en-US" w:eastAsia="zh-CN"/>
        </w:rPr>
        <w:t>或重新组织采购活动</w:t>
      </w:r>
      <w:r>
        <w:rPr>
          <w:rFonts w:hint="eastAsia" w:asciiTheme="majorEastAsia" w:hAnsiTheme="majorEastAsia" w:eastAsiaTheme="majorEastAsia" w:cstheme="majorEastAsia"/>
          <w:bCs/>
          <w:highlight w:val="none"/>
        </w:rPr>
        <w:t>。</w:t>
      </w:r>
    </w:p>
    <w:p w14:paraId="21A83B28">
      <w:pPr>
        <w:pStyle w:val="14"/>
        <w:spacing w:line="400" w:lineRule="exact"/>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bCs/>
          <w:highlight w:val="none"/>
        </w:rPr>
        <w:t>二）</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候选供应商中所投标商品为同一品牌、性能配置相同时，则以最终报价最低者</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w:t>
      </w:r>
    </w:p>
    <w:p w14:paraId="43E3A956">
      <w:pPr>
        <w:pStyle w:val="14"/>
        <w:spacing w:line="400" w:lineRule="exact"/>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bCs/>
          <w:highlight w:val="none"/>
        </w:rPr>
        <w:t>三）谈判小组认为，某投标人的有效报价明显不合理或者低于成本，有可能影响商品质量和不能诚信履约的，应要求其在规定的期限内提供书面文件予以解释说明，并提交相关证明材料，否则，谈判小组可以取消该投标人的</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候选资格，按顺序由排在后面的</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候选供应商递补，以此类推。</w:t>
      </w:r>
    </w:p>
    <w:p w14:paraId="515CA49B">
      <w:pPr>
        <w:shd w:val="clear" w:color="auto" w:fill="auto"/>
        <w:jc w:val="center"/>
        <w:outlineLvl w:val="1"/>
        <w:rPr>
          <w:rFonts w:hint="eastAsia" w:asciiTheme="majorEastAsia" w:hAnsiTheme="majorEastAsia" w:eastAsiaTheme="majorEastAsia" w:cstheme="majorEastAsia"/>
          <w:b/>
          <w:color w:val="auto"/>
          <w:sz w:val="28"/>
          <w:szCs w:val="28"/>
          <w:highlight w:val="none"/>
        </w:rPr>
      </w:pPr>
    </w:p>
    <w:p w14:paraId="7BB6D511">
      <w:pPr>
        <w:shd w:val="clear" w:color="auto" w:fill="auto"/>
        <w:jc w:val="center"/>
        <w:outlineLvl w:val="1"/>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投标文件初审</w:t>
      </w:r>
      <w:bookmarkEnd w:id="70"/>
      <w:bookmarkEnd w:id="71"/>
    </w:p>
    <w:p w14:paraId="69154C81">
      <w:pPr>
        <w:shd w:val="clear" w:color="auto" w:fill="auto"/>
        <w:spacing w:line="400" w:lineRule="exact"/>
        <w:ind w:firstLine="310" w:firstLineChars="147"/>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6</w:t>
      </w:r>
      <w:r>
        <w:rPr>
          <w:rFonts w:hint="eastAsia" w:asciiTheme="majorEastAsia" w:hAnsiTheme="majorEastAsia" w:eastAsiaTheme="majorEastAsia" w:cstheme="majorEastAsia"/>
          <w:b/>
          <w:color w:val="auto"/>
          <w:szCs w:val="21"/>
          <w:highlight w:val="none"/>
        </w:rPr>
        <w:t>.资格性审查:</w:t>
      </w:r>
    </w:p>
    <w:p w14:paraId="5A130AFC">
      <w:pPr>
        <w:shd w:val="clear" w:color="auto" w:fill="auto"/>
        <w:spacing w:line="400" w:lineRule="exact"/>
        <w:ind w:firstLine="308" w:firstLineChars="147"/>
        <w:rPr>
          <w:rFonts w:hint="default" w:eastAsia="宋体"/>
          <w:color w:val="auto"/>
          <w:szCs w:val="21"/>
          <w:highlight w:val="none"/>
          <w:lang w:val="en-US" w:eastAsia="zh-CN"/>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r>
        <w:rPr>
          <w:rFonts w:hint="eastAsia"/>
          <w:color w:val="auto"/>
          <w:szCs w:val="21"/>
          <w:highlight w:val="none"/>
          <w:lang w:val="en-US" w:eastAsia="zh-CN"/>
        </w:rPr>
        <w:t xml:space="preserve">  标项1，</w:t>
      </w:r>
    </w:p>
    <w:tbl>
      <w:tblPr>
        <w:tblStyle w:val="2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25"/>
        <w:gridCol w:w="6837"/>
        <w:gridCol w:w="600"/>
        <w:gridCol w:w="543"/>
      </w:tblGrid>
      <w:tr w14:paraId="73E3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noWrap w:val="0"/>
            <w:vAlign w:val="center"/>
          </w:tcPr>
          <w:p w14:paraId="6E4CD53F">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262" w:type="dxa"/>
            <w:gridSpan w:val="2"/>
            <w:vMerge w:val="restart"/>
            <w:noWrap w:val="0"/>
            <w:vAlign w:val="center"/>
          </w:tcPr>
          <w:p w14:paraId="30F3AB9E">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143" w:type="dxa"/>
            <w:gridSpan w:val="2"/>
            <w:noWrap w:val="0"/>
            <w:vAlign w:val="center"/>
          </w:tcPr>
          <w:p w14:paraId="1D6B9ADC">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14:paraId="295C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586" w:type="dxa"/>
            <w:vMerge w:val="continue"/>
            <w:noWrap w:val="0"/>
            <w:vAlign w:val="center"/>
          </w:tcPr>
          <w:p w14:paraId="5A0B87CB">
            <w:pPr>
              <w:shd w:val="clear" w:color="auto" w:fill="auto"/>
              <w:spacing w:line="360" w:lineRule="auto"/>
              <w:rPr>
                <w:rFonts w:hint="eastAsia" w:ascii="宋体" w:hAnsi="宋体" w:eastAsia="宋体" w:cs="宋体"/>
                <w:color w:val="auto"/>
                <w:sz w:val="18"/>
                <w:szCs w:val="21"/>
                <w:highlight w:val="none"/>
              </w:rPr>
            </w:pPr>
          </w:p>
        </w:tc>
        <w:tc>
          <w:tcPr>
            <w:tcW w:w="7262" w:type="dxa"/>
            <w:gridSpan w:val="2"/>
            <w:vMerge w:val="continue"/>
            <w:noWrap w:val="0"/>
            <w:vAlign w:val="top"/>
          </w:tcPr>
          <w:p w14:paraId="6FDE7B2E">
            <w:pPr>
              <w:shd w:val="clear" w:color="auto" w:fill="auto"/>
              <w:spacing w:line="360" w:lineRule="auto"/>
              <w:rPr>
                <w:rFonts w:hint="eastAsia" w:ascii="宋体" w:hAnsi="宋体" w:eastAsia="宋体" w:cs="宋体"/>
                <w:color w:val="auto"/>
                <w:sz w:val="18"/>
                <w:szCs w:val="21"/>
                <w:highlight w:val="none"/>
              </w:rPr>
            </w:pPr>
          </w:p>
        </w:tc>
        <w:tc>
          <w:tcPr>
            <w:tcW w:w="600" w:type="dxa"/>
            <w:noWrap w:val="0"/>
            <w:vAlign w:val="center"/>
          </w:tcPr>
          <w:p w14:paraId="145C58DD">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543" w:type="dxa"/>
            <w:noWrap w:val="0"/>
            <w:vAlign w:val="center"/>
          </w:tcPr>
          <w:p w14:paraId="4A3D6589">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14:paraId="1060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86" w:type="dxa"/>
            <w:vMerge w:val="restart"/>
            <w:noWrap w:val="0"/>
            <w:vAlign w:val="center"/>
          </w:tcPr>
          <w:p w14:paraId="4EFFD43A">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38D5C368">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727970E8">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2C067055">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14:paraId="14909830">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14:paraId="077E53B0">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14:paraId="0BB7A255">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14:paraId="0219AA74">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0B494699">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2BB600B7">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14:paraId="714DFE16">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425" w:type="dxa"/>
            <w:noWrap w:val="0"/>
            <w:vAlign w:val="center"/>
          </w:tcPr>
          <w:p w14:paraId="762468A6">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37" w:type="dxa"/>
            <w:noWrap w:val="0"/>
            <w:vAlign w:val="center"/>
          </w:tcPr>
          <w:p w14:paraId="5BAC964F">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具备</w:t>
            </w:r>
            <w:r>
              <w:rPr>
                <w:rFonts w:hint="eastAsia" w:ascii="宋体" w:hAnsi="宋体" w:eastAsia="宋体" w:cs="宋体"/>
                <w:szCs w:val="21"/>
                <w:lang w:val="en-US" w:eastAsia="zh-CN"/>
              </w:rPr>
              <w:t>合格有效的</w:t>
            </w:r>
            <w:r>
              <w:rPr>
                <w:rFonts w:hint="eastAsia" w:ascii="宋体" w:hAnsi="宋体" w:eastAsia="宋体" w:cs="宋体"/>
                <w:szCs w:val="21"/>
              </w:rPr>
              <w:t>三证合一营业执照</w:t>
            </w:r>
            <w:r>
              <w:rPr>
                <w:rFonts w:hint="eastAsia" w:ascii="宋体" w:hAnsi="宋体" w:eastAsia="宋体" w:cs="宋体"/>
                <w:i w:val="0"/>
                <w:iCs w:val="0"/>
                <w:color w:val="auto"/>
                <w:sz w:val="21"/>
                <w:szCs w:val="21"/>
                <w:lang w:val="en-US" w:eastAsia="zh-CN"/>
              </w:rPr>
              <w:t>。</w:t>
            </w:r>
          </w:p>
        </w:tc>
        <w:tc>
          <w:tcPr>
            <w:tcW w:w="600" w:type="dxa"/>
            <w:noWrap w:val="0"/>
            <w:vAlign w:val="top"/>
          </w:tcPr>
          <w:p w14:paraId="7D40C4B7">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4887C250">
            <w:pPr>
              <w:shd w:val="clear" w:color="auto" w:fill="auto"/>
              <w:spacing w:line="360" w:lineRule="auto"/>
              <w:rPr>
                <w:rFonts w:hint="eastAsia" w:ascii="宋体" w:hAnsi="宋体" w:eastAsia="宋体" w:cs="宋体"/>
                <w:color w:val="auto"/>
                <w:szCs w:val="21"/>
                <w:highlight w:val="none"/>
              </w:rPr>
            </w:pPr>
          </w:p>
        </w:tc>
      </w:tr>
      <w:tr w14:paraId="3F4C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86" w:type="dxa"/>
            <w:vMerge w:val="continue"/>
            <w:noWrap w:val="0"/>
            <w:vAlign w:val="center"/>
          </w:tcPr>
          <w:p w14:paraId="78FF725E">
            <w:pPr>
              <w:shd w:val="clear" w:color="auto" w:fill="auto"/>
              <w:spacing w:line="360" w:lineRule="auto"/>
              <w:rPr>
                <w:rFonts w:hint="eastAsia" w:ascii="宋体" w:hAnsi="宋体" w:eastAsia="宋体" w:cs="宋体"/>
                <w:color w:val="auto"/>
                <w:highlight w:val="none"/>
              </w:rPr>
            </w:pPr>
          </w:p>
        </w:tc>
        <w:tc>
          <w:tcPr>
            <w:tcW w:w="425" w:type="dxa"/>
            <w:noWrap w:val="0"/>
            <w:vAlign w:val="center"/>
          </w:tcPr>
          <w:p w14:paraId="6731B9C7">
            <w:pPr>
              <w:tabs>
                <w:tab w:val="left" w:pos="720"/>
              </w:tabs>
              <w:spacing w:line="360" w:lineRule="auto"/>
              <w:jc w:val="left"/>
              <w:rPr>
                <w:rFonts w:hint="eastAsia" w:ascii="Times New Roman" w:hAnsi="Times New Roman" w:cs="宋体"/>
                <w:i w:val="0"/>
                <w:iCs w:val="0"/>
                <w:color w:val="auto"/>
                <w:sz w:val="21"/>
                <w:szCs w:val="21"/>
                <w:lang w:val="en-US" w:eastAsia="zh-CN"/>
              </w:rPr>
            </w:pPr>
            <w:r>
              <w:rPr>
                <w:rFonts w:hint="eastAsia" w:ascii="Times New Roman" w:hAnsi="Times New Roman" w:cs="宋体"/>
                <w:i w:val="0"/>
                <w:iCs w:val="0"/>
                <w:color w:val="auto"/>
                <w:sz w:val="21"/>
                <w:szCs w:val="21"/>
                <w:lang w:val="en-US" w:eastAsia="zh-CN"/>
              </w:rPr>
              <w:t>2</w:t>
            </w:r>
          </w:p>
        </w:tc>
        <w:tc>
          <w:tcPr>
            <w:tcW w:w="6837" w:type="dxa"/>
            <w:noWrap w:val="0"/>
            <w:vAlign w:val="center"/>
          </w:tcPr>
          <w:p w14:paraId="30E0C3F2">
            <w:pPr>
              <w:tabs>
                <w:tab w:val="left" w:pos="720"/>
              </w:tabs>
              <w:spacing w:line="360" w:lineRule="auto"/>
              <w:jc w:val="left"/>
              <w:rPr>
                <w:rFonts w:hint="eastAsia" w:ascii="Times New Roman" w:hAnsi="Times New Roman" w:cs="宋体"/>
                <w:i w:val="0"/>
                <w:iCs w:val="0"/>
                <w:color w:val="auto"/>
                <w:sz w:val="21"/>
                <w:szCs w:val="21"/>
                <w:lang w:val="en-US" w:eastAsia="zh-CN"/>
              </w:rPr>
            </w:pPr>
            <w:r>
              <w:rPr>
                <w:rFonts w:hint="eastAsia" w:ascii="Times New Roman" w:hAnsi="Times New Roman" w:cs="宋体"/>
                <w:i w:val="0"/>
                <w:iCs w:val="0"/>
                <w:color w:val="auto"/>
                <w:sz w:val="21"/>
                <w:szCs w:val="21"/>
                <w:lang w:val="en-US" w:eastAsia="zh-CN"/>
              </w:rPr>
              <w:t>法定代表人投标需提供法定代表人资格证明书，委托代理人投标需提供法定代表人授权委托书及被授权在职人员近6个月内任意1个月有效的社保证明。</w:t>
            </w:r>
          </w:p>
        </w:tc>
        <w:tc>
          <w:tcPr>
            <w:tcW w:w="600" w:type="dxa"/>
            <w:noWrap w:val="0"/>
            <w:vAlign w:val="top"/>
          </w:tcPr>
          <w:p w14:paraId="1B90061D">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18E75777">
            <w:pPr>
              <w:shd w:val="clear" w:color="auto" w:fill="auto"/>
              <w:spacing w:line="360" w:lineRule="auto"/>
              <w:rPr>
                <w:rFonts w:hint="eastAsia" w:ascii="宋体" w:hAnsi="宋体" w:eastAsia="宋体" w:cs="宋体"/>
                <w:color w:val="auto"/>
                <w:szCs w:val="21"/>
                <w:highlight w:val="none"/>
              </w:rPr>
            </w:pPr>
          </w:p>
        </w:tc>
      </w:tr>
      <w:tr w14:paraId="77C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86" w:type="dxa"/>
            <w:vMerge w:val="continue"/>
            <w:noWrap w:val="0"/>
            <w:vAlign w:val="center"/>
          </w:tcPr>
          <w:p w14:paraId="295D68DF">
            <w:pPr>
              <w:shd w:val="clear" w:color="auto" w:fill="auto"/>
              <w:spacing w:line="360" w:lineRule="auto"/>
              <w:rPr>
                <w:rFonts w:hint="eastAsia" w:ascii="宋体" w:hAnsi="宋体" w:eastAsia="宋体" w:cs="宋体"/>
                <w:color w:val="auto"/>
                <w:highlight w:val="none"/>
              </w:rPr>
            </w:pPr>
          </w:p>
        </w:tc>
        <w:tc>
          <w:tcPr>
            <w:tcW w:w="425" w:type="dxa"/>
            <w:noWrap w:val="0"/>
            <w:vAlign w:val="center"/>
          </w:tcPr>
          <w:p w14:paraId="517CCF64">
            <w:pPr>
              <w:tabs>
                <w:tab w:val="left" w:pos="720"/>
              </w:tabs>
              <w:spacing w:line="360" w:lineRule="auto"/>
              <w:jc w:val="left"/>
              <w:rPr>
                <w:rFonts w:hint="eastAsia" w:ascii="Times New Roman" w:hAnsi="Times New Roman" w:cs="宋体"/>
                <w:i w:val="0"/>
                <w:iCs w:val="0"/>
                <w:color w:val="auto"/>
                <w:sz w:val="21"/>
                <w:szCs w:val="21"/>
                <w:lang w:val="en-US" w:eastAsia="zh-CN"/>
              </w:rPr>
            </w:pPr>
            <w:r>
              <w:rPr>
                <w:rFonts w:hint="eastAsia" w:ascii="Times New Roman" w:hAnsi="Times New Roman" w:cs="宋体"/>
                <w:i w:val="0"/>
                <w:iCs w:val="0"/>
                <w:color w:val="auto"/>
                <w:sz w:val="21"/>
                <w:szCs w:val="21"/>
                <w:lang w:val="en-US" w:eastAsia="zh-CN"/>
              </w:rPr>
              <w:t>3</w:t>
            </w:r>
          </w:p>
        </w:tc>
        <w:tc>
          <w:tcPr>
            <w:tcW w:w="6837" w:type="dxa"/>
            <w:noWrap w:val="0"/>
            <w:vAlign w:val="center"/>
          </w:tcPr>
          <w:p w14:paraId="372F9A63">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在“信用中国”及“中国政府采购网”网站上未被列入失信被执行人、重大税收违法案件当事人名单以及政府采购严重违法失信行为记录名单的投标企业。</w:t>
            </w:r>
          </w:p>
        </w:tc>
        <w:tc>
          <w:tcPr>
            <w:tcW w:w="600" w:type="dxa"/>
            <w:noWrap w:val="0"/>
            <w:vAlign w:val="top"/>
          </w:tcPr>
          <w:p w14:paraId="6FF9B842">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47425F4E">
            <w:pPr>
              <w:shd w:val="clear" w:color="auto" w:fill="auto"/>
              <w:spacing w:line="360" w:lineRule="auto"/>
              <w:rPr>
                <w:rFonts w:hint="eastAsia" w:ascii="宋体" w:hAnsi="宋体" w:eastAsia="宋体" w:cs="宋体"/>
                <w:color w:val="auto"/>
                <w:szCs w:val="21"/>
                <w:highlight w:val="none"/>
              </w:rPr>
            </w:pPr>
          </w:p>
        </w:tc>
      </w:tr>
      <w:tr w14:paraId="5B6A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noWrap w:val="0"/>
            <w:vAlign w:val="center"/>
          </w:tcPr>
          <w:p w14:paraId="0A69DC43">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7D57E76B">
            <w:pPr>
              <w:shd w:val="clear" w:color="auto" w:fill="auto"/>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837" w:type="dxa"/>
            <w:noWrap w:val="0"/>
            <w:vAlign w:val="top"/>
          </w:tcPr>
          <w:p w14:paraId="5C164FE5">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投标保证金汇款凭证或投标保函</w:t>
            </w:r>
          </w:p>
        </w:tc>
        <w:tc>
          <w:tcPr>
            <w:tcW w:w="600" w:type="dxa"/>
            <w:noWrap w:val="0"/>
            <w:vAlign w:val="top"/>
          </w:tcPr>
          <w:p w14:paraId="6C89FCF5">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51F9C563">
            <w:pPr>
              <w:shd w:val="clear" w:color="auto" w:fill="auto"/>
              <w:spacing w:line="360" w:lineRule="auto"/>
              <w:rPr>
                <w:rFonts w:hint="eastAsia" w:ascii="宋体" w:hAnsi="宋体" w:eastAsia="宋体" w:cs="宋体"/>
                <w:color w:val="auto"/>
                <w:szCs w:val="21"/>
                <w:highlight w:val="none"/>
              </w:rPr>
            </w:pPr>
          </w:p>
        </w:tc>
      </w:tr>
      <w:tr w14:paraId="3DE2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noWrap w:val="0"/>
            <w:vAlign w:val="center"/>
          </w:tcPr>
          <w:p w14:paraId="1ED6BDE9">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75C16DB5">
            <w:pPr>
              <w:shd w:val="clear" w:color="auto" w:fill="auto"/>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837" w:type="dxa"/>
            <w:noWrap w:val="0"/>
            <w:vAlign w:val="top"/>
          </w:tcPr>
          <w:p w14:paraId="1C8CDBB9">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投标人提供投标文件递交截止之日前六个月内任一个月的缴纳税收的完税凭证，依法免税得投标人应提供相应文件证明其依法免税</w:t>
            </w:r>
          </w:p>
        </w:tc>
        <w:tc>
          <w:tcPr>
            <w:tcW w:w="600" w:type="dxa"/>
            <w:noWrap w:val="0"/>
            <w:vAlign w:val="top"/>
          </w:tcPr>
          <w:p w14:paraId="1CB97C49">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2F286519">
            <w:pPr>
              <w:shd w:val="clear" w:color="auto" w:fill="auto"/>
              <w:spacing w:line="360" w:lineRule="auto"/>
              <w:rPr>
                <w:rFonts w:hint="eastAsia" w:ascii="宋体" w:hAnsi="宋体" w:eastAsia="宋体" w:cs="宋体"/>
                <w:color w:val="auto"/>
                <w:szCs w:val="21"/>
                <w:highlight w:val="none"/>
              </w:rPr>
            </w:pPr>
          </w:p>
        </w:tc>
      </w:tr>
      <w:tr w14:paraId="032C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586" w:type="dxa"/>
            <w:vMerge w:val="continue"/>
            <w:noWrap w:val="0"/>
            <w:vAlign w:val="center"/>
          </w:tcPr>
          <w:p w14:paraId="1A194AAC">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0DB96BFA">
            <w:pPr>
              <w:shd w:val="clear" w:color="auto" w:fill="auto"/>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837" w:type="dxa"/>
            <w:noWrap w:val="0"/>
            <w:vAlign w:val="top"/>
          </w:tcPr>
          <w:p w14:paraId="1E2899EE">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具有良好的商业信誉和健全的财务会计制度；（经审计的近3年内任意1年的财务审计报告（新成立不足一年的提供成立之日起至今的财务报表）或基本开户银行出具的资信证明）；</w:t>
            </w:r>
          </w:p>
        </w:tc>
        <w:tc>
          <w:tcPr>
            <w:tcW w:w="600" w:type="dxa"/>
            <w:noWrap w:val="0"/>
            <w:vAlign w:val="top"/>
          </w:tcPr>
          <w:p w14:paraId="3BC38C99">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36BCD1F9">
            <w:pPr>
              <w:shd w:val="clear" w:color="auto" w:fill="auto"/>
              <w:spacing w:line="360" w:lineRule="auto"/>
              <w:rPr>
                <w:rFonts w:hint="eastAsia" w:ascii="宋体" w:hAnsi="宋体" w:eastAsia="宋体" w:cs="宋体"/>
                <w:color w:val="auto"/>
                <w:szCs w:val="21"/>
                <w:highlight w:val="none"/>
              </w:rPr>
            </w:pPr>
          </w:p>
        </w:tc>
      </w:tr>
      <w:tr w14:paraId="417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6" w:type="dxa"/>
            <w:vMerge w:val="continue"/>
            <w:noWrap w:val="0"/>
            <w:vAlign w:val="center"/>
          </w:tcPr>
          <w:p w14:paraId="1A91F81E">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102CA013">
            <w:pPr>
              <w:shd w:val="clear" w:color="auto" w:fill="auto"/>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6837" w:type="dxa"/>
            <w:noWrap w:val="0"/>
            <w:vAlign w:val="top"/>
          </w:tcPr>
          <w:p w14:paraId="4B1EA4C6">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提供本次投标货物制造商为中小企业的《中小企业声明函》</w:t>
            </w:r>
          </w:p>
        </w:tc>
        <w:tc>
          <w:tcPr>
            <w:tcW w:w="600" w:type="dxa"/>
            <w:noWrap w:val="0"/>
            <w:vAlign w:val="top"/>
          </w:tcPr>
          <w:p w14:paraId="3401F56D">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46FC9324">
            <w:pPr>
              <w:shd w:val="clear" w:color="auto" w:fill="auto"/>
              <w:spacing w:line="360" w:lineRule="auto"/>
              <w:rPr>
                <w:rFonts w:hint="eastAsia" w:ascii="宋体" w:hAnsi="宋体" w:eastAsia="宋体" w:cs="宋体"/>
                <w:color w:val="auto"/>
                <w:szCs w:val="21"/>
                <w:highlight w:val="none"/>
              </w:rPr>
            </w:pPr>
          </w:p>
        </w:tc>
      </w:tr>
      <w:tr w14:paraId="67D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noWrap w:val="0"/>
            <w:vAlign w:val="center"/>
          </w:tcPr>
          <w:p w14:paraId="4FC58827">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52E12AD9">
            <w:pPr>
              <w:shd w:val="clear" w:color="auto" w:fill="auto"/>
              <w:spacing w:line="360" w:lineRule="auto"/>
              <w:rPr>
                <w:rFonts w:hint="eastAsia" w:ascii="宋体" w:hAnsi="宋体" w:eastAsia="宋体" w:cs="宋体"/>
                <w:color w:val="auto"/>
                <w:szCs w:val="21"/>
                <w:highlight w:val="none"/>
              </w:rPr>
            </w:pPr>
          </w:p>
        </w:tc>
        <w:tc>
          <w:tcPr>
            <w:tcW w:w="6837" w:type="dxa"/>
            <w:noWrap w:val="0"/>
            <w:vAlign w:val="top"/>
          </w:tcPr>
          <w:p w14:paraId="54F8E013">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结论：是否通过评审（须填写通过或不通过）</w:t>
            </w:r>
          </w:p>
          <w:p w14:paraId="354E093B">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注：如有一项不合格，作废标处理。</w:t>
            </w:r>
          </w:p>
        </w:tc>
        <w:tc>
          <w:tcPr>
            <w:tcW w:w="1143" w:type="dxa"/>
            <w:gridSpan w:val="2"/>
            <w:noWrap w:val="0"/>
            <w:vAlign w:val="top"/>
          </w:tcPr>
          <w:p w14:paraId="41C3364F">
            <w:pPr>
              <w:shd w:val="clear" w:color="auto" w:fill="auto"/>
              <w:spacing w:line="360" w:lineRule="auto"/>
              <w:rPr>
                <w:rFonts w:hint="eastAsia" w:ascii="宋体" w:hAnsi="宋体" w:eastAsia="宋体" w:cs="宋体"/>
                <w:color w:val="auto"/>
                <w:szCs w:val="21"/>
                <w:highlight w:val="none"/>
              </w:rPr>
            </w:pPr>
          </w:p>
        </w:tc>
      </w:tr>
    </w:tbl>
    <w:p w14:paraId="1F5F24BE">
      <w:pPr>
        <w:shd w:val="clear" w:color="auto" w:fill="auto"/>
        <w:spacing w:before="156" w:beforeLines="50" w:line="440" w:lineRule="exact"/>
        <w:ind w:firstLine="281" w:firstLineChars="100"/>
        <w:rPr>
          <w:rFonts w:hint="eastAsia" w:ascii="宋体" w:hAnsi="宋体"/>
          <w:b/>
          <w:color w:val="auto"/>
          <w:szCs w:val="21"/>
          <w:highlight w:val="none"/>
        </w:rPr>
      </w:pPr>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rPr>
        <w:t>.2</w:t>
      </w:r>
      <w:r>
        <w:rPr>
          <w:rFonts w:hint="eastAsia" w:ascii="宋体" w:hAnsi="宋体" w:cs="宋体"/>
          <w:b/>
          <w:color w:val="0000FF"/>
          <w:sz w:val="28"/>
          <w:szCs w:val="28"/>
          <w:highlight w:val="none"/>
          <w:lang w:val="en-US" w:eastAsia="zh-CN"/>
        </w:rPr>
        <w:t>注意：资格证明文件上传过程中，请投标人按照上述要求逐一上传资格性证明文件，</w:t>
      </w:r>
      <w:r>
        <w:rPr>
          <w:rFonts w:hint="eastAsia" w:ascii="宋体" w:hAnsi="宋体" w:eastAsia="宋体" w:cs="宋体"/>
          <w:b/>
          <w:color w:val="0000FF"/>
          <w:sz w:val="28"/>
          <w:szCs w:val="28"/>
          <w:highlight w:val="none"/>
        </w:rPr>
        <w:t>如</w:t>
      </w:r>
      <w:r>
        <w:rPr>
          <w:rFonts w:hint="eastAsia" w:ascii="宋体" w:hAnsi="宋体" w:cs="宋体"/>
          <w:b/>
          <w:color w:val="0000FF"/>
          <w:sz w:val="28"/>
          <w:szCs w:val="28"/>
          <w:highlight w:val="none"/>
          <w:lang w:val="en-US" w:eastAsia="zh-CN"/>
        </w:rPr>
        <w:t>资格审查小组</w:t>
      </w:r>
      <w:r>
        <w:rPr>
          <w:rFonts w:hint="eastAsia" w:ascii="宋体" w:hAnsi="宋体" w:eastAsia="宋体" w:cs="宋体"/>
          <w:b/>
          <w:color w:val="0000FF"/>
          <w:sz w:val="28"/>
          <w:szCs w:val="28"/>
          <w:highlight w:val="none"/>
        </w:rPr>
        <w:t>在检验电子标书</w:t>
      </w:r>
      <w:r>
        <w:rPr>
          <w:rFonts w:hint="eastAsia" w:ascii="宋体" w:hAnsi="宋体" w:cs="宋体"/>
          <w:b/>
          <w:color w:val="0000FF"/>
          <w:sz w:val="28"/>
          <w:szCs w:val="28"/>
          <w:highlight w:val="none"/>
          <w:lang w:eastAsia="zh-CN"/>
        </w:rPr>
        <w:t>（</w:t>
      </w:r>
      <w:r>
        <w:rPr>
          <w:rFonts w:hint="eastAsia" w:ascii="宋体" w:hAnsi="宋体" w:cs="宋体"/>
          <w:b/>
          <w:color w:val="0000FF"/>
          <w:sz w:val="28"/>
          <w:szCs w:val="28"/>
          <w:highlight w:val="none"/>
          <w:lang w:val="en-US" w:eastAsia="zh-CN"/>
        </w:rPr>
        <w:t>资格性审查</w:t>
      </w:r>
      <w:r>
        <w:rPr>
          <w:rFonts w:hint="eastAsia" w:ascii="宋体" w:hAnsi="宋体" w:cs="宋体"/>
          <w:b/>
          <w:color w:val="0000FF"/>
          <w:sz w:val="28"/>
          <w:szCs w:val="28"/>
          <w:highlight w:val="none"/>
          <w:lang w:eastAsia="zh-CN"/>
        </w:rPr>
        <w:t>）</w:t>
      </w:r>
      <w:r>
        <w:rPr>
          <w:rFonts w:hint="eastAsia" w:ascii="宋体" w:hAnsi="宋体" w:eastAsia="宋体" w:cs="宋体"/>
          <w:b/>
          <w:color w:val="0000FF"/>
          <w:sz w:val="28"/>
          <w:szCs w:val="28"/>
          <w:highlight w:val="none"/>
        </w:rPr>
        <w:t>过程中，由于投标人自身原因导致</w:t>
      </w:r>
      <w:r>
        <w:rPr>
          <w:rFonts w:hint="eastAsia" w:ascii="宋体" w:hAnsi="宋体" w:cs="宋体"/>
          <w:b/>
          <w:color w:val="0000FF"/>
          <w:sz w:val="28"/>
          <w:szCs w:val="28"/>
          <w:highlight w:val="none"/>
          <w:lang w:val="en-US" w:eastAsia="zh-CN"/>
        </w:rPr>
        <w:t>资格审查小组</w:t>
      </w:r>
      <w:r>
        <w:rPr>
          <w:rFonts w:hint="eastAsia" w:ascii="宋体" w:hAnsi="宋体" w:eastAsia="宋体" w:cs="宋体"/>
          <w:b/>
          <w:color w:val="0000FF"/>
          <w:sz w:val="28"/>
          <w:szCs w:val="28"/>
          <w:highlight w:val="none"/>
        </w:rPr>
        <w:t>无法查看并检验电子标书中以上相关资料的，否决其投标。</w:t>
      </w:r>
    </w:p>
    <w:p w14:paraId="22A848D6">
      <w:pPr>
        <w:shd w:val="clear" w:color="auto" w:fill="auto"/>
        <w:spacing w:before="156" w:beforeLines="50" w:line="440" w:lineRule="exact"/>
        <w:ind w:firstLine="211" w:firstLineChars="1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7</w:t>
      </w:r>
      <w:r>
        <w:rPr>
          <w:rFonts w:hint="eastAsia" w:asciiTheme="majorEastAsia" w:hAnsiTheme="majorEastAsia" w:eastAsiaTheme="majorEastAsia" w:cstheme="majorEastAsia"/>
          <w:b/>
          <w:color w:val="auto"/>
          <w:szCs w:val="21"/>
          <w:highlight w:val="none"/>
        </w:rPr>
        <w:t>.符合性审查</w:t>
      </w:r>
    </w:p>
    <w:p w14:paraId="620CD758">
      <w:pPr>
        <w:shd w:val="clear" w:color="auto" w:fill="auto"/>
        <w:spacing w:line="440" w:lineRule="exact"/>
        <w:ind w:firstLine="210" w:firstLineChars="100"/>
        <w:rPr>
          <w:rFonts w:hint="default" w:eastAsia="宋体"/>
          <w:lang w:val="en-US" w:eastAsia="zh-CN"/>
        </w:rPr>
      </w:pPr>
      <w:r>
        <w:rPr>
          <w:rFonts w:hint="eastAsia" w:ascii="宋体"/>
          <w:color w:val="auto"/>
          <w:szCs w:val="21"/>
          <w:highlight w:val="none"/>
          <w:lang w:val="en-US" w:eastAsia="zh-CN"/>
        </w:rPr>
        <w:t>7</w:t>
      </w:r>
      <w:r>
        <w:rPr>
          <w:rFonts w:hint="eastAsia" w:ascii="宋体"/>
          <w:color w:val="auto"/>
          <w:szCs w:val="21"/>
          <w:highlight w:val="none"/>
        </w:rPr>
        <w:t>．1评审细则</w:t>
      </w:r>
      <w:r>
        <w:rPr>
          <w:rFonts w:hint="eastAsia" w:ascii="宋体"/>
          <w:color w:val="auto"/>
          <w:szCs w:val="21"/>
          <w:highlight w:val="none"/>
          <w:lang w:val="en-US" w:eastAsia="zh-CN"/>
        </w:rPr>
        <w:t xml:space="preserve">  </w:t>
      </w:r>
      <w:r>
        <w:rPr>
          <w:rFonts w:hint="eastAsia"/>
          <w:color w:val="auto"/>
          <w:szCs w:val="21"/>
          <w:highlight w:val="none"/>
          <w:lang w:val="en-US" w:eastAsia="zh-CN"/>
        </w:rPr>
        <w:t>标项1，</w:t>
      </w:r>
    </w:p>
    <w:tbl>
      <w:tblPr>
        <w:tblStyle w:val="27"/>
        <w:tblpPr w:leftFromText="180" w:rightFromText="180" w:vertAnchor="text" w:horzAnchor="page" w:tblpX="1988" w:tblpY="544"/>
        <w:tblW w:w="90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2"/>
        <w:gridCol w:w="454"/>
        <w:gridCol w:w="6971"/>
        <w:gridCol w:w="555"/>
        <w:gridCol w:w="510"/>
      </w:tblGrid>
      <w:tr w14:paraId="7F6D5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542" w:type="dxa"/>
            <w:tcBorders>
              <w:top w:val="single" w:color="auto" w:sz="4" w:space="0"/>
              <w:left w:val="single" w:color="auto" w:sz="4" w:space="0"/>
            </w:tcBorders>
            <w:noWrap w:val="0"/>
            <w:vAlign w:val="center"/>
          </w:tcPr>
          <w:p w14:paraId="67AC85B3">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项目</w:t>
            </w:r>
          </w:p>
        </w:tc>
        <w:tc>
          <w:tcPr>
            <w:tcW w:w="7425" w:type="dxa"/>
            <w:gridSpan w:val="2"/>
            <w:tcBorders>
              <w:top w:val="single" w:color="auto" w:sz="4" w:space="0"/>
            </w:tcBorders>
            <w:noWrap w:val="0"/>
            <w:vAlign w:val="center"/>
          </w:tcPr>
          <w:p w14:paraId="375AC35C">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评审内容</w:t>
            </w:r>
          </w:p>
        </w:tc>
        <w:tc>
          <w:tcPr>
            <w:tcW w:w="1065" w:type="dxa"/>
            <w:gridSpan w:val="2"/>
            <w:tcBorders>
              <w:top w:val="single" w:color="auto" w:sz="4" w:space="0"/>
              <w:right w:val="single" w:color="auto" w:sz="4" w:space="0"/>
            </w:tcBorders>
            <w:noWrap w:val="0"/>
            <w:vAlign w:val="center"/>
          </w:tcPr>
          <w:p w14:paraId="7F8F5CDC">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评审意见</w:t>
            </w:r>
          </w:p>
        </w:tc>
      </w:tr>
      <w:tr w14:paraId="21C3A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542" w:type="dxa"/>
            <w:tcBorders>
              <w:left w:val="single" w:color="auto" w:sz="4" w:space="0"/>
              <w:bottom w:val="single" w:color="auto" w:sz="4" w:space="0"/>
            </w:tcBorders>
            <w:noWrap w:val="0"/>
            <w:vAlign w:val="center"/>
          </w:tcPr>
          <w:p w14:paraId="1A664FC8">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p>
        </w:tc>
        <w:tc>
          <w:tcPr>
            <w:tcW w:w="7425" w:type="dxa"/>
            <w:gridSpan w:val="2"/>
            <w:tcBorders>
              <w:bottom w:val="single" w:color="auto" w:sz="4" w:space="0"/>
            </w:tcBorders>
            <w:noWrap w:val="0"/>
            <w:vAlign w:val="top"/>
          </w:tcPr>
          <w:p w14:paraId="0B54EAC1">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p>
        </w:tc>
        <w:tc>
          <w:tcPr>
            <w:tcW w:w="555" w:type="dxa"/>
            <w:noWrap w:val="0"/>
            <w:vAlign w:val="center"/>
          </w:tcPr>
          <w:p w14:paraId="1B35298D">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是</w:t>
            </w:r>
          </w:p>
        </w:tc>
        <w:tc>
          <w:tcPr>
            <w:tcW w:w="510" w:type="dxa"/>
            <w:tcBorders>
              <w:right w:val="single" w:color="auto" w:sz="4" w:space="0"/>
            </w:tcBorders>
            <w:noWrap w:val="0"/>
            <w:vAlign w:val="center"/>
          </w:tcPr>
          <w:p w14:paraId="3712F44B">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否</w:t>
            </w:r>
          </w:p>
        </w:tc>
      </w:tr>
      <w:tr w14:paraId="56B16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542" w:type="dxa"/>
            <w:vMerge w:val="restart"/>
            <w:tcBorders>
              <w:top w:val="single" w:color="auto" w:sz="4" w:space="0"/>
              <w:left w:val="single" w:color="auto" w:sz="4" w:space="0"/>
              <w:right w:val="single" w:color="auto" w:sz="4" w:space="0"/>
            </w:tcBorders>
            <w:noWrap w:val="0"/>
            <w:vAlign w:val="center"/>
          </w:tcPr>
          <w:p w14:paraId="51E77B82">
            <w:pPr>
              <w:shd w:val="clear" w:color="auto" w:fill="auto"/>
              <w:spacing w:line="360" w:lineRule="auto"/>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审</w:t>
            </w:r>
          </w:p>
          <w:p w14:paraId="2149D814">
            <w:pPr>
              <w:shd w:val="clear" w:color="auto" w:fill="auto"/>
              <w:spacing w:line="360" w:lineRule="auto"/>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查</w:t>
            </w:r>
          </w:p>
          <w:p w14:paraId="7AD4238C">
            <w:pPr>
              <w:shd w:val="clear" w:color="auto" w:fill="auto"/>
              <w:spacing w:line="360" w:lineRule="auto"/>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标</w:t>
            </w:r>
          </w:p>
          <w:p w14:paraId="0CDC2070">
            <w:pPr>
              <w:shd w:val="clear" w:color="auto" w:fill="auto"/>
              <w:spacing w:line="360" w:lineRule="auto"/>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40CA293E">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6971" w:type="dxa"/>
            <w:tcBorders>
              <w:top w:val="single" w:color="auto" w:sz="4" w:space="0"/>
              <w:left w:val="single" w:color="auto" w:sz="4" w:space="0"/>
              <w:right w:val="single" w:color="auto" w:sz="4" w:space="0"/>
            </w:tcBorders>
            <w:noWrap w:val="0"/>
            <w:vAlign w:val="center"/>
          </w:tcPr>
          <w:p w14:paraId="780D5AE7">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投标文件组成完整，主要内容按</w:t>
            </w:r>
            <w:r>
              <w:rPr>
                <w:rFonts w:hint="eastAsia" w:ascii="宋体" w:hAnsi="宋体" w:eastAsia="宋体" w:cs="宋体"/>
                <w:szCs w:val="21"/>
                <w:lang w:eastAsia="zh-CN"/>
              </w:rPr>
              <w:t>采购文件</w:t>
            </w:r>
            <w:r>
              <w:rPr>
                <w:rFonts w:hint="eastAsia" w:ascii="宋体" w:hAnsi="宋体" w:eastAsia="宋体" w:cs="宋体"/>
                <w:szCs w:val="21"/>
              </w:rPr>
              <w:t>规定的内容、格式填写、制作；</w:t>
            </w:r>
          </w:p>
        </w:tc>
        <w:tc>
          <w:tcPr>
            <w:tcW w:w="555" w:type="dxa"/>
            <w:tcBorders>
              <w:left w:val="single" w:color="auto" w:sz="4" w:space="0"/>
              <w:right w:val="single" w:color="auto" w:sz="4" w:space="0"/>
            </w:tcBorders>
            <w:noWrap w:val="0"/>
            <w:vAlign w:val="top"/>
          </w:tcPr>
          <w:p w14:paraId="5302344A">
            <w:pPr>
              <w:shd w:val="clear" w:color="auto" w:fill="auto"/>
              <w:spacing w:line="360" w:lineRule="auto"/>
              <w:jc w:val="center"/>
              <w:rPr>
                <w:rFonts w:hint="eastAsia" w:ascii="宋体" w:hAnsi="宋体" w:eastAsia="宋体" w:cs="宋体"/>
                <w:b w:val="0"/>
                <w:bCs/>
                <w:color w:val="auto"/>
                <w:szCs w:val="21"/>
                <w:highlight w:val="none"/>
              </w:rPr>
            </w:pPr>
          </w:p>
        </w:tc>
        <w:tc>
          <w:tcPr>
            <w:tcW w:w="510" w:type="dxa"/>
            <w:tcBorders>
              <w:left w:val="single" w:color="auto" w:sz="4" w:space="0"/>
              <w:right w:val="single" w:color="auto" w:sz="4" w:space="0"/>
            </w:tcBorders>
            <w:noWrap w:val="0"/>
            <w:vAlign w:val="top"/>
          </w:tcPr>
          <w:p w14:paraId="0BC6C07A">
            <w:pPr>
              <w:shd w:val="clear" w:color="auto" w:fill="auto"/>
              <w:spacing w:line="360" w:lineRule="auto"/>
              <w:jc w:val="center"/>
              <w:rPr>
                <w:rFonts w:hint="eastAsia" w:ascii="宋体" w:hAnsi="宋体" w:eastAsia="宋体" w:cs="宋体"/>
                <w:b w:val="0"/>
                <w:bCs/>
                <w:color w:val="auto"/>
                <w:szCs w:val="21"/>
                <w:highlight w:val="none"/>
              </w:rPr>
            </w:pPr>
          </w:p>
        </w:tc>
      </w:tr>
      <w:tr w14:paraId="17EBA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542" w:type="dxa"/>
            <w:vMerge w:val="continue"/>
            <w:tcBorders>
              <w:left w:val="single" w:color="auto" w:sz="4" w:space="0"/>
              <w:right w:val="single" w:color="auto" w:sz="4" w:space="0"/>
            </w:tcBorders>
            <w:noWrap w:val="0"/>
            <w:vAlign w:val="center"/>
          </w:tcPr>
          <w:p w14:paraId="6F1267A6">
            <w:pPr>
              <w:shd w:val="clear" w:color="auto" w:fill="auto"/>
              <w:spacing w:line="360" w:lineRule="auto"/>
              <w:rPr>
                <w:rFonts w:hint="eastAsia" w:ascii="宋体" w:hAnsi="宋体" w:eastAsia="宋体" w:cs="宋体"/>
                <w:b w:val="0"/>
                <w:bCs/>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F58673A">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3FC25D21">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投标文件按照规定在应由企业法人或法人授权代表在所有规定签章处逐一签署及加盖单位公章；</w:t>
            </w:r>
          </w:p>
        </w:tc>
        <w:tc>
          <w:tcPr>
            <w:tcW w:w="555" w:type="dxa"/>
            <w:tcBorders>
              <w:left w:val="single" w:color="auto" w:sz="4" w:space="0"/>
            </w:tcBorders>
            <w:noWrap w:val="0"/>
            <w:vAlign w:val="top"/>
          </w:tcPr>
          <w:p w14:paraId="7E37CCC0">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5FC00ADB">
            <w:pPr>
              <w:shd w:val="clear" w:color="auto" w:fill="auto"/>
              <w:spacing w:line="360" w:lineRule="auto"/>
              <w:rPr>
                <w:rFonts w:hint="eastAsia" w:ascii="宋体" w:hAnsi="宋体" w:eastAsia="宋体" w:cs="宋体"/>
                <w:b w:val="0"/>
                <w:bCs/>
                <w:color w:val="auto"/>
                <w:szCs w:val="21"/>
                <w:highlight w:val="none"/>
              </w:rPr>
            </w:pPr>
          </w:p>
        </w:tc>
      </w:tr>
      <w:tr w14:paraId="75526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542" w:type="dxa"/>
            <w:vMerge w:val="continue"/>
            <w:tcBorders>
              <w:left w:val="single" w:color="auto" w:sz="4" w:space="0"/>
              <w:right w:val="single" w:color="auto" w:sz="4" w:space="0"/>
            </w:tcBorders>
            <w:noWrap w:val="0"/>
            <w:vAlign w:val="center"/>
          </w:tcPr>
          <w:p w14:paraId="75649A01">
            <w:pPr>
              <w:shd w:val="clear" w:color="auto" w:fill="auto"/>
              <w:spacing w:line="360" w:lineRule="auto"/>
              <w:rPr>
                <w:rFonts w:hint="eastAsia" w:ascii="宋体" w:hAnsi="宋体" w:eastAsia="宋体" w:cs="宋体"/>
                <w:b w:val="0"/>
                <w:bCs/>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6A798CC1">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6971" w:type="dxa"/>
            <w:tcBorders>
              <w:top w:val="single" w:color="auto" w:sz="4" w:space="0"/>
              <w:left w:val="single" w:color="auto" w:sz="4" w:space="0"/>
              <w:right w:val="single" w:color="auto" w:sz="4" w:space="0"/>
            </w:tcBorders>
            <w:noWrap w:val="0"/>
            <w:vAlign w:val="center"/>
          </w:tcPr>
          <w:p w14:paraId="228BB22E">
            <w:pPr>
              <w:tabs>
                <w:tab w:val="left" w:pos="720"/>
              </w:tabs>
              <w:spacing w:line="360" w:lineRule="auto"/>
              <w:jc w:val="left"/>
              <w:rPr>
                <w:rFonts w:hint="eastAsia" w:ascii="宋体" w:hAnsi="宋体" w:eastAsia="宋体" w:cs="宋体"/>
                <w:szCs w:val="21"/>
                <w:lang w:eastAsia="zh-CN"/>
              </w:rPr>
            </w:pPr>
            <w:r>
              <w:rPr>
                <w:rFonts w:hint="eastAsia" w:ascii="宋体" w:hAnsi="宋体" w:eastAsia="宋体" w:cs="宋体"/>
                <w:szCs w:val="21"/>
              </w:rPr>
              <w:t>投标文件的有效期满足</w:t>
            </w:r>
            <w:r>
              <w:rPr>
                <w:rFonts w:hint="eastAsia" w:ascii="宋体" w:hAnsi="宋体" w:eastAsia="宋体" w:cs="宋体"/>
                <w:szCs w:val="21"/>
                <w:lang w:eastAsia="zh-CN"/>
              </w:rPr>
              <w:t>采购文件</w:t>
            </w:r>
            <w:r>
              <w:rPr>
                <w:rFonts w:hint="eastAsia" w:ascii="宋体" w:hAnsi="宋体" w:eastAsia="宋体" w:cs="宋体"/>
                <w:szCs w:val="21"/>
              </w:rPr>
              <w:t>的规定</w:t>
            </w:r>
            <w:r>
              <w:rPr>
                <w:rFonts w:hint="eastAsia" w:ascii="宋体" w:hAnsi="宋体" w:eastAsia="宋体" w:cs="宋体"/>
                <w:szCs w:val="21"/>
                <w:lang w:eastAsia="zh-CN"/>
              </w:rPr>
              <w:t>；</w:t>
            </w:r>
          </w:p>
        </w:tc>
        <w:tc>
          <w:tcPr>
            <w:tcW w:w="555" w:type="dxa"/>
            <w:tcBorders>
              <w:left w:val="single" w:color="auto" w:sz="4" w:space="0"/>
            </w:tcBorders>
            <w:noWrap w:val="0"/>
            <w:vAlign w:val="top"/>
          </w:tcPr>
          <w:p w14:paraId="5B51594B">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7375D82D">
            <w:pPr>
              <w:shd w:val="clear" w:color="auto" w:fill="auto"/>
              <w:spacing w:line="360" w:lineRule="auto"/>
              <w:rPr>
                <w:rFonts w:hint="eastAsia" w:ascii="宋体" w:hAnsi="宋体" w:eastAsia="宋体" w:cs="宋体"/>
                <w:b w:val="0"/>
                <w:bCs/>
                <w:color w:val="auto"/>
                <w:szCs w:val="21"/>
                <w:highlight w:val="none"/>
              </w:rPr>
            </w:pPr>
          </w:p>
        </w:tc>
      </w:tr>
      <w:tr w14:paraId="5F16A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542" w:type="dxa"/>
            <w:vMerge w:val="continue"/>
            <w:tcBorders>
              <w:left w:val="single" w:color="auto" w:sz="4" w:space="0"/>
              <w:right w:val="single" w:color="auto" w:sz="4" w:space="0"/>
            </w:tcBorders>
            <w:noWrap w:val="0"/>
            <w:vAlign w:val="center"/>
          </w:tcPr>
          <w:p w14:paraId="1C9F60AD">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14:paraId="40D4DC73">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4</w:t>
            </w:r>
          </w:p>
        </w:tc>
        <w:tc>
          <w:tcPr>
            <w:tcW w:w="6971" w:type="dxa"/>
            <w:tcBorders>
              <w:right w:val="single" w:color="auto" w:sz="4" w:space="0"/>
            </w:tcBorders>
            <w:noWrap w:val="0"/>
            <w:vAlign w:val="center"/>
          </w:tcPr>
          <w:p w14:paraId="5141359F">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投标代表授权书由法定代表人签署并加盖公章；</w:t>
            </w:r>
          </w:p>
        </w:tc>
        <w:tc>
          <w:tcPr>
            <w:tcW w:w="555" w:type="dxa"/>
            <w:tcBorders>
              <w:left w:val="single" w:color="auto" w:sz="4" w:space="0"/>
            </w:tcBorders>
            <w:noWrap w:val="0"/>
            <w:vAlign w:val="top"/>
          </w:tcPr>
          <w:p w14:paraId="435A3763">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717DCA66">
            <w:pPr>
              <w:shd w:val="clear" w:color="auto" w:fill="auto"/>
              <w:spacing w:line="360" w:lineRule="auto"/>
              <w:rPr>
                <w:rFonts w:hint="eastAsia" w:ascii="宋体" w:hAnsi="宋体" w:eastAsia="宋体" w:cs="宋体"/>
                <w:b w:val="0"/>
                <w:bCs/>
                <w:color w:val="auto"/>
                <w:szCs w:val="21"/>
                <w:highlight w:val="none"/>
              </w:rPr>
            </w:pPr>
          </w:p>
        </w:tc>
      </w:tr>
      <w:tr w14:paraId="09568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2" w:type="dxa"/>
            <w:vMerge w:val="continue"/>
            <w:tcBorders>
              <w:left w:val="single" w:color="auto" w:sz="4" w:space="0"/>
              <w:right w:val="single" w:color="auto" w:sz="4" w:space="0"/>
            </w:tcBorders>
            <w:noWrap w:val="0"/>
            <w:vAlign w:val="center"/>
          </w:tcPr>
          <w:p w14:paraId="72A425D2">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bottom w:val="single" w:color="auto" w:sz="4" w:space="0"/>
            </w:tcBorders>
            <w:noWrap w:val="0"/>
            <w:vAlign w:val="center"/>
          </w:tcPr>
          <w:p w14:paraId="6C33AC4B">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6971" w:type="dxa"/>
            <w:tcBorders>
              <w:bottom w:val="single" w:color="auto" w:sz="4" w:space="0"/>
              <w:right w:val="single" w:color="auto" w:sz="4" w:space="0"/>
            </w:tcBorders>
            <w:noWrap w:val="0"/>
            <w:vAlign w:val="center"/>
          </w:tcPr>
          <w:p w14:paraId="6123CA41">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投标文件针对同一种货物未出现两个或两个以上的报价；</w:t>
            </w:r>
          </w:p>
        </w:tc>
        <w:tc>
          <w:tcPr>
            <w:tcW w:w="555" w:type="dxa"/>
            <w:tcBorders>
              <w:left w:val="single" w:color="auto" w:sz="4" w:space="0"/>
              <w:bottom w:val="single" w:color="auto" w:sz="4" w:space="0"/>
            </w:tcBorders>
            <w:noWrap w:val="0"/>
            <w:vAlign w:val="top"/>
          </w:tcPr>
          <w:p w14:paraId="25D94E07">
            <w:pPr>
              <w:shd w:val="clear" w:color="auto" w:fill="auto"/>
              <w:spacing w:line="360" w:lineRule="auto"/>
              <w:rPr>
                <w:rFonts w:hint="eastAsia" w:ascii="宋体" w:hAnsi="宋体" w:eastAsia="宋体" w:cs="宋体"/>
                <w:b w:val="0"/>
                <w:bCs/>
                <w:color w:val="auto"/>
                <w:szCs w:val="21"/>
                <w:highlight w:val="none"/>
              </w:rPr>
            </w:pPr>
          </w:p>
        </w:tc>
        <w:tc>
          <w:tcPr>
            <w:tcW w:w="510" w:type="dxa"/>
            <w:tcBorders>
              <w:bottom w:val="single" w:color="auto" w:sz="4" w:space="0"/>
              <w:right w:val="single" w:color="auto" w:sz="4" w:space="0"/>
            </w:tcBorders>
            <w:noWrap w:val="0"/>
            <w:vAlign w:val="top"/>
          </w:tcPr>
          <w:p w14:paraId="796FDF37">
            <w:pPr>
              <w:shd w:val="clear" w:color="auto" w:fill="auto"/>
              <w:spacing w:line="360" w:lineRule="auto"/>
              <w:rPr>
                <w:rFonts w:hint="eastAsia" w:ascii="宋体" w:hAnsi="宋体" w:eastAsia="宋体" w:cs="宋体"/>
                <w:b w:val="0"/>
                <w:bCs/>
                <w:color w:val="auto"/>
                <w:szCs w:val="21"/>
                <w:highlight w:val="none"/>
              </w:rPr>
            </w:pPr>
          </w:p>
        </w:tc>
      </w:tr>
      <w:tr w14:paraId="3D1CD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542" w:type="dxa"/>
            <w:vMerge w:val="continue"/>
            <w:tcBorders>
              <w:left w:val="single" w:color="auto" w:sz="4" w:space="0"/>
              <w:right w:val="single" w:color="auto" w:sz="4" w:space="0"/>
            </w:tcBorders>
            <w:noWrap w:val="0"/>
            <w:vAlign w:val="center"/>
          </w:tcPr>
          <w:p w14:paraId="46449BFA">
            <w:pPr>
              <w:shd w:val="clear" w:color="auto" w:fill="auto"/>
              <w:spacing w:line="360" w:lineRule="auto"/>
              <w:rPr>
                <w:rFonts w:hint="eastAsia" w:ascii="宋体" w:hAnsi="宋体" w:eastAsia="宋体" w:cs="宋体"/>
                <w:b w:val="0"/>
                <w:bCs/>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B90A1A3">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70376CCD">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投标文件载明的招标项目交货期限未超过</w:t>
            </w:r>
            <w:r>
              <w:rPr>
                <w:rFonts w:hint="eastAsia" w:ascii="宋体" w:hAnsi="宋体" w:eastAsia="宋体" w:cs="宋体"/>
                <w:szCs w:val="21"/>
                <w:lang w:eastAsia="zh-CN"/>
              </w:rPr>
              <w:t>采购文件</w:t>
            </w:r>
            <w:r>
              <w:rPr>
                <w:rFonts w:hint="eastAsia" w:ascii="宋体" w:hAnsi="宋体" w:eastAsia="宋体" w:cs="宋体"/>
                <w:szCs w:val="21"/>
              </w:rPr>
              <w:t>规定的期限；</w:t>
            </w:r>
          </w:p>
        </w:tc>
        <w:tc>
          <w:tcPr>
            <w:tcW w:w="555" w:type="dxa"/>
            <w:tcBorders>
              <w:top w:val="single" w:color="auto" w:sz="4" w:space="0"/>
              <w:left w:val="single" w:color="auto" w:sz="4" w:space="0"/>
              <w:bottom w:val="single" w:color="auto" w:sz="4" w:space="0"/>
              <w:right w:val="single" w:color="auto" w:sz="4" w:space="0"/>
            </w:tcBorders>
            <w:noWrap w:val="0"/>
            <w:vAlign w:val="top"/>
          </w:tcPr>
          <w:p w14:paraId="71B85341">
            <w:pPr>
              <w:shd w:val="clear" w:color="auto" w:fill="auto"/>
              <w:spacing w:line="360" w:lineRule="auto"/>
              <w:rPr>
                <w:rFonts w:hint="eastAsia" w:ascii="宋体" w:hAnsi="宋体" w:eastAsia="宋体" w:cs="宋体"/>
                <w:b w:val="0"/>
                <w:bCs/>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14:paraId="16A0E879">
            <w:pPr>
              <w:shd w:val="clear" w:color="auto" w:fill="auto"/>
              <w:spacing w:line="360" w:lineRule="auto"/>
              <w:rPr>
                <w:rFonts w:hint="eastAsia" w:ascii="宋体" w:hAnsi="宋体" w:eastAsia="宋体" w:cs="宋体"/>
                <w:b w:val="0"/>
                <w:bCs/>
                <w:color w:val="auto"/>
                <w:szCs w:val="21"/>
                <w:highlight w:val="none"/>
              </w:rPr>
            </w:pPr>
          </w:p>
        </w:tc>
      </w:tr>
      <w:tr w14:paraId="4DC42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542" w:type="dxa"/>
            <w:vMerge w:val="continue"/>
            <w:tcBorders>
              <w:left w:val="single" w:color="auto" w:sz="4" w:space="0"/>
              <w:right w:val="single" w:color="auto" w:sz="4" w:space="0"/>
            </w:tcBorders>
            <w:noWrap w:val="0"/>
            <w:vAlign w:val="center"/>
          </w:tcPr>
          <w:p w14:paraId="2B717440">
            <w:pPr>
              <w:shd w:val="clear" w:color="auto" w:fill="auto"/>
              <w:spacing w:line="360" w:lineRule="auto"/>
              <w:rPr>
                <w:rFonts w:hint="eastAsia" w:ascii="宋体" w:hAnsi="宋体" w:eastAsia="宋体" w:cs="宋体"/>
                <w:b w:val="0"/>
                <w:bCs/>
                <w:color w:val="auto"/>
                <w:highlight w:val="none"/>
              </w:rPr>
            </w:pPr>
          </w:p>
        </w:tc>
        <w:tc>
          <w:tcPr>
            <w:tcW w:w="454" w:type="dxa"/>
            <w:tcBorders>
              <w:top w:val="single" w:color="auto" w:sz="4" w:space="0"/>
              <w:left w:val="single" w:color="auto" w:sz="4" w:space="0"/>
            </w:tcBorders>
            <w:noWrap w:val="0"/>
            <w:vAlign w:val="center"/>
          </w:tcPr>
          <w:p w14:paraId="41F9B7D9">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6971" w:type="dxa"/>
            <w:tcBorders>
              <w:top w:val="single" w:color="auto" w:sz="4" w:space="0"/>
              <w:right w:val="single" w:color="auto" w:sz="4" w:space="0"/>
            </w:tcBorders>
            <w:noWrap w:val="0"/>
            <w:vAlign w:val="center"/>
          </w:tcPr>
          <w:p w14:paraId="26DD03E5">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投标文件载明的</w:t>
            </w:r>
            <w:r>
              <w:rPr>
                <w:rFonts w:hint="eastAsia" w:ascii="宋体" w:hAnsi="宋体" w:cs="宋体"/>
                <w:szCs w:val="21"/>
                <w:lang w:val="en-US" w:eastAsia="zh-CN"/>
              </w:rPr>
              <w:t>技术参数、</w:t>
            </w:r>
            <w:r>
              <w:rPr>
                <w:rFonts w:hint="eastAsia" w:ascii="宋体" w:hAnsi="宋体" w:eastAsia="宋体" w:cs="宋体"/>
                <w:szCs w:val="21"/>
              </w:rPr>
              <w:t>功能需求、验收标准和方法等符合</w:t>
            </w:r>
            <w:r>
              <w:rPr>
                <w:rFonts w:hint="eastAsia" w:ascii="宋体" w:hAnsi="宋体" w:eastAsia="宋体" w:cs="宋体"/>
                <w:szCs w:val="21"/>
                <w:lang w:eastAsia="zh-CN"/>
              </w:rPr>
              <w:t>采购文件</w:t>
            </w:r>
            <w:r>
              <w:rPr>
                <w:rFonts w:hint="eastAsia" w:ascii="宋体" w:hAnsi="宋体" w:eastAsia="宋体" w:cs="宋体"/>
                <w:szCs w:val="21"/>
              </w:rPr>
              <w:t>的要求；</w:t>
            </w:r>
          </w:p>
        </w:tc>
        <w:tc>
          <w:tcPr>
            <w:tcW w:w="555" w:type="dxa"/>
            <w:tcBorders>
              <w:top w:val="single" w:color="auto" w:sz="4" w:space="0"/>
              <w:left w:val="single" w:color="auto" w:sz="4" w:space="0"/>
            </w:tcBorders>
            <w:noWrap w:val="0"/>
            <w:vAlign w:val="top"/>
          </w:tcPr>
          <w:p w14:paraId="4F4CB1CB">
            <w:pPr>
              <w:shd w:val="clear" w:color="auto" w:fill="auto"/>
              <w:spacing w:line="360" w:lineRule="auto"/>
              <w:rPr>
                <w:rFonts w:hint="eastAsia" w:ascii="宋体" w:hAnsi="宋体" w:eastAsia="宋体" w:cs="宋体"/>
                <w:b w:val="0"/>
                <w:bCs/>
                <w:color w:val="auto"/>
                <w:szCs w:val="21"/>
                <w:highlight w:val="none"/>
              </w:rPr>
            </w:pPr>
          </w:p>
        </w:tc>
        <w:tc>
          <w:tcPr>
            <w:tcW w:w="510" w:type="dxa"/>
            <w:tcBorders>
              <w:top w:val="single" w:color="auto" w:sz="4" w:space="0"/>
              <w:right w:val="single" w:color="auto" w:sz="4" w:space="0"/>
            </w:tcBorders>
            <w:noWrap w:val="0"/>
            <w:vAlign w:val="top"/>
          </w:tcPr>
          <w:p w14:paraId="51980FCF">
            <w:pPr>
              <w:shd w:val="clear" w:color="auto" w:fill="auto"/>
              <w:spacing w:line="360" w:lineRule="auto"/>
              <w:rPr>
                <w:rFonts w:hint="eastAsia" w:ascii="宋体" w:hAnsi="宋体" w:eastAsia="宋体" w:cs="宋体"/>
                <w:b w:val="0"/>
                <w:bCs/>
                <w:color w:val="auto"/>
                <w:szCs w:val="21"/>
                <w:highlight w:val="none"/>
              </w:rPr>
            </w:pPr>
          </w:p>
        </w:tc>
      </w:tr>
      <w:tr w14:paraId="19C3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7" w:hRule="atLeast"/>
        </w:trPr>
        <w:tc>
          <w:tcPr>
            <w:tcW w:w="542" w:type="dxa"/>
            <w:vMerge w:val="continue"/>
            <w:tcBorders>
              <w:left w:val="single" w:color="auto" w:sz="4" w:space="0"/>
              <w:right w:val="single" w:color="auto" w:sz="4" w:space="0"/>
            </w:tcBorders>
            <w:noWrap w:val="0"/>
            <w:vAlign w:val="center"/>
          </w:tcPr>
          <w:p w14:paraId="648BF49E">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14:paraId="0F93205B">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6971" w:type="dxa"/>
            <w:tcBorders>
              <w:right w:val="single" w:color="auto" w:sz="4" w:space="0"/>
            </w:tcBorders>
            <w:noWrap w:val="0"/>
            <w:vAlign w:val="center"/>
          </w:tcPr>
          <w:p w14:paraId="5906891B">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投标文件的报价未超过最高限价， 投标文件按照</w:t>
            </w:r>
            <w:r>
              <w:rPr>
                <w:rFonts w:hint="eastAsia" w:ascii="宋体" w:hAnsi="宋体" w:eastAsia="宋体" w:cs="宋体"/>
                <w:szCs w:val="21"/>
                <w:lang w:eastAsia="zh-CN"/>
              </w:rPr>
              <w:t>采购文件</w:t>
            </w:r>
            <w:r>
              <w:rPr>
                <w:rFonts w:hint="eastAsia" w:ascii="宋体" w:hAnsi="宋体" w:eastAsia="宋体" w:cs="宋体"/>
                <w:szCs w:val="21"/>
              </w:rPr>
              <w:t>要求进行有效报价，不存在高于最高限价或低于成本价，不存在恶意报价损害采购人利益的行为；</w:t>
            </w:r>
          </w:p>
        </w:tc>
        <w:tc>
          <w:tcPr>
            <w:tcW w:w="555" w:type="dxa"/>
            <w:tcBorders>
              <w:left w:val="single" w:color="auto" w:sz="4" w:space="0"/>
            </w:tcBorders>
            <w:noWrap w:val="0"/>
            <w:vAlign w:val="top"/>
          </w:tcPr>
          <w:p w14:paraId="4942A0DC">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762FD53E">
            <w:pPr>
              <w:shd w:val="clear" w:color="auto" w:fill="auto"/>
              <w:spacing w:line="360" w:lineRule="auto"/>
              <w:rPr>
                <w:rFonts w:hint="eastAsia" w:ascii="宋体" w:hAnsi="宋体" w:eastAsia="宋体" w:cs="宋体"/>
                <w:b w:val="0"/>
                <w:bCs/>
                <w:color w:val="auto"/>
                <w:szCs w:val="21"/>
                <w:highlight w:val="none"/>
              </w:rPr>
            </w:pPr>
          </w:p>
        </w:tc>
      </w:tr>
      <w:tr w14:paraId="2A24E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542" w:type="dxa"/>
            <w:vMerge w:val="continue"/>
            <w:tcBorders>
              <w:left w:val="single" w:color="auto" w:sz="4" w:space="0"/>
              <w:right w:val="single" w:color="auto" w:sz="4" w:space="0"/>
            </w:tcBorders>
            <w:noWrap w:val="0"/>
            <w:vAlign w:val="center"/>
          </w:tcPr>
          <w:p w14:paraId="79A5B16B">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14:paraId="62797FD4">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6971" w:type="dxa"/>
            <w:tcBorders>
              <w:right w:val="single" w:color="auto" w:sz="4" w:space="0"/>
            </w:tcBorders>
            <w:noWrap w:val="0"/>
            <w:vAlign w:val="center"/>
          </w:tcPr>
          <w:p w14:paraId="42536EE3">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投标文件未含有采购人不能接受的附加条件；</w:t>
            </w:r>
          </w:p>
        </w:tc>
        <w:tc>
          <w:tcPr>
            <w:tcW w:w="555" w:type="dxa"/>
            <w:tcBorders>
              <w:left w:val="single" w:color="auto" w:sz="4" w:space="0"/>
            </w:tcBorders>
            <w:noWrap w:val="0"/>
            <w:vAlign w:val="top"/>
          </w:tcPr>
          <w:p w14:paraId="6AEFAAF8">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5229B6E0">
            <w:pPr>
              <w:shd w:val="clear" w:color="auto" w:fill="auto"/>
              <w:spacing w:line="360" w:lineRule="auto"/>
              <w:rPr>
                <w:rFonts w:hint="eastAsia" w:ascii="宋体" w:hAnsi="宋体" w:eastAsia="宋体" w:cs="宋体"/>
                <w:b w:val="0"/>
                <w:bCs/>
                <w:color w:val="auto"/>
                <w:szCs w:val="21"/>
                <w:highlight w:val="none"/>
              </w:rPr>
            </w:pPr>
          </w:p>
        </w:tc>
      </w:tr>
      <w:tr w14:paraId="42B4A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2" w:type="dxa"/>
            <w:vMerge w:val="continue"/>
            <w:tcBorders>
              <w:left w:val="single" w:color="auto" w:sz="4" w:space="0"/>
              <w:right w:val="single" w:color="auto" w:sz="4" w:space="0"/>
            </w:tcBorders>
            <w:noWrap w:val="0"/>
            <w:vAlign w:val="center"/>
          </w:tcPr>
          <w:p w14:paraId="5D87BCE7">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14:paraId="58759251">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6971" w:type="dxa"/>
            <w:tcBorders>
              <w:right w:val="single" w:color="auto" w:sz="4" w:space="0"/>
            </w:tcBorders>
            <w:noWrap w:val="0"/>
            <w:vAlign w:val="center"/>
          </w:tcPr>
          <w:p w14:paraId="16A2F5D5">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符合法律、法规和</w:t>
            </w:r>
            <w:r>
              <w:rPr>
                <w:rFonts w:hint="eastAsia" w:ascii="宋体" w:hAnsi="宋体" w:eastAsia="宋体" w:cs="宋体"/>
                <w:szCs w:val="21"/>
                <w:lang w:eastAsia="zh-CN"/>
              </w:rPr>
              <w:t>采购文件</w:t>
            </w:r>
            <w:r>
              <w:rPr>
                <w:rFonts w:hint="eastAsia" w:ascii="宋体" w:hAnsi="宋体" w:eastAsia="宋体" w:cs="宋体"/>
                <w:szCs w:val="21"/>
              </w:rPr>
              <w:t>中规定的其他实质性要求。</w:t>
            </w:r>
          </w:p>
        </w:tc>
        <w:tc>
          <w:tcPr>
            <w:tcW w:w="555" w:type="dxa"/>
            <w:tcBorders>
              <w:left w:val="single" w:color="auto" w:sz="4" w:space="0"/>
            </w:tcBorders>
            <w:noWrap w:val="0"/>
            <w:vAlign w:val="top"/>
          </w:tcPr>
          <w:p w14:paraId="0524B478">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45B3AEA1">
            <w:pPr>
              <w:shd w:val="clear" w:color="auto" w:fill="auto"/>
              <w:spacing w:line="360" w:lineRule="auto"/>
              <w:rPr>
                <w:rFonts w:hint="eastAsia" w:ascii="宋体" w:hAnsi="宋体" w:eastAsia="宋体" w:cs="宋体"/>
                <w:b w:val="0"/>
                <w:bCs/>
                <w:color w:val="auto"/>
                <w:szCs w:val="21"/>
                <w:highlight w:val="none"/>
              </w:rPr>
            </w:pPr>
          </w:p>
        </w:tc>
      </w:tr>
      <w:tr w14:paraId="2DDD5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42" w:type="dxa"/>
            <w:tcBorders>
              <w:left w:val="single" w:color="auto" w:sz="4" w:space="0"/>
              <w:bottom w:val="single" w:color="auto" w:sz="4" w:space="0"/>
              <w:right w:val="single" w:color="auto" w:sz="4" w:space="0"/>
            </w:tcBorders>
            <w:noWrap w:val="0"/>
            <w:vAlign w:val="center"/>
          </w:tcPr>
          <w:p w14:paraId="3C125C33">
            <w:pPr>
              <w:shd w:val="clear" w:color="auto" w:fill="auto"/>
              <w:spacing w:line="360" w:lineRule="auto"/>
              <w:jc w:val="center"/>
              <w:rPr>
                <w:rFonts w:hint="eastAsia" w:ascii="宋体" w:hAnsi="宋体" w:eastAsia="宋体" w:cs="宋体"/>
                <w:b w:val="0"/>
                <w:bCs/>
                <w:color w:val="auto"/>
                <w:szCs w:val="21"/>
                <w:highlight w:val="none"/>
              </w:rPr>
            </w:pPr>
          </w:p>
        </w:tc>
        <w:tc>
          <w:tcPr>
            <w:tcW w:w="7425" w:type="dxa"/>
            <w:gridSpan w:val="2"/>
            <w:tcBorders>
              <w:left w:val="single" w:color="auto" w:sz="4" w:space="0"/>
              <w:bottom w:val="single" w:color="auto" w:sz="4" w:space="0"/>
              <w:right w:val="single" w:color="auto" w:sz="4" w:space="0"/>
            </w:tcBorders>
            <w:noWrap w:val="0"/>
            <w:vAlign w:val="top"/>
          </w:tcPr>
          <w:p w14:paraId="2DAC62E4">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结论：是否通过评审（须填写通过或不通过）</w:t>
            </w:r>
          </w:p>
          <w:p w14:paraId="1612ACDA">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注：如有一项不合格，作废标处理。</w:t>
            </w:r>
          </w:p>
        </w:tc>
        <w:tc>
          <w:tcPr>
            <w:tcW w:w="1065" w:type="dxa"/>
            <w:gridSpan w:val="2"/>
            <w:tcBorders>
              <w:left w:val="single" w:color="auto" w:sz="4" w:space="0"/>
              <w:bottom w:val="single" w:color="auto" w:sz="4" w:space="0"/>
              <w:right w:val="single" w:color="auto" w:sz="4" w:space="0"/>
            </w:tcBorders>
            <w:noWrap w:val="0"/>
            <w:vAlign w:val="top"/>
          </w:tcPr>
          <w:p w14:paraId="7159B5F6">
            <w:pPr>
              <w:shd w:val="clear" w:color="auto" w:fill="auto"/>
              <w:spacing w:line="360" w:lineRule="auto"/>
              <w:rPr>
                <w:rFonts w:hint="eastAsia" w:ascii="宋体" w:hAnsi="宋体" w:eastAsia="宋体" w:cs="宋体"/>
                <w:b w:val="0"/>
                <w:bCs/>
                <w:color w:val="auto"/>
                <w:szCs w:val="21"/>
                <w:highlight w:val="none"/>
              </w:rPr>
            </w:pPr>
          </w:p>
        </w:tc>
      </w:tr>
    </w:tbl>
    <w:p w14:paraId="34E33205">
      <w:pPr>
        <w:shd w:val="clear" w:color="auto" w:fill="auto"/>
        <w:spacing w:line="400" w:lineRule="exact"/>
        <w:rPr>
          <w:rFonts w:hint="eastAsia" w:asciiTheme="majorEastAsia" w:hAnsiTheme="majorEastAsia" w:eastAsiaTheme="majorEastAsia" w:cstheme="majorEastAsia"/>
          <w:color w:val="auto"/>
          <w:szCs w:val="21"/>
          <w:highlight w:val="none"/>
          <w:lang w:val="en-US" w:eastAsia="zh-CN"/>
        </w:rPr>
      </w:pPr>
    </w:p>
    <w:p w14:paraId="2D234952">
      <w:pPr>
        <w:shd w:val="clear" w:color="auto" w:fill="auto"/>
        <w:spacing w:line="400" w:lineRule="exact"/>
        <w:ind w:firstLine="506" w:firstLineChars="241"/>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.2评委会判定投标文件的响应性只根据投标文件本身的内容，而不寻求外部的证据，但投标有不真实不正确的内容时除外。</w:t>
      </w:r>
    </w:p>
    <w:p w14:paraId="1EB7703E">
      <w:pPr>
        <w:shd w:val="clear" w:color="auto" w:fill="auto"/>
        <w:spacing w:line="400" w:lineRule="exact"/>
        <w:ind w:firstLine="506" w:firstLineChars="241"/>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.3如果投标文件实质上没有响应</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的要求，评委会将予以拒绝，投标人不得通过修正或撤销不符合要求的偏离或保留，而使其投标成为实质上响应的投标。</w:t>
      </w:r>
    </w:p>
    <w:p w14:paraId="43DF2144">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.4投标人可在现场20分钟内对</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的评审结论提出异议，</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根据</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及有关规定对投标人的异议进行复议</w:t>
      </w:r>
    </w:p>
    <w:p w14:paraId="45EB56F5">
      <w:pPr>
        <w:shd w:val="clear" w:color="auto" w:fill="auto"/>
        <w:spacing w:line="400" w:lineRule="exact"/>
        <w:ind w:firstLine="525" w:firstLineChars="2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.5只有通过初审的投标人才能进入下一步评标程序。</w:t>
      </w:r>
    </w:p>
    <w:p w14:paraId="58C803CF">
      <w:pPr>
        <w:shd w:val="clear" w:color="auto" w:fill="auto"/>
        <w:spacing w:line="400" w:lineRule="exact"/>
        <w:ind w:firstLine="442" w:firstLineChars="200"/>
        <w:rPr>
          <w:rFonts w:hint="eastAsia" w:asciiTheme="majorEastAsia" w:hAnsiTheme="majorEastAsia" w:eastAsiaTheme="majorEastAsia" w:cstheme="majorEastAsia"/>
          <w:b/>
          <w:color w:val="auto"/>
          <w:sz w:val="32"/>
          <w:szCs w:val="32"/>
          <w:highlight w:val="yellow"/>
        </w:rPr>
      </w:pPr>
      <w:r>
        <w:rPr>
          <w:rFonts w:hint="eastAsia" w:asciiTheme="majorEastAsia" w:hAnsiTheme="majorEastAsia" w:eastAsiaTheme="majorEastAsia" w:cstheme="majorEastAsia"/>
          <w:b/>
          <w:color w:val="auto"/>
          <w:sz w:val="22"/>
          <w:szCs w:val="22"/>
          <w:highlight w:val="yellow"/>
        </w:rPr>
        <w:t>温馨提示：投标文件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74" w:name="_Toc469495734"/>
      <w:bookmarkStart w:id="75" w:name="_Toc362983803"/>
    </w:p>
    <w:p w14:paraId="0D23D792">
      <w:pPr>
        <w:shd w:val="clear" w:color="auto" w:fill="auto"/>
        <w:spacing w:line="400" w:lineRule="exact"/>
        <w:ind w:firstLine="3092" w:firstLineChars="1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8"/>
          <w:szCs w:val="28"/>
          <w:highlight w:val="none"/>
        </w:rPr>
        <w:t>三  投标文件的澄清和补正</w:t>
      </w:r>
      <w:bookmarkEnd w:id="74"/>
      <w:bookmarkEnd w:id="75"/>
    </w:p>
    <w:p w14:paraId="751FDFF4">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8．澄清、说明或补正的形式</w:t>
      </w:r>
    </w:p>
    <w:p w14:paraId="38F088B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8.1对于投标文件中含义不明确、同类问题表述不一致或者有明显文字和计算错误的内容，谈判小组将通过“政府采购云平台”在线询标的方式要求投标供应商在规定的时间内作出必要的澄清、说明或者补正，投标供应商澄清、说明或补正时间为20分钟。</w:t>
      </w:r>
    </w:p>
    <w:p w14:paraId="0659F068">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8.2投标供应商的澄清、说明或者补正应当通过“政府采购云平台”在线答复的方式提交，并加盖公章（电子印章），或者由法定代表人或其授权的代表签字。投标供应商的澄清、说明或者补正不得超出投标文件的范围或者改变投标文件的实质性内容，不接受投标供应商主动对投标文件的澄清、说明或者补正。</w:t>
      </w:r>
    </w:p>
    <w:p w14:paraId="424EF1A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B75245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9．错误修正的原则</w:t>
      </w:r>
    </w:p>
    <w:p w14:paraId="13DC0BB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036B366E">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投标文件报价出现前后不一致的，除采购文件另有规定外，按照下列规定修正：</w:t>
      </w:r>
    </w:p>
    <w:p w14:paraId="1C91A2B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9.1 投标函中表述的内容与报价表中不一致的，以报价表为准；报价表中的内容与报价明细表不一致的，以报价表为准；</w:t>
      </w:r>
    </w:p>
    <w:p w14:paraId="47D421FC">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9.2 投标文件中的大写金额和小写金额不一致的，以大写金额为准；</w:t>
      </w:r>
    </w:p>
    <w:p w14:paraId="5849E28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9.3 单价金额小数点或者百分比有明显错位的，以开标一览表的总价为准，并修改单价；</w:t>
      </w:r>
    </w:p>
    <w:p w14:paraId="3D16F427">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9.4 总价金额与按单价汇总金额不一致的，以单价金额计算结果为准；</w:t>
      </w:r>
    </w:p>
    <w:p w14:paraId="5C71FCBF">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9.5 若用文字表示的数值与用数字表示的数值不一致，以文字表示的数值为准；</w:t>
      </w:r>
    </w:p>
    <w:p w14:paraId="6B8B9BF0">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9.6 如有多报（指数量超出采购文件需求）、重报（指同一货物重复报价），其投标总价在评标过程中不予调整，如其成交，其合同价按其投标单价予以调整；</w:t>
      </w:r>
    </w:p>
    <w:p w14:paraId="445ABC6B">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9.7 对不同文字文本投标文件的解释发生异议的，以中文文本为准；</w:t>
      </w:r>
    </w:p>
    <w:p w14:paraId="005F3B9E">
      <w:pPr>
        <w:shd w:val="clear" w:color="auto" w:fill="auto"/>
        <w:spacing w:line="440" w:lineRule="exact"/>
        <w:ind w:firstLine="210" w:firstLineChars="1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1DB552A">
      <w:pPr>
        <w:shd w:val="clear" w:color="auto" w:fill="auto"/>
        <w:spacing w:before="156" w:beforeLines="50" w:line="400" w:lineRule="exact"/>
        <w:jc w:val="center"/>
        <w:outlineLvl w:val="1"/>
        <w:rPr>
          <w:rFonts w:hint="eastAsia" w:asciiTheme="majorEastAsia" w:hAnsiTheme="majorEastAsia" w:eastAsiaTheme="majorEastAsia" w:cstheme="majorEastAsia"/>
          <w:b/>
          <w:color w:val="auto"/>
          <w:sz w:val="24"/>
          <w:highlight w:val="none"/>
        </w:rPr>
      </w:pPr>
      <w:bookmarkStart w:id="76" w:name="_Toc362983805"/>
      <w:bookmarkStart w:id="77" w:name="_Toc469495736"/>
      <w:r>
        <w:rPr>
          <w:rFonts w:hint="eastAsia" w:asciiTheme="majorEastAsia" w:hAnsiTheme="majorEastAsia" w:eastAsiaTheme="majorEastAsia" w:cstheme="majorEastAsia"/>
          <w:b/>
          <w:color w:val="auto"/>
          <w:sz w:val="24"/>
          <w:highlight w:val="none"/>
          <w:lang w:val="en-US" w:eastAsia="zh-CN"/>
        </w:rPr>
        <w:t>四</w:t>
      </w:r>
      <w:r>
        <w:rPr>
          <w:rFonts w:hint="eastAsia" w:asciiTheme="majorEastAsia" w:hAnsiTheme="majorEastAsia" w:eastAsiaTheme="majorEastAsia" w:cstheme="majorEastAsia"/>
          <w:b/>
          <w:color w:val="auto"/>
          <w:sz w:val="24"/>
          <w:highlight w:val="none"/>
          <w:lang w:eastAsia="zh-CN"/>
        </w:rPr>
        <w:t>、</w:t>
      </w:r>
      <w:r>
        <w:rPr>
          <w:rFonts w:hint="eastAsia" w:asciiTheme="majorEastAsia" w:hAnsiTheme="majorEastAsia" w:eastAsiaTheme="majorEastAsia" w:cstheme="majorEastAsia"/>
          <w:b/>
          <w:color w:val="auto"/>
          <w:sz w:val="24"/>
          <w:highlight w:val="none"/>
        </w:rPr>
        <w:t>推荐</w:t>
      </w:r>
      <w:r>
        <w:rPr>
          <w:rFonts w:hint="eastAsia" w:asciiTheme="majorEastAsia" w:hAnsiTheme="majorEastAsia" w:eastAsiaTheme="majorEastAsia" w:cstheme="majorEastAsia"/>
          <w:b/>
          <w:color w:val="auto"/>
          <w:sz w:val="24"/>
          <w:highlight w:val="none"/>
          <w:lang w:val="en-US" w:eastAsia="zh-CN"/>
        </w:rPr>
        <w:t>成交</w:t>
      </w:r>
      <w:r>
        <w:rPr>
          <w:rFonts w:hint="eastAsia" w:asciiTheme="majorEastAsia" w:hAnsiTheme="majorEastAsia" w:eastAsiaTheme="majorEastAsia" w:cstheme="majorEastAsia"/>
          <w:b/>
          <w:color w:val="auto"/>
          <w:sz w:val="24"/>
          <w:highlight w:val="none"/>
        </w:rPr>
        <w:t>候选人</w:t>
      </w:r>
    </w:p>
    <w:p w14:paraId="38454C5F">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11.1</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推荐</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名</w:t>
      </w:r>
      <w:r>
        <w:rPr>
          <w:rFonts w:hint="eastAsia" w:asciiTheme="majorEastAsia" w:hAnsiTheme="majorEastAsia" w:eastAsiaTheme="majorEastAsia" w:cstheme="majorEastAsia"/>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候选人，并标明排序。</w:t>
      </w:r>
    </w:p>
    <w:p w14:paraId="7B01461A">
      <w:pPr>
        <w:shd w:val="clear" w:color="auto" w:fill="auto"/>
        <w:snapToGrid w:val="0"/>
        <w:spacing w:line="400" w:lineRule="exact"/>
        <w:ind w:firstLine="420" w:firstLineChars="200"/>
        <w:rPr>
          <w:rFonts w:hint="eastAsia" w:eastAsia="宋体" w:asciiTheme="majorEastAsia" w:hAnsi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11.2</w:t>
      </w:r>
      <w:r>
        <w:rPr>
          <w:rFonts w:hint="eastAsia" w:asciiTheme="majorEastAsia" w:hAnsiTheme="majorEastAsia" w:eastAsiaTheme="majorEastAsia" w:cstheme="majorEastAsia"/>
          <w:color w:val="auto"/>
          <w:szCs w:val="21"/>
          <w:highlight w:val="none"/>
        </w:rPr>
        <w:t>若出现最低评标价相同时,按投标报价由低到高的方式确定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候选人排序</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如果评标价相同且最低最终报价也相同，根据技术指标优劣顺序确定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如果技术指标也相同，评标委员会应按照少数服从多数的原则进行投票表决，确定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w:t>
      </w:r>
      <w:r>
        <w:rPr>
          <w:rFonts w:hint="eastAsia" w:asciiTheme="majorEastAsia" w:hAnsiTheme="majorEastAsia" w:eastAsiaTheme="majorEastAsia" w:cstheme="majorEastAsia"/>
          <w:color w:val="auto"/>
          <w:szCs w:val="21"/>
          <w:highlight w:val="none"/>
          <w:lang w:eastAsia="zh-CN"/>
        </w:rPr>
        <w:t>。</w:t>
      </w:r>
      <w:r>
        <w:rPr>
          <w:rFonts w:ascii="Arial" w:hAnsi="Arial" w:eastAsia="Arial" w:cs="Arial"/>
          <w:i w:val="0"/>
          <w:iCs w:val="0"/>
          <w:caps w:val="0"/>
          <w:color w:val="333333"/>
          <w:spacing w:val="0"/>
          <w:sz w:val="14"/>
          <w:szCs w:val="14"/>
          <w:shd w:val="clear" w:fill="FFFFFF"/>
        </w:rPr>
        <w:t>‌</w:t>
      </w:r>
    </w:p>
    <w:p w14:paraId="292F4908">
      <w:pPr>
        <w:shd w:val="clear" w:color="auto" w:fill="auto"/>
        <w:snapToGrid w:val="0"/>
        <w:spacing w:line="400" w:lineRule="exact"/>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12.</w:t>
      </w:r>
      <w:r>
        <w:rPr>
          <w:rFonts w:hint="eastAsia" w:asciiTheme="majorEastAsia" w:hAnsiTheme="majorEastAsia" w:eastAsiaTheme="majorEastAsia" w:cstheme="majorEastAsia"/>
          <w:b/>
          <w:color w:val="auto"/>
          <w:szCs w:val="21"/>
          <w:highlight w:val="none"/>
        </w:rPr>
        <w:t>无效投标条款</w:t>
      </w:r>
    </w:p>
    <w:p w14:paraId="78463705">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12</w:t>
      </w:r>
      <w:r>
        <w:rPr>
          <w:rFonts w:hint="eastAsia" w:asciiTheme="majorEastAsia" w:hAnsiTheme="majorEastAsia" w:eastAsiaTheme="majorEastAsia" w:cstheme="majorEastAsia"/>
          <w:color w:val="auto"/>
          <w:szCs w:val="21"/>
          <w:highlight w:val="none"/>
        </w:rPr>
        <w:t>.1投标文件有下列情形之一的,其投标文件拒收:</w:t>
      </w:r>
    </w:p>
    <w:p w14:paraId="22457BC2">
      <w:pPr>
        <w:shd w:val="clear" w:color="auto" w:fill="auto"/>
        <w:snapToGrid w:val="0"/>
        <w:spacing w:line="400" w:lineRule="exact"/>
        <w:ind w:firstLine="422" w:firstLineChars="20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lang w:eastAsia="zh-CN"/>
        </w:rPr>
        <w:t>（</w:t>
      </w:r>
      <w:r>
        <w:rPr>
          <w:rFonts w:hint="eastAsia" w:asciiTheme="majorEastAsia" w:hAnsiTheme="majorEastAsia" w:eastAsiaTheme="majorEastAsia" w:cstheme="majorEastAsia"/>
          <w:b/>
          <w:bCs/>
          <w:color w:val="auto"/>
          <w:szCs w:val="21"/>
          <w:highlight w:val="none"/>
          <w:lang w:val="en-US" w:eastAsia="zh-CN"/>
        </w:rPr>
        <w:t>1</w:t>
      </w:r>
      <w:r>
        <w:rPr>
          <w:rFonts w:hint="eastAsia" w:asciiTheme="majorEastAsia" w:hAnsiTheme="majorEastAsia" w:eastAsiaTheme="majorEastAsia" w:cstheme="majorEastAsia"/>
          <w:b/>
          <w:bCs/>
          <w:color w:val="auto"/>
          <w:szCs w:val="21"/>
          <w:highlight w:val="none"/>
          <w:lang w:eastAsia="zh-CN"/>
        </w:rPr>
        <w:t>）</w:t>
      </w:r>
      <w:r>
        <w:rPr>
          <w:rFonts w:hint="eastAsia" w:asciiTheme="majorEastAsia" w:hAnsiTheme="majorEastAsia" w:eastAsiaTheme="majorEastAsia" w:cstheme="majorEastAsia"/>
          <w:b/>
          <w:bCs/>
          <w:color w:val="auto"/>
          <w:szCs w:val="21"/>
          <w:highlight w:val="none"/>
        </w:rPr>
        <w:t>未在开标截止时间前通过网上招标投标系统递交有效电子投标文件的，开标系统不予接收。</w:t>
      </w:r>
    </w:p>
    <w:p w14:paraId="1F03C986">
      <w:pPr>
        <w:shd w:val="clear" w:color="auto" w:fill="auto"/>
        <w:snapToGrid w:val="0"/>
        <w:spacing w:line="400" w:lineRule="exact"/>
        <w:ind w:firstLine="422" w:firstLineChars="20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（2）</w:t>
      </w:r>
      <w:r>
        <w:rPr>
          <w:rFonts w:hint="eastAsia" w:asciiTheme="majorEastAsia" w:hAnsiTheme="majorEastAsia" w:eastAsiaTheme="majorEastAsia" w:cstheme="majorEastAsia"/>
          <w:b/>
          <w:color w:val="auto"/>
          <w:szCs w:val="21"/>
          <w:highlight w:val="none"/>
        </w:rPr>
        <w:t>所有投标人应在规定时间里完成投标文件的解密工作</w:t>
      </w:r>
      <w:r>
        <w:rPr>
          <w:rFonts w:hint="eastAsia" w:asciiTheme="majorEastAsia" w:hAnsiTheme="majorEastAsia" w:eastAsiaTheme="majorEastAsia" w:cstheme="majorEastAsia"/>
          <w:b/>
          <w:bCs/>
          <w:color w:val="auto"/>
          <w:szCs w:val="21"/>
          <w:highlight w:val="none"/>
        </w:rPr>
        <w:t>【投标人</w:t>
      </w:r>
      <w:r>
        <w:rPr>
          <w:rFonts w:hint="eastAsia" w:asciiTheme="majorEastAsia" w:hAnsiTheme="majorEastAsia" w:eastAsiaTheme="majorEastAsia" w:cstheme="majorEastAsia"/>
          <w:b/>
          <w:bCs/>
          <w:color w:val="auto"/>
          <w:szCs w:val="21"/>
          <w:highlight w:val="none"/>
          <w:lang w:eastAsia="zh-CN"/>
        </w:rPr>
        <w:t>使用</w:t>
      </w:r>
      <w:r>
        <w:rPr>
          <w:rFonts w:hint="eastAsia" w:asciiTheme="majorEastAsia" w:hAnsiTheme="majorEastAsia" w:eastAsiaTheme="majorEastAsia" w:cstheme="majorEastAsia"/>
          <w:b/>
          <w:bCs/>
          <w:color w:val="auto"/>
          <w:szCs w:val="21"/>
          <w:highlight w:val="none"/>
        </w:rPr>
        <w:t>其有效加密</w:t>
      </w:r>
    </w:p>
    <w:p w14:paraId="1928317D">
      <w:pPr>
        <w:shd w:val="clear" w:color="auto" w:fill="auto"/>
        <w:snapToGrid w:val="0"/>
        <w:spacing w:line="400" w:lineRule="exact"/>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锁（CA锁）</w:t>
      </w:r>
      <w:r>
        <w:rPr>
          <w:rFonts w:hint="eastAsia" w:asciiTheme="majorEastAsia" w:hAnsiTheme="majorEastAsia" w:eastAsiaTheme="majorEastAsia" w:cstheme="majorEastAsia"/>
          <w:b/>
          <w:bCs/>
          <w:color w:val="auto"/>
          <w:szCs w:val="21"/>
          <w:highlight w:val="none"/>
          <w:lang w:eastAsia="zh-CN"/>
        </w:rPr>
        <w:t>进行</w:t>
      </w:r>
      <w:r>
        <w:rPr>
          <w:rFonts w:hint="eastAsia" w:asciiTheme="majorEastAsia" w:hAnsiTheme="majorEastAsia" w:eastAsiaTheme="majorEastAsia" w:cstheme="majorEastAsia"/>
          <w:b/>
          <w:bCs/>
          <w:color w:val="auto"/>
          <w:szCs w:val="21"/>
          <w:highlight w:val="none"/>
        </w:rPr>
        <w:t>解密（因投标人原因未能提供有效CA锁对其投标文件进行解密的，其投标文件按无效标处理），以网上招投标系统解密倒计时为准】</w:t>
      </w:r>
      <w:r>
        <w:rPr>
          <w:rFonts w:hint="eastAsia" w:asciiTheme="majorEastAsia" w:hAnsiTheme="majorEastAsia" w:eastAsiaTheme="majorEastAsia" w:cstheme="majorEastAsia"/>
          <w:b/>
          <w:color w:val="auto"/>
          <w:szCs w:val="21"/>
          <w:highlight w:val="none"/>
        </w:rPr>
        <w:t>，因系统原因未能成功解密的投标文件，可导入</w:t>
      </w:r>
      <w:r>
        <w:rPr>
          <w:rFonts w:hint="eastAsia" w:asciiTheme="majorEastAsia" w:hAnsiTheme="majorEastAsia" w:eastAsiaTheme="majorEastAsia" w:cstheme="majorEastAsia"/>
          <w:b/>
          <w:color w:val="auto"/>
          <w:szCs w:val="21"/>
          <w:highlight w:val="none"/>
          <w:lang w:eastAsia="zh-CN"/>
        </w:rPr>
        <w:t>备份投标文件</w:t>
      </w:r>
      <w:r>
        <w:rPr>
          <w:rFonts w:hint="eastAsia" w:asciiTheme="majorEastAsia" w:hAnsiTheme="majorEastAsia" w:eastAsiaTheme="majorEastAsia" w:cstheme="majorEastAsia"/>
          <w:b/>
          <w:color w:val="auto"/>
          <w:szCs w:val="21"/>
          <w:highlight w:val="none"/>
        </w:rPr>
        <w:t>。</w:t>
      </w:r>
      <w:r>
        <w:rPr>
          <w:rFonts w:hint="eastAsia" w:asciiTheme="majorEastAsia" w:hAnsiTheme="majorEastAsia" w:eastAsiaTheme="majorEastAsia" w:cstheme="majorEastAsia"/>
          <w:b/>
          <w:color w:val="auto"/>
          <w:szCs w:val="21"/>
          <w:highlight w:val="none"/>
          <w:lang w:eastAsia="zh-CN"/>
        </w:rPr>
        <w:t>备份投标文件</w:t>
      </w:r>
      <w:r>
        <w:rPr>
          <w:rFonts w:hint="eastAsia" w:asciiTheme="majorEastAsia" w:hAnsiTheme="majorEastAsia" w:eastAsiaTheme="majorEastAsia" w:cstheme="majorEastAsia"/>
          <w:b/>
          <w:color w:val="auto"/>
          <w:szCs w:val="21"/>
          <w:highlight w:val="none"/>
        </w:rPr>
        <w:t>也无法导入的，则投标文件被否决。</w:t>
      </w:r>
    </w:p>
    <w:p w14:paraId="1BF6E37D">
      <w:pPr>
        <w:shd w:val="clear" w:color="auto" w:fill="auto"/>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12</w:t>
      </w:r>
      <w:r>
        <w:rPr>
          <w:rFonts w:hint="eastAsia" w:asciiTheme="majorEastAsia" w:hAnsiTheme="majorEastAsia" w:eastAsiaTheme="majorEastAsia" w:cstheme="majorEastAsia"/>
          <w:color w:val="auto"/>
          <w:szCs w:val="21"/>
          <w:highlight w:val="none"/>
        </w:rPr>
        <w:t>.2投标人有下列情形之一的,资格审查后其投标作无效投标处理：</w:t>
      </w:r>
    </w:p>
    <w:p w14:paraId="106B7BA7">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(1)投标人为本项目提供招标代理服务的；</w:t>
      </w:r>
    </w:p>
    <w:p w14:paraId="425B0053">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)投标人与在本项目代理机构存在相互任职或工作的；</w:t>
      </w:r>
    </w:p>
    <w:p w14:paraId="74DF3F4E">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)投标保证金未按规定要求缴纳的；</w:t>
      </w:r>
    </w:p>
    <w:p w14:paraId="1469667B">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)评标专家无法查看并检验电子标书中相关资料的；</w:t>
      </w:r>
    </w:p>
    <w:p w14:paraId="20603129">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)联合体投标未提交联合体协议的；</w:t>
      </w:r>
    </w:p>
    <w:p w14:paraId="15DD5295">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)被暂停营业的；</w:t>
      </w:r>
    </w:p>
    <w:p w14:paraId="4230C910">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)被暂停或取消投标资格的；</w:t>
      </w:r>
    </w:p>
    <w:p w14:paraId="7602201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8</w:t>
      </w:r>
      <w:r>
        <w:rPr>
          <w:rFonts w:hint="eastAsia" w:asciiTheme="majorEastAsia" w:hAnsiTheme="majorEastAsia" w:eastAsiaTheme="majorEastAsia" w:cstheme="majorEastAsia"/>
          <w:color w:val="auto"/>
          <w:szCs w:val="21"/>
          <w:highlight w:val="none"/>
        </w:rPr>
        <w:t>)财产被接管或冻结的；</w:t>
      </w:r>
    </w:p>
    <w:p w14:paraId="0E822C86">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9</w:t>
      </w:r>
      <w:r>
        <w:rPr>
          <w:rFonts w:hint="eastAsia" w:asciiTheme="majorEastAsia" w:hAnsiTheme="majorEastAsia" w:eastAsiaTheme="majorEastAsia" w:cstheme="majorEastAsia"/>
          <w:color w:val="auto"/>
          <w:szCs w:val="21"/>
          <w:highlight w:val="none"/>
        </w:rPr>
        <w:t>)投标人单位负责人为同一人或者存在控股、管理关系的不同单位的；</w:t>
      </w:r>
    </w:p>
    <w:p w14:paraId="1D356B60">
      <w:pPr>
        <w:shd w:val="clear" w:color="auto" w:fill="auto"/>
        <w:snapToGrid w:val="0"/>
        <w:spacing w:line="400" w:lineRule="exact"/>
        <w:ind w:firstLine="315" w:firstLineChars="15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10</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投标人基本资格条件和特定资格条件中有一项及以上不符合要求的；</w:t>
      </w:r>
    </w:p>
    <w:p w14:paraId="0F46BD70">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）投标人使用相同的MAC地址进行报名的；</w:t>
      </w:r>
    </w:p>
    <w:p w14:paraId="40A4C904">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）其它情形，经</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委提出按无效投标处理，并经监督部门核准的；</w:t>
      </w:r>
    </w:p>
    <w:p w14:paraId="4ECD27F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）投标人使用相同IP地址报名的，一经发现，监管部门将进一步核实，查实后按串通投标处理；</w:t>
      </w:r>
    </w:p>
    <w:p w14:paraId="10AA76E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规定的其它无效投标情形。</w:t>
      </w:r>
    </w:p>
    <w:p w14:paraId="0A8EF346">
      <w:pPr>
        <w:shd w:val="clear" w:color="auto" w:fill="auto"/>
        <w:snapToGrid w:val="0"/>
        <w:spacing w:line="400" w:lineRule="exact"/>
        <w:ind w:firstLine="422" w:firstLineChars="20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lang w:val="en-US" w:eastAsia="zh-CN"/>
        </w:rPr>
        <w:t>12</w:t>
      </w:r>
      <w:r>
        <w:rPr>
          <w:rFonts w:hint="eastAsia" w:asciiTheme="majorEastAsia" w:hAnsiTheme="majorEastAsia" w:eastAsiaTheme="majorEastAsia" w:cstheme="majorEastAsia"/>
          <w:b/>
          <w:bCs/>
          <w:color w:val="auto"/>
          <w:szCs w:val="21"/>
          <w:highlight w:val="none"/>
        </w:rPr>
        <w:t>.3 投标人有下列情形之一的,符合性审查后其投标按无效投标处理：</w:t>
      </w:r>
    </w:p>
    <w:p w14:paraId="1B7D0F11">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(1)投标文件签字、盖章不全，经</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一致认定对开评标内容有实质性影响并经监督部门核准的；</w:t>
      </w:r>
    </w:p>
    <w:p w14:paraId="743608AB">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2</w:t>
      </w:r>
      <w:r>
        <w:rPr>
          <w:rFonts w:hint="eastAsia" w:asciiTheme="majorEastAsia" w:hAnsiTheme="majorEastAsia" w:eastAsiaTheme="majorEastAsia" w:cstheme="majorEastAsia"/>
          <w:b/>
          <w:bCs/>
          <w:color w:val="auto"/>
          <w:szCs w:val="21"/>
          <w:highlight w:val="none"/>
        </w:rPr>
        <w:t>)未按规定的格式填写，实质性内容不全或关键字迹模糊、无法辨认; 经监督部门核准的；</w:t>
      </w:r>
    </w:p>
    <w:p w14:paraId="75073743">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3</w:t>
      </w:r>
      <w:r>
        <w:rPr>
          <w:rFonts w:hint="eastAsia" w:asciiTheme="majorEastAsia" w:hAnsiTheme="majorEastAsia" w:eastAsiaTheme="majorEastAsia" w:cstheme="majorEastAsia"/>
          <w:b/>
          <w:bCs/>
          <w:color w:val="auto"/>
          <w:szCs w:val="21"/>
          <w:highlight w:val="none"/>
        </w:rPr>
        <w:t>)同一投标人提交两个以上不同的投标文件或者投标报价，但</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规定提交备选方案的除外；</w:t>
      </w:r>
    </w:p>
    <w:p w14:paraId="3C972339">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4</w:t>
      </w:r>
      <w:r>
        <w:rPr>
          <w:rFonts w:hint="eastAsia" w:asciiTheme="majorEastAsia" w:hAnsiTheme="majorEastAsia" w:eastAsiaTheme="majorEastAsia" w:cstheme="majorEastAsia"/>
          <w:b/>
          <w:bCs/>
          <w:color w:val="auto"/>
          <w:szCs w:val="21"/>
          <w:highlight w:val="none"/>
        </w:rPr>
        <w:t>)投标文件没有对</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的实质性要求和条件作出响应;</w:t>
      </w:r>
    </w:p>
    <w:p w14:paraId="3D488CEC">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5</w:t>
      </w:r>
      <w:r>
        <w:rPr>
          <w:rFonts w:hint="eastAsia" w:asciiTheme="majorEastAsia" w:hAnsiTheme="majorEastAsia" w:eastAsiaTheme="majorEastAsia" w:cstheme="majorEastAsia"/>
          <w:b/>
          <w:bCs/>
          <w:color w:val="auto"/>
          <w:szCs w:val="21"/>
          <w:highlight w:val="none"/>
        </w:rPr>
        <w:t>)投标报价超出规定的投标限价的；</w:t>
      </w:r>
    </w:p>
    <w:p w14:paraId="5CD2B2FC">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6</w:t>
      </w:r>
      <w:r>
        <w:rPr>
          <w:rFonts w:hint="eastAsia" w:asciiTheme="majorEastAsia" w:hAnsiTheme="majorEastAsia" w:eastAsiaTheme="majorEastAsia" w:cstheme="majorEastAsia"/>
          <w:b/>
          <w:bCs/>
          <w:color w:val="auto"/>
          <w:szCs w:val="21"/>
          <w:highlight w:val="none"/>
        </w:rPr>
        <w:t>)不按</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要求澄清、说明或补正的，或者</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根据</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的规定对</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的计算错误进行修正后，投标人不接受修正的投标报价的。</w:t>
      </w:r>
    </w:p>
    <w:p w14:paraId="5CCF5201">
      <w:pPr>
        <w:shd w:val="clear" w:color="auto" w:fill="auto"/>
        <w:kinsoku/>
        <w:topLinePunct w:val="0"/>
        <w:bidi w:val="0"/>
        <w:snapToGrid w:val="0"/>
        <w:spacing w:line="380" w:lineRule="exact"/>
        <w:ind w:firstLine="422"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7</w:t>
      </w:r>
      <w:r>
        <w:rPr>
          <w:rFonts w:hint="eastAsia" w:asciiTheme="majorEastAsia" w:hAnsiTheme="majorEastAsia" w:eastAsiaTheme="majorEastAsia" w:cstheme="majorEastAsia"/>
          <w:b/>
          <w:bCs/>
          <w:color w:val="auto"/>
          <w:szCs w:val="21"/>
          <w:highlight w:val="none"/>
        </w:rPr>
        <w:t>）其它情形，经</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委提出按无效投标处理，并经监督部门核准的；</w:t>
      </w:r>
    </w:p>
    <w:p w14:paraId="2975632A">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8</w:t>
      </w:r>
      <w:r>
        <w:rPr>
          <w:rFonts w:hint="eastAsia" w:asciiTheme="majorEastAsia" w:hAnsiTheme="majorEastAsia" w:eastAsiaTheme="majorEastAsia" w:cstheme="majorEastAsia"/>
          <w:b/>
          <w:bCs/>
          <w:color w:val="auto"/>
          <w:szCs w:val="21"/>
          <w:highlight w:val="none"/>
        </w:rPr>
        <w:t>）未按照</w:t>
      </w:r>
      <w:r>
        <w:rPr>
          <w:rFonts w:hint="eastAsia" w:asciiTheme="majorEastAsia" w:hAnsiTheme="majorEastAsia" w:eastAsiaTheme="majorEastAsia" w:cstheme="majorEastAsia"/>
          <w:b/>
          <w:bCs/>
          <w:color w:val="auto"/>
          <w:szCs w:val="21"/>
          <w:highlight w:val="none"/>
          <w:lang w:eastAsia="zh-CN"/>
        </w:rPr>
        <w:t>谈判文件</w:t>
      </w:r>
      <w:r>
        <w:rPr>
          <w:rFonts w:hint="eastAsia" w:asciiTheme="majorEastAsia" w:hAnsiTheme="majorEastAsia" w:eastAsiaTheme="majorEastAsia" w:cstheme="majorEastAsia"/>
          <w:b/>
          <w:bCs/>
          <w:color w:val="auto"/>
          <w:szCs w:val="21"/>
          <w:highlight w:val="none"/>
        </w:rPr>
        <w:t>的规定提交投标保证金的；</w:t>
      </w:r>
    </w:p>
    <w:p w14:paraId="4A03CD46">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9</w:t>
      </w:r>
      <w:r>
        <w:rPr>
          <w:rFonts w:hint="eastAsia" w:asciiTheme="majorEastAsia" w:hAnsiTheme="majorEastAsia" w:eastAsiaTheme="majorEastAsia" w:cstheme="majorEastAsia"/>
          <w:b/>
          <w:bCs/>
          <w:color w:val="auto"/>
          <w:szCs w:val="21"/>
          <w:highlight w:val="none"/>
        </w:rPr>
        <w:t>）投标文件含有采购人不能接受的附加条件的;</w:t>
      </w:r>
    </w:p>
    <w:p w14:paraId="36F2D663">
      <w:pPr>
        <w:shd w:val="clear" w:color="auto" w:fill="auto"/>
        <w:snapToGrid w:val="0"/>
        <w:spacing w:line="400" w:lineRule="exact"/>
        <w:ind w:firstLine="422"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10</w:t>
      </w: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规定的其它无效投标情形。</w:t>
      </w:r>
    </w:p>
    <w:p w14:paraId="4B24D597">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12</w:t>
      </w:r>
      <w:r>
        <w:rPr>
          <w:rFonts w:hint="eastAsia" w:asciiTheme="majorEastAsia" w:hAnsiTheme="majorEastAsia" w:eastAsiaTheme="majorEastAsia" w:cstheme="majorEastAsia"/>
          <w:color w:val="auto"/>
          <w:szCs w:val="21"/>
          <w:highlight w:val="none"/>
        </w:rPr>
        <w:t>.4 投标人有下列情形之一的, 详细评审后其投标按无效投标处理：</w:t>
      </w:r>
    </w:p>
    <w:p w14:paraId="36D0A85C">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投标产品不符合必须强制执行的国家标准的；</w:t>
      </w:r>
    </w:p>
    <w:p w14:paraId="51167976">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投标人有串通投标、弄虚作假、行贿等违法行为；</w:t>
      </w:r>
    </w:p>
    <w:p w14:paraId="3D8C9FA7">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投标文件含有违反国家法律、法规的内容，或附有招标人不能接受的条件的；</w:t>
      </w:r>
    </w:p>
    <w:p w14:paraId="1AD62196">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在同一项目（或同一标段）中有多个投标人有效投标报价接近最高限价，且</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认为报价出现异常的，可以宣布其投标无效；</w:t>
      </w:r>
    </w:p>
    <w:p w14:paraId="4236CFA9">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（5）报价明显低于其他投标人，且不能证明报价合理性的投标无效；</w:t>
      </w:r>
    </w:p>
    <w:p w14:paraId="2B75719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（6）拒不确认</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评审修正的投标无效；</w:t>
      </w:r>
    </w:p>
    <w:p w14:paraId="7E7F477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（7）其它情形，经</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委提出按无效投标处理，并经监督部门核准的；</w:t>
      </w:r>
    </w:p>
    <w:p w14:paraId="20A7C519">
      <w:pPr>
        <w:shd w:val="clear" w:color="auto" w:fill="auto"/>
        <w:snapToGrid w:val="0"/>
        <w:spacing w:line="400" w:lineRule="exact"/>
        <w:ind w:firstLine="420" w:firstLineChars="200"/>
        <w:rPr>
          <w:rFonts w:hint="eastAsia" w:asciiTheme="majorEastAsia" w:hAnsiTheme="majorEastAsia" w:eastAsiaTheme="majorEastAsia" w:cstheme="majorEastAsia"/>
          <w:b/>
          <w:bCs/>
          <w:kern w:val="2"/>
          <w:sz w:val="30"/>
          <w:szCs w:val="30"/>
          <w:highlight w:val="none"/>
          <w:lang w:val="en-US" w:eastAsia="zh-CN" w:bidi="ar-SA"/>
        </w:rPr>
      </w:pPr>
      <w:r>
        <w:rPr>
          <w:rFonts w:hint="eastAsia" w:asciiTheme="majorEastAsia" w:hAnsiTheme="majorEastAsia" w:eastAsiaTheme="majorEastAsia" w:cstheme="majorEastAsia"/>
          <w:color w:val="auto"/>
          <w:szCs w:val="21"/>
          <w:highlight w:val="none"/>
        </w:rPr>
        <w:t>（8）</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规定的其它无效投标情形。</w:t>
      </w:r>
      <w:bookmarkEnd w:id="72"/>
      <w:bookmarkEnd w:id="73"/>
      <w:bookmarkEnd w:id="76"/>
      <w:bookmarkEnd w:id="77"/>
    </w:p>
    <w:p w14:paraId="1C16B882">
      <w:pPr>
        <w:pStyle w:val="26"/>
        <w:rPr>
          <w:rFonts w:hint="eastAsia" w:asciiTheme="majorEastAsia" w:hAnsiTheme="majorEastAsia" w:eastAsiaTheme="majorEastAsia" w:cstheme="majorEastAsia"/>
          <w:b/>
          <w:bCs/>
          <w:kern w:val="2"/>
          <w:sz w:val="30"/>
          <w:szCs w:val="30"/>
          <w:highlight w:val="none"/>
          <w:lang w:val="en-US" w:eastAsia="zh-CN" w:bidi="ar-SA"/>
        </w:rPr>
      </w:pPr>
    </w:p>
    <w:p w14:paraId="4D4E64DB">
      <w:pPr>
        <w:pStyle w:val="2"/>
        <w:tabs>
          <w:tab w:val="left" w:pos="1826"/>
        </w:tabs>
        <w:spacing w:before="49"/>
        <w:jc w:val="center"/>
        <w:rPr>
          <w:rFonts w:hint="eastAsia" w:asciiTheme="majorEastAsia" w:hAnsiTheme="majorEastAsia" w:eastAsiaTheme="majorEastAsia" w:cstheme="majorEastAsia"/>
          <w:b/>
          <w:bCs/>
          <w:kern w:val="2"/>
          <w:sz w:val="30"/>
          <w:szCs w:val="30"/>
          <w:highlight w:val="none"/>
          <w:lang w:val="en-US" w:eastAsia="zh-CN" w:bidi="ar-SA"/>
        </w:rPr>
      </w:pPr>
    </w:p>
    <w:p w14:paraId="54832D93">
      <w:pPr>
        <w:rPr>
          <w:rFonts w:hint="eastAsia" w:asciiTheme="majorEastAsia" w:hAnsiTheme="majorEastAsia" w:eastAsiaTheme="majorEastAsia" w:cstheme="majorEastAsia"/>
          <w:b/>
          <w:bCs/>
          <w:kern w:val="2"/>
          <w:sz w:val="30"/>
          <w:szCs w:val="30"/>
          <w:highlight w:val="none"/>
          <w:lang w:val="en-US" w:eastAsia="zh-CN" w:bidi="ar-SA"/>
        </w:rPr>
      </w:pPr>
    </w:p>
    <w:p w14:paraId="50A1BA02">
      <w:pPr>
        <w:pStyle w:val="10"/>
        <w:rPr>
          <w:rFonts w:hint="eastAsia" w:asciiTheme="majorEastAsia" w:hAnsiTheme="majorEastAsia" w:eastAsiaTheme="majorEastAsia" w:cstheme="majorEastAsia"/>
          <w:b/>
          <w:bCs/>
          <w:kern w:val="2"/>
          <w:sz w:val="30"/>
          <w:szCs w:val="30"/>
          <w:highlight w:val="none"/>
          <w:lang w:val="en-US" w:eastAsia="zh-CN" w:bidi="ar-SA"/>
        </w:rPr>
      </w:pPr>
    </w:p>
    <w:p w14:paraId="789571EE">
      <w:pPr>
        <w:pStyle w:val="11"/>
        <w:rPr>
          <w:rFonts w:hint="eastAsia" w:asciiTheme="majorEastAsia" w:hAnsiTheme="majorEastAsia" w:eastAsiaTheme="majorEastAsia" w:cstheme="majorEastAsia"/>
          <w:b/>
          <w:bCs/>
          <w:kern w:val="2"/>
          <w:sz w:val="30"/>
          <w:szCs w:val="30"/>
          <w:highlight w:val="none"/>
          <w:lang w:val="en-US" w:eastAsia="zh-CN" w:bidi="ar-SA"/>
        </w:rPr>
      </w:pPr>
    </w:p>
    <w:p w14:paraId="2C2DD544">
      <w:pPr>
        <w:rPr>
          <w:rFonts w:hint="eastAsia" w:asciiTheme="majorEastAsia" w:hAnsiTheme="majorEastAsia" w:eastAsiaTheme="majorEastAsia" w:cstheme="majorEastAsia"/>
          <w:b/>
          <w:bCs/>
          <w:kern w:val="2"/>
          <w:sz w:val="30"/>
          <w:szCs w:val="30"/>
          <w:highlight w:val="none"/>
          <w:lang w:val="en-US" w:eastAsia="zh-CN" w:bidi="ar-SA"/>
        </w:rPr>
      </w:pPr>
    </w:p>
    <w:p w14:paraId="2ABF9FBB">
      <w:pPr>
        <w:rPr>
          <w:rFonts w:hint="eastAsia" w:asciiTheme="majorEastAsia" w:hAnsiTheme="majorEastAsia" w:eastAsiaTheme="majorEastAsia" w:cstheme="majorEastAsia"/>
          <w:b/>
          <w:bCs/>
          <w:kern w:val="2"/>
          <w:sz w:val="30"/>
          <w:szCs w:val="30"/>
          <w:highlight w:val="none"/>
          <w:lang w:val="en-US" w:eastAsia="zh-CN" w:bidi="ar-SA"/>
        </w:rPr>
      </w:pPr>
    </w:p>
    <w:p w14:paraId="2649C85F">
      <w:pPr>
        <w:rPr>
          <w:rFonts w:hint="eastAsia" w:asciiTheme="majorEastAsia" w:hAnsiTheme="majorEastAsia" w:eastAsiaTheme="majorEastAsia" w:cstheme="majorEastAsia"/>
          <w:b/>
          <w:bCs/>
          <w:kern w:val="2"/>
          <w:sz w:val="30"/>
          <w:szCs w:val="30"/>
          <w:highlight w:val="none"/>
          <w:lang w:val="en-US" w:eastAsia="zh-CN" w:bidi="ar-SA"/>
        </w:rPr>
      </w:pPr>
    </w:p>
    <w:p w14:paraId="144FF52C">
      <w:pPr>
        <w:rPr>
          <w:rFonts w:hint="eastAsia" w:asciiTheme="majorEastAsia" w:hAnsiTheme="majorEastAsia" w:eastAsiaTheme="majorEastAsia" w:cstheme="majorEastAsia"/>
          <w:b/>
          <w:bCs/>
          <w:kern w:val="2"/>
          <w:sz w:val="30"/>
          <w:szCs w:val="30"/>
          <w:highlight w:val="none"/>
          <w:lang w:val="en-US" w:eastAsia="zh-CN" w:bidi="ar-SA"/>
        </w:rPr>
      </w:pPr>
    </w:p>
    <w:p w14:paraId="125C6D94">
      <w:pPr>
        <w:rPr>
          <w:rFonts w:hint="eastAsia" w:asciiTheme="majorEastAsia" w:hAnsiTheme="majorEastAsia" w:eastAsiaTheme="majorEastAsia" w:cstheme="majorEastAsia"/>
          <w:b/>
          <w:bCs/>
          <w:kern w:val="2"/>
          <w:sz w:val="30"/>
          <w:szCs w:val="30"/>
          <w:highlight w:val="none"/>
          <w:lang w:val="en-US" w:eastAsia="zh-CN" w:bidi="ar-SA"/>
        </w:rPr>
      </w:pPr>
    </w:p>
    <w:p w14:paraId="650DB905">
      <w:pPr>
        <w:rPr>
          <w:rFonts w:hint="eastAsia" w:asciiTheme="majorEastAsia" w:hAnsiTheme="majorEastAsia" w:eastAsiaTheme="majorEastAsia" w:cstheme="majorEastAsia"/>
          <w:b/>
          <w:bCs/>
          <w:kern w:val="2"/>
          <w:sz w:val="30"/>
          <w:szCs w:val="30"/>
          <w:highlight w:val="none"/>
          <w:lang w:val="en-US" w:eastAsia="zh-CN" w:bidi="ar-SA"/>
        </w:rPr>
      </w:pPr>
    </w:p>
    <w:p w14:paraId="7D98CF2B">
      <w:pPr>
        <w:rPr>
          <w:rFonts w:hint="eastAsia" w:asciiTheme="majorEastAsia" w:hAnsiTheme="majorEastAsia" w:eastAsiaTheme="majorEastAsia" w:cstheme="majorEastAsia"/>
          <w:b/>
          <w:bCs/>
          <w:kern w:val="2"/>
          <w:sz w:val="30"/>
          <w:szCs w:val="30"/>
          <w:highlight w:val="none"/>
          <w:lang w:val="en-US" w:eastAsia="zh-CN" w:bidi="ar-SA"/>
        </w:rPr>
      </w:pPr>
    </w:p>
    <w:p w14:paraId="4739F9C4">
      <w:pPr>
        <w:rPr>
          <w:rFonts w:hint="eastAsia" w:asciiTheme="majorEastAsia" w:hAnsiTheme="majorEastAsia" w:eastAsiaTheme="majorEastAsia" w:cstheme="majorEastAsia"/>
          <w:b/>
          <w:bCs/>
          <w:kern w:val="2"/>
          <w:sz w:val="30"/>
          <w:szCs w:val="30"/>
          <w:highlight w:val="none"/>
          <w:lang w:val="en-US" w:eastAsia="zh-CN" w:bidi="ar-SA"/>
        </w:rPr>
      </w:pPr>
    </w:p>
    <w:p w14:paraId="6A8444FA">
      <w:pPr>
        <w:pStyle w:val="4"/>
        <w:rPr>
          <w:rFonts w:hint="eastAsia"/>
          <w:lang w:val="en-US" w:eastAsia="zh-CN"/>
        </w:rPr>
      </w:pPr>
    </w:p>
    <w:p w14:paraId="225A5B02">
      <w:pPr>
        <w:rPr>
          <w:rFonts w:hint="eastAsia"/>
          <w:lang w:val="en-US" w:eastAsia="zh-CN"/>
        </w:rPr>
      </w:pPr>
    </w:p>
    <w:p w14:paraId="0754A2BF">
      <w:pPr>
        <w:rPr>
          <w:rFonts w:hint="eastAsia"/>
          <w:lang w:val="en-US" w:eastAsia="zh-CN"/>
        </w:rPr>
      </w:pPr>
    </w:p>
    <w:p w14:paraId="6035BD25">
      <w:pPr>
        <w:rPr>
          <w:rFonts w:hint="eastAsia" w:asciiTheme="majorEastAsia" w:hAnsiTheme="majorEastAsia" w:eastAsiaTheme="majorEastAsia" w:cstheme="majorEastAsia"/>
          <w:b/>
          <w:bCs/>
          <w:sz w:val="22"/>
          <w:szCs w:val="28"/>
          <w:highlight w:val="none"/>
          <w:lang w:val="en-US" w:eastAsia="zh-CN"/>
        </w:rPr>
      </w:pPr>
    </w:p>
    <w:p w14:paraId="720A7E44">
      <w:pPr>
        <w:jc w:val="center"/>
        <w:rPr>
          <w:rFonts w:hint="eastAsia" w:asciiTheme="majorEastAsia" w:hAnsiTheme="majorEastAsia" w:eastAsiaTheme="majorEastAsia" w:cstheme="majorEastAsia"/>
          <w:b/>
          <w:bCs/>
          <w:highlight w:val="none"/>
          <w:lang w:val="en-US" w:eastAsia="zh-CN"/>
        </w:rPr>
      </w:pPr>
      <w:r>
        <w:rPr>
          <w:rFonts w:hint="eastAsia" w:asciiTheme="majorEastAsia" w:hAnsiTheme="majorEastAsia" w:eastAsiaTheme="majorEastAsia" w:cstheme="majorEastAsia"/>
          <w:b/>
          <w:bCs/>
          <w:sz w:val="32"/>
          <w:szCs w:val="40"/>
          <w:highlight w:val="none"/>
          <w:lang w:val="en-US" w:eastAsia="zh-CN"/>
        </w:rPr>
        <w:t>第四章、采购内容（技术）及商务要求</w:t>
      </w:r>
    </w:p>
    <w:p w14:paraId="6EFA8C4C">
      <w:pPr>
        <w:rPr>
          <w:rFonts w:hint="eastAsia" w:asciiTheme="majorEastAsia" w:hAnsiTheme="majorEastAsia" w:eastAsiaTheme="majorEastAsia" w:cstheme="majorEastAsia"/>
          <w:b/>
          <w:bCs/>
          <w:color w:val="auto"/>
          <w:szCs w:val="21"/>
          <w:highlight w:val="none"/>
          <w:lang w:eastAsia="zh-CN"/>
        </w:rPr>
      </w:pPr>
      <w:r>
        <w:rPr>
          <w:rFonts w:hint="eastAsia" w:asciiTheme="majorEastAsia" w:hAnsiTheme="majorEastAsia" w:eastAsiaTheme="majorEastAsia" w:cstheme="majorEastAsia"/>
          <w:b/>
          <w:bCs/>
          <w:color w:val="auto"/>
          <w:szCs w:val="21"/>
          <w:highlight w:val="none"/>
          <w:lang w:val="en-US" w:eastAsia="zh-CN"/>
        </w:rPr>
        <w:t>一、采</w:t>
      </w:r>
      <w:r>
        <w:rPr>
          <w:rFonts w:hint="eastAsia" w:asciiTheme="majorEastAsia" w:hAnsiTheme="majorEastAsia" w:eastAsiaTheme="majorEastAsia" w:cstheme="majorEastAsia"/>
          <w:b/>
          <w:bCs/>
          <w:color w:val="auto"/>
          <w:szCs w:val="21"/>
          <w:highlight w:val="none"/>
        </w:rPr>
        <w:t>购内容</w:t>
      </w:r>
      <w:r>
        <w:rPr>
          <w:rFonts w:hint="eastAsia" w:asciiTheme="majorEastAsia" w:hAnsiTheme="majorEastAsia" w:eastAsiaTheme="majorEastAsia" w:cstheme="majorEastAsia"/>
          <w:b/>
          <w:bCs/>
          <w:color w:val="auto"/>
          <w:szCs w:val="21"/>
          <w:highlight w:val="none"/>
          <w:lang w:eastAsia="zh-CN"/>
        </w:rPr>
        <w:t>（</w:t>
      </w:r>
      <w:r>
        <w:rPr>
          <w:rFonts w:hint="eastAsia" w:asciiTheme="majorEastAsia" w:hAnsiTheme="majorEastAsia" w:eastAsiaTheme="majorEastAsia" w:cstheme="majorEastAsia"/>
          <w:b/>
          <w:bCs/>
          <w:color w:val="auto"/>
          <w:szCs w:val="21"/>
          <w:highlight w:val="none"/>
          <w:lang w:val="en-US" w:eastAsia="zh-CN"/>
        </w:rPr>
        <w:t>技术</w:t>
      </w:r>
      <w:r>
        <w:rPr>
          <w:rFonts w:hint="eastAsia" w:asciiTheme="majorEastAsia" w:hAnsiTheme="majorEastAsia" w:eastAsiaTheme="majorEastAsia" w:cstheme="majorEastAsia"/>
          <w:b/>
          <w:bCs/>
          <w:color w:val="auto"/>
          <w:szCs w:val="21"/>
          <w:highlight w:val="none"/>
          <w:lang w:eastAsia="zh-CN"/>
        </w:rPr>
        <w:t>）</w:t>
      </w:r>
    </w:p>
    <w:tbl>
      <w:tblPr>
        <w:tblStyle w:val="27"/>
        <w:tblW w:w="9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816"/>
        <w:gridCol w:w="5037"/>
        <w:gridCol w:w="700"/>
        <w:gridCol w:w="2089"/>
      </w:tblGrid>
      <w:tr w14:paraId="2E15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6A6560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35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标的物</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名称</w:t>
            </w:r>
          </w:p>
        </w:tc>
        <w:tc>
          <w:tcPr>
            <w:tcW w:w="5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9C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规格参数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67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数量/单位</w:t>
            </w:r>
          </w:p>
        </w:tc>
        <w:tc>
          <w:tcPr>
            <w:tcW w:w="2089" w:type="dxa"/>
            <w:tcBorders>
              <w:top w:val="single" w:color="000000" w:sz="4" w:space="0"/>
              <w:left w:val="single" w:color="000000" w:sz="4" w:space="0"/>
              <w:bottom w:val="single" w:color="000000" w:sz="4" w:space="0"/>
            </w:tcBorders>
            <w:shd w:val="clear" w:color="auto" w:fill="auto"/>
            <w:noWrap/>
            <w:vAlign w:val="center"/>
          </w:tcPr>
          <w:p w14:paraId="467735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参考图片</w:t>
            </w:r>
          </w:p>
        </w:tc>
      </w:tr>
      <w:tr w14:paraId="70774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8" w:type="dxa"/>
            <w:vMerge w:val="restart"/>
            <w:tcBorders>
              <w:top w:val="single" w:color="000000" w:sz="4" w:space="0"/>
              <w:bottom w:val="nil"/>
              <w:right w:val="single" w:color="000000" w:sz="4" w:space="0"/>
            </w:tcBorders>
            <w:shd w:val="clear" w:color="auto" w:fill="auto"/>
            <w:noWrap/>
            <w:vAlign w:val="center"/>
          </w:tcPr>
          <w:p w14:paraId="0F995C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w:t>
            </w:r>
          </w:p>
        </w:tc>
        <w:tc>
          <w:tcPr>
            <w:tcW w:w="816" w:type="dxa"/>
            <w:vMerge w:val="restart"/>
            <w:tcBorders>
              <w:top w:val="single" w:color="000000" w:sz="4" w:space="0"/>
              <w:left w:val="single" w:color="000000" w:sz="4" w:space="0"/>
              <w:bottom w:val="nil"/>
              <w:right w:val="single" w:color="000000" w:sz="4" w:space="0"/>
            </w:tcBorders>
            <w:shd w:val="clear" w:color="auto" w:fill="auto"/>
            <w:vAlign w:val="center"/>
          </w:tcPr>
          <w:p w14:paraId="70D071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高低床（套）</w:t>
            </w:r>
          </w:p>
        </w:tc>
        <w:tc>
          <w:tcPr>
            <w:tcW w:w="5037" w:type="dxa"/>
            <w:vMerge w:val="restart"/>
            <w:tcBorders>
              <w:top w:val="single" w:color="000000" w:sz="4" w:space="0"/>
              <w:left w:val="single" w:color="000000" w:sz="4" w:space="0"/>
              <w:bottom w:val="nil"/>
              <w:right w:val="single" w:color="000000" w:sz="4" w:space="0"/>
            </w:tcBorders>
            <w:shd w:val="clear" w:color="auto" w:fill="auto"/>
            <w:vAlign w:val="center"/>
          </w:tcPr>
          <w:p w14:paraId="736766FF">
            <w:pPr>
              <w:keepNext w:val="0"/>
              <w:keepLines w:val="0"/>
              <w:widowControl/>
              <w:suppressLineNumbers w:val="0"/>
              <w:jc w:val="left"/>
              <w:textAlignment w:val="center"/>
              <w:rPr>
                <w:rStyle w:val="82"/>
                <w:rFonts w:hint="eastAsia" w:asciiTheme="minorEastAsia" w:hAnsiTheme="minorEastAsia" w:eastAsiaTheme="minorEastAsia" w:cstheme="minorEastAsia"/>
                <w:b w:val="0"/>
                <w:bCs w:val="0"/>
                <w:color w:val="auto"/>
                <w:sz w:val="18"/>
                <w:szCs w:val="18"/>
                <w:highlight w:val="none"/>
                <w:lang w:val="en-US" w:eastAsia="zh-CN" w:bidi="ar"/>
              </w:rPr>
            </w:pPr>
            <w:r>
              <w:rPr>
                <w:rStyle w:val="82"/>
                <w:rFonts w:hint="eastAsia" w:asciiTheme="minorEastAsia" w:hAnsiTheme="minorEastAsia" w:eastAsiaTheme="minorEastAsia" w:cstheme="minorEastAsia"/>
                <w:b w:val="0"/>
                <w:bCs w:val="0"/>
                <w:color w:val="auto"/>
                <w:sz w:val="18"/>
                <w:szCs w:val="18"/>
                <w:highlight w:val="none"/>
                <w:lang w:val="en-US" w:eastAsia="zh-CN" w:bidi="ar"/>
              </w:rPr>
              <w:t>1规格尺寸：长2000mm×宽900mm×高1850mm</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2 边立柱：采用冷轧钢板经轧压线辊压高频焊接成型的异型封闭管（不能使用开口管或咬口点焊封管），成型尺寸60mm×60mm，（材料壁厚≥1.5mm。）立柱与长横梁采用下挂式连接（无螺栓），床立柱符合GB/T 3325-2024、GB/T1740-2007、GB/T3094-2012标准。</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3 床厅：采用冷轧钢板经成型线轧制而成闭口D型钢管，成型尺寸80mm×40mm，（材料壁厚≥1.5mm。）横梁下部圆弧防碰撞设计。床厅符合GB/T 3325-2024、GB/T1740-2007、GB/T3094-2012标准。</w:t>
            </w:r>
          </w:p>
          <w:p w14:paraId="48CBDF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Style w:val="82"/>
                <w:rFonts w:hint="eastAsia" w:asciiTheme="minorEastAsia" w:hAnsiTheme="minorEastAsia" w:eastAsiaTheme="minorEastAsia" w:cstheme="minorEastAsia"/>
                <w:b w:val="0"/>
                <w:bCs w:val="0"/>
                <w:color w:val="auto"/>
                <w:sz w:val="18"/>
                <w:szCs w:val="18"/>
                <w:highlight w:val="none"/>
                <w:lang w:val="en-US" w:eastAsia="zh-CN" w:bidi="ar"/>
              </w:rPr>
              <w:t>4 床头护栏：护栏底横梁采用≥30mm×50mm钢管，护栏上横梁采用≥25mm×25mm钢管，护栏竖撑采用≥20mm×20mm钢管，（材料壁厚≥1.2mm。）</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5 床撑：床撑不少于5根均匀分布，采用≥30mm×30mm钢管制作，（材料壁厚≥1.5mm），床撑与床长横梁结合处需安装ABS防退卡件，保证结合紧密、不晃动、无噪音。塑料件外观应无裂纹，无明显变形。</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6 床前护栏：护栏为单缺口设计，护栏高度≥330mm，上部横管采用≥25mm×25mm钢管</w:t>
            </w:r>
            <w:r>
              <w:rPr>
                <w:rStyle w:val="70"/>
                <w:rFonts w:hint="eastAsia" w:asciiTheme="minorEastAsia" w:hAnsiTheme="minorEastAsia" w:eastAsiaTheme="minorEastAsia" w:cstheme="minorEastAsia"/>
                <w:b w:val="0"/>
                <w:bCs w:val="0"/>
                <w:color w:val="auto"/>
                <w:sz w:val="18"/>
                <w:szCs w:val="18"/>
                <w:highlight w:val="none"/>
                <w:lang w:val="en-US" w:eastAsia="zh-CN" w:bidi="ar"/>
              </w:rPr>
              <w:t>，</w:t>
            </w:r>
            <w:r>
              <w:rPr>
                <w:rStyle w:val="82"/>
                <w:rFonts w:hint="eastAsia" w:asciiTheme="minorEastAsia" w:hAnsiTheme="minorEastAsia" w:eastAsiaTheme="minorEastAsia" w:cstheme="minorEastAsia"/>
                <w:b w:val="0"/>
                <w:bCs w:val="0"/>
                <w:color w:val="auto"/>
                <w:sz w:val="18"/>
                <w:szCs w:val="18"/>
                <w:highlight w:val="none"/>
                <w:lang w:val="en-US" w:eastAsia="zh-CN" w:bidi="ar"/>
              </w:rPr>
              <w:t>中部横管、竖管采用≥20mm×20mm方管，（材料壁厚≥1.2mm），内部镶嵌E1级实木颗粒板。金属件外观：冲压件应无脱层，裂缝；喷涂层应无漏喷、锈蚀和脱色掉色现象；涂层应光滑均匀，色泽一致，应无流挂、疙瘩、皱皮、飞漆等缺陷，符合GB/T-3325-2017中6.3标准。</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7 爬梯：爬梯支架采用≥25mm×25mm钢管制作，（材料壁厚≥1.5mm），用螺丝固定。踏板采用冷轧钢板，防滑设计，（材料壁厚≥1.5mm），踏板上部安装4个荧光反射按扣，保证夜间上下床安全，与床梯支架焊接而成。爬梯符合GB/T 3325-2024、GB/T3094-2012标准。</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8 榫插挂件：经冲压成L型，需有4个连接卡扣，（材料厚度≥1.5mm）。</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9 立柱顶盖和脚套：采用ABS工程塑料一次性注塑成型，具有减震、降噪音、耐磨、防腐蚀功能，材料壁厚≥2.5mm，脚套为外包围高度≥50mm，立柱与脚套应紧密结合，牢固，不易脱落。</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10 床板采用环保多层板厚度≥15mm，经过烘干除虫处理，规格根据床实际内空大小定制，四周留空≤10mm，要求板材平整不变形。床板符合 GB18584-2001标准，符合GB/T8624-2012标准。</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14:paraId="309871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1420套</w:t>
            </w:r>
          </w:p>
        </w:tc>
        <w:tc>
          <w:tcPr>
            <w:tcW w:w="2089" w:type="dxa"/>
            <w:vMerge w:val="restart"/>
            <w:tcBorders>
              <w:top w:val="single" w:color="000000" w:sz="4" w:space="0"/>
              <w:left w:val="single" w:color="000000" w:sz="4" w:space="0"/>
              <w:bottom w:val="nil"/>
            </w:tcBorders>
            <w:shd w:val="clear" w:color="auto" w:fill="auto"/>
            <w:noWrap/>
            <w:vAlign w:val="center"/>
          </w:tcPr>
          <w:p w14:paraId="4F0427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177800</wp:posOffset>
                  </wp:positionH>
                  <wp:positionV relativeFrom="paragraph">
                    <wp:posOffset>634365</wp:posOffset>
                  </wp:positionV>
                  <wp:extent cx="1056005" cy="1314450"/>
                  <wp:effectExtent l="0" t="0" r="10795" b="11430"/>
                  <wp:wrapNone/>
                  <wp:docPr id="7" name="图片_53"/>
                  <wp:cNvGraphicFramePr/>
                  <a:graphic xmlns:a="http://schemas.openxmlformats.org/drawingml/2006/main">
                    <a:graphicData uri="http://schemas.openxmlformats.org/drawingml/2006/picture">
                      <pic:pic xmlns:pic="http://schemas.openxmlformats.org/drawingml/2006/picture">
                        <pic:nvPicPr>
                          <pic:cNvPr id="7" name="图片_53"/>
                          <pic:cNvPicPr/>
                        </pic:nvPicPr>
                        <pic:blipFill>
                          <a:blip r:embed="rId8"/>
                          <a:stretch>
                            <a:fillRect/>
                          </a:stretch>
                        </pic:blipFill>
                        <pic:spPr>
                          <a:xfrm>
                            <a:off x="0" y="0"/>
                            <a:ext cx="1056005" cy="1314450"/>
                          </a:xfrm>
                          <a:prstGeom prst="rect">
                            <a:avLst/>
                          </a:prstGeom>
                          <a:noFill/>
                          <a:ln>
                            <a:noFill/>
                          </a:ln>
                        </pic:spPr>
                      </pic:pic>
                    </a:graphicData>
                  </a:graphic>
                </wp:anchor>
              </w:drawing>
            </w:r>
          </w:p>
        </w:tc>
      </w:tr>
      <w:tr w14:paraId="1CB69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578" w:type="dxa"/>
            <w:vMerge w:val="continue"/>
            <w:tcBorders>
              <w:top w:val="single" w:color="000000" w:sz="4" w:space="0"/>
              <w:bottom w:val="nil"/>
              <w:right w:val="single" w:color="000000" w:sz="4" w:space="0"/>
            </w:tcBorders>
            <w:shd w:val="clear" w:color="auto" w:fill="auto"/>
            <w:noWrap/>
            <w:vAlign w:val="center"/>
          </w:tcPr>
          <w:p w14:paraId="080EF2AB">
            <w:pPr>
              <w:jc w:val="center"/>
              <w:rPr>
                <w:rFonts w:hint="eastAsia" w:asciiTheme="minorEastAsia" w:hAnsiTheme="minorEastAsia" w:eastAsiaTheme="minorEastAsia" w:cstheme="minorEastAsia"/>
                <w:b w:val="0"/>
                <w:bCs w:val="0"/>
                <w:i w:val="0"/>
                <w:iCs w:val="0"/>
                <w:color w:val="auto"/>
                <w:sz w:val="18"/>
                <w:szCs w:val="18"/>
                <w:highlight w:val="none"/>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14:paraId="687F6465">
            <w:pPr>
              <w:jc w:val="center"/>
              <w:rPr>
                <w:rFonts w:hint="eastAsia" w:asciiTheme="minorEastAsia" w:hAnsiTheme="minorEastAsia" w:eastAsiaTheme="minorEastAsia" w:cstheme="minorEastAsia"/>
                <w:b w:val="0"/>
                <w:bCs w:val="0"/>
                <w:i w:val="0"/>
                <w:iCs w:val="0"/>
                <w:color w:val="auto"/>
                <w:sz w:val="18"/>
                <w:szCs w:val="18"/>
                <w:highlight w:val="none"/>
                <w:u w:val="none"/>
              </w:rPr>
            </w:pPr>
          </w:p>
        </w:tc>
        <w:tc>
          <w:tcPr>
            <w:tcW w:w="5037" w:type="dxa"/>
            <w:vMerge w:val="continue"/>
            <w:tcBorders>
              <w:top w:val="single" w:color="000000" w:sz="4" w:space="0"/>
              <w:left w:val="single" w:color="000000" w:sz="4" w:space="0"/>
              <w:bottom w:val="nil"/>
              <w:right w:val="single" w:color="000000" w:sz="4" w:space="0"/>
            </w:tcBorders>
            <w:shd w:val="clear" w:color="auto" w:fill="auto"/>
            <w:vAlign w:val="center"/>
          </w:tcPr>
          <w:p w14:paraId="1B826075">
            <w:pPr>
              <w:jc w:val="left"/>
              <w:rPr>
                <w:rFonts w:hint="eastAsia" w:asciiTheme="minorEastAsia" w:hAnsiTheme="minorEastAsia" w:eastAsiaTheme="minorEastAsia" w:cstheme="minorEastAsia"/>
                <w:b w:val="0"/>
                <w:bCs w:val="0"/>
                <w:i w:val="0"/>
                <w:iCs w:val="0"/>
                <w:color w:val="auto"/>
                <w:sz w:val="18"/>
                <w:szCs w:val="18"/>
                <w:highlight w:val="none"/>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14:paraId="5FED180F">
            <w:pPr>
              <w:jc w:val="center"/>
              <w:rPr>
                <w:rFonts w:hint="eastAsia" w:asciiTheme="minorEastAsia" w:hAnsiTheme="minorEastAsia" w:eastAsiaTheme="minorEastAsia" w:cstheme="minorEastAsia"/>
                <w:b w:val="0"/>
                <w:bCs w:val="0"/>
                <w:i w:val="0"/>
                <w:iCs w:val="0"/>
                <w:color w:val="auto"/>
                <w:sz w:val="18"/>
                <w:szCs w:val="18"/>
                <w:highlight w:val="none"/>
                <w:u w:val="none"/>
              </w:rPr>
            </w:pPr>
          </w:p>
        </w:tc>
        <w:tc>
          <w:tcPr>
            <w:tcW w:w="2089" w:type="dxa"/>
            <w:vMerge w:val="continue"/>
            <w:tcBorders>
              <w:top w:val="single" w:color="000000" w:sz="4" w:space="0"/>
              <w:left w:val="single" w:color="000000" w:sz="4" w:space="0"/>
              <w:bottom w:val="nil"/>
            </w:tcBorders>
            <w:shd w:val="clear" w:color="auto" w:fill="auto"/>
            <w:noWrap/>
            <w:vAlign w:val="center"/>
          </w:tcPr>
          <w:p w14:paraId="3AA674E0">
            <w:pPr>
              <w:jc w:val="center"/>
              <w:rPr>
                <w:rFonts w:hint="eastAsia" w:asciiTheme="minorEastAsia" w:hAnsiTheme="minorEastAsia" w:eastAsiaTheme="minorEastAsia" w:cstheme="minorEastAsia"/>
                <w:b w:val="0"/>
                <w:bCs w:val="0"/>
                <w:i w:val="0"/>
                <w:iCs w:val="0"/>
                <w:color w:val="auto"/>
                <w:sz w:val="18"/>
                <w:szCs w:val="18"/>
                <w:highlight w:val="none"/>
                <w:u w:val="none"/>
              </w:rPr>
            </w:pPr>
          </w:p>
        </w:tc>
      </w:tr>
      <w:tr w14:paraId="0F28F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780B64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5A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连体餐桌椅6人位（套）</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E847">
            <w:pPr>
              <w:keepNext w:val="0"/>
              <w:keepLines w:val="0"/>
              <w:widowControl/>
              <w:numPr>
                <w:ilvl w:val="0"/>
                <w:numId w:val="11"/>
              </w:numPr>
              <w:suppressLineNumbers w:val="0"/>
              <w:jc w:val="left"/>
              <w:textAlignment w:val="center"/>
              <w:rPr>
                <w:rStyle w:val="82"/>
                <w:rFonts w:hint="eastAsia" w:asciiTheme="minorEastAsia" w:hAnsiTheme="minorEastAsia" w:eastAsiaTheme="minorEastAsia" w:cstheme="minorEastAsia"/>
                <w:b w:val="0"/>
                <w:bCs w:val="0"/>
                <w:color w:val="auto"/>
                <w:sz w:val="18"/>
                <w:szCs w:val="18"/>
                <w:highlight w:val="none"/>
                <w:lang w:val="en-US" w:eastAsia="zh-CN" w:bidi="ar"/>
              </w:rPr>
            </w:pPr>
            <w:r>
              <w:rPr>
                <w:rStyle w:val="82"/>
                <w:rFonts w:hint="eastAsia" w:asciiTheme="minorEastAsia" w:hAnsiTheme="minorEastAsia" w:eastAsiaTheme="minorEastAsia" w:cstheme="minorEastAsia"/>
                <w:b w:val="0"/>
                <w:bCs w:val="0"/>
                <w:color w:val="auto"/>
                <w:sz w:val="18"/>
                <w:szCs w:val="18"/>
                <w:highlight w:val="none"/>
                <w:lang w:val="en-US" w:eastAsia="zh-CN" w:bidi="ar"/>
              </w:rPr>
              <w:t>规格尺寸：1600mm*600mm*750mm。</w:t>
            </w:r>
          </w:p>
          <w:p w14:paraId="75EF2067">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Style w:val="82"/>
                <w:rFonts w:hint="eastAsia" w:asciiTheme="minorEastAsia" w:hAnsiTheme="minorEastAsia" w:eastAsiaTheme="minorEastAsia" w:cstheme="minorEastAsia"/>
                <w:b w:val="0"/>
                <w:bCs w:val="0"/>
                <w:color w:val="auto"/>
                <w:sz w:val="18"/>
                <w:szCs w:val="18"/>
                <w:highlight w:val="none"/>
                <w:lang w:val="en-US" w:eastAsia="zh-CN" w:bidi="ar"/>
              </w:rPr>
              <w:t>不锈钢桌面，桌面采用25mm颗粒板，（外包≥0.6mm304不锈钢板。）占地1600*600mm,高度为750mm；</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2、凳面采用直径300mm玻璃钢蓝色凳面，主框架采用40*40mm不锈钢制成，（管壁厚度≥1.2mm）。横撑采用30*50mmmm不锈钢制成，（管壁厚度≥1.2mm）。</w:t>
            </w:r>
            <w:r>
              <w:rPr>
                <w:rStyle w:val="82"/>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2"/>
                <w:rFonts w:hint="eastAsia" w:asciiTheme="minorEastAsia" w:hAnsiTheme="minorEastAsia" w:eastAsiaTheme="minorEastAsia" w:cstheme="minorEastAsia"/>
                <w:b w:val="0"/>
                <w:bCs w:val="0"/>
                <w:color w:val="auto"/>
                <w:sz w:val="18"/>
                <w:szCs w:val="18"/>
                <w:highlight w:val="none"/>
                <w:lang w:val="en-US" w:eastAsia="zh-CN" w:bidi="ar"/>
              </w:rPr>
              <w:t>3、脚套采用PP全新料制作外包于钢管，脚套符合GB28481-2012《塑料家具中有害物质限量》标准，胶套采用铆钉固定，防止脱落，所有钢质部分焊接完成后，需采用抛丸除锈，酸洗陶化线除油、陶化后进行环氧树脂粉末静电喷涂，高温固化成型。要求整体焊接，无虚焊，漏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FF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300套</w:t>
            </w:r>
          </w:p>
        </w:tc>
        <w:tc>
          <w:tcPr>
            <w:tcW w:w="2089" w:type="dxa"/>
            <w:tcBorders>
              <w:top w:val="single" w:color="000000" w:sz="4" w:space="0"/>
              <w:left w:val="single" w:color="000000" w:sz="4" w:space="0"/>
              <w:bottom w:val="single" w:color="000000" w:sz="4" w:space="0"/>
            </w:tcBorders>
            <w:shd w:val="clear" w:color="auto" w:fill="auto"/>
            <w:noWrap/>
            <w:vAlign w:val="center"/>
          </w:tcPr>
          <w:p w14:paraId="624881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color w:val="auto"/>
                <w:sz w:val="18"/>
                <w:szCs w:val="18"/>
                <w:highlight w:val="none"/>
              </w:rPr>
              <w:drawing>
                <wp:inline distT="0" distB="0" distL="114300" distR="114300">
                  <wp:extent cx="1186180" cy="1174750"/>
                  <wp:effectExtent l="0" t="0" r="2540" b="139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1186180" cy="1174750"/>
                          </a:xfrm>
                          <a:prstGeom prst="rect">
                            <a:avLst/>
                          </a:prstGeom>
                          <a:noFill/>
                          <a:ln>
                            <a:noFill/>
                          </a:ln>
                        </pic:spPr>
                      </pic:pic>
                    </a:graphicData>
                  </a:graphic>
                </wp:inline>
              </w:drawing>
            </w:r>
          </w:p>
        </w:tc>
      </w:tr>
      <w:tr w14:paraId="42703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717"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36BAAE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6D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储备柜（8门，台）</w:t>
            </w:r>
          </w:p>
        </w:tc>
        <w:tc>
          <w:tcPr>
            <w:tcW w:w="5037" w:type="dxa"/>
            <w:tcBorders>
              <w:top w:val="nil"/>
              <w:left w:val="nil"/>
              <w:bottom w:val="nil"/>
              <w:right w:val="nil"/>
            </w:tcBorders>
            <w:shd w:val="clear" w:color="auto" w:fill="auto"/>
            <w:vAlign w:val="center"/>
          </w:tcPr>
          <w:p w14:paraId="7DD322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Style w:val="81"/>
                <w:rFonts w:hint="eastAsia" w:asciiTheme="minorEastAsia" w:hAnsiTheme="minorEastAsia" w:eastAsiaTheme="minorEastAsia" w:cstheme="minorEastAsia"/>
                <w:b w:val="0"/>
                <w:bCs w:val="0"/>
                <w:color w:val="auto"/>
                <w:sz w:val="18"/>
                <w:szCs w:val="18"/>
                <w:highlight w:val="none"/>
                <w:lang w:val="en-US" w:eastAsia="zh-CN" w:bidi="ar"/>
              </w:rPr>
              <w:t>1、规格尺寸：高宽深≥1800*850*400mm。</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 xml:space="preserve">2、材质: 柜体用冷轧钢板, 厚度≥0.5mm。 </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产品焊接牢固, 外表平整光滑, 没有毛刺、 焊瘤、 夹渣, 无裂缝、无错位、无漏焊等缺陷。</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3、结构： 单开门，每门内空。</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4、配件：扣手采用梯形内嵌一体式钢制压型扣手，规格≥长200mm×宽33mm×深15mm，锁具为转鼻外挂锁。外观：电镀层应表面无剥落、返锈、毛刺，塑料件外观应无裂纹，无明显变形，无明显缩孔、气泡、杂质、伤痕，外表用塑料件表面光洁、无划痕，无污渍，无明显色差，符合GB/T-3325-2017中6.3标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A7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275台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30361C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81915</wp:posOffset>
                  </wp:positionH>
                  <wp:positionV relativeFrom="paragraph">
                    <wp:posOffset>106680</wp:posOffset>
                  </wp:positionV>
                  <wp:extent cx="1118870" cy="1376045"/>
                  <wp:effectExtent l="0" t="0" r="8890" b="10795"/>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10"/>
                          <a:stretch>
                            <a:fillRect/>
                          </a:stretch>
                        </pic:blipFill>
                        <pic:spPr>
                          <a:xfrm>
                            <a:off x="0" y="0"/>
                            <a:ext cx="1118870" cy="1376045"/>
                          </a:xfrm>
                          <a:prstGeom prst="rect">
                            <a:avLst/>
                          </a:prstGeom>
                          <a:noFill/>
                          <a:ln>
                            <a:noFill/>
                          </a:ln>
                        </pic:spPr>
                      </pic:pic>
                    </a:graphicData>
                  </a:graphic>
                </wp:anchor>
              </w:drawing>
            </w:r>
          </w:p>
        </w:tc>
      </w:tr>
      <w:tr w14:paraId="42B22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194B56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7F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切菜机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976B">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pPr>
            <w:r>
              <w:rPr>
                <w:rStyle w:val="71"/>
                <w:rFonts w:hint="eastAsia" w:asciiTheme="minorEastAsia" w:hAnsiTheme="minorEastAsia" w:eastAsiaTheme="minorEastAsia" w:cstheme="minorEastAsia"/>
                <w:b w:val="0"/>
                <w:bCs w:val="0"/>
                <w:color w:val="auto"/>
                <w:sz w:val="18"/>
                <w:szCs w:val="18"/>
                <w:highlight w:val="none"/>
                <w:lang w:val="en-US" w:eastAsia="zh-CN" w:bidi="ar"/>
              </w:rPr>
              <w:t>主要用途：叶菜类：可切芹菜、大白菜、高丽菜、菠菜、葱、大蒜、瓜类等长条状之物切成片、丝、段状；球茎类：可切马铃薯、番薯、芋头、洋葱、茄子、瓜类等产品。</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2.电源：220V　单相。额定功率：210w，产品尺寸：≥460*540*610mm，生产能力：≥100-300kg/h。</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3.设备材质：全不锈钢拉丝面料精制。</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4.主要技术指标：</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4.1落地式切菜机，带可移动脚轮，方便移动，且每个脚轮带固定装置。</w:t>
            </w:r>
          </w:p>
          <w:p w14:paraId="7202936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Style w:val="71"/>
                <w:rFonts w:hint="eastAsia" w:asciiTheme="minorEastAsia" w:hAnsiTheme="minorEastAsia" w:eastAsiaTheme="minorEastAsia" w:cstheme="minorEastAsia"/>
                <w:b w:val="0"/>
                <w:bCs w:val="0"/>
                <w:color w:val="auto"/>
                <w:sz w:val="18"/>
                <w:szCs w:val="18"/>
                <w:highlight w:val="none"/>
                <w:lang w:val="en-US" w:eastAsia="zh-CN" w:bidi="ar"/>
              </w:rPr>
              <w:t>4.2皮带送料，速度可以调节，皮带为食品级输送带。</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4.3电器控制部分与切割仓完全分离，清洗的时候保证电器箱安全。</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4.4切割刀具可以轻松拆装，以便适应不同的产品。</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4.5输送皮带可以轻易拆装清洗。</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4.6切割仓出料口有感应开关，安全防护。</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4.7通过双调频调节输送带及动转刀速度，可切出不同规格的段状、片状。</w:t>
            </w:r>
            <w:r>
              <w:rPr>
                <w:rStyle w:val="7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1"/>
                <w:rFonts w:hint="eastAsia" w:asciiTheme="minorEastAsia" w:hAnsiTheme="minorEastAsia" w:eastAsiaTheme="minorEastAsia" w:cstheme="minorEastAsia"/>
                <w:b w:val="0"/>
                <w:bCs w:val="0"/>
                <w:color w:val="auto"/>
                <w:sz w:val="18"/>
                <w:szCs w:val="18"/>
                <w:highlight w:val="none"/>
                <w:lang w:val="en-US" w:eastAsia="zh-CN" w:bidi="ar"/>
              </w:rPr>
              <w:t>4.8整体设计合理，与其他设备配合形成流水线操作模式。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3A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1C0781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12700</wp:posOffset>
                  </wp:positionH>
                  <wp:positionV relativeFrom="paragraph">
                    <wp:posOffset>-480695</wp:posOffset>
                  </wp:positionV>
                  <wp:extent cx="1155700" cy="989330"/>
                  <wp:effectExtent l="0" t="0" r="2540" b="1270"/>
                  <wp:wrapNone/>
                  <wp:docPr id="13" name="图片_3"/>
                  <wp:cNvGraphicFramePr/>
                  <a:graphic xmlns:a="http://schemas.openxmlformats.org/drawingml/2006/main">
                    <a:graphicData uri="http://schemas.openxmlformats.org/drawingml/2006/picture">
                      <pic:pic xmlns:pic="http://schemas.openxmlformats.org/drawingml/2006/picture">
                        <pic:nvPicPr>
                          <pic:cNvPr id="13" name="图片_3"/>
                          <pic:cNvPicPr/>
                        </pic:nvPicPr>
                        <pic:blipFill>
                          <a:blip r:embed="rId11"/>
                          <a:stretch>
                            <a:fillRect/>
                          </a:stretch>
                        </pic:blipFill>
                        <pic:spPr>
                          <a:xfrm>
                            <a:off x="0" y="0"/>
                            <a:ext cx="1155700" cy="989330"/>
                          </a:xfrm>
                          <a:prstGeom prst="rect">
                            <a:avLst/>
                          </a:prstGeom>
                          <a:noFill/>
                          <a:ln>
                            <a:noFill/>
                          </a:ln>
                        </pic:spPr>
                      </pic:pic>
                    </a:graphicData>
                  </a:graphic>
                </wp:anchor>
              </w:drawing>
            </w:r>
          </w:p>
        </w:tc>
      </w:tr>
      <w:tr w14:paraId="00F82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5BA492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F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和面机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67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电源电压：380V 三相。功率：3kw。料斗为优质不锈钢板材质,（板材厚度≥1.0MM）,采用脚踏翻斗装置，即减低劳动强度又增加了安全性。集成线路板起过载、短路、缺相、过压、欠压保护作用，安全系数高。面斗部分采用食品级不锈钢制作，和面搅龙为304不锈钢，坚固耐用，美观大方，操作简单。容量≥25升，最大和面重量≥25kg。</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DF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791E0A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5715</wp:posOffset>
                  </wp:positionH>
                  <wp:positionV relativeFrom="paragraph">
                    <wp:posOffset>31750</wp:posOffset>
                  </wp:positionV>
                  <wp:extent cx="1143000" cy="995045"/>
                  <wp:effectExtent l="0" t="0" r="0" b="10795"/>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12"/>
                          <a:stretch>
                            <a:fillRect/>
                          </a:stretch>
                        </pic:blipFill>
                        <pic:spPr>
                          <a:xfrm>
                            <a:off x="0" y="0"/>
                            <a:ext cx="1143000" cy="995045"/>
                          </a:xfrm>
                          <a:prstGeom prst="rect">
                            <a:avLst/>
                          </a:prstGeom>
                          <a:noFill/>
                          <a:ln>
                            <a:noFill/>
                          </a:ln>
                        </pic:spPr>
                      </pic:pic>
                    </a:graphicData>
                  </a:graphic>
                </wp:anchor>
              </w:drawing>
            </w:r>
          </w:p>
        </w:tc>
      </w:tr>
      <w:tr w14:paraId="67047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73"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0A041C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86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压面机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C8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Style w:val="81"/>
                <w:rFonts w:hint="eastAsia" w:asciiTheme="minorEastAsia" w:hAnsiTheme="minorEastAsia" w:eastAsiaTheme="minorEastAsia" w:cstheme="minorEastAsia"/>
                <w:b w:val="0"/>
                <w:bCs w:val="0"/>
                <w:color w:val="auto"/>
                <w:sz w:val="18"/>
                <w:szCs w:val="18"/>
                <w:highlight w:val="none"/>
                <w:lang w:val="en-US" w:eastAsia="zh-CN" w:bidi="ar"/>
              </w:rPr>
              <w:t>本压面机适用于含水量较少的面团，使面团产生筋性；该机可用于馒头、包子、法式餐包等硬面团产品的生产；多级厚度调节功能；电功率1.5kw/380v。每小时产量出≥80kg/h，支持出面条。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F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16E6C5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55245</wp:posOffset>
                  </wp:positionH>
                  <wp:positionV relativeFrom="paragraph">
                    <wp:posOffset>65405</wp:posOffset>
                  </wp:positionV>
                  <wp:extent cx="986155" cy="1139190"/>
                  <wp:effectExtent l="0" t="0" r="4445" b="3810"/>
                  <wp:wrapNone/>
                  <wp:docPr id="15" name="图片_9"/>
                  <wp:cNvGraphicFramePr/>
                  <a:graphic xmlns:a="http://schemas.openxmlformats.org/drawingml/2006/main">
                    <a:graphicData uri="http://schemas.openxmlformats.org/drawingml/2006/picture">
                      <pic:pic xmlns:pic="http://schemas.openxmlformats.org/drawingml/2006/picture">
                        <pic:nvPicPr>
                          <pic:cNvPr id="15" name="图片_9"/>
                          <pic:cNvPicPr/>
                        </pic:nvPicPr>
                        <pic:blipFill>
                          <a:blip r:embed="rId13"/>
                          <a:stretch>
                            <a:fillRect/>
                          </a:stretch>
                        </pic:blipFill>
                        <pic:spPr>
                          <a:xfrm>
                            <a:off x="0" y="0"/>
                            <a:ext cx="986155" cy="1139190"/>
                          </a:xfrm>
                          <a:prstGeom prst="rect">
                            <a:avLst/>
                          </a:prstGeom>
                          <a:noFill/>
                          <a:ln>
                            <a:noFill/>
                          </a:ln>
                        </pic:spPr>
                      </pic:pic>
                    </a:graphicData>
                  </a:graphic>
                </wp:anchor>
              </w:drawing>
            </w:r>
          </w:p>
        </w:tc>
      </w:tr>
      <w:tr w14:paraId="037F7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2A1342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BF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消毒柜</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E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Style w:val="71"/>
                <w:rFonts w:hint="eastAsia" w:asciiTheme="minorEastAsia" w:hAnsiTheme="minorEastAsia" w:eastAsiaTheme="minorEastAsia" w:cstheme="minorEastAsia"/>
                <w:b w:val="0"/>
                <w:bCs w:val="0"/>
                <w:color w:val="auto"/>
                <w:sz w:val="18"/>
                <w:szCs w:val="18"/>
                <w:highlight w:val="none"/>
                <w:lang w:val="en-US" w:eastAsia="zh-CN" w:bidi="ar"/>
              </w:rPr>
              <w:t>双开门消毒柜，消毒烘干指标，达到国家现行标准。采用循环热风干式消毒工艺。消毒温度、时间可控，数字显示。内设隔栅、高度层板可调、配有不锈钢筐。全不锈钢制作。电功率2.5kw/220v；尺寸</w:t>
            </w:r>
            <w:r>
              <w:rPr>
                <w:rStyle w:val="53"/>
                <w:rFonts w:hint="eastAsia" w:asciiTheme="minorEastAsia" w:hAnsiTheme="minorEastAsia" w:eastAsiaTheme="minorEastAsia" w:cstheme="minorEastAsia"/>
                <w:b w:val="0"/>
                <w:bCs w:val="0"/>
                <w:color w:val="auto"/>
                <w:sz w:val="18"/>
                <w:szCs w:val="18"/>
                <w:highlight w:val="none"/>
                <w:lang w:val="en-US" w:eastAsia="zh-CN" w:bidi="ar"/>
              </w:rPr>
              <w:t>≥1000x950x1950mm，容量≥800L。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9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8台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1390AF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200025</wp:posOffset>
                  </wp:positionH>
                  <wp:positionV relativeFrom="paragraph">
                    <wp:posOffset>60325</wp:posOffset>
                  </wp:positionV>
                  <wp:extent cx="819150" cy="1143635"/>
                  <wp:effectExtent l="0" t="0" r="3810" b="14605"/>
                  <wp:wrapNone/>
                  <wp:docPr id="16" name="图片_18"/>
                  <wp:cNvGraphicFramePr/>
                  <a:graphic xmlns:a="http://schemas.openxmlformats.org/drawingml/2006/main">
                    <a:graphicData uri="http://schemas.openxmlformats.org/drawingml/2006/picture">
                      <pic:pic xmlns:pic="http://schemas.openxmlformats.org/drawingml/2006/picture">
                        <pic:nvPicPr>
                          <pic:cNvPr id="16" name="图片_18"/>
                          <pic:cNvPicPr/>
                        </pic:nvPicPr>
                        <pic:blipFill>
                          <a:blip r:embed="rId14"/>
                          <a:stretch>
                            <a:fillRect/>
                          </a:stretch>
                        </pic:blipFill>
                        <pic:spPr>
                          <a:xfrm>
                            <a:off x="0" y="0"/>
                            <a:ext cx="819150" cy="1143635"/>
                          </a:xfrm>
                          <a:prstGeom prst="rect">
                            <a:avLst/>
                          </a:prstGeom>
                          <a:noFill/>
                          <a:ln>
                            <a:noFill/>
                          </a:ln>
                        </pic:spPr>
                      </pic:pic>
                    </a:graphicData>
                  </a:graphic>
                </wp:anchor>
              </w:drawing>
            </w:r>
          </w:p>
        </w:tc>
      </w:tr>
      <w:tr w14:paraId="684E9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205B21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4F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绞切两用机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CF3">
            <w:pPr>
              <w:keepNext w:val="0"/>
              <w:keepLines w:val="0"/>
              <w:widowControl/>
              <w:suppressLineNumbers w:val="0"/>
              <w:jc w:val="left"/>
              <w:textAlignment w:val="center"/>
              <w:rPr>
                <w:rStyle w:val="82"/>
                <w:rFonts w:hint="eastAsia" w:asciiTheme="minorEastAsia" w:hAnsiTheme="minorEastAsia" w:eastAsiaTheme="minorEastAsia" w:cstheme="minorEastAsia"/>
                <w:b w:val="0"/>
                <w:bCs w:val="0"/>
                <w:color w:val="auto"/>
                <w:sz w:val="18"/>
                <w:szCs w:val="18"/>
                <w:highlight w:val="none"/>
                <w:lang w:val="en-US" w:eastAsia="zh-CN" w:bidi="ar"/>
              </w:rPr>
            </w:pPr>
            <w:r>
              <w:rPr>
                <w:rStyle w:val="82"/>
                <w:rFonts w:hint="eastAsia" w:asciiTheme="minorEastAsia" w:hAnsiTheme="minorEastAsia" w:eastAsiaTheme="minorEastAsia" w:cstheme="minorEastAsia"/>
                <w:b w:val="0"/>
                <w:bCs w:val="0"/>
                <w:color w:val="auto"/>
                <w:sz w:val="18"/>
                <w:szCs w:val="18"/>
                <w:highlight w:val="none"/>
                <w:lang w:val="en-US" w:eastAsia="zh-CN" w:bidi="ar"/>
              </w:rPr>
              <w:t>产品全机不锈钢制作，电机为铜芯电机，适用于酒店、学校食堂、生产加工间等使用，刀片方便拆卸清洗，功率：1.5-2.2KW，电压：220V，切丝产量：</w:t>
            </w:r>
            <w:r>
              <w:rPr>
                <w:rStyle w:val="84"/>
                <w:rFonts w:hint="eastAsia" w:asciiTheme="minorEastAsia" w:hAnsiTheme="minorEastAsia" w:eastAsiaTheme="minorEastAsia" w:cstheme="minorEastAsia"/>
                <w:b w:val="0"/>
                <w:bCs w:val="0"/>
                <w:color w:val="auto"/>
                <w:sz w:val="18"/>
                <w:szCs w:val="18"/>
                <w:highlight w:val="none"/>
                <w:lang w:val="en-US" w:eastAsia="zh-CN" w:bidi="ar"/>
              </w:rPr>
              <w:t>≧</w:t>
            </w:r>
            <w:r>
              <w:rPr>
                <w:rStyle w:val="82"/>
                <w:rFonts w:hint="eastAsia" w:asciiTheme="minorEastAsia" w:hAnsiTheme="minorEastAsia" w:eastAsiaTheme="minorEastAsia" w:cstheme="minorEastAsia"/>
                <w:b w:val="0"/>
                <w:bCs w:val="0"/>
                <w:color w:val="auto"/>
                <w:sz w:val="18"/>
                <w:szCs w:val="18"/>
                <w:highlight w:val="none"/>
                <w:lang w:val="en-US" w:eastAsia="zh-CN" w:bidi="ar"/>
              </w:rPr>
              <w:t>400KG/h，绞肉产量：</w:t>
            </w:r>
            <w:r>
              <w:rPr>
                <w:rStyle w:val="84"/>
                <w:rFonts w:hint="eastAsia" w:asciiTheme="minorEastAsia" w:hAnsiTheme="minorEastAsia" w:eastAsiaTheme="minorEastAsia" w:cstheme="minorEastAsia"/>
                <w:b w:val="0"/>
                <w:bCs w:val="0"/>
                <w:color w:val="auto"/>
                <w:sz w:val="18"/>
                <w:szCs w:val="18"/>
                <w:highlight w:val="none"/>
                <w:lang w:val="en-US" w:eastAsia="zh-CN" w:bidi="ar"/>
              </w:rPr>
              <w:t>≧</w:t>
            </w:r>
            <w:r>
              <w:rPr>
                <w:rStyle w:val="82"/>
                <w:rFonts w:hint="eastAsia" w:asciiTheme="minorEastAsia" w:hAnsiTheme="minorEastAsia" w:eastAsiaTheme="minorEastAsia" w:cstheme="minorEastAsia"/>
                <w:b w:val="0"/>
                <w:bCs w:val="0"/>
                <w:color w:val="auto"/>
                <w:sz w:val="18"/>
                <w:szCs w:val="18"/>
                <w:highlight w:val="none"/>
                <w:lang w:val="en-US" w:eastAsia="zh-CN" w:bidi="ar"/>
              </w:rPr>
              <w:t>150KG/h。</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B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745DEE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41910</wp:posOffset>
                  </wp:positionH>
                  <wp:positionV relativeFrom="paragraph">
                    <wp:posOffset>158750</wp:posOffset>
                  </wp:positionV>
                  <wp:extent cx="1125855" cy="1234440"/>
                  <wp:effectExtent l="0" t="0" r="1905" b="0"/>
                  <wp:wrapNone/>
                  <wp:docPr id="17" name="图片_1"/>
                  <wp:cNvGraphicFramePr/>
                  <a:graphic xmlns:a="http://schemas.openxmlformats.org/drawingml/2006/main">
                    <a:graphicData uri="http://schemas.openxmlformats.org/drawingml/2006/picture">
                      <pic:pic xmlns:pic="http://schemas.openxmlformats.org/drawingml/2006/picture">
                        <pic:nvPicPr>
                          <pic:cNvPr id="17" name="图片_1"/>
                          <pic:cNvPicPr/>
                        </pic:nvPicPr>
                        <pic:blipFill>
                          <a:blip r:embed="rId15"/>
                          <a:stretch>
                            <a:fillRect/>
                          </a:stretch>
                        </pic:blipFill>
                        <pic:spPr>
                          <a:xfrm>
                            <a:off x="0" y="0"/>
                            <a:ext cx="1125855" cy="1234440"/>
                          </a:xfrm>
                          <a:prstGeom prst="rect">
                            <a:avLst/>
                          </a:prstGeom>
                          <a:noFill/>
                          <a:ln>
                            <a:noFill/>
                          </a:ln>
                        </pic:spPr>
                      </pic:pic>
                    </a:graphicData>
                  </a:graphic>
                </wp:anchor>
              </w:drawing>
            </w:r>
          </w:p>
        </w:tc>
      </w:tr>
      <w:tr w14:paraId="1E603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39484F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9C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去皮机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86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1.主要用途：适用于马铃薯、胡萝卜、莲藕、甘薯等蔬果类清洗去皮。</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2.电源系统：2.1电源：380V　三相 50HZ。</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3.设备材质：整机不锈钢拉丝面精制。</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4.主要技术指标：</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4.1对物料损耗小，工作效率高，毛刷耐用。</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4.2缸体为u型弧度设计。</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4.3采用7根尼龙1010毛刷，利用差速设计翻滚摩擦去皮。</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4.4辊刷全部使用实心轴制造。</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4.5出料设计方便，操作杆易开启，出料挡板有弹性支撑，能自己弹出。</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4.6有垃圾收集槽和污水过滤板，排污管口。</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4.7毛辊易清洗，易拆卸，无需拆开机器主体，只需要手动移动两端的护板就可。</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4.8 机器前后两侧的护板可以打开，有利于清洗。</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4.9机器</w:t>
            </w:r>
            <w:r>
              <w:rPr>
                <w:rStyle w:val="71"/>
                <w:rFonts w:hint="eastAsia" w:asciiTheme="minorEastAsia" w:hAnsiTheme="minorEastAsia" w:eastAsiaTheme="minorEastAsia" w:cstheme="minorEastAsia"/>
                <w:b w:val="0"/>
                <w:bCs w:val="0"/>
                <w:color w:val="auto"/>
                <w:sz w:val="18"/>
                <w:szCs w:val="18"/>
                <w:highlight w:val="none"/>
                <w:lang w:val="en-US" w:eastAsia="zh-CN" w:bidi="ar"/>
              </w:rPr>
              <w:t>带可移动脚轮，方便移动，且每个脚轮带固定装置。</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4.10整体设计合理，与其他设备配合形成流水线操作模式。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C7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18188E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23495</wp:posOffset>
                  </wp:positionH>
                  <wp:positionV relativeFrom="paragraph">
                    <wp:posOffset>706755</wp:posOffset>
                  </wp:positionV>
                  <wp:extent cx="1163955" cy="1351280"/>
                  <wp:effectExtent l="0" t="0" r="9525" b="5080"/>
                  <wp:wrapNone/>
                  <wp:docPr id="18" name="图片_4"/>
                  <wp:cNvGraphicFramePr/>
                  <a:graphic xmlns:a="http://schemas.openxmlformats.org/drawingml/2006/main">
                    <a:graphicData uri="http://schemas.openxmlformats.org/drawingml/2006/picture">
                      <pic:pic xmlns:pic="http://schemas.openxmlformats.org/drawingml/2006/picture">
                        <pic:nvPicPr>
                          <pic:cNvPr id="18" name="图片_4"/>
                          <pic:cNvPicPr/>
                        </pic:nvPicPr>
                        <pic:blipFill>
                          <a:blip r:embed="rId16"/>
                          <a:stretch>
                            <a:fillRect/>
                          </a:stretch>
                        </pic:blipFill>
                        <pic:spPr>
                          <a:xfrm>
                            <a:off x="0" y="0"/>
                            <a:ext cx="1163955" cy="1351280"/>
                          </a:xfrm>
                          <a:prstGeom prst="rect">
                            <a:avLst/>
                          </a:prstGeom>
                          <a:noFill/>
                          <a:ln>
                            <a:noFill/>
                          </a:ln>
                        </pic:spPr>
                      </pic:pic>
                    </a:graphicData>
                  </a:graphic>
                </wp:anchor>
              </w:drawing>
            </w:r>
          </w:p>
        </w:tc>
      </w:tr>
      <w:tr w14:paraId="5BDC0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40D675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E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大二门保鲜柜</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top"/>
          </w:tcPr>
          <w:p w14:paraId="665B4B9A">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auto"/>
                <w:sz w:val="18"/>
                <w:szCs w:val="18"/>
                <w:highlight w:val="none"/>
                <w:u w:val="none"/>
              </w:rPr>
            </w:pPr>
            <w:r>
              <w:rPr>
                <w:rStyle w:val="81"/>
                <w:rFonts w:hint="eastAsia" w:asciiTheme="minorEastAsia" w:hAnsiTheme="minorEastAsia" w:eastAsiaTheme="minorEastAsia" w:cstheme="minorEastAsia"/>
                <w:b w:val="0"/>
                <w:bCs w:val="0"/>
                <w:color w:val="auto"/>
                <w:sz w:val="18"/>
                <w:szCs w:val="18"/>
                <w:highlight w:val="none"/>
                <w:lang w:val="en-US" w:eastAsia="zh-CN" w:bidi="ar"/>
              </w:rPr>
              <w:t>电压：220V 功率≥0.390kw；制冷方式：直冷 温度范围：保鲜-5℃～+5℃，尺寸：≧1210*800*2000mmL，容积：≧840L。</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1、板材内箱优质无磁不锈钢板，前面板优质无磁不锈钢板，门面板优质无磁不锈钢板，外侧板优质无磁不锈钢板；加厚型发泡层，提高保温性能，超大空间，冷却速度快，更节能。</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2、釆用独立机组双压缩机双冷凝器双冷凝风机可整体抽出机组拆卸更换，到场即可修复，无需现场检修；</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3、采用≥0.390kw压缩机。压缩机3年质保。</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4、采用微电脑温控器，温度显示精准，性能稳定，操作简单。</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5、采用无磁不锈钢板材，全免焊设计结构。</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6、多气囊可拆卸式门封条，密封性能好，便于清洁；高效制冷。</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7、自动回归关门设计，防止门体关不严，造成食物变质。</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8、门框加热丝可更换，同时有专用开关控制，可根据温度湿度控制开关加热丝，除露除霜。</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9、采用环戊烷C5H10环保发泡材料。</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10、接线采用JST端子插接。</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11、所有电器线路通过线缆槽布局，伸缩位置釆用护缆套进行保护，避免岀现电器安全。</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12、纯铜蒸发器制作，采用TP2铜制作蒸发器，保证蒸发器使用寿命。</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13、能效等级为1级（立式冰箱）。</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14、冰箱符合GB/T24021-2024 i dtIS014021：2016的（II型环境标志）要求。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CB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4台</w:t>
            </w:r>
          </w:p>
        </w:tc>
        <w:tc>
          <w:tcPr>
            <w:tcW w:w="2089" w:type="dxa"/>
            <w:tcBorders>
              <w:top w:val="single" w:color="000000" w:sz="4" w:space="0"/>
              <w:left w:val="single" w:color="000000" w:sz="4" w:space="0"/>
              <w:bottom w:val="single" w:color="000000" w:sz="4" w:space="0"/>
            </w:tcBorders>
            <w:shd w:val="clear" w:color="auto" w:fill="auto"/>
            <w:vAlign w:val="center"/>
          </w:tcPr>
          <w:p w14:paraId="20D776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-15875</wp:posOffset>
                  </wp:positionH>
                  <wp:positionV relativeFrom="paragraph">
                    <wp:posOffset>609600</wp:posOffset>
                  </wp:positionV>
                  <wp:extent cx="1054735" cy="1543050"/>
                  <wp:effectExtent l="0" t="0" r="12065" b="11430"/>
                  <wp:wrapNone/>
                  <wp:docPr id="19" name="图片_16"/>
                  <wp:cNvGraphicFramePr/>
                  <a:graphic xmlns:a="http://schemas.openxmlformats.org/drawingml/2006/main">
                    <a:graphicData uri="http://schemas.openxmlformats.org/drawingml/2006/picture">
                      <pic:pic xmlns:pic="http://schemas.openxmlformats.org/drawingml/2006/picture">
                        <pic:nvPicPr>
                          <pic:cNvPr id="19" name="图片_16"/>
                          <pic:cNvPicPr/>
                        </pic:nvPicPr>
                        <pic:blipFill>
                          <a:blip r:embed="rId17"/>
                          <a:stretch>
                            <a:fillRect/>
                          </a:stretch>
                        </pic:blipFill>
                        <pic:spPr>
                          <a:xfrm>
                            <a:off x="0" y="0"/>
                            <a:ext cx="1054735" cy="1543050"/>
                          </a:xfrm>
                          <a:prstGeom prst="rect">
                            <a:avLst/>
                          </a:prstGeom>
                          <a:noFill/>
                          <a:ln>
                            <a:noFill/>
                          </a:ln>
                        </pic:spPr>
                      </pic:pic>
                    </a:graphicData>
                  </a:graphic>
                </wp:anchor>
              </w:drawing>
            </w:r>
          </w:p>
        </w:tc>
      </w:tr>
      <w:tr w14:paraId="10F26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8" w:type="dxa"/>
            <w:vMerge w:val="restart"/>
            <w:tcBorders>
              <w:top w:val="single" w:color="000000" w:sz="4" w:space="0"/>
              <w:bottom w:val="nil"/>
              <w:right w:val="single" w:color="000000" w:sz="4" w:space="0"/>
            </w:tcBorders>
            <w:shd w:val="clear" w:color="auto" w:fill="auto"/>
            <w:noWrap/>
            <w:vAlign w:val="center"/>
          </w:tcPr>
          <w:p w14:paraId="7DBF50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11</w:t>
            </w:r>
          </w:p>
        </w:tc>
        <w:tc>
          <w:tcPr>
            <w:tcW w:w="816" w:type="dxa"/>
            <w:vMerge w:val="restart"/>
            <w:tcBorders>
              <w:top w:val="single" w:color="000000" w:sz="4" w:space="0"/>
              <w:left w:val="single" w:color="000000" w:sz="4" w:space="0"/>
              <w:bottom w:val="nil"/>
              <w:right w:val="single" w:color="000000" w:sz="4" w:space="0"/>
            </w:tcBorders>
            <w:shd w:val="clear" w:color="auto" w:fill="auto"/>
            <w:vAlign w:val="center"/>
          </w:tcPr>
          <w:p w14:paraId="3BF79B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四门冰箱</w:t>
            </w:r>
          </w:p>
        </w:tc>
        <w:tc>
          <w:tcPr>
            <w:tcW w:w="5037" w:type="dxa"/>
            <w:vMerge w:val="restart"/>
            <w:tcBorders>
              <w:top w:val="single" w:color="000000" w:sz="4" w:space="0"/>
              <w:left w:val="single" w:color="000000" w:sz="4" w:space="0"/>
              <w:bottom w:val="nil"/>
              <w:right w:val="single" w:color="000000" w:sz="4" w:space="0"/>
            </w:tcBorders>
            <w:shd w:val="clear" w:color="auto" w:fill="auto"/>
            <w:vAlign w:val="top"/>
          </w:tcPr>
          <w:p w14:paraId="0179200B">
            <w:pPr>
              <w:keepNext w:val="0"/>
              <w:keepLines w:val="0"/>
              <w:widowControl/>
              <w:suppressLineNumbers w:val="0"/>
              <w:jc w:val="left"/>
              <w:textAlignment w:val="top"/>
              <w:rPr>
                <w:rStyle w:val="81"/>
                <w:rFonts w:hint="eastAsia" w:asciiTheme="minorEastAsia" w:hAnsiTheme="minorEastAsia" w:eastAsiaTheme="minorEastAsia" w:cstheme="minorEastAsia"/>
                <w:b w:val="0"/>
                <w:bCs w:val="0"/>
                <w:color w:val="auto"/>
                <w:sz w:val="18"/>
                <w:szCs w:val="18"/>
                <w:highlight w:val="none"/>
                <w:lang w:val="en-US" w:eastAsia="zh-CN" w:bidi="ar"/>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电压：220V；功率</w:t>
            </w:r>
            <w:r>
              <w:rPr>
                <w:rStyle w:val="81"/>
                <w:rFonts w:hint="eastAsia" w:asciiTheme="minorEastAsia" w:hAnsiTheme="minorEastAsia" w:eastAsiaTheme="minorEastAsia" w:cstheme="minorEastAsia"/>
                <w:b w:val="0"/>
                <w:bCs w:val="0"/>
                <w:color w:val="auto"/>
                <w:sz w:val="18"/>
                <w:szCs w:val="18"/>
                <w:highlight w:val="none"/>
                <w:lang w:val="en-US" w:eastAsia="zh-CN" w:bidi="ar"/>
              </w:rPr>
              <w:t>：≥0.390kw；容量≧900L：冷藏容积≧450L、冷冻容积≧450L；制冷方式：直冷； 温度范围：保鲜-5℃～+5℃冷冻0℃～-18℃。</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1、板材内箱无磁不锈钢板，前面板无磁不锈钢板，门面板无磁不锈钢板，外侧板无磁不锈钢板；加厚型发泡层，提高保温性能，超大空间，冷却速度快，更节能。</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2、釆用独立机组、双压缩机、双冷凝器、双冷凝风机、可整体抽出机组拆卸更换，到场即可修复，无需现场检修。</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3、采用≥0.390kw压缩机；并提供3年质保。</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4、采用微电脑温控器，温度显示精准，性能稳定，操作简单。</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5、采用无磁不锈钢板材，全免焊设计结构。</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6、多气囊可拆卸式门封条，密封性能好，便于清洁；高效制冷。</w:t>
            </w:r>
          </w:p>
          <w:p w14:paraId="4E6B5754">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auto"/>
                <w:sz w:val="18"/>
                <w:szCs w:val="18"/>
                <w:highlight w:val="none"/>
                <w:u w:val="none"/>
              </w:rPr>
            </w:pPr>
            <w:r>
              <w:rPr>
                <w:rStyle w:val="81"/>
                <w:rFonts w:hint="eastAsia" w:asciiTheme="minorEastAsia" w:hAnsiTheme="minorEastAsia" w:eastAsiaTheme="minorEastAsia" w:cstheme="minorEastAsia"/>
                <w:b w:val="0"/>
                <w:bCs w:val="0"/>
                <w:color w:val="auto"/>
                <w:sz w:val="18"/>
                <w:szCs w:val="18"/>
                <w:highlight w:val="none"/>
                <w:lang w:val="en-US" w:eastAsia="zh-CN" w:bidi="ar"/>
              </w:rPr>
              <w:t>7、自动回归关门设计，防止门体关不严，造成食物变质。</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8、门框加热丝可更换，同时有专用开关控制，可根据温度湿度控制开关加热丝，除露除霜。</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9、采用环戊烷C5H10环保发泡材料。</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10、接线采用JST端子插接。</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11、所有电器线路通过线缆槽布局，伸缩位置釆用护缆套进行保护，避免岀现电器安全。</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12、纯铜蒸发器制作，采用TP2铜制作蒸发器，保证蒸发器使用寿命。</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13、能效等级为1级（立式冰箱）。</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14、冰箱经中性盐雾试验检测苻合：GB/T10125-2021的要求。</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15、冰箱符合GB/T24021-2024 i dtIS014021：2016的（II型环境标志）要求。</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16,  冰箱防腐等级：符合GB/T10125-2021。</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17、产品符合食品接触产品卫生认证并获得认证证书。</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18、铜管通过GB/T 2423.17-2008《电工电子产品环境试验第2部分：试验方法：试验Ka盐雾》检验标准要求。</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 xml:space="preserve">19、温控器通过GB/T 18268.1-2010《测量、控制和实验室用的电设备电磁兼容性要求第1部分通用要求》检验。  </w:t>
            </w:r>
            <w:r>
              <w:rPr>
                <w:rStyle w:val="81"/>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81"/>
                <w:rFonts w:hint="eastAsia" w:asciiTheme="minorEastAsia" w:hAnsiTheme="minorEastAsia" w:eastAsiaTheme="minorEastAsia" w:cstheme="minorEastAsia"/>
                <w:b w:val="0"/>
                <w:bCs w:val="0"/>
                <w:color w:val="auto"/>
                <w:sz w:val="18"/>
                <w:szCs w:val="18"/>
                <w:highlight w:val="none"/>
                <w:lang w:val="en-US" w:eastAsia="zh-CN" w:bidi="ar"/>
              </w:rPr>
              <w:t>20、具有开/关、除霜、设置功能、具有故障报警代码显示功能、具有开门报警和高、低温报警功能。</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14:paraId="7B9E9D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4台</w:t>
            </w:r>
          </w:p>
        </w:tc>
        <w:tc>
          <w:tcPr>
            <w:tcW w:w="2089" w:type="dxa"/>
            <w:vMerge w:val="restart"/>
            <w:tcBorders>
              <w:top w:val="single" w:color="000000" w:sz="4" w:space="0"/>
              <w:left w:val="single" w:color="000000" w:sz="4" w:space="0"/>
              <w:bottom w:val="nil"/>
            </w:tcBorders>
            <w:shd w:val="clear" w:color="auto" w:fill="auto"/>
            <w:vAlign w:val="center"/>
          </w:tcPr>
          <w:p w14:paraId="4D4C38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drawing>
                <wp:inline distT="0" distB="0" distL="114300" distR="114300">
                  <wp:extent cx="990600" cy="1666875"/>
                  <wp:effectExtent l="0" t="0" r="0" b="9525"/>
                  <wp:docPr id="2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IMG_256"/>
                          <pic:cNvPicPr>
                            <a:picLocks noChangeAspect="1"/>
                          </pic:cNvPicPr>
                        </pic:nvPicPr>
                        <pic:blipFill>
                          <a:blip r:embed="rId18"/>
                          <a:stretch>
                            <a:fillRect/>
                          </a:stretch>
                        </pic:blipFill>
                        <pic:spPr>
                          <a:xfrm>
                            <a:off x="0" y="0"/>
                            <a:ext cx="990600" cy="1666875"/>
                          </a:xfrm>
                          <a:prstGeom prst="rect">
                            <a:avLst/>
                          </a:prstGeom>
                          <a:noFill/>
                          <a:ln w="9525">
                            <a:noFill/>
                          </a:ln>
                        </pic:spPr>
                      </pic:pic>
                    </a:graphicData>
                  </a:graphic>
                </wp:inline>
              </w:drawing>
            </w:r>
          </w:p>
        </w:tc>
      </w:tr>
      <w:tr w14:paraId="093B6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78" w:type="dxa"/>
            <w:vMerge w:val="continue"/>
            <w:tcBorders>
              <w:top w:val="single" w:color="000000" w:sz="4" w:space="0"/>
              <w:bottom w:val="nil"/>
              <w:right w:val="single" w:color="000000" w:sz="4" w:space="0"/>
            </w:tcBorders>
            <w:shd w:val="clear" w:color="auto" w:fill="auto"/>
            <w:noWrap/>
            <w:vAlign w:val="center"/>
          </w:tcPr>
          <w:p w14:paraId="49E61D8F">
            <w:pPr>
              <w:jc w:val="center"/>
              <w:rPr>
                <w:rFonts w:hint="eastAsia" w:asciiTheme="minorEastAsia" w:hAnsiTheme="minorEastAsia" w:eastAsiaTheme="minorEastAsia" w:cstheme="minorEastAsia"/>
                <w:b w:val="0"/>
                <w:bCs w:val="0"/>
                <w:i w:val="0"/>
                <w:iCs w:val="0"/>
                <w:color w:val="auto"/>
                <w:sz w:val="18"/>
                <w:szCs w:val="18"/>
                <w:highlight w:val="none"/>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14:paraId="3F53FFC3">
            <w:pPr>
              <w:jc w:val="center"/>
              <w:rPr>
                <w:rFonts w:hint="eastAsia" w:asciiTheme="minorEastAsia" w:hAnsiTheme="minorEastAsia" w:eastAsiaTheme="minorEastAsia" w:cstheme="minorEastAsia"/>
                <w:b w:val="0"/>
                <w:bCs w:val="0"/>
                <w:i w:val="0"/>
                <w:iCs w:val="0"/>
                <w:color w:val="auto"/>
                <w:sz w:val="18"/>
                <w:szCs w:val="18"/>
                <w:highlight w:val="none"/>
                <w:u w:val="none"/>
              </w:rPr>
            </w:pPr>
          </w:p>
        </w:tc>
        <w:tc>
          <w:tcPr>
            <w:tcW w:w="5037" w:type="dxa"/>
            <w:vMerge w:val="continue"/>
            <w:tcBorders>
              <w:top w:val="single" w:color="000000" w:sz="4" w:space="0"/>
              <w:left w:val="single" w:color="000000" w:sz="4" w:space="0"/>
              <w:bottom w:val="nil"/>
              <w:right w:val="single" w:color="000000" w:sz="4" w:space="0"/>
            </w:tcBorders>
            <w:shd w:val="clear" w:color="auto" w:fill="auto"/>
            <w:vAlign w:val="top"/>
          </w:tcPr>
          <w:p w14:paraId="7F663AC3">
            <w:pPr>
              <w:jc w:val="left"/>
              <w:rPr>
                <w:rFonts w:hint="eastAsia" w:asciiTheme="minorEastAsia" w:hAnsiTheme="minorEastAsia" w:eastAsiaTheme="minorEastAsia" w:cstheme="minorEastAsia"/>
                <w:b w:val="0"/>
                <w:bCs w:val="0"/>
                <w:i w:val="0"/>
                <w:iCs w:val="0"/>
                <w:color w:val="auto"/>
                <w:sz w:val="18"/>
                <w:szCs w:val="18"/>
                <w:highlight w:val="none"/>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14:paraId="2FEE72B6">
            <w:pPr>
              <w:jc w:val="center"/>
              <w:rPr>
                <w:rFonts w:hint="eastAsia" w:asciiTheme="minorEastAsia" w:hAnsiTheme="minorEastAsia" w:eastAsiaTheme="minorEastAsia" w:cstheme="minorEastAsia"/>
                <w:b w:val="0"/>
                <w:bCs w:val="0"/>
                <w:i w:val="0"/>
                <w:iCs w:val="0"/>
                <w:color w:val="auto"/>
                <w:sz w:val="18"/>
                <w:szCs w:val="18"/>
                <w:highlight w:val="none"/>
                <w:u w:val="none"/>
              </w:rPr>
            </w:pPr>
          </w:p>
        </w:tc>
        <w:tc>
          <w:tcPr>
            <w:tcW w:w="2089" w:type="dxa"/>
            <w:vMerge w:val="continue"/>
            <w:tcBorders>
              <w:top w:val="single" w:color="000000" w:sz="4" w:space="0"/>
              <w:left w:val="single" w:color="000000" w:sz="4" w:space="0"/>
              <w:bottom w:val="nil"/>
            </w:tcBorders>
            <w:shd w:val="clear" w:color="auto" w:fill="auto"/>
            <w:vAlign w:val="center"/>
          </w:tcPr>
          <w:p w14:paraId="52D58385">
            <w:pPr>
              <w:jc w:val="center"/>
              <w:rPr>
                <w:rFonts w:hint="eastAsia" w:asciiTheme="minorEastAsia" w:hAnsiTheme="minorEastAsia" w:eastAsiaTheme="minorEastAsia" w:cstheme="minorEastAsia"/>
                <w:b w:val="0"/>
                <w:bCs w:val="0"/>
                <w:i w:val="0"/>
                <w:iCs w:val="0"/>
                <w:color w:val="auto"/>
                <w:sz w:val="18"/>
                <w:szCs w:val="18"/>
                <w:highlight w:val="none"/>
                <w:u w:val="none"/>
              </w:rPr>
            </w:pPr>
          </w:p>
        </w:tc>
      </w:tr>
      <w:tr w14:paraId="7892F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582376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B4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蒸箱</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C730">
            <w:pPr>
              <w:keepNext w:val="0"/>
              <w:keepLines w:val="0"/>
              <w:widowControl/>
              <w:suppressLineNumbers w:val="0"/>
              <w:jc w:val="left"/>
              <w:textAlignment w:val="top"/>
              <w:rPr>
                <w:rStyle w:val="81"/>
                <w:rFonts w:hint="eastAsia" w:asciiTheme="minorEastAsia" w:hAnsiTheme="minorEastAsia" w:eastAsiaTheme="minorEastAsia" w:cstheme="minorEastAsia"/>
                <w:b w:val="0"/>
                <w:bCs w:val="0"/>
                <w:color w:val="auto"/>
                <w:sz w:val="18"/>
                <w:szCs w:val="18"/>
                <w:highlight w:val="none"/>
                <w:lang w:val="en-US" w:eastAsia="zh-CN" w:bidi="ar"/>
              </w:rPr>
            </w:pPr>
            <w:r>
              <w:rPr>
                <w:rStyle w:val="81"/>
                <w:rFonts w:hint="eastAsia" w:asciiTheme="minorEastAsia" w:hAnsiTheme="minorEastAsia" w:eastAsiaTheme="minorEastAsia" w:cstheme="minorEastAsia"/>
                <w:b w:val="0"/>
                <w:bCs w:val="0"/>
                <w:color w:val="auto"/>
                <w:sz w:val="18"/>
                <w:szCs w:val="18"/>
                <w:highlight w:val="none"/>
                <w:lang w:val="en-US" w:eastAsia="zh-CN" w:bidi="ar"/>
              </w:rPr>
              <w:t>电加热，产生103℃高温蒸汽；温度调节：拥有50~102℃水箱三重立体保护：缺水保护，防干烧保护，防溢水保护；敞开式水箱设计，底厚≥3mm；全不锈钢制作，坚固耐用；电功率：24kw/380v，容量：双门≧24盘，尺寸：≧1450*580*1460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0C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6台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2669D5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276225</wp:posOffset>
                  </wp:positionH>
                  <wp:positionV relativeFrom="paragraph">
                    <wp:posOffset>66675</wp:posOffset>
                  </wp:positionV>
                  <wp:extent cx="657225" cy="993140"/>
                  <wp:effectExtent l="0" t="0" r="13335" b="12700"/>
                  <wp:wrapNone/>
                  <wp:docPr id="21" name="图片_10"/>
                  <wp:cNvGraphicFramePr/>
                  <a:graphic xmlns:a="http://schemas.openxmlformats.org/drawingml/2006/main">
                    <a:graphicData uri="http://schemas.openxmlformats.org/drawingml/2006/picture">
                      <pic:pic xmlns:pic="http://schemas.openxmlformats.org/drawingml/2006/picture">
                        <pic:nvPicPr>
                          <pic:cNvPr id="21" name="图片_10"/>
                          <pic:cNvPicPr/>
                        </pic:nvPicPr>
                        <pic:blipFill>
                          <a:blip r:embed="rId19"/>
                          <a:stretch>
                            <a:fillRect/>
                          </a:stretch>
                        </pic:blipFill>
                        <pic:spPr>
                          <a:xfrm>
                            <a:off x="0" y="0"/>
                            <a:ext cx="657225" cy="993140"/>
                          </a:xfrm>
                          <a:prstGeom prst="rect">
                            <a:avLst/>
                          </a:prstGeom>
                          <a:noFill/>
                          <a:ln>
                            <a:noFill/>
                          </a:ln>
                        </pic:spPr>
                      </pic:pic>
                    </a:graphicData>
                  </a:graphic>
                </wp:anchor>
              </w:drawing>
            </w:r>
          </w:p>
        </w:tc>
      </w:tr>
      <w:tr w14:paraId="3C334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42F380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9C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保温桶</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（饭桶）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1227">
            <w:pPr>
              <w:keepNext w:val="0"/>
              <w:keepLines w:val="0"/>
              <w:widowControl/>
              <w:suppressLineNumbers w:val="0"/>
              <w:jc w:val="left"/>
              <w:textAlignment w:val="top"/>
              <w:rPr>
                <w:rStyle w:val="81"/>
                <w:rFonts w:hint="eastAsia" w:asciiTheme="minorEastAsia" w:hAnsiTheme="minorEastAsia" w:eastAsiaTheme="minorEastAsia" w:cstheme="minorEastAsia"/>
                <w:b w:val="0"/>
                <w:bCs w:val="0"/>
                <w:color w:val="auto"/>
                <w:sz w:val="18"/>
                <w:szCs w:val="18"/>
                <w:highlight w:val="none"/>
                <w:lang w:val="en-US" w:eastAsia="zh-CN" w:bidi="ar"/>
              </w:rPr>
            </w:pPr>
            <w:r>
              <w:rPr>
                <w:rStyle w:val="81"/>
                <w:rFonts w:hint="eastAsia" w:asciiTheme="minorEastAsia" w:hAnsiTheme="minorEastAsia" w:eastAsiaTheme="minorEastAsia" w:cstheme="minorEastAsia"/>
                <w:b w:val="0"/>
                <w:bCs w:val="0"/>
                <w:color w:val="auto"/>
                <w:sz w:val="18"/>
                <w:szCs w:val="18"/>
                <w:highlight w:val="none"/>
                <w:lang w:val="en-US" w:eastAsia="zh-CN" w:bidi="ar"/>
              </w:rPr>
              <w:t>整体为不锈钢材质，直径≧42cm，容量：≧50L,保温材料：聚氨酯发泡。保温时长≥8小时。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C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50个</w:t>
            </w:r>
          </w:p>
        </w:tc>
        <w:tc>
          <w:tcPr>
            <w:tcW w:w="2089" w:type="dxa"/>
            <w:tcBorders>
              <w:top w:val="single" w:color="000000" w:sz="4" w:space="0"/>
              <w:left w:val="single" w:color="000000" w:sz="4" w:space="0"/>
              <w:bottom w:val="single" w:color="000000" w:sz="4" w:space="0"/>
            </w:tcBorders>
            <w:shd w:val="clear" w:color="auto" w:fill="auto"/>
            <w:noWrap/>
            <w:vAlign w:val="center"/>
          </w:tcPr>
          <w:p w14:paraId="7C7782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323850</wp:posOffset>
                  </wp:positionH>
                  <wp:positionV relativeFrom="paragraph">
                    <wp:posOffset>95250</wp:posOffset>
                  </wp:positionV>
                  <wp:extent cx="753110" cy="894080"/>
                  <wp:effectExtent l="0" t="0" r="8890" b="5080"/>
                  <wp:wrapNone/>
                  <wp:docPr id="22" name="图片_12"/>
                  <wp:cNvGraphicFramePr/>
                  <a:graphic xmlns:a="http://schemas.openxmlformats.org/drawingml/2006/main">
                    <a:graphicData uri="http://schemas.openxmlformats.org/drawingml/2006/picture">
                      <pic:pic xmlns:pic="http://schemas.openxmlformats.org/drawingml/2006/picture">
                        <pic:nvPicPr>
                          <pic:cNvPr id="22" name="图片_12"/>
                          <pic:cNvPicPr/>
                        </pic:nvPicPr>
                        <pic:blipFill>
                          <a:blip r:embed="rId20"/>
                          <a:stretch>
                            <a:fillRect/>
                          </a:stretch>
                        </pic:blipFill>
                        <pic:spPr>
                          <a:xfrm>
                            <a:off x="0" y="0"/>
                            <a:ext cx="753110" cy="894080"/>
                          </a:xfrm>
                          <a:prstGeom prst="rect">
                            <a:avLst/>
                          </a:prstGeom>
                          <a:noFill/>
                          <a:ln>
                            <a:noFill/>
                          </a:ln>
                        </pic:spPr>
                      </pic:pic>
                    </a:graphicData>
                  </a:graphic>
                </wp:anchor>
              </w:drawing>
            </w:r>
          </w:p>
        </w:tc>
      </w:tr>
      <w:tr w14:paraId="1DEC2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16431B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10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不锈钢工作台</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2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Style w:val="81"/>
                <w:rFonts w:hint="eastAsia" w:asciiTheme="minorEastAsia" w:hAnsiTheme="minorEastAsia" w:eastAsiaTheme="minorEastAsia" w:cstheme="minorEastAsia"/>
                <w:b w:val="0"/>
                <w:bCs w:val="0"/>
                <w:color w:val="auto"/>
                <w:sz w:val="18"/>
                <w:szCs w:val="18"/>
                <w:highlight w:val="none"/>
                <w:lang w:val="en-US" w:eastAsia="zh-CN" w:bidi="ar"/>
              </w:rPr>
              <w:t>尺寸：≥1800*800*800mm，整体≧1.0mm厚不锈钢材质、侧板厚度≧0.8mm；支架横通应采用直径≥20mm的圆形或矩形不锈钢管焊接成型，不锈钢管壁厚≥1.0 mm；支腿材料采用≥38 mm的圆形或方形不锈钢管焊接成型，焊接接头处采用加强筋板，不锈钢管壁厚≥1.0mm，支脚采用金属外包不锈钢可调子弹脚；台面采用≥1.0mm不锈钢板制造，台面应向内折边成 U 型，高度为40～50 mm，折边处应平整光滑，台面的刃口必须倒成圆角，不允许有毛刺，折边内外部容易进行卫生清洁。</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18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6张</w:t>
            </w:r>
          </w:p>
        </w:tc>
        <w:tc>
          <w:tcPr>
            <w:tcW w:w="2089" w:type="dxa"/>
            <w:tcBorders>
              <w:top w:val="single" w:color="000000" w:sz="4" w:space="0"/>
              <w:left w:val="single" w:color="000000" w:sz="4" w:space="0"/>
              <w:bottom w:val="single" w:color="000000" w:sz="4" w:space="0"/>
            </w:tcBorders>
            <w:shd w:val="clear" w:color="auto" w:fill="auto"/>
            <w:noWrap/>
            <w:vAlign w:val="center"/>
          </w:tcPr>
          <w:p w14:paraId="6AF48D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53340</wp:posOffset>
                  </wp:positionH>
                  <wp:positionV relativeFrom="paragraph">
                    <wp:posOffset>197485</wp:posOffset>
                  </wp:positionV>
                  <wp:extent cx="1065530" cy="791210"/>
                  <wp:effectExtent l="0" t="0" r="1270" b="1270"/>
                  <wp:wrapNone/>
                  <wp:docPr id="23" name="图片_13"/>
                  <wp:cNvGraphicFramePr/>
                  <a:graphic xmlns:a="http://schemas.openxmlformats.org/drawingml/2006/main">
                    <a:graphicData uri="http://schemas.openxmlformats.org/drawingml/2006/picture">
                      <pic:pic xmlns:pic="http://schemas.openxmlformats.org/drawingml/2006/picture">
                        <pic:nvPicPr>
                          <pic:cNvPr id="23" name="图片_13"/>
                          <pic:cNvPicPr/>
                        </pic:nvPicPr>
                        <pic:blipFill>
                          <a:blip r:embed="rId21"/>
                          <a:stretch>
                            <a:fillRect/>
                          </a:stretch>
                        </pic:blipFill>
                        <pic:spPr>
                          <a:xfrm>
                            <a:off x="0" y="0"/>
                            <a:ext cx="1065530" cy="791210"/>
                          </a:xfrm>
                          <a:prstGeom prst="rect">
                            <a:avLst/>
                          </a:prstGeom>
                          <a:noFill/>
                          <a:ln>
                            <a:noFill/>
                          </a:ln>
                        </pic:spPr>
                      </pic:pic>
                    </a:graphicData>
                  </a:graphic>
                </wp:anchor>
              </w:drawing>
            </w:r>
          </w:p>
        </w:tc>
      </w:tr>
      <w:tr w14:paraId="12C54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38ADE5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05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手推车</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C1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Style w:val="71"/>
                <w:rFonts w:hint="eastAsia" w:asciiTheme="minorEastAsia" w:hAnsiTheme="minorEastAsia" w:eastAsiaTheme="minorEastAsia" w:cstheme="minorEastAsia"/>
                <w:b w:val="0"/>
                <w:bCs w:val="0"/>
                <w:color w:val="auto"/>
                <w:sz w:val="18"/>
                <w:szCs w:val="18"/>
                <w:highlight w:val="none"/>
                <w:lang w:val="en-US" w:eastAsia="zh-CN" w:bidi="ar"/>
              </w:rPr>
              <w:t>四轮万向轮，尺寸：</w:t>
            </w:r>
            <w:r>
              <w:rPr>
                <w:rStyle w:val="53"/>
                <w:rFonts w:hint="eastAsia" w:asciiTheme="minorEastAsia" w:hAnsiTheme="minorEastAsia" w:eastAsiaTheme="minorEastAsia" w:cstheme="minorEastAsia"/>
                <w:b w:val="0"/>
                <w:bCs w:val="0"/>
                <w:color w:val="auto"/>
                <w:sz w:val="18"/>
                <w:szCs w:val="18"/>
                <w:highlight w:val="none"/>
                <w:lang w:val="en-US" w:eastAsia="zh-CN" w:bidi="ar"/>
              </w:rPr>
              <w:t>≧600mm*660mm*950mm</w:t>
            </w:r>
            <w:r>
              <w:rPr>
                <w:rStyle w:val="71"/>
                <w:rFonts w:hint="eastAsia" w:asciiTheme="minorEastAsia" w:hAnsiTheme="minorEastAsia" w:eastAsiaTheme="minorEastAsia" w:cstheme="minorEastAsia"/>
                <w:b w:val="0"/>
                <w:bCs w:val="0"/>
                <w:color w:val="auto"/>
                <w:sz w:val="18"/>
                <w:szCs w:val="18"/>
                <w:highlight w:val="none"/>
                <w:lang w:val="en-US" w:eastAsia="zh-CN" w:bidi="ar"/>
              </w:rPr>
              <w:t>，整体采用不锈钢材质，结实耐用，脚轮为耐腐软面材料；带刹车和加固支撑，不可折叠，整体满焊，承重≥200kg。</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8C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6个</w:t>
            </w:r>
          </w:p>
        </w:tc>
        <w:tc>
          <w:tcPr>
            <w:tcW w:w="2089" w:type="dxa"/>
            <w:tcBorders>
              <w:top w:val="single" w:color="000000" w:sz="4" w:space="0"/>
              <w:left w:val="single" w:color="000000" w:sz="4" w:space="0"/>
              <w:bottom w:val="single" w:color="000000" w:sz="4" w:space="0"/>
            </w:tcBorders>
            <w:shd w:val="clear" w:color="auto" w:fill="auto"/>
            <w:noWrap/>
            <w:vAlign w:val="center"/>
          </w:tcPr>
          <w:p w14:paraId="0291C4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132715</wp:posOffset>
                  </wp:positionH>
                  <wp:positionV relativeFrom="paragraph">
                    <wp:posOffset>80645</wp:posOffset>
                  </wp:positionV>
                  <wp:extent cx="990600" cy="891540"/>
                  <wp:effectExtent l="0" t="0" r="0" b="7620"/>
                  <wp:wrapNone/>
                  <wp:docPr id="24" name="图片_14"/>
                  <wp:cNvGraphicFramePr/>
                  <a:graphic xmlns:a="http://schemas.openxmlformats.org/drawingml/2006/main">
                    <a:graphicData uri="http://schemas.openxmlformats.org/drawingml/2006/picture">
                      <pic:pic xmlns:pic="http://schemas.openxmlformats.org/drawingml/2006/picture">
                        <pic:nvPicPr>
                          <pic:cNvPr id="24" name="图片_14"/>
                          <pic:cNvPicPr/>
                        </pic:nvPicPr>
                        <pic:blipFill>
                          <a:blip r:embed="rId22"/>
                          <a:stretch>
                            <a:fillRect/>
                          </a:stretch>
                        </pic:blipFill>
                        <pic:spPr>
                          <a:xfrm>
                            <a:off x="0" y="0"/>
                            <a:ext cx="990600" cy="891540"/>
                          </a:xfrm>
                          <a:prstGeom prst="rect">
                            <a:avLst/>
                          </a:prstGeom>
                          <a:noFill/>
                          <a:ln>
                            <a:noFill/>
                          </a:ln>
                        </pic:spPr>
                      </pic:pic>
                    </a:graphicData>
                  </a:graphic>
                </wp:anchor>
              </w:drawing>
            </w:r>
          </w:p>
        </w:tc>
      </w:tr>
      <w:tr w14:paraId="051AE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4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370935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E1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电磁单头大锅灶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CD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1、尺寸：≥1200*1300*（800+400）mm，锅与设备一体。</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2、电磁专用大锅，锅径≥Φ1000，功率：30kw/380v。</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3、灶面板采用一体成型面板，炉体采用201不锈钢骨架，炉头采用铸钢成型。</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4、机芯采用分层次散热结构。</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5、具有全中文显示故障代码功能，让操作更人性化，档位对应功率显示。让操作更加直观。</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6、8档360度旋转档位火力调节。</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7、后背防水风机。</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8、聚能线盘节能设计，线圈盘无盲区，比传统灶节能30%以上。</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 xml:space="preserve">9、移相搭桥电路控制技术，性能卓越运行稳定。 </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10、超宽工作电压设计，运行稳定更安全。</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11、电路防磁干扰EMC模块设计，保护电网及电器设备。</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12、单头大炒炉 30KW符合GB/T 17626.11-2008《电磁兼容试验和测量技术电压暂降、短时中断和电压变化的抗扰度试验》检测标准；符合GB/T 17626.2-2006《电磁兼容试验和测量技术静电放电抗扰度试验》检测标准；符合GB/T 17626.6-2008《电磁兼容试验和测量技术射频场感应的传导骚扰抗扰度》检测标准。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F4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6个</w:t>
            </w:r>
          </w:p>
        </w:tc>
        <w:tc>
          <w:tcPr>
            <w:tcW w:w="2089" w:type="dxa"/>
            <w:tcBorders>
              <w:top w:val="single" w:color="000000" w:sz="4" w:space="0"/>
              <w:left w:val="single" w:color="000000" w:sz="4" w:space="0"/>
              <w:bottom w:val="single" w:color="000000" w:sz="4" w:space="0"/>
            </w:tcBorders>
            <w:shd w:val="clear" w:color="auto" w:fill="auto"/>
            <w:noWrap/>
            <w:vAlign w:val="center"/>
          </w:tcPr>
          <w:p w14:paraId="1C31FC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-21590</wp:posOffset>
                  </wp:positionH>
                  <wp:positionV relativeFrom="paragraph">
                    <wp:posOffset>963295</wp:posOffset>
                  </wp:positionV>
                  <wp:extent cx="1174115" cy="1115695"/>
                  <wp:effectExtent l="0" t="0" r="14605" b="12065"/>
                  <wp:wrapNone/>
                  <wp:docPr id="25" name="图片_15"/>
                  <wp:cNvGraphicFramePr/>
                  <a:graphic xmlns:a="http://schemas.openxmlformats.org/drawingml/2006/main">
                    <a:graphicData uri="http://schemas.openxmlformats.org/drawingml/2006/picture">
                      <pic:pic xmlns:pic="http://schemas.openxmlformats.org/drawingml/2006/picture">
                        <pic:nvPicPr>
                          <pic:cNvPr id="25" name="图片_15"/>
                          <pic:cNvPicPr/>
                        </pic:nvPicPr>
                        <pic:blipFill>
                          <a:blip r:embed="rId23"/>
                          <a:stretch>
                            <a:fillRect/>
                          </a:stretch>
                        </pic:blipFill>
                        <pic:spPr>
                          <a:xfrm>
                            <a:off x="0" y="0"/>
                            <a:ext cx="1174115" cy="1115695"/>
                          </a:xfrm>
                          <a:prstGeom prst="rect">
                            <a:avLst/>
                          </a:prstGeom>
                          <a:noFill/>
                          <a:ln>
                            <a:noFill/>
                          </a:ln>
                        </pic:spPr>
                      </pic:pic>
                    </a:graphicData>
                  </a:graphic>
                </wp:anchor>
              </w:drawing>
            </w:r>
          </w:p>
        </w:tc>
      </w:tr>
      <w:tr w14:paraId="360B1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41" w:hRule="atLeast"/>
          <w:jc w:val="center"/>
        </w:trPr>
        <w:tc>
          <w:tcPr>
            <w:tcW w:w="578" w:type="dxa"/>
            <w:tcBorders>
              <w:top w:val="single" w:color="000000" w:sz="4" w:space="0"/>
              <w:right w:val="single" w:color="000000" w:sz="4" w:space="0"/>
            </w:tcBorders>
            <w:shd w:val="clear" w:color="auto" w:fill="auto"/>
            <w:noWrap/>
            <w:vAlign w:val="center"/>
          </w:tcPr>
          <w:p w14:paraId="12C402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17</w:t>
            </w:r>
          </w:p>
        </w:tc>
        <w:tc>
          <w:tcPr>
            <w:tcW w:w="816" w:type="dxa"/>
            <w:tcBorders>
              <w:top w:val="single" w:color="000000" w:sz="4" w:space="0"/>
              <w:left w:val="single" w:color="000000" w:sz="4" w:space="0"/>
              <w:right w:val="single" w:color="000000" w:sz="4" w:space="0"/>
            </w:tcBorders>
            <w:shd w:val="clear" w:color="auto" w:fill="auto"/>
            <w:vAlign w:val="center"/>
          </w:tcPr>
          <w:p w14:paraId="07382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单门留样柜</w:t>
            </w:r>
          </w:p>
        </w:tc>
        <w:tc>
          <w:tcPr>
            <w:tcW w:w="5037" w:type="dxa"/>
            <w:tcBorders>
              <w:top w:val="single" w:color="000000" w:sz="4" w:space="0"/>
              <w:left w:val="single" w:color="000000" w:sz="4" w:space="0"/>
              <w:right w:val="single" w:color="000000" w:sz="4" w:space="0"/>
            </w:tcBorders>
            <w:shd w:val="clear" w:color="auto" w:fill="auto"/>
            <w:vAlign w:val="center"/>
          </w:tcPr>
          <w:p w14:paraId="14AEE8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外形尺寸：≥545*(545+55)*1840mm</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内部尺寸：≥453*450*1145mm</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耗 电 量：1.2 kw-h/24h</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温度范围：0-10°C</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电压频率：220V/50Hz</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输入/灯功率：145W /3W</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容积/净重：≥259L</w:t>
            </w:r>
          </w:p>
        </w:tc>
        <w:tc>
          <w:tcPr>
            <w:tcW w:w="700" w:type="dxa"/>
            <w:tcBorders>
              <w:top w:val="single" w:color="000000" w:sz="4" w:space="0"/>
              <w:left w:val="single" w:color="000000" w:sz="4" w:space="0"/>
              <w:right w:val="single" w:color="000000" w:sz="4" w:space="0"/>
            </w:tcBorders>
            <w:shd w:val="clear" w:color="auto" w:fill="auto"/>
            <w:vAlign w:val="center"/>
          </w:tcPr>
          <w:p w14:paraId="2A0573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4台</w:t>
            </w:r>
          </w:p>
        </w:tc>
        <w:tc>
          <w:tcPr>
            <w:tcW w:w="2089" w:type="dxa"/>
            <w:tcBorders>
              <w:top w:val="single" w:color="000000" w:sz="4" w:space="0"/>
              <w:left w:val="single" w:color="000000" w:sz="4" w:space="0"/>
            </w:tcBorders>
            <w:shd w:val="clear" w:color="auto" w:fill="auto"/>
            <w:noWrap/>
            <w:vAlign w:val="center"/>
          </w:tcPr>
          <w:p w14:paraId="16BFF1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highlight w:val="none"/>
                <w:u w:val="none"/>
              </w:rPr>
            </w:pPr>
            <w:r>
              <w:rPr>
                <w:rFonts w:hint="eastAsia" w:asciiTheme="minorEastAsia" w:hAnsiTheme="minorEastAsia" w:eastAsiaTheme="minorEastAsia" w:cstheme="minorEastAsia"/>
                <w:b w:val="0"/>
                <w:bCs w:val="0"/>
                <w:i w:val="0"/>
                <w:iCs w:val="0"/>
                <w:color w:val="auto"/>
                <w:kern w:val="0"/>
                <w:sz w:val="18"/>
                <w:szCs w:val="18"/>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71755</wp:posOffset>
                  </wp:positionH>
                  <wp:positionV relativeFrom="paragraph">
                    <wp:posOffset>12700</wp:posOffset>
                  </wp:positionV>
                  <wp:extent cx="1122680" cy="1196975"/>
                  <wp:effectExtent l="0" t="0" r="5080" b="6985"/>
                  <wp:wrapNone/>
                  <wp:docPr id="26" name="图片_17"/>
                  <wp:cNvGraphicFramePr/>
                  <a:graphic xmlns:a="http://schemas.openxmlformats.org/drawingml/2006/main">
                    <a:graphicData uri="http://schemas.openxmlformats.org/drawingml/2006/picture">
                      <pic:pic xmlns:pic="http://schemas.openxmlformats.org/drawingml/2006/picture">
                        <pic:nvPicPr>
                          <pic:cNvPr id="26" name="图片_17"/>
                          <pic:cNvPicPr/>
                        </pic:nvPicPr>
                        <pic:blipFill>
                          <a:blip r:embed="rId24"/>
                          <a:stretch>
                            <a:fillRect/>
                          </a:stretch>
                        </pic:blipFill>
                        <pic:spPr>
                          <a:xfrm>
                            <a:off x="0" y="0"/>
                            <a:ext cx="1122680" cy="1196975"/>
                          </a:xfrm>
                          <a:prstGeom prst="rect">
                            <a:avLst/>
                          </a:prstGeom>
                          <a:noFill/>
                          <a:ln>
                            <a:noFill/>
                          </a:ln>
                        </pic:spPr>
                      </pic:pic>
                    </a:graphicData>
                  </a:graphic>
                </wp:anchor>
              </w:drawing>
            </w:r>
          </w:p>
        </w:tc>
      </w:tr>
    </w:tbl>
    <w:p w14:paraId="2888E4B3">
      <w:pPr>
        <w:pStyle w:val="43"/>
        <w:jc w:val="both"/>
        <w:rPr>
          <w:rFonts w:hint="eastAsia" w:asciiTheme="majorEastAsia" w:hAnsiTheme="majorEastAsia" w:eastAsiaTheme="majorEastAsia" w:cstheme="majorEastAsia"/>
          <w:i w:val="0"/>
          <w:iCs w:val="0"/>
          <w:color w:val="FF0000"/>
          <w:kern w:val="0"/>
          <w:sz w:val="18"/>
          <w:szCs w:val="18"/>
          <w:highlight w:val="none"/>
          <w:u w:val="none"/>
          <w:lang w:val="en-US" w:eastAsia="zh-CN" w:bidi="ar"/>
        </w:rPr>
      </w:pPr>
    </w:p>
    <w:p w14:paraId="7F0DFCEB">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二、</w:t>
      </w:r>
      <w:r>
        <w:rPr>
          <w:rFonts w:hint="eastAsia" w:asciiTheme="majorEastAsia" w:hAnsiTheme="majorEastAsia" w:eastAsiaTheme="majorEastAsia" w:cstheme="majorEastAsia"/>
          <w:b/>
          <w:bCs/>
          <w:color w:val="auto"/>
          <w:sz w:val="21"/>
          <w:szCs w:val="21"/>
          <w:highlight w:val="none"/>
        </w:rPr>
        <w:t>包装要求</w:t>
      </w:r>
    </w:p>
    <w:p w14:paraId="70E0C04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Cs/>
          <w:color w:val="auto"/>
          <w:sz w:val="21"/>
          <w:szCs w:val="21"/>
          <w:highlight w:val="none"/>
        </w:rPr>
        <w:t xml:space="preserve"> </w:t>
      </w:r>
      <w:r>
        <w:rPr>
          <w:rFonts w:hint="eastAsia" w:asciiTheme="majorEastAsia" w:hAnsiTheme="majorEastAsia" w:eastAsiaTheme="majorEastAsia" w:cstheme="majorEastAsia"/>
          <w:color w:val="auto"/>
          <w:kern w:val="0"/>
          <w:sz w:val="21"/>
          <w:szCs w:val="21"/>
          <w:highlight w:val="none"/>
        </w:rPr>
        <w:t xml:space="preserve">  </w:t>
      </w:r>
      <w:r>
        <w:rPr>
          <w:rFonts w:hint="eastAsia" w:asciiTheme="majorEastAsia" w:hAnsiTheme="majorEastAsia" w:eastAsiaTheme="majorEastAsia" w:cstheme="majorEastAsia"/>
          <w:color w:val="auto"/>
          <w:kern w:val="0"/>
          <w:szCs w:val="21"/>
          <w:highlight w:val="none"/>
        </w:rPr>
        <w:t xml:space="preserve"> 供方应提供货物</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服务</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1C3746DB">
      <w:pPr>
        <w:keepNext w:val="0"/>
        <w:keepLines w:val="0"/>
        <w:pageBreakBefore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三、 供货</w:t>
      </w:r>
      <w:r>
        <w:rPr>
          <w:rFonts w:hint="eastAsia" w:asciiTheme="majorEastAsia" w:hAnsiTheme="majorEastAsia" w:eastAsiaTheme="majorEastAsia" w:cstheme="majorEastAsia"/>
          <w:b/>
          <w:color w:val="auto"/>
          <w:sz w:val="21"/>
          <w:szCs w:val="21"/>
          <w:highlight w:val="none"/>
        </w:rPr>
        <w:t>时间</w:t>
      </w:r>
      <w:r>
        <w:rPr>
          <w:rFonts w:hint="eastAsia" w:asciiTheme="majorEastAsia" w:hAnsiTheme="majorEastAsia" w:eastAsiaTheme="majorEastAsia" w:cstheme="majorEastAsia"/>
          <w:b/>
          <w:color w:val="auto"/>
          <w:sz w:val="21"/>
          <w:szCs w:val="21"/>
          <w:highlight w:val="none"/>
          <w:lang w:val="en-US" w:eastAsia="zh-CN"/>
        </w:rPr>
        <w:t>及方式。</w:t>
      </w:r>
    </w:p>
    <w:p w14:paraId="38A7741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0000FF"/>
          <w:kern w:val="2"/>
          <w:sz w:val="21"/>
          <w:szCs w:val="24"/>
          <w:highlight w:val="none"/>
          <w:lang w:val="en-US" w:eastAsia="zh-CN" w:bidi="ar-SA"/>
        </w:rPr>
      </w:pPr>
      <w:r>
        <w:rPr>
          <w:rFonts w:hint="eastAsia" w:asciiTheme="majorEastAsia" w:hAnsiTheme="majorEastAsia" w:eastAsiaTheme="majorEastAsia" w:cstheme="majorEastAsia"/>
          <w:color w:val="0000FF"/>
          <w:kern w:val="0"/>
          <w:szCs w:val="21"/>
          <w:highlight w:val="none"/>
          <w:lang w:val="en-US" w:eastAsia="zh-CN"/>
        </w:rPr>
        <w:t>供货时间</w:t>
      </w:r>
      <w:r>
        <w:rPr>
          <w:rFonts w:hint="eastAsia" w:asciiTheme="majorEastAsia" w:hAnsiTheme="majorEastAsia" w:eastAsiaTheme="majorEastAsia" w:cstheme="majorEastAsia"/>
          <w:color w:val="0000FF"/>
          <w:kern w:val="2"/>
          <w:sz w:val="21"/>
          <w:szCs w:val="24"/>
          <w:highlight w:val="none"/>
          <w:lang w:val="en-US" w:eastAsia="zh-CN" w:bidi="ar-SA"/>
        </w:rPr>
        <w:t>：</w:t>
      </w:r>
      <w:r>
        <w:rPr>
          <w:rFonts w:hint="eastAsia" w:ascii="Times New Roman" w:hAnsi="Times New Roman" w:eastAsia="宋体" w:cs="Times New Roman"/>
          <w:b w:val="0"/>
          <w:bCs/>
          <w:color w:val="0000FF"/>
          <w:lang w:val="en-US" w:eastAsia="zh-CN"/>
        </w:rPr>
        <w:t xml:space="preserve">签订合同后 </w:t>
      </w:r>
      <w:r>
        <w:rPr>
          <w:rFonts w:hint="eastAsia" w:cs="Times New Roman"/>
          <w:b w:val="0"/>
          <w:bCs/>
          <w:color w:val="0000FF"/>
          <w:lang w:val="en-US" w:eastAsia="zh-CN"/>
        </w:rPr>
        <w:t>50</w:t>
      </w:r>
      <w:r>
        <w:rPr>
          <w:rFonts w:hint="eastAsia" w:ascii="Times New Roman" w:hAnsi="Times New Roman" w:eastAsia="宋体" w:cs="Times New Roman"/>
          <w:b w:val="0"/>
          <w:bCs/>
          <w:color w:val="0000FF"/>
          <w:lang w:val="en-US" w:eastAsia="zh-CN"/>
        </w:rPr>
        <w:t>天内</w:t>
      </w:r>
      <w:r>
        <w:rPr>
          <w:rFonts w:hint="eastAsia" w:cs="Times New Roman"/>
          <w:b w:val="0"/>
          <w:bCs/>
          <w:color w:val="0000FF"/>
          <w:lang w:val="en-US" w:eastAsia="zh-CN"/>
        </w:rPr>
        <w:t>完成</w:t>
      </w:r>
      <w:r>
        <w:rPr>
          <w:rFonts w:hint="eastAsia" w:ascii="Times New Roman" w:hAnsi="Times New Roman" w:eastAsia="宋体" w:cs="Times New Roman"/>
          <w:b w:val="0"/>
          <w:bCs/>
          <w:color w:val="0000FF"/>
          <w:lang w:val="en-US" w:eastAsia="zh-CN"/>
        </w:rPr>
        <w:t>供货</w:t>
      </w:r>
      <w:r>
        <w:rPr>
          <w:rFonts w:hint="eastAsia" w:cs="Times New Roman"/>
          <w:b w:val="0"/>
          <w:bCs/>
          <w:color w:val="0000FF"/>
          <w:lang w:val="en-US" w:eastAsia="zh-CN"/>
        </w:rPr>
        <w:t>及验收</w:t>
      </w:r>
      <w:r>
        <w:rPr>
          <w:rFonts w:hint="eastAsia" w:ascii="Times New Roman" w:hAnsi="Times New Roman" w:eastAsia="宋体" w:cs="Times New Roman"/>
          <w:b w:val="0"/>
          <w:bCs/>
          <w:color w:val="0000FF"/>
          <w:lang w:val="en-US" w:eastAsia="zh-CN"/>
        </w:rPr>
        <w:t>。</w:t>
      </w:r>
    </w:p>
    <w:p w14:paraId="51DA0EA1">
      <w:pPr>
        <w:pStyle w:val="26"/>
        <w:ind w:left="0" w:leftChars="0" w:firstLine="420" w:firstLineChars="200"/>
        <w:rPr>
          <w:rFonts w:hint="eastAsia" w:asciiTheme="majorEastAsia" w:hAnsiTheme="majorEastAsia" w:eastAsiaTheme="majorEastAsia" w:cstheme="majorEastAsia"/>
          <w:color w:val="0000FF"/>
          <w:highlight w:val="none"/>
          <w:lang w:val="en-US" w:eastAsia="zh-CN"/>
        </w:rPr>
      </w:pPr>
      <w:r>
        <w:rPr>
          <w:rFonts w:hint="eastAsia" w:asciiTheme="majorEastAsia" w:hAnsiTheme="majorEastAsia" w:eastAsiaTheme="majorEastAsia" w:cstheme="majorEastAsia"/>
          <w:color w:val="000000" w:themeColor="text1"/>
          <w:kern w:val="0"/>
          <w:sz w:val="21"/>
          <w:szCs w:val="21"/>
          <w:highlight w:val="none"/>
          <w:lang w:val="en-US" w:eastAsia="zh-CN" w:bidi="ar-SA"/>
          <w14:textFill>
            <w14:solidFill>
              <w14:schemeClr w14:val="tx1"/>
            </w14:solidFill>
          </w14:textFill>
        </w:rPr>
        <w:t>供货方式：</w:t>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按照采购人要求供货，安装。</w:t>
      </w:r>
    </w:p>
    <w:p w14:paraId="7205AA0C">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val="en-US" w:eastAsia="zh-CN"/>
        </w:rPr>
        <w:t>四、供货</w:t>
      </w:r>
      <w:r>
        <w:rPr>
          <w:rFonts w:hint="eastAsia" w:asciiTheme="majorEastAsia" w:hAnsiTheme="majorEastAsia" w:eastAsiaTheme="majorEastAsia" w:cstheme="majorEastAsia"/>
          <w:b/>
          <w:color w:val="auto"/>
          <w:sz w:val="21"/>
          <w:szCs w:val="21"/>
          <w:highlight w:val="none"/>
        </w:rPr>
        <w:t>地点</w:t>
      </w:r>
    </w:p>
    <w:p w14:paraId="0612215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采购单位指定地点。</w:t>
      </w:r>
      <w:bookmarkStart w:id="78" w:name="_Toc340225291"/>
      <w:bookmarkStart w:id="79" w:name="_Toc267320050"/>
    </w:p>
    <w:p w14:paraId="201BBB88">
      <w:pPr>
        <w:keepNext w:val="0"/>
        <w:keepLines w:val="0"/>
        <w:pageBreakBefore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color w:val="auto"/>
          <w:sz w:val="21"/>
          <w:szCs w:val="21"/>
          <w:highlight w:val="none"/>
          <w:lang w:eastAsia="zh-CN"/>
        </w:rPr>
      </w:pPr>
      <w:r>
        <w:rPr>
          <w:rFonts w:hint="eastAsia" w:asciiTheme="majorEastAsia" w:hAnsiTheme="majorEastAsia" w:eastAsiaTheme="majorEastAsia" w:cstheme="majorEastAsia"/>
          <w:b/>
          <w:color w:val="auto"/>
          <w:sz w:val="21"/>
          <w:szCs w:val="21"/>
          <w:highlight w:val="none"/>
          <w:lang w:val="en-US" w:eastAsia="zh-CN"/>
        </w:rPr>
        <w:t>五、</w:t>
      </w:r>
      <w:r>
        <w:rPr>
          <w:rFonts w:hint="eastAsia" w:asciiTheme="majorEastAsia" w:hAnsiTheme="majorEastAsia" w:eastAsiaTheme="majorEastAsia" w:cstheme="majorEastAsia"/>
          <w:b/>
          <w:color w:val="auto"/>
          <w:sz w:val="21"/>
          <w:szCs w:val="21"/>
          <w:highlight w:val="none"/>
        </w:rPr>
        <w:t>报价要求</w:t>
      </w:r>
      <w:bookmarkEnd w:id="78"/>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lang w:val="en-US" w:eastAsia="zh-CN"/>
        </w:rPr>
        <w:t xml:space="preserve">及采购文件中 </w:t>
      </w:r>
      <w:r>
        <w:rPr>
          <w:rFonts w:hint="eastAsia" w:asciiTheme="majorEastAsia" w:hAnsiTheme="majorEastAsia" w:eastAsiaTheme="majorEastAsia" w:cstheme="majorEastAsia"/>
          <w:b/>
          <w:color w:val="auto"/>
          <w:sz w:val="21"/>
          <w:szCs w:val="21"/>
          <w:highlight w:val="none"/>
        </w:rPr>
        <w:t>二、投标人须知（三）投标文件的编制</w:t>
      </w:r>
      <w:r>
        <w:rPr>
          <w:rFonts w:hint="eastAsia" w:asciiTheme="majorEastAsia" w:hAnsiTheme="majorEastAsia" w:eastAsiaTheme="majorEastAsia" w:cstheme="majorEastAsia"/>
          <w:b/>
          <w:color w:val="auto"/>
          <w:sz w:val="21"/>
          <w:szCs w:val="21"/>
          <w:highlight w:val="none"/>
          <w:lang w:val="en-US" w:eastAsia="zh-CN"/>
        </w:rPr>
        <w:t>中</w:t>
      </w:r>
      <w:r>
        <w:rPr>
          <w:rFonts w:hint="eastAsia" w:asciiTheme="majorEastAsia" w:hAnsiTheme="majorEastAsia" w:eastAsiaTheme="majorEastAsia" w:cstheme="majorEastAsia"/>
          <w:b/>
          <w:color w:val="auto"/>
          <w:sz w:val="21"/>
          <w:szCs w:val="21"/>
          <w:highlight w:val="none"/>
        </w:rPr>
        <w:t>2</w:t>
      </w:r>
      <w:r>
        <w:rPr>
          <w:rFonts w:hint="eastAsia" w:asciiTheme="majorEastAsia" w:hAnsiTheme="majorEastAsia" w:eastAsiaTheme="majorEastAsia" w:cstheme="majorEastAsia"/>
          <w:b/>
          <w:color w:val="auto"/>
          <w:sz w:val="21"/>
          <w:szCs w:val="21"/>
          <w:highlight w:val="none"/>
          <w:lang w:val="en-US" w:eastAsia="zh-CN"/>
        </w:rPr>
        <w:t>1</w:t>
      </w:r>
      <w:r>
        <w:rPr>
          <w:rFonts w:hint="eastAsia" w:asciiTheme="majorEastAsia" w:hAnsiTheme="majorEastAsia" w:eastAsiaTheme="majorEastAsia" w:cstheme="majorEastAsia"/>
          <w:b/>
          <w:color w:val="auto"/>
          <w:sz w:val="21"/>
          <w:szCs w:val="21"/>
          <w:highlight w:val="none"/>
        </w:rPr>
        <w:t>.投标报价</w:t>
      </w:r>
      <w:r>
        <w:rPr>
          <w:rFonts w:hint="eastAsia" w:asciiTheme="majorEastAsia" w:hAnsiTheme="majorEastAsia" w:eastAsiaTheme="majorEastAsia" w:cstheme="majorEastAsia"/>
          <w:b/>
          <w:color w:val="auto"/>
          <w:sz w:val="21"/>
          <w:szCs w:val="21"/>
          <w:highlight w:val="none"/>
          <w:lang w:val="en-US" w:eastAsia="zh-CN"/>
        </w:rPr>
        <w:t>要求</w:t>
      </w:r>
      <w:r>
        <w:rPr>
          <w:rFonts w:hint="eastAsia" w:asciiTheme="majorEastAsia" w:hAnsiTheme="majorEastAsia" w:eastAsiaTheme="majorEastAsia" w:cstheme="majorEastAsia"/>
          <w:b/>
          <w:color w:val="auto"/>
          <w:sz w:val="21"/>
          <w:szCs w:val="21"/>
          <w:highlight w:val="none"/>
          <w:lang w:eastAsia="zh-CN"/>
        </w:rPr>
        <w:t>）</w:t>
      </w:r>
    </w:p>
    <w:p w14:paraId="24DA5641">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ajorEastAsia" w:hAnsiTheme="majorEastAsia" w:eastAsiaTheme="majorEastAsia" w:cstheme="majorEastAsia"/>
          <w:bCs/>
          <w:color w:val="auto"/>
          <w:sz w:val="21"/>
          <w:szCs w:val="21"/>
          <w:highlight w:val="none"/>
        </w:rPr>
        <w:t>本次报价为人民币报价，</w:t>
      </w:r>
      <w:bookmarkEnd w:id="79"/>
      <w:r>
        <w:rPr>
          <w:rFonts w:hint="eastAsia" w:asciiTheme="majorEastAsia" w:hAnsiTheme="majorEastAsia" w:eastAsiaTheme="majorEastAsia" w:cstheme="majorEastAsia"/>
          <w:color w:val="auto"/>
          <w:kern w:val="0"/>
          <w:sz w:val="21"/>
          <w:szCs w:val="21"/>
          <w:highlight w:val="none"/>
        </w:rPr>
        <w:t>投标报价应包括：</w:t>
      </w:r>
      <w:r>
        <w:rPr>
          <w:rFonts w:hint="eastAsia" w:asciiTheme="majorEastAsia" w:hAnsiTheme="majorEastAsia" w:eastAsiaTheme="majorEastAsia" w:cstheme="majorEastAsia"/>
          <w:color w:val="auto"/>
          <w:kern w:val="0"/>
          <w:sz w:val="21"/>
          <w:szCs w:val="21"/>
          <w:highlight w:val="none"/>
          <w:lang w:val="en-US" w:eastAsia="zh-CN"/>
        </w:rPr>
        <w:t>货物（服务）</w:t>
      </w:r>
      <w:r>
        <w:rPr>
          <w:rFonts w:hint="eastAsia" w:asciiTheme="majorEastAsia" w:hAnsiTheme="majorEastAsia" w:eastAsiaTheme="majorEastAsia" w:cstheme="majorEastAsia"/>
          <w:color w:val="auto"/>
          <w:kern w:val="0"/>
          <w:sz w:val="21"/>
          <w:szCs w:val="21"/>
          <w:highlight w:val="none"/>
        </w:rPr>
        <w:t>本身价格、包装费、运输费用、二次搬运费、损耗</w:t>
      </w:r>
      <w:r>
        <w:rPr>
          <w:rFonts w:hint="eastAsia" w:asciiTheme="majorEastAsia" w:hAnsiTheme="majorEastAsia" w:eastAsiaTheme="majorEastAsia" w:cstheme="majorEastAsia"/>
          <w:color w:val="auto"/>
          <w:kern w:val="0"/>
          <w:sz w:val="21"/>
          <w:szCs w:val="21"/>
          <w:highlight w:val="none"/>
          <w:lang w:val="en-US" w:eastAsia="zh-CN"/>
        </w:rPr>
        <w:t>、</w:t>
      </w:r>
      <w:r>
        <w:rPr>
          <w:rFonts w:hint="eastAsia" w:asciiTheme="majorEastAsia" w:hAnsiTheme="majorEastAsia" w:eastAsiaTheme="majorEastAsia" w:cstheme="majorEastAsia"/>
          <w:color w:val="auto"/>
          <w:kern w:val="0"/>
          <w:sz w:val="21"/>
          <w:szCs w:val="21"/>
          <w:highlight w:val="none"/>
        </w:rPr>
        <w:t>技术指导、</w:t>
      </w:r>
      <w:r>
        <w:rPr>
          <w:rFonts w:hint="eastAsia" w:asciiTheme="majorEastAsia" w:hAnsiTheme="majorEastAsia" w:eastAsiaTheme="majorEastAsia" w:cstheme="majorEastAsia"/>
          <w:color w:val="auto"/>
          <w:kern w:val="0"/>
          <w:sz w:val="21"/>
          <w:szCs w:val="21"/>
          <w:highlight w:val="none"/>
          <w:lang w:val="en-US" w:eastAsia="zh-CN"/>
        </w:rPr>
        <w:t>安装费、</w:t>
      </w:r>
      <w:r>
        <w:rPr>
          <w:rFonts w:hint="eastAsia" w:asciiTheme="majorEastAsia" w:hAnsiTheme="majorEastAsia" w:eastAsiaTheme="majorEastAsia" w:cstheme="majorEastAsia"/>
          <w:color w:val="auto"/>
          <w:kern w:val="0"/>
          <w:sz w:val="21"/>
          <w:szCs w:val="21"/>
          <w:highlight w:val="none"/>
        </w:rPr>
        <w:t>税金费用、伴随</w:t>
      </w:r>
      <w:r>
        <w:rPr>
          <w:rFonts w:hint="eastAsia" w:asciiTheme="majorEastAsia" w:hAnsiTheme="majorEastAsia" w:eastAsiaTheme="majorEastAsia" w:cstheme="majorEastAsia"/>
          <w:color w:val="auto"/>
          <w:kern w:val="0"/>
          <w:sz w:val="21"/>
          <w:szCs w:val="21"/>
          <w:highlight w:val="none"/>
          <w:lang w:val="en-US" w:eastAsia="zh-CN"/>
        </w:rPr>
        <w:t>服务过程中</w:t>
      </w:r>
      <w:r>
        <w:rPr>
          <w:rFonts w:hint="eastAsia" w:asciiTheme="majorEastAsia" w:hAnsiTheme="majorEastAsia" w:eastAsiaTheme="majorEastAsia" w:cstheme="majorEastAsia"/>
          <w:color w:val="auto"/>
          <w:kern w:val="0"/>
          <w:sz w:val="21"/>
          <w:szCs w:val="21"/>
          <w:highlight w:val="none"/>
        </w:rPr>
        <w:t>备件费、专用工具费、伴随产品资料费、技术服务费、技术考察费、自检费及验收合格前和质保期内发生的一切费用、应当提供的伴随服务/售后服务费用</w:t>
      </w:r>
      <w:r>
        <w:rPr>
          <w:rFonts w:hint="eastAsia" w:asciiTheme="majorEastAsia" w:hAnsiTheme="majorEastAsia" w:eastAsiaTheme="majorEastAsia" w:cstheme="majorEastAsia"/>
          <w:color w:val="auto"/>
          <w:kern w:val="0"/>
          <w:sz w:val="21"/>
          <w:szCs w:val="21"/>
          <w:highlight w:val="none"/>
          <w:lang w:val="en-US" w:eastAsia="zh-CN"/>
        </w:rPr>
        <w:t>以及谈判文件要求的供应商需要支付的所有费用</w:t>
      </w:r>
      <w:r>
        <w:rPr>
          <w:rFonts w:hint="eastAsia" w:asciiTheme="majorEastAsia" w:hAnsiTheme="majorEastAsia" w:eastAsiaTheme="majorEastAsia" w:cstheme="majorEastAsia"/>
          <w:color w:val="auto"/>
          <w:kern w:val="0"/>
          <w:sz w:val="21"/>
          <w:szCs w:val="21"/>
          <w:highlight w:val="none"/>
        </w:rPr>
        <w:t>。</w:t>
      </w:r>
      <w:r>
        <w:rPr>
          <w:rFonts w:hint="eastAsia" w:ascii="宋体" w:hAnsi="宋体" w:eastAsia="宋体" w:cs="宋体"/>
          <w:bCs/>
          <w:color w:val="auto"/>
          <w:kern w:val="2"/>
          <w:sz w:val="21"/>
          <w:szCs w:val="21"/>
          <w:lang w:val="en-US" w:eastAsia="zh-CN" w:bidi="ar-SA"/>
        </w:rPr>
        <w:t>因成交供应商自身原因造成漏报、少报皆由其自行承担责任，采购人不再补偿。</w:t>
      </w:r>
    </w:p>
    <w:p w14:paraId="1507B0AF">
      <w:pPr>
        <w:widowControl/>
        <w:spacing w:line="360" w:lineRule="auto"/>
        <w:rPr>
          <w:rFonts w:hint="default" w:ascii="宋体" w:hAnsi="宋体" w:cs="宋体"/>
          <w:b/>
          <w:bCs/>
          <w:color w:val="auto"/>
          <w:szCs w:val="21"/>
          <w:lang w:val="en-US" w:eastAsia="zh-CN"/>
        </w:rPr>
      </w:pPr>
      <w:r>
        <w:rPr>
          <w:rFonts w:hint="eastAsia" w:ascii="宋体" w:hAnsi="宋体" w:cs="宋体"/>
          <w:b/>
          <w:bCs/>
          <w:color w:val="auto"/>
          <w:szCs w:val="21"/>
          <w:lang w:val="en-US" w:eastAsia="zh-CN"/>
        </w:rPr>
        <w:t>六、所供货物质量保障承诺</w:t>
      </w:r>
    </w:p>
    <w:p w14:paraId="407F90EB">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bCs/>
          <w:color w:val="0000FF"/>
          <w:kern w:val="2"/>
          <w:sz w:val="24"/>
          <w:szCs w:val="24"/>
          <w:highlight w:val="yellow"/>
          <w:lang w:val="en-US" w:eastAsia="zh-CN" w:bidi="ar-SA"/>
        </w:rPr>
      </w:pPr>
      <w:r>
        <w:rPr>
          <w:rFonts w:hint="eastAsia" w:cs="Times New Roman"/>
          <w:b w:val="0"/>
          <w:bCs/>
          <w:color w:val="0000FF"/>
          <w:lang w:val="en-US" w:eastAsia="zh-CN"/>
        </w:rPr>
        <w:t>合同签订之前，中标（成交）供应商应提供所供货物的质检报告（包含但不限于外观与规格检测、安全与环保检测、成分与材质检测、性能与功能检测，根据货物技术参数提供对应检测报告），因中标（成交）供应商的原因无法提供质检报告的，采购人有权单方面取消中标（成交）供应商的供货资格。</w:t>
      </w:r>
      <w:r>
        <w:rPr>
          <w:rFonts w:hint="eastAsia" w:ascii="宋体" w:hAnsi="宋体" w:cs="宋体"/>
          <w:bCs/>
          <w:color w:val="0000FF"/>
          <w:kern w:val="2"/>
          <w:sz w:val="24"/>
          <w:szCs w:val="24"/>
          <w:highlight w:val="yellow"/>
          <w:lang w:val="en-US" w:eastAsia="zh-CN" w:bidi="ar-SA"/>
        </w:rPr>
        <w:t>（投标人必须在投标响应文件中提供法定代表人或委托代理人签字或盖章的“货物质量保障承诺函”原件，并加盖供应商公章）</w:t>
      </w:r>
    </w:p>
    <w:p w14:paraId="5528091C">
      <w:pPr>
        <w:widowControl/>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七、</w:t>
      </w:r>
      <w:r>
        <w:rPr>
          <w:rFonts w:hint="eastAsia" w:ascii="宋体" w:hAnsi="宋体" w:cs="宋体"/>
          <w:b/>
          <w:bCs/>
          <w:color w:val="auto"/>
          <w:szCs w:val="21"/>
        </w:rPr>
        <w:t>验收保证的承诺</w:t>
      </w:r>
    </w:p>
    <w:p w14:paraId="25D6F787">
      <w:pPr>
        <w:pStyle w:val="10"/>
        <w:spacing w:line="360" w:lineRule="auto"/>
        <w:ind w:firstLine="420"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w:t>
      </w:r>
      <w:r>
        <w:rPr>
          <w:rFonts w:hint="eastAsia" w:ascii="宋体" w:hAnsi="宋体" w:cs="宋体"/>
          <w:bCs/>
          <w:color w:val="auto"/>
          <w:kern w:val="2"/>
          <w:sz w:val="21"/>
          <w:szCs w:val="21"/>
          <w:lang w:val="en-US" w:eastAsia="zh-CN" w:bidi="ar-SA"/>
        </w:rPr>
        <w:t>货物</w:t>
      </w:r>
      <w:r>
        <w:rPr>
          <w:rFonts w:hint="default" w:ascii="宋体" w:hAnsi="宋体" w:eastAsia="宋体" w:cs="宋体"/>
          <w:bCs/>
          <w:color w:val="auto"/>
          <w:kern w:val="2"/>
          <w:sz w:val="21"/>
          <w:szCs w:val="21"/>
          <w:lang w:val="en-US" w:eastAsia="zh-CN" w:bidi="ar-SA"/>
        </w:rPr>
        <w:t>到达</w:t>
      </w:r>
      <w:r>
        <w:rPr>
          <w:rFonts w:hint="eastAsia" w:ascii="宋体" w:hAnsi="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指定地点后，双方对</w:t>
      </w:r>
      <w:r>
        <w:rPr>
          <w:rFonts w:hint="eastAsia" w:ascii="宋体" w:hAnsi="宋体" w:cs="宋体"/>
          <w:bCs/>
          <w:color w:val="auto"/>
          <w:kern w:val="2"/>
          <w:sz w:val="21"/>
          <w:szCs w:val="21"/>
          <w:lang w:val="en-US" w:eastAsia="zh-CN" w:bidi="ar-SA"/>
        </w:rPr>
        <w:t>货物</w:t>
      </w:r>
      <w:r>
        <w:rPr>
          <w:rFonts w:hint="default" w:ascii="宋体" w:hAnsi="宋体" w:eastAsia="宋体" w:cs="宋体"/>
          <w:bCs/>
          <w:color w:val="auto"/>
          <w:kern w:val="2"/>
          <w:sz w:val="21"/>
          <w:szCs w:val="21"/>
          <w:lang w:val="en-US" w:eastAsia="zh-CN" w:bidi="ar-SA"/>
        </w:rPr>
        <w:t>的外包装、数量及裸露便于核对的相关信息予以现场验收。若在现场到货验收时发现</w:t>
      </w:r>
      <w:r>
        <w:rPr>
          <w:rFonts w:hint="eastAsia" w:ascii="宋体" w:hAnsi="宋体" w:cs="宋体"/>
          <w:bCs/>
          <w:color w:val="auto"/>
          <w:kern w:val="2"/>
          <w:sz w:val="21"/>
          <w:szCs w:val="21"/>
          <w:lang w:val="en-US" w:eastAsia="zh-CN" w:bidi="ar-SA"/>
        </w:rPr>
        <w:t>货物</w:t>
      </w:r>
      <w:r>
        <w:rPr>
          <w:rFonts w:hint="default" w:ascii="宋体" w:hAnsi="宋体" w:eastAsia="宋体" w:cs="宋体"/>
          <w:bCs/>
          <w:color w:val="auto"/>
          <w:kern w:val="2"/>
          <w:sz w:val="21"/>
          <w:szCs w:val="21"/>
          <w:lang w:val="en-US" w:eastAsia="zh-CN" w:bidi="ar-SA"/>
        </w:rPr>
        <w:t>数量、规格、品种、参数等外观要求不合规定，</w:t>
      </w:r>
      <w:r>
        <w:rPr>
          <w:rFonts w:hint="eastAsia" w:ascii="宋体" w:hAnsi="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w:t>
      </w:r>
      <w:r>
        <w:rPr>
          <w:rFonts w:hint="eastAsia" w:ascii="宋体" w:hAnsi="宋体" w:cs="宋体"/>
          <w:b w:val="0"/>
          <w:bCs/>
          <w:color w:val="auto"/>
          <w:szCs w:val="21"/>
          <w:lang w:val="en-US" w:eastAsia="zh-CN"/>
        </w:rPr>
        <w:t>成交</w:t>
      </w:r>
      <w:r>
        <w:rPr>
          <w:rFonts w:hint="eastAsia" w:ascii="宋体" w:hAnsi="宋体" w:eastAsia="宋体" w:cs="宋体"/>
          <w:b w:val="0"/>
          <w:bCs/>
          <w:color w:val="auto"/>
          <w:szCs w:val="21"/>
          <w:lang w:val="en-US" w:eastAsia="zh-CN"/>
        </w:rPr>
        <w:t>供应商</w:t>
      </w:r>
      <w:r>
        <w:rPr>
          <w:rFonts w:hint="default" w:ascii="宋体" w:hAnsi="宋体" w:eastAsia="宋体" w:cs="宋体"/>
          <w:bCs/>
          <w:color w:val="auto"/>
          <w:kern w:val="2"/>
          <w:sz w:val="21"/>
          <w:szCs w:val="21"/>
          <w:lang w:val="en-US" w:eastAsia="zh-CN" w:bidi="ar-SA"/>
        </w:rPr>
        <w:t>负担。</w:t>
      </w:r>
    </w:p>
    <w:p w14:paraId="62F11C6C">
      <w:pPr>
        <w:pStyle w:val="10"/>
        <w:spacing w:line="360" w:lineRule="auto"/>
        <w:ind w:firstLine="420"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w:t>
      </w:r>
      <w:r>
        <w:rPr>
          <w:rFonts w:hint="default" w:ascii="宋体" w:hAnsi="宋体" w:eastAsia="宋体" w:cs="宋体"/>
          <w:bCs/>
          <w:color w:val="auto"/>
          <w:kern w:val="2"/>
          <w:sz w:val="21"/>
          <w:szCs w:val="21"/>
          <w:lang w:val="en-US" w:eastAsia="zh-CN" w:bidi="ar-SA"/>
        </w:rPr>
        <w:t>、单证齐全：应有产品合格证（或质量证明）、使用说明、质保卡、发票</w:t>
      </w:r>
      <w:r>
        <w:rPr>
          <w:rFonts w:hint="eastAsia" w:ascii="宋体" w:hAnsi="宋体" w:cs="宋体"/>
          <w:bCs/>
          <w:color w:val="auto"/>
          <w:kern w:val="2"/>
          <w:sz w:val="21"/>
          <w:szCs w:val="21"/>
          <w:lang w:val="en-US" w:eastAsia="zh-CN" w:bidi="ar-SA"/>
        </w:rPr>
        <w:t>、厂家</w:t>
      </w:r>
      <w:r>
        <w:rPr>
          <w:rFonts w:hint="default" w:ascii="宋体" w:hAnsi="宋体" w:eastAsia="宋体" w:cs="宋体"/>
          <w:bCs/>
          <w:color w:val="auto"/>
          <w:kern w:val="2"/>
          <w:sz w:val="21"/>
          <w:szCs w:val="21"/>
          <w:lang w:val="en-US" w:eastAsia="zh-CN" w:bidi="ar-SA"/>
        </w:rPr>
        <w:t>和其他应具有的单证。同时由</w:t>
      </w:r>
      <w:r>
        <w:rPr>
          <w:rFonts w:hint="eastAsia" w:ascii="宋体" w:hAnsi="宋体" w:eastAsia="宋体" w:cs="宋体"/>
          <w:bCs/>
          <w:color w:val="auto"/>
          <w:kern w:val="2"/>
          <w:sz w:val="21"/>
          <w:szCs w:val="21"/>
          <w:lang w:val="en-US" w:eastAsia="zh-CN" w:bidi="ar-SA"/>
        </w:rPr>
        <w:t>成交供应商</w:t>
      </w:r>
      <w:r>
        <w:rPr>
          <w:rFonts w:hint="default" w:ascii="宋体" w:hAnsi="宋体" w:eastAsia="宋体" w:cs="宋体"/>
          <w:bCs/>
          <w:color w:val="auto"/>
          <w:kern w:val="2"/>
          <w:sz w:val="21"/>
          <w:szCs w:val="21"/>
          <w:lang w:val="en-US" w:eastAsia="zh-CN" w:bidi="ar-SA"/>
        </w:rPr>
        <w:t>提供该套</w:t>
      </w:r>
      <w:r>
        <w:rPr>
          <w:rFonts w:hint="eastAsia" w:ascii="宋体" w:hAnsi="宋体" w:cs="宋体"/>
          <w:bCs/>
          <w:color w:val="auto"/>
          <w:kern w:val="2"/>
          <w:sz w:val="21"/>
          <w:szCs w:val="21"/>
          <w:lang w:val="en-US" w:eastAsia="zh-CN" w:bidi="ar-SA"/>
        </w:rPr>
        <w:t>货物</w:t>
      </w:r>
      <w:r>
        <w:rPr>
          <w:rFonts w:hint="default" w:ascii="宋体" w:hAnsi="宋体" w:eastAsia="宋体" w:cs="宋体"/>
          <w:bCs/>
          <w:color w:val="auto"/>
          <w:kern w:val="2"/>
          <w:sz w:val="21"/>
          <w:szCs w:val="21"/>
          <w:lang w:val="en-US" w:eastAsia="zh-CN" w:bidi="ar-SA"/>
        </w:rPr>
        <w:t>的商检证，需计量鉴定的，还需提供初次计量鉴定证书，未提供初次计量鉴定证书的，可委托甲方送检，乙方承担鉴定费用。</w:t>
      </w:r>
    </w:p>
    <w:p w14:paraId="68F9CF12">
      <w:pPr>
        <w:spacing w:line="360" w:lineRule="auto"/>
        <w:ind w:left="529" w:leftChars="202" w:hanging="105" w:hangingChars="50"/>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3</w:t>
      </w:r>
      <w:r>
        <w:rPr>
          <w:rFonts w:hint="default" w:ascii="宋体" w:hAnsi="宋体" w:eastAsia="宋体" w:cs="宋体"/>
          <w:bCs/>
          <w:color w:val="auto"/>
          <w:kern w:val="2"/>
          <w:sz w:val="21"/>
          <w:szCs w:val="21"/>
          <w:lang w:val="en-US" w:eastAsia="zh-CN" w:bidi="ar-SA"/>
        </w:rPr>
        <w:t>、</w:t>
      </w:r>
      <w:r>
        <w:rPr>
          <w:rFonts w:hint="eastAsia" w:ascii="宋体" w:hAnsi="宋体" w:cs="宋体"/>
          <w:bCs/>
          <w:color w:val="auto"/>
          <w:kern w:val="2"/>
          <w:sz w:val="21"/>
          <w:szCs w:val="21"/>
          <w:lang w:val="en-US" w:eastAsia="zh-CN" w:bidi="ar-SA"/>
        </w:rPr>
        <w:t>货物</w:t>
      </w:r>
      <w:r>
        <w:rPr>
          <w:rFonts w:hint="default" w:ascii="宋体" w:hAnsi="宋体" w:eastAsia="宋体" w:cs="宋体"/>
          <w:bCs/>
          <w:color w:val="auto"/>
          <w:kern w:val="2"/>
          <w:sz w:val="21"/>
          <w:szCs w:val="21"/>
          <w:lang w:val="en-US" w:eastAsia="zh-CN" w:bidi="ar-SA"/>
        </w:rPr>
        <w:t>到货验收合格后，</w:t>
      </w:r>
      <w:r>
        <w:rPr>
          <w:rFonts w:hint="eastAsia" w:ascii="宋体" w:hAnsi="宋体" w:cs="宋体"/>
          <w:bCs/>
          <w:color w:val="auto"/>
          <w:kern w:val="2"/>
          <w:sz w:val="21"/>
          <w:szCs w:val="21"/>
          <w:lang w:val="en-US" w:eastAsia="zh-CN" w:bidi="ar-SA"/>
        </w:rPr>
        <w:t>须安装得货物</w:t>
      </w:r>
      <w:r>
        <w:rPr>
          <w:rFonts w:hint="eastAsia" w:ascii="宋体" w:hAnsi="宋体" w:eastAsia="宋体" w:cs="宋体"/>
          <w:bCs/>
          <w:color w:val="auto"/>
          <w:kern w:val="2"/>
          <w:sz w:val="21"/>
          <w:szCs w:val="21"/>
          <w:lang w:val="en-US" w:eastAsia="zh-CN" w:bidi="ar-SA"/>
        </w:rPr>
        <w:t>必须由厂家授权的技术人员到现场安装仪器，</w:t>
      </w:r>
    </w:p>
    <w:p w14:paraId="275CD62F">
      <w:pPr>
        <w:spacing w:line="360" w:lineRule="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并在</w:t>
      </w:r>
      <w:r>
        <w:rPr>
          <w:rFonts w:hint="eastAsia" w:ascii="宋体" w:hAnsi="宋体" w:cs="宋体"/>
          <w:bCs/>
          <w:color w:val="auto"/>
          <w:kern w:val="2"/>
          <w:sz w:val="21"/>
          <w:szCs w:val="21"/>
          <w:lang w:val="en-US" w:eastAsia="zh-CN" w:bidi="ar-SA"/>
        </w:rPr>
        <w:t>采购人</w:t>
      </w:r>
      <w:r>
        <w:rPr>
          <w:rFonts w:hint="eastAsia" w:ascii="宋体" w:hAnsi="宋体" w:eastAsia="宋体" w:cs="宋体"/>
          <w:bCs/>
          <w:color w:val="auto"/>
          <w:kern w:val="2"/>
          <w:sz w:val="21"/>
          <w:szCs w:val="21"/>
          <w:lang w:val="en-US" w:eastAsia="zh-CN" w:bidi="ar-SA"/>
        </w:rPr>
        <w:t>在场的情况下进行操作试验，直至运行正常，确保</w:t>
      </w:r>
      <w:r>
        <w:rPr>
          <w:rFonts w:hint="eastAsia" w:ascii="宋体" w:hAnsi="宋体" w:cs="宋体"/>
          <w:bCs/>
          <w:color w:val="auto"/>
          <w:kern w:val="2"/>
          <w:sz w:val="21"/>
          <w:szCs w:val="21"/>
          <w:lang w:val="en-US" w:eastAsia="zh-CN" w:bidi="ar-SA"/>
        </w:rPr>
        <w:t>货物</w:t>
      </w:r>
      <w:r>
        <w:rPr>
          <w:rFonts w:hint="eastAsia" w:ascii="宋体" w:hAnsi="宋体" w:eastAsia="宋体" w:cs="宋体"/>
          <w:bCs/>
          <w:color w:val="auto"/>
          <w:kern w:val="2"/>
          <w:sz w:val="21"/>
          <w:szCs w:val="21"/>
          <w:lang w:val="en-US" w:eastAsia="zh-CN" w:bidi="ar-SA"/>
        </w:rPr>
        <w:t>技术指标验收合格。</w:t>
      </w:r>
      <w:r>
        <w:rPr>
          <w:rFonts w:hint="default" w:ascii="宋体" w:hAnsi="宋体" w:eastAsia="宋体" w:cs="宋体"/>
          <w:bCs/>
          <w:color w:val="auto"/>
          <w:kern w:val="2"/>
          <w:sz w:val="21"/>
          <w:szCs w:val="21"/>
          <w:lang w:val="en-US" w:eastAsia="zh-CN" w:bidi="ar-SA"/>
        </w:rPr>
        <w:t>因</w:t>
      </w:r>
      <w:r>
        <w:rPr>
          <w:rFonts w:hint="eastAsia" w:ascii="宋体" w:hAnsi="宋体" w:cs="宋体"/>
          <w:bCs/>
          <w:color w:val="auto"/>
          <w:kern w:val="2"/>
          <w:sz w:val="21"/>
          <w:szCs w:val="21"/>
          <w:lang w:val="en-US" w:eastAsia="zh-CN" w:bidi="ar-SA"/>
        </w:rPr>
        <w:t>成交供应商</w:t>
      </w:r>
      <w:r>
        <w:rPr>
          <w:rFonts w:hint="default" w:ascii="宋体" w:hAnsi="宋体" w:eastAsia="宋体" w:cs="宋体"/>
          <w:bCs/>
          <w:color w:val="auto"/>
          <w:kern w:val="2"/>
          <w:sz w:val="21"/>
          <w:szCs w:val="21"/>
          <w:lang w:val="en-US" w:eastAsia="zh-CN" w:bidi="ar-SA"/>
        </w:rPr>
        <w:t>原因造成不能按时完成安装调试工作或未按时通过验收，</w:t>
      </w:r>
      <w:r>
        <w:rPr>
          <w:rFonts w:hint="eastAsia" w:ascii="宋体" w:hAnsi="宋体" w:cs="宋体"/>
          <w:b w:val="0"/>
          <w:bCs/>
          <w:color w:val="auto"/>
          <w:szCs w:val="21"/>
          <w:lang w:val="en-US" w:eastAsia="zh-CN"/>
        </w:rPr>
        <w:t>成交</w:t>
      </w:r>
      <w:r>
        <w:rPr>
          <w:rFonts w:hint="eastAsia" w:ascii="宋体" w:hAnsi="宋体" w:eastAsia="宋体" w:cs="宋体"/>
          <w:b w:val="0"/>
          <w:bCs/>
          <w:color w:val="auto"/>
          <w:szCs w:val="21"/>
          <w:lang w:val="en-US" w:eastAsia="zh-CN"/>
        </w:rPr>
        <w:t>供应商</w:t>
      </w:r>
      <w:r>
        <w:rPr>
          <w:rFonts w:hint="default" w:ascii="宋体" w:hAnsi="宋体" w:eastAsia="宋体" w:cs="宋体"/>
          <w:bCs/>
          <w:color w:val="auto"/>
          <w:kern w:val="2"/>
          <w:sz w:val="21"/>
          <w:szCs w:val="21"/>
          <w:lang w:val="en-US" w:eastAsia="zh-CN" w:bidi="ar-SA"/>
        </w:rPr>
        <w:t>应承担违约责任。</w:t>
      </w:r>
    </w:p>
    <w:p w14:paraId="5D636F56">
      <w:pPr>
        <w:spacing w:line="360" w:lineRule="auto"/>
        <w:ind w:left="2" w:firstLine="420" w:firstLineChars="20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default" w:ascii="宋体" w:hAnsi="宋体" w:eastAsia="宋体" w:cs="宋体"/>
          <w:bCs/>
          <w:color w:val="auto"/>
          <w:kern w:val="2"/>
          <w:sz w:val="21"/>
          <w:szCs w:val="21"/>
          <w:highlight w:val="none"/>
          <w:lang w:val="en-US" w:eastAsia="zh-CN" w:bidi="ar-SA"/>
        </w:rPr>
        <w:t>培训验收</w:t>
      </w:r>
      <w:r>
        <w:rPr>
          <w:rFonts w:hint="eastAsia" w:ascii="宋体" w:hAnsi="宋体" w:cs="宋体"/>
          <w:bCs/>
          <w:color w:val="auto"/>
          <w:kern w:val="2"/>
          <w:sz w:val="21"/>
          <w:szCs w:val="21"/>
          <w:highlight w:val="none"/>
          <w:lang w:val="en-US" w:eastAsia="zh-CN" w:bidi="ar-SA"/>
        </w:rPr>
        <w:t>（如有）</w:t>
      </w:r>
      <w:r>
        <w:rPr>
          <w:rFonts w:hint="default"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提供现场免费操作及维护培训。</w:t>
      </w:r>
      <w:r>
        <w:rPr>
          <w:rFonts w:hint="eastAsia" w:ascii="宋体" w:hAnsi="宋体" w:cs="宋体"/>
          <w:b w:val="0"/>
          <w:bCs/>
          <w:color w:val="auto"/>
          <w:szCs w:val="21"/>
          <w:highlight w:val="none"/>
          <w:lang w:val="en-US" w:eastAsia="zh-CN"/>
        </w:rPr>
        <w:t>成交</w:t>
      </w:r>
      <w:r>
        <w:rPr>
          <w:rFonts w:hint="eastAsia" w:ascii="宋体" w:hAnsi="宋体" w:eastAsia="宋体" w:cs="宋体"/>
          <w:b w:val="0"/>
          <w:bCs/>
          <w:color w:val="auto"/>
          <w:szCs w:val="21"/>
          <w:highlight w:val="none"/>
          <w:lang w:val="en-US" w:eastAsia="zh-CN"/>
        </w:rPr>
        <w:t>供应商</w:t>
      </w:r>
      <w:r>
        <w:rPr>
          <w:rFonts w:hint="eastAsia" w:ascii="宋体" w:hAnsi="宋体" w:cs="宋体"/>
          <w:b w:val="0"/>
          <w:bCs/>
          <w:color w:val="auto"/>
          <w:szCs w:val="21"/>
          <w:highlight w:val="none"/>
          <w:lang w:val="en-US" w:eastAsia="zh-CN"/>
        </w:rPr>
        <w:t>需</w:t>
      </w:r>
      <w:r>
        <w:rPr>
          <w:rFonts w:hint="default" w:ascii="宋体" w:hAnsi="宋体" w:eastAsia="宋体" w:cs="宋体"/>
          <w:bCs/>
          <w:color w:val="auto"/>
          <w:kern w:val="2"/>
          <w:sz w:val="21"/>
          <w:szCs w:val="21"/>
          <w:highlight w:val="none"/>
          <w:lang w:val="en-US" w:eastAsia="zh-CN" w:bidi="ar-SA"/>
        </w:rPr>
        <w:t>派</w:t>
      </w:r>
      <w:r>
        <w:rPr>
          <w:rFonts w:hint="eastAsia" w:ascii="宋体" w:hAnsi="宋体" w:cs="宋体"/>
          <w:bCs/>
          <w:color w:val="auto"/>
          <w:kern w:val="2"/>
          <w:sz w:val="21"/>
          <w:szCs w:val="21"/>
          <w:highlight w:val="none"/>
          <w:lang w:val="en-US" w:eastAsia="zh-CN" w:bidi="ar-SA"/>
        </w:rPr>
        <w:t>遣专业技术人员</w:t>
      </w:r>
      <w:r>
        <w:rPr>
          <w:rFonts w:hint="default" w:ascii="宋体" w:hAnsi="宋体" w:eastAsia="宋体" w:cs="宋体"/>
          <w:bCs/>
          <w:color w:val="auto"/>
          <w:kern w:val="2"/>
          <w:sz w:val="21"/>
          <w:szCs w:val="21"/>
          <w:highlight w:val="none"/>
          <w:lang w:val="en-US" w:eastAsia="zh-CN" w:bidi="ar-SA"/>
        </w:rPr>
        <w:t>至</w:t>
      </w:r>
      <w:r>
        <w:rPr>
          <w:rFonts w:hint="eastAsia" w:ascii="宋体" w:hAnsi="宋体" w:cs="宋体"/>
          <w:bCs/>
          <w:color w:val="auto"/>
          <w:kern w:val="2"/>
          <w:sz w:val="21"/>
          <w:szCs w:val="21"/>
          <w:highlight w:val="none"/>
          <w:lang w:val="en-US" w:eastAsia="zh-CN" w:bidi="ar-SA"/>
        </w:rPr>
        <w:t>采购人指定地点</w:t>
      </w:r>
      <w:r>
        <w:rPr>
          <w:rFonts w:hint="default" w:ascii="宋体" w:hAnsi="宋体" w:eastAsia="宋体" w:cs="宋体"/>
          <w:bCs/>
          <w:color w:val="auto"/>
          <w:kern w:val="2"/>
          <w:sz w:val="21"/>
          <w:szCs w:val="21"/>
          <w:highlight w:val="none"/>
          <w:lang w:val="en-US" w:eastAsia="zh-CN" w:bidi="ar-SA"/>
        </w:rPr>
        <w:t>对</w:t>
      </w:r>
      <w:r>
        <w:rPr>
          <w:rFonts w:hint="eastAsia" w:ascii="宋体" w:hAnsi="宋体" w:cs="宋体"/>
          <w:bCs/>
          <w:color w:val="auto"/>
          <w:kern w:val="2"/>
          <w:sz w:val="21"/>
          <w:szCs w:val="21"/>
          <w:highlight w:val="none"/>
          <w:lang w:val="en-US" w:eastAsia="zh-CN" w:bidi="ar-SA"/>
        </w:rPr>
        <w:t>其指定</w:t>
      </w:r>
      <w:r>
        <w:rPr>
          <w:rFonts w:hint="default" w:ascii="宋体" w:hAnsi="宋体" w:eastAsia="宋体" w:cs="宋体"/>
          <w:bCs/>
          <w:color w:val="auto"/>
          <w:kern w:val="2"/>
          <w:sz w:val="21"/>
          <w:szCs w:val="21"/>
          <w:highlight w:val="none"/>
          <w:lang w:val="en-US" w:eastAsia="zh-CN" w:bidi="ar-SA"/>
        </w:rPr>
        <w:t>相关人员进行操作方法培训，直到参加培训人员具备独立操作能力并能排除使用中的一般性障碍，且培训结果至</w:t>
      </w:r>
      <w:r>
        <w:rPr>
          <w:rFonts w:hint="eastAsia" w:ascii="宋体" w:hAnsi="宋体" w:cs="宋体"/>
          <w:bCs/>
          <w:color w:val="auto"/>
          <w:kern w:val="2"/>
          <w:sz w:val="21"/>
          <w:szCs w:val="21"/>
          <w:highlight w:val="none"/>
          <w:lang w:val="en-US" w:eastAsia="zh-CN" w:bidi="ar-SA"/>
        </w:rPr>
        <w:t>采购人</w:t>
      </w:r>
      <w:r>
        <w:rPr>
          <w:rFonts w:hint="default" w:ascii="宋体" w:hAnsi="宋体" w:eastAsia="宋体" w:cs="宋体"/>
          <w:bCs/>
          <w:color w:val="auto"/>
          <w:kern w:val="2"/>
          <w:sz w:val="21"/>
          <w:szCs w:val="21"/>
          <w:highlight w:val="none"/>
          <w:lang w:val="en-US" w:eastAsia="zh-CN" w:bidi="ar-SA"/>
        </w:rPr>
        <w:t>满意为止。</w:t>
      </w:r>
      <w:r>
        <w:rPr>
          <w:rFonts w:hint="eastAsia" w:ascii="宋体" w:hAnsi="宋体" w:cs="宋体"/>
          <w:b w:val="0"/>
          <w:bCs/>
          <w:color w:val="auto"/>
          <w:szCs w:val="21"/>
          <w:highlight w:val="none"/>
          <w:lang w:val="en-US" w:eastAsia="zh-CN"/>
        </w:rPr>
        <w:t>成交</w:t>
      </w:r>
      <w:r>
        <w:rPr>
          <w:rFonts w:hint="eastAsia" w:ascii="宋体" w:hAnsi="宋体" w:eastAsia="宋体" w:cs="宋体"/>
          <w:b w:val="0"/>
          <w:bCs/>
          <w:color w:val="auto"/>
          <w:szCs w:val="21"/>
          <w:highlight w:val="none"/>
          <w:lang w:val="en-US" w:eastAsia="zh-CN"/>
        </w:rPr>
        <w:t>供应商</w:t>
      </w:r>
      <w:r>
        <w:rPr>
          <w:rFonts w:hint="default" w:ascii="宋体" w:hAnsi="宋体" w:eastAsia="宋体" w:cs="宋体"/>
          <w:bCs/>
          <w:color w:val="auto"/>
          <w:kern w:val="2"/>
          <w:sz w:val="21"/>
          <w:szCs w:val="21"/>
          <w:highlight w:val="none"/>
          <w:lang w:val="en-US" w:eastAsia="zh-CN" w:bidi="ar-SA"/>
        </w:rPr>
        <w:t>派出培训人员</w:t>
      </w:r>
      <w:r>
        <w:rPr>
          <w:rFonts w:hint="eastAsia" w:ascii="宋体" w:hAnsi="宋体" w:cs="宋体"/>
          <w:bCs/>
          <w:color w:val="auto"/>
          <w:kern w:val="2"/>
          <w:sz w:val="21"/>
          <w:szCs w:val="21"/>
          <w:highlight w:val="none"/>
          <w:lang w:val="en-US" w:eastAsia="zh-CN" w:bidi="ar-SA"/>
        </w:rPr>
        <w:t>及厂家技术人员</w:t>
      </w:r>
      <w:r>
        <w:rPr>
          <w:rFonts w:hint="default" w:ascii="宋体" w:hAnsi="宋体" w:eastAsia="宋体" w:cs="宋体"/>
          <w:bCs/>
          <w:color w:val="auto"/>
          <w:kern w:val="2"/>
          <w:sz w:val="21"/>
          <w:szCs w:val="21"/>
          <w:highlight w:val="none"/>
          <w:lang w:val="en-US" w:eastAsia="zh-CN" w:bidi="ar-SA"/>
        </w:rPr>
        <w:t>所产生的培训费用（交通、住宿、差旅等）均由</w:t>
      </w:r>
      <w:r>
        <w:rPr>
          <w:rFonts w:hint="eastAsia" w:ascii="宋体" w:hAnsi="宋体" w:cs="宋体"/>
          <w:b w:val="0"/>
          <w:bCs/>
          <w:color w:val="auto"/>
          <w:szCs w:val="21"/>
          <w:highlight w:val="none"/>
          <w:lang w:val="en-US" w:eastAsia="zh-CN"/>
        </w:rPr>
        <w:t>成交</w:t>
      </w:r>
      <w:r>
        <w:rPr>
          <w:rFonts w:hint="eastAsia" w:ascii="宋体" w:hAnsi="宋体" w:eastAsia="宋体" w:cs="宋体"/>
          <w:b w:val="0"/>
          <w:bCs/>
          <w:color w:val="auto"/>
          <w:szCs w:val="21"/>
          <w:highlight w:val="none"/>
          <w:lang w:val="en-US" w:eastAsia="zh-CN"/>
        </w:rPr>
        <w:t>供应商</w:t>
      </w:r>
      <w:r>
        <w:rPr>
          <w:rFonts w:hint="default" w:ascii="宋体" w:hAnsi="宋体" w:eastAsia="宋体" w:cs="宋体"/>
          <w:bCs/>
          <w:color w:val="auto"/>
          <w:kern w:val="2"/>
          <w:sz w:val="21"/>
          <w:szCs w:val="21"/>
          <w:highlight w:val="none"/>
          <w:lang w:val="en-US" w:eastAsia="zh-CN" w:bidi="ar-SA"/>
        </w:rPr>
        <w:t>承担，培训的结果必须至</w:t>
      </w:r>
      <w:r>
        <w:rPr>
          <w:rFonts w:hint="eastAsia" w:ascii="宋体" w:hAnsi="宋体" w:cs="宋体"/>
          <w:bCs/>
          <w:color w:val="auto"/>
          <w:kern w:val="2"/>
          <w:sz w:val="21"/>
          <w:szCs w:val="21"/>
          <w:highlight w:val="none"/>
          <w:lang w:val="en-US" w:eastAsia="zh-CN" w:bidi="ar-SA"/>
        </w:rPr>
        <w:t>采购人</w:t>
      </w:r>
      <w:r>
        <w:rPr>
          <w:rFonts w:hint="default" w:ascii="宋体" w:hAnsi="宋体" w:eastAsia="宋体" w:cs="宋体"/>
          <w:bCs/>
          <w:color w:val="auto"/>
          <w:kern w:val="2"/>
          <w:sz w:val="21"/>
          <w:szCs w:val="21"/>
          <w:highlight w:val="none"/>
          <w:lang w:val="en-US" w:eastAsia="zh-CN" w:bidi="ar-SA"/>
        </w:rPr>
        <w:t>满意为止。</w:t>
      </w:r>
    </w:p>
    <w:p w14:paraId="579AB8CA">
      <w:pPr>
        <w:pStyle w:val="10"/>
        <w:spacing w:line="360" w:lineRule="auto"/>
        <w:ind w:firstLine="420"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通过到货验收、初步验收、培训验收后，</w:t>
      </w:r>
      <w:r>
        <w:rPr>
          <w:rFonts w:hint="eastAsia" w:ascii="宋体" w:hAnsi="宋体" w:cs="宋体"/>
          <w:bCs/>
          <w:color w:val="auto"/>
          <w:kern w:val="2"/>
          <w:sz w:val="21"/>
          <w:szCs w:val="21"/>
          <w:lang w:val="en-US" w:eastAsia="zh-CN" w:bidi="ar-SA"/>
        </w:rPr>
        <w:t>采购人及成交供应商</w:t>
      </w:r>
      <w:r>
        <w:rPr>
          <w:rFonts w:hint="default" w:ascii="宋体" w:hAnsi="宋体" w:eastAsia="宋体" w:cs="宋体"/>
          <w:bCs/>
          <w:color w:val="auto"/>
          <w:kern w:val="2"/>
          <w:sz w:val="21"/>
          <w:szCs w:val="21"/>
          <w:lang w:val="en-US" w:eastAsia="zh-CN" w:bidi="ar-SA"/>
        </w:rPr>
        <w:t>双方进行最终验收，最终验收合格的，</w:t>
      </w:r>
      <w:r>
        <w:rPr>
          <w:rFonts w:hint="eastAsia" w:ascii="宋体" w:hAnsi="宋体" w:cs="宋体"/>
          <w:bCs/>
          <w:color w:val="auto"/>
          <w:kern w:val="2"/>
          <w:sz w:val="21"/>
          <w:szCs w:val="21"/>
          <w:lang w:val="en-US" w:eastAsia="zh-CN" w:bidi="ar-SA"/>
        </w:rPr>
        <w:t>采购人及成交供应商</w:t>
      </w:r>
      <w:r>
        <w:rPr>
          <w:rFonts w:hint="default" w:ascii="宋体" w:hAnsi="宋体" w:eastAsia="宋体" w:cs="宋体"/>
          <w:bCs/>
          <w:color w:val="auto"/>
          <w:kern w:val="2"/>
          <w:sz w:val="21"/>
          <w:szCs w:val="21"/>
          <w:lang w:val="en-US" w:eastAsia="zh-CN" w:bidi="ar-SA"/>
        </w:rPr>
        <w:t>应签署最终验收报告。必要时</w:t>
      </w:r>
      <w:r>
        <w:rPr>
          <w:rFonts w:hint="eastAsia" w:ascii="宋体" w:hAnsi="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可引入第三方或者委托专业机构进行各项验收，验收费用由</w:t>
      </w:r>
      <w:r>
        <w:rPr>
          <w:rFonts w:hint="eastAsia" w:ascii="宋体" w:hAnsi="宋体" w:cs="宋体"/>
          <w:b w:val="0"/>
          <w:bCs/>
          <w:color w:val="auto"/>
          <w:szCs w:val="21"/>
          <w:lang w:val="en-US" w:eastAsia="zh-CN"/>
        </w:rPr>
        <w:t>成交</w:t>
      </w:r>
      <w:r>
        <w:rPr>
          <w:rFonts w:hint="eastAsia" w:ascii="宋体" w:hAnsi="宋体" w:eastAsia="宋体" w:cs="宋体"/>
          <w:b w:val="0"/>
          <w:bCs/>
          <w:color w:val="auto"/>
          <w:szCs w:val="21"/>
          <w:lang w:val="en-US" w:eastAsia="zh-CN"/>
        </w:rPr>
        <w:t>供应商</w:t>
      </w:r>
      <w:r>
        <w:rPr>
          <w:rFonts w:hint="default" w:ascii="宋体" w:hAnsi="宋体" w:eastAsia="宋体" w:cs="宋体"/>
          <w:bCs/>
          <w:color w:val="auto"/>
          <w:kern w:val="2"/>
          <w:sz w:val="21"/>
          <w:szCs w:val="21"/>
          <w:lang w:val="en-US" w:eastAsia="zh-CN" w:bidi="ar-SA"/>
        </w:rPr>
        <w:t>全额承担，且</w:t>
      </w:r>
      <w:r>
        <w:rPr>
          <w:rFonts w:hint="eastAsia" w:ascii="宋体" w:hAnsi="宋体" w:cs="宋体"/>
          <w:bCs/>
          <w:color w:val="auto"/>
          <w:kern w:val="2"/>
          <w:sz w:val="21"/>
          <w:szCs w:val="21"/>
          <w:lang w:val="en-US" w:eastAsia="zh-CN" w:bidi="ar-SA"/>
        </w:rPr>
        <w:t>采购人及成交供应商</w:t>
      </w:r>
      <w:r>
        <w:rPr>
          <w:rFonts w:hint="default" w:ascii="宋体" w:hAnsi="宋体" w:eastAsia="宋体" w:cs="宋体"/>
          <w:bCs/>
          <w:color w:val="auto"/>
          <w:kern w:val="2"/>
          <w:sz w:val="21"/>
          <w:szCs w:val="21"/>
          <w:lang w:val="en-US" w:eastAsia="zh-CN" w:bidi="ar-SA"/>
        </w:rPr>
        <w:t>对该验收结果予以认可。</w:t>
      </w:r>
    </w:p>
    <w:p w14:paraId="610316F7">
      <w:pPr>
        <w:pStyle w:val="10"/>
        <w:spacing w:line="360" w:lineRule="auto"/>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质量符合国家法律法规规定的标准、</w:t>
      </w:r>
      <w:r>
        <w:rPr>
          <w:rFonts w:hint="eastAsia" w:ascii="宋体" w:hAnsi="宋体" w:eastAsia="宋体" w:cs="宋体"/>
          <w:bCs/>
          <w:color w:val="auto"/>
          <w:kern w:val="2"/>
          <w:sz w:val="21"/>
          <w:szCs w:val="21"/>
          <w:lang w:val="en-US" w:eastAsia="zh-CN" w:bidi="ar-SA"/>
        </w:rPr>
        <w:t>采购文件</w:t>
      </w:r>
      <w:r>
        <w:rPr>
          <w:rFonts w:hint="default" w:ascii="宋体" w:hAnsi="宋体" w:eastAsia="宋体" w:cs="宋体"/>
          <w:bCs/>
          <w:color w:val="auto"/>
          <w:kern w:val="2"/>
          <w:sz w:val="21"/>
          <w:szCs w:val="21"/>
          <w:lang w:val="en-US" w:eastAsia="zh-CN" w:bidi="ar-SA"/>
        </w:rPr>
        <w:t>和投标文件的要求。</w:t>
      </w:r>
      <w:r>
        <w:rPr>
          <w:rFonts w:hint="eastAsia" w:ascii="宋体" w:hAnsi="宋体" w:cs="宋体"/>
          <w:bCs/>
          <w:color w:val="auto"/>
          <w:kern w:val="2"/>
          <w:sz w:val="21"/>
          <w:szCs w:val="21"/>
          <w:lang w:val="en-US" w:eastAsia="zh-CN" w:bidi="ar-SA"/>
        </w:rPr>
        <w:t>成交供应商</w:t>
      </w:r>
      <w:r>
        <w:rPr>
          <w:rFonts w:hint="eastAsia" w:ascii="宋体" w:hAnsi="宋体" w:eastAsia="宋体" w:cs="宋体"/>
          <w:bCs/>
          <w:color w:val="auto"/>
          <w:kern w:val="2"/>
          <w:sz w:val="21"/>
          <w:szCs w:val="21"/>
          <w:lang w:val="en-US" w:eastAsia="zh-CN" w:bidi="ar-SA"/>
        </w:rPr>
        <w:t>提供的货物未达到采购文件规定要求，且对采购人造成损失的，由供应商承担一切责任，并赔偿所造成的损失。</w:t>
      </w:r>
    </w:p>
    <w:p w14:paraId="55676E34">
      <w:pPr>
        <w:pStyle w:val="10"/>
        <w:numPr>
          <w:ilvl w:val="0"/>
          <w:numId w:val="0"/>
        </w:numPr>
        <w:spacing w:line="360" w:lineRule="auto"/>
        <w:ind w:firstLine="420" w:firstLineChars="200"/>
        <w:rPr>
          <w:rFonts w:hint="eastAsia" w:asciiTheme="majorEastAsia" w:hAnsiTheme="majorEastAsia" w:eastAsiaTheme="majorEastAsia" w:cstheme="majorEastAsia"/>
          <w:b/>
          <w:bCs/>
          <w:color w:val="auto"/>
          <w:kern w:val="0"/>
          <w:sz w:val="21"/>
          <w:szCs w:val="21"/>
          <w:highlight w:val="none"/>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若供应商提供的货物2次未能达到采购文件的要求和投标文件中的有关承诺的，将按有关法规进行处罚，采购人将有权单方面终止合同的执行，并追究因成交人所提供的未达到所承诺准确率产品而产生的所有损失和责任。</w:t>
      </w:r>
    </w:p>
    <w:p w14:paraId="11A588E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bCs/>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lang w:val="en-US" w:eastAsia="zh-CN"/>
        </w:rPr>
        <w:t>八、质保及售后服务要求</w:t>
      </w:r>
    </w:p>
    <w:p w14:paraId="757FFC3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1、</w:t>
      </w:r>
      <w:r>
        <w:rPr>
          <w:rFonts w:hint="eastAsia" w:ascii="宋体" w:hAnsi="宋体" w:cs="宋体"/>
          <w:b/>
          <w:bCs w:val="0"/>
          <w:color w:val="auto"/>
          <w:szCs w:val="21"/>
          <w:lang w:val="en-US" w:eastAsia="zh-CN"/>
        </w:rPr>
        <w:t>质保期：</w:t>
      </w:r>
      <w:r>
        <w:rPr>
          <w:rFonts w:hint="eastAsia" w:ascii="Times New Roman" w:hAnsi="Times New Roman" w:eastAsia="宋体" w:cs="Times New Roman"/>
          <w:b w:val="0"/>
          <w:bCs/>
          <w:color w:val="0000FF"/>
          <w:lang w:val="en-US" w:eastAsia="zh-CN"/>
        </w:rPr>
        <w:t>自验收合格之日起计保修期</w:t>
      </w:r>
      <w:r>
        <w:rPr>
          <w:rFonts w:hint="eastAsia" w:cs="Times New Roman"/>
          <w:b w:val="0"/>
          <w:bCs/>
          <w:color w:val="0000FF"/>
          <w:lang w:val="en-US" w:eastAsia="zh-CN"/>
        </w:rPr>
        <w:t>，</w:t>
      </w:r>
      <w:r>
        <w:rPr>
          <w:rFonts w:hint="eastAsia" w:ascii="Times New Roman" w:hAnsi="Times New Roman" w:eastAsia="宋体" w:cs="Times New Roman"/>
          <w:b w:val="0"/>
          <w:bCs/>
          <w:color w:val="0000FF"/>
          <w:lang w:val="en-US" w:eastAsia="zh-CN"/>
        </w:rPr>
        <w:t>所供</w:t>
      </w:r>
      <w:r>
        <w:rPr>
          <w:rFonts w:hint="eastAsia" w:cs="Times New Roman"/>
          <w:b w:val="0"/>
          <w:bCs/>
          <w:color w:val="0000FF"/>
          <w:lang w:val="en-US" w:eastAsia="zh-CN"/>
        </w:rPr>
        <w:t>产品免费</w:t>
      </w:r>
      <w:r>
        <w:rPr>
          <w:rFonts w:hint="eastAsia" w:ascii="Times New Roman" w:hAnsi="Times New Roman" w:eastAsia="宋体" w:cs="Times New Roman"/>
          <w:b w:val="0"/>
          <w:bCs/>
          <w:color w:val="0000FF"/>
          <w:lang w:val="en-US" w:eastAsia="zh-CN"/>
        </w:rPr>
        <w:t>质保</w:t>
      </w:r>
      <w:r>
        <w:rPr>
          <w:rFonts w:hint="eastAsia" w:cs="Times New Roman"/>
          <w:b w:val="0"/>
          <w:bCs/>
          <w:color w:val="0000FF"/>
          <w:lang w:val="en-US" w:eastAsia="zh-CN"/>
        </w:rPr>
        <w:t>3</w:t>
      </w:r>
      <w:r>
        <w:rPr>
          <w:rFonts w:hint="eastAsia" w:ascii="Times New Roman" w:hAnsi="Times New Roman" w:eastAsia="宋体" w:cs="Times New Roman"/>
          <w:b w:val="0"/>
          <w:bCs/>
          <w:color w:val="0000FF"/>
          <w:lang w:val="en-US" w:eastAsia="zh-CN"/>
        </w:rPr>
        <w:t>年</w:t>
      </w:r>
      <w:r>
        <w:rPr>
          <w:rFonts w:hint="eastAsia" w:cs="Times New Roman"/>
          <w:b w:val="0"/>
          <w:bCs/>
          <w:color w:val="0000FF"/>
          <w:lang w:val="en-US" w:eastAsia="zh-CN"/>
        </w:rPr>
        <w:t>。</w:t>
      </w:r>
    </w:p>
    <w:p w14:paraId="51ECEA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2、质量保证期过后，成交供应商和制造商应同样提供免费电话咨询服务，并应提供产品维护服务。</w:t>
      </w:r>
    </w:p>
    <w:p w14:paraId="4C6D55B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3、质量保证期过后，采购人需要继续由原供应商和制造商提供售后服务的，该供应商或制造商应以优惠价格提供售后服务并只收损件的工本费。</w:t>
      </w:r>
    </w:p>
    <w:p w14:paraId="4988631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4、时间承诺：原厂免费质保期内提供技术支持、</w:t>
      </w:r>
      <w:r>
        <w:rPr>
          <w:rFonts w:hint="eastAsia" w:ascii="宋体" w:hAnsi="宋体" w:cs="宋体"/>
          <w:b w:val="0"/>
          <w:bCs/>
          <w:color w:val="auto"/>
          <w:szCs w:val="21"/>
          <w:lang w:val="en-US" w:eastAsia="zh-CN"/>
        </w:rPr>
        <w:t>货物</w:t>
      </w:r>
      <w:r>
        <w:rPr>
          <w:rFonts w:hint="eastAsia" w:ascii="宋体" w:hAnsi="宋体" w:eastAsia="宋体" w:cs="宋体"/>
          <w:b w:val="0"/>
          <w:bCs/>
          <w:color w:val="auto"/>
          <w:szCs w:val="21"/>
          <w:lang w:val="en-US" w:eastAsia="zh-CN"/>
        </w:rPr>
        <w:t>维护、免费备件更换等服务。提供工程师 7*24 小时的进行远程值守服务，针对设备的技术问题，须提供 7*24 小时的在线电话技术支持服务。；出现使用故障（应急等情况时）必须保证，厂家提供快速响应的维修服务体系，有专职的维修工程师有效保证1小时内响应，</w:t>
      </w:r>
      <w:r>
        <w:rPr>
          <w:rFonts w:hint="eastAsia" w:ascii="宋体" w:hAnsi="宋体" w:cs="宋体"/>
          <w:b w:val="0"/>
          <w:bCs/>
          <w:color w:val="auto"/>
          <w:szCs w:val="21"/>
          <w:lang w:val="en-US" w:eastAsia="zh-CN"/>
        </w:rPr>
        <w:t>4</w:t>
      </w:r>
      <w:r>
        <w:rPr>
          <w:rFonts w:hint="eastAsia" w:ascii="宋体" w:hAnsi="宋体" w:eastAsia="宋体" w:cs="宋体"/>
          <w:b w:val="0"/>
          <w:bCs/>
          <w:color w:val="auto"/>
          <w:szCs w:val="21"/>
          <w:lang w:val="en-US" w:eastAsia="zh-CN"/>
        </w:rPr>
        <w:t>小时内工程师到达现场提供技术服务。如修理时间超过</w:t>
      </w:r>
      <w:r>
        <w:rPr>
          <w:rFonts w:hint="eastAsia" w:ascii="宋体" w:hAnsi="宋体" w:cs="宋体"/>
          <w:b w:val="0"/>
          <w:bCs/>
          <w:color w:val="auto"/>
          <w:szCs w:val="21"/>
          <w:lang w:val="en-US" w:eastAsia="zh-CN"/>
        </w:rPr>
        <w:t>1</w:t>
      </w:r>
      <w:r>
        <w:rPr>
          <w:rFonts w:hint="eastAsia" w:ascii="宋体" w:hAnsi="宋体" w:eastAsia="宋体" w:cs="宋体"/>
          <w:b w:val="0"/>
          <w:bCs/>
          <w:color w:val="auto"/>
          <w:szCs w:val="21"/>
          <w:lang w:val="en-US" w:eastAsia="zh-CN"/>
        </w:rPr>
        <w:t>天应向用户提供备用</w:t>
      </w:r>
      <w:r>
        <w:rPr>
          <w:rFonts w:hint="eastAsia" w:ascii="宋体" w:hAnsi="宋体" w:cs="宋体"/>
          <w:b w:val="0"/>
          <w:bCs/>
          <w:color w:val="auto"/>
          <w:szCs w:val="21"/>
          <w:lang w:val="en-US" w:eastAsia="zh-CN"/>
        </w:rPr>
        <w:t>产品</w:t>
      </w:r>
      <w:r>
        <w:rPr>
          <w:rFonts w:hint="eastAsia" w:ascii="宋体" w:hAnsi="宋体" w:eastAsia="宋体" w:cs="宋体"/>
          <w:b w:val="0"/>
          <w:bCs/>
          <w:color w:val="auto"/>
          <w:szCs w:val="21"/>
          <w:lang w:val="en-US" w:eastAsia="zh-CN"/>
        </w:rPr>
        <w:t>。</w:t>
      </w:r>
    </w:p>
    <w:p w14:paraId="009170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5</w:t>
      </w:r>
      <w:r>
        <w:rPr>
          <w:rFonts w:hint="eastAsia" w:ascii="宋体" w:hAnsi="宋体" w:eastAsia="宋体" w:cs="宋体"/>
          <w:b w:val="0"/>
          <w:bCs/>
          <w:color w:val="auto"/>
          <w:szCs w:val="21"/>
          <w:lang w:val="en-US" w:eastAsia="zh-CN"/>
        </w:rPr>
        <w:t>、服务热线：</w:t>
      </w:r>
      <w:r>
        <w:rPr>
          <w:rFonts w:hint="eastAsia" w:ascii="宋体" w:hAnsi="宋体" w:cs="宋体"/>
          <w:b w:val="0"/>
          <w:bCs/>
          <w:color w:val="auto"/>
          <w:szCs w:val="21"/>
          <w:lang w:val="en-US" w:eastAsia="zh-CN"/>
        </w:rPr>
        <w:t>成交供应商</w:t>
      </w:r>
      <w:r>
        <w:rPr>
          <w:rFonts w:hint="eastAsia" w:ascii="宋体" w:hAnsi="宋体" w:eastAsia="宋体" w:cs="宋体"/>
          <w:b w:val="0"/>
          <w:bCs/>
          <w:color w:val="auto"/>
          <w:szCs w:val="21"/>
          <w:lang w:val="en-US" w:eastAsia="zh-CN"/>
        </w:rPr>
        <w:t>需提供供应商及厂家的服务热线及联系人</w:t>
      </w:r>
      <w:r>
        <w:rPr>
          <w:rFonts w:hint="eastAsia" w:ascii="宋体" w:hAnsi="宋体" w:cs="宋体"/>
          <w:b w:val="0"/>
          <w:bCs/>
          <w:color w:val="auto"/>
          <w:szCs w:val="21"/>
          <w:lang w:val="en-US" w:eastAsia="zh-CN"/>
        </w:rPr>
        <w:t>，项目所在地</w:t>
      </w:r>
      <w:r>
        <w:rPr>
          <w:rFonts w:hint="eastAsia" w:asciiTheme="majorEastAsia" w:hAnsiTheme="majorEastAsia" w:eastAsiaTheme="majorEastAsia" w:cstheme="majorEastAsia"/>
          <w:bCs/>
          <w:color w:val="auto"/>
          <w:szCs w:val="21"/>
          <w:highlight w:val="none"/>
          <w:lang w:val="en-US" w:eastAsia="zh-CN"/>
        </w:rPr>
        <w:t>应设售后服务网点，并提供</w:t>
      </w:r>
      <w:r>
        <w:rPr>
          <w:rFonts w:hint="eastAsia" w:ascii="宋体" w:hAnsi="宋体" w:eastAsia="宋体" w:cs="宋体"/>
          <w:b w:val="0"/>
          <w:bCs/>
          <w:color w:val="auto"/>
          <w:szCs w:val="21"/>
          <w:lang w:val="en-US" w:eastAsia="zh-CN"/>
        </w:rPr>
        <w:t>服务热线及联系人</w:t>
      </w:r>
      <w:r>
        <w:rPr>
          <w:rFonts w:hint="eastAsia" w:ascii="宋体" w:hAnsi="宋体" w:cs="宋体"/>
          <w:b w:val="0"/>
          <w:bCs/>
          <w:color w:val="auto"/>
          <w:szCs w:val="21"/>
          <w:lang w:val="en-US" w:eastAsia="zh-CN"/>
        </w:rPr>
        <w:t>。</w:t>
      </w:r>
    </w:p>
    <w:p w14:paraId="0E59781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6</w:t>
      </w:r>
      <w:r>
        <w:rPr>
          <w:rFonts w:hint="eastAsia" w:ascii="宋体" w:hAnsi="宋体" w:eastAsia="宋体" w:cs="宋体"/>
          <w:b w:val="0"/>
          <w:bCs/>
          <w:color w:val="auto"/>
          <w:szCs w:val="21"/>
          <w:lang w:val="en-US" w:eastAsia="zh-CN"/>
        </w:rPr>
        <w:t>、</w:t>
      </w:r>
      <w:r>
        <w:rPr>
          <w:rFonts w:hint="eastAsia" w:ascii="宋体" w:hAnsi="宋体" w:cs="宋体"/>
          <w:bCs/>
          <w:color w:val="auto"/>
          <w:kern w:val="2"/>
          <w:sz w:val="21"/>
          <w:szCs w:val="21"/>
          <w:lang w:val="en-US" w:eastAsia="zh-CN" w:bidi="ar-SA"/>
        </w:rPr>
        <w:t>货物</w:t>
      </w:r>
      <w:r>
        <w:rPr>
          <w:rFonts w:hint="eastAsia" w:ascii="宋体" w:hAnsi="宋体" w:eastAsia="宋体" w:cs="宋体"/>
          <w:b w:val="0"/>
          <w:bCs/>
          <w:color w:val="auto"/>
          <w:szCs w:val="21"/>
          <w:lang w:val="en-US" w:eastAsia="zh-CN"/>
        </w:rPr>
        <w:t>维护调试培训完成后，提供相关技术资料和操作手册。负责对采购单位工作人员进行培训并提供培训资料，培训内容主要包括供</w:t>
      </w:r>
      <w:r>
        <w:rPr>
          <w:rFonts w:hint="eastAsia" w:ascii="宋体" w:hAnsi="宋体" w:cs="宋体"/>
          <w:bCs/>
          <w:color w:val="auto"/>
          <w:kern w:val="2"/>
          <w:sz w:val="21"/>
          <w:szCs w:val="21"/>
          <w:lang w:val="en-US" w:eastAsia="zh-CN" w:bidi="ar-SA"/>
        </w:rPr>
        <w:t>货物</w:t>
      </w:r>
      <w:r>
        <w:rPr>
          <w:rFonts w:hint="eastAsia" w:ascii="宋体" w:hAnsi="宋体" w:eastAsia="宋体" w:cs="宋体"/>
          <w:b w:val="0"/>
          <w:bCs/>
          <w:color w:val="auto"/>
          <w:szCs w:val="21"/>
          <w:lang w:val="en-US" w:eastAsia="zh-CN"/>
        </w:rPr>
        <w:t>的工作原理、操作、运行及维护等方面的知识，直至对方能独立熟练操作、运行、维护。</w:t>
      </w:r>
    </w:p>
    <w:p w14:paraId="3A91154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7</w:t>
      </w:r>
      <w:r>
        <w:rPr>
          <w:rFonts w:hint="eastAsia" w:ascii="宋体" w:hAnsi="宋体" w:eastAsia="宋体" w:cs="宋体"/>
          <w:b w:val="0"/>
          <w:bCs/>
          <w:color w:val="auto"/>
          <w:szCs w:val="21"/>
          <w:lang w:val="en-US" w:eastAsia="zh-CN"/>
        </w:rPr>
        <w:t>、在质保期内，由于</w:t>
      </w:r>
      <w:r>
        <w:rPr>
          <w:rFonts w:hint="eastAsia" w:ascii="宋体" w:hAnsi="宋体" w:cs="宋体"/>
          <w:bCs/>
          <w:color w:val="auto"/>
          <w:kern w:val="2"/>
          <w:sz w:val="21"/>
          <w:szCs w:val="21"/>
          <w:lang w:val="en-US" w:eastAsia="zh-CN" w:bidi="ar-SA"/>
        </w:rPr>
        <w:t>货物</w:t>
      </w:r>
      <w:r>
        <w:rPr>
          <w:rFonts w:hint="eastAsia" w:ascii="宋体" w:hAnsi="宋体" w:eastAsia="宋体" w:cs="宋体"/>
          <w:b w:val="0"/>
          <w:bCs/>
          <w:color w:val="auto"/>
          <w:szCs w:val="21"/>
          <w:lang w:val="en-US" w:eastAsia="zh-CN"/>
        </w:rPr>
        <w:t>制造的原因而发生的质量问题，原厂提供免费维修服务，质保期过后免收维修费，只收损件的工本费。</w:t>
      </w:r>
    </w:p>
    <w:p w14:paraId="7ABD4A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ajorEastAsia" w:hAnsiTheme="majorEastAsia" w:eastAsiaTheme="majorEastAsia" w:cstheme="majorEastAsia"/>
          <w:bCs/>
          <w:color w:val="auto"/>
          <w:szCs w:val="21"/>
          <w:highlight w:val="none"/>
          <w:lang w:val="en-US" w:eastAsia="zh-CN"/>
        </w:rPr>
      </w:pPr>
      <w:r>
        <w:rPr>
          <w:rFonts w:hint="eastAsia" w:ascii="宋体" w:hAnsi="宋体" w:cs="Times New Roman"/>
          <w:bCs/>
          <w:color w:val="auto"/>
          <w:szCs w:val="21"/>
          <w:highlight w:val="none"/>
          <w:lang w:val="en-US" w:eastAsia="zh-CN"/>
        </w:rPr>
        <w:t>8</w:t>
      </w:r>
      <w:r>
        <w:rPr>
          <w:rFonts w:hint="eastAsia" w:ascii="宋体" w:hAnsi="宋体" w:eastAsia="宋体" w:cs="Times New Roman"/>
          <w:bCs/>
          <w:color w:val="auto"/>
          <w:szCs w:val="21"/>
          <w:highlight w:val="none"/>
          <w:lang w:val="en-US" w:eastAsia="zh-CN"/>
        </w:rPr>
        <w:t>、</w:t>
      </w:r>
      <w:r>
        <w:rPr>
          <w:rFonts w:hint="eastAsia" w:ascii="宋体" w:hAnsi="宋体" w:cs="Times New Roman"/>
          <w:bCs/>
          <w:color w:val="auto"/>
          <w:szCs w:val="21"/>
          <w:highlight w:val="none"/>
          <w:lang w:val="en-US" w:eastAsia="zh-CN"/>
        </w:rPr>
        <w:t>成交</w:t>
      </w:r>
      <w:r>
        <w:rPr>
          <w:rFonts w:hint="eastAsia" w:ascii="宋体" w:hAnsi="宋体" w:eastAsia="宋体" w:cs="Times New Roman"/>
          <w:bCs/>
          <w:color w:val="auto"/>
          <w:szCs w:val="21"/>
          <w:highlight w:val="none"/>
          <w:lang w:val="en-US" w:eastAsia="zh-CN"/>
        </w:rPr>
        <w:t>供应商售后服务中，使用的维修零配件应原产品厂家生产的或是经其认可授权厂商生产的全新产品</w:t>
      </w:r>
      <w:r>
        <w:rPr>
          <w:rFonts w:hint="eastAsia" w:ascii="宋体" w:hAnsi="宋体" w:cs="Times New Roman"/>
          <w:bCs/>
          <w:color w:val="auto"/>
          <w:szCs w:val="21"/>
          <w:highlight w:val="none"/>
          <w:lang w:val="en-US" w:eastAsia="zh-CN"/>
        </w:rPr>
        <w:t>，</w:t>
      </w:r>
      <w:r>
        <w:rPr>
          <w:rFonts w:hint="eastAsia" w:ascii="宋体" w:hAnsi="宋体" w:eastAsia="宋体" w:cs="Times New Roman"/>
          <w:bCs/>
          <w:color w:val="auto"/>
          <w:szCs w:val="21"/>
          <w:highlight w:val="none"/>
          <w:lang w:val="en-US" w:eastAsia="zh-CN"/>
        </w:rPr>
        <w:t>未经用户同意不得使用非原厂配件</w:t>
      </w:r>
      <w:r>
        <w:rPr>
          <w:rFonts w:hint="eastAsia" w:asciiTheme="majorEastAsia" w:hAnsiTheme="majorEastAsia" w:eastAsiaTheme="majorEastAsia" w:cstheme="majorEastAsia"/>
          <w:bCs/>
          <w:color w:val="auto"/>
          <w:szCs w:val="21"/>
          <w:highlight w:val="none"/>
          <w:lang w:val="en-US" w:eastAsia="zh-CN"/>
        </w:rPr>
        <w:t>。</w:t>
      </w:r>
    </w:p>
    <w:p w14:paraId="542EAD9B">
      <w:pPr>
        <w:keepNext w:val="0"/>
        <w:keepLines w:val="0"/>
        <w:pageBreakBefore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val="en-US" w:eastAsia="zh-CN"/>
        </w:rPr>
        <w:t>九、</w:t>
      </w:r>
      <w:r>
        <w:rPr>
          <w:rFonts w:hint="eastAsia" w:asciiTheme="majorEastAsia" w:hAnsiTheme="majorEastAsia" w:eastAsiaTheme="majorEastAsia" w:cstheme="majorEastAsia"/>
          <w:b/>
          <w:color w:val="auto"/>
          <w:sz w:val="21"/>
          <w:szCs w:val="21"/>
          <w:highlight w:val="none"/>
        </w:rPr>
        <w:t>付款方式</w:t>
      </w:r>
    </w:p>
    <w:p w14:paraId="7A2BF00A">
      <w:pPr>
        <w:spacing w:line="360" w:lineRule="auto"/>
        <w:ind w:firstLine="420" w:firstLineChars="200"/>
        <w:rPr>
          <w:rFonts w:hint="eastAsia" w:cs="Times New Roman"/>
          <w:b w:val="0"/>
          <w:bCs/>
          <w:color w:val="0000FF"/>
          <w:lang w:val="en-US" w:eastAsia="zh-CN"/>
        </w:rPr>
      </w:pPr>
      <w:r>
        <w:rPr>
          <w:rFonts w:hint="eastAsia" w:cs="Times New Roman"/>
          <w:b w:val="0"/>
          <w:bCs/>
          <w:color w:val="0000FF"/>
          <w:lang w:val="en-US" w:eastAsia="zh-CN"/>
        </w:rPr>
        <w:t>签订合同后支付预付款50%，待采购产品及</w:t>
      </w:r>
      <w:r>
        <w:rPr>
          <w:rFonts w:hint="eastAsia" w:ascii="Times New Roman" w:hAnsi="Times New Roman" w:eastAsia="宋体" w:cs="Times New Roman"/>
          <w:b w:val="0"/>
          <w:bCs/>
          <w:color w:val="0000FF"/>
          <w:lang w:val="en-US" w:eastAsia="zh-CN"/>
        </w:rPr>
        <w:t>设备</w:t>
      </w:r>
      <w:r>
        <w:rPr>
          <w:rFonts w:hint="eastAsia" w:cs="Times New Roman"/>
          <w:b w:val="0"/>
          <w:bCs/>
          <w:color w:val="0000FF"/>
          <w:lang w:val="en-US" w:eastAsia="zh-CN"/>
        </w:rPr>
        <w:t>全部安装验收合格完毕后一次性付清剩余50%。</w:t>
      </w:r>
    </w:p>
    <w:bookmarkEnd w:id="2"/>
    <w:p w14:paraId="6EF974B5">
      <w:pPr>
        <w:spacing w:line="360" w:lineRule="auto"/>
        <w:jc w:val="left"/>
        <w:rPr>
          <w:rFonts w:hint="eastAsia" w:ascii="宋体" w:hAnsi="宋体" w:cs="宋体"/>
          <w:b/>
          <w:color w:val="000000" w:themeColor="text1"/>
          <w:szCs w:val="21"/>
          <w14:textFill>
            <w14:solidFill>
              <w14:schemeClr w14:val="tx1"/>
            </w14:solidFill>
          </w14:textFill>
        </w:rPr>
      </w:pPr>
      <w:bookmarkStart w:id="80" w:name="_Toc469495740"/>
      <w:r>
        <w:rPr>
          <w:rFonts w:hint="eastAsia" w:ascii="宋体" w:hAnsi="宋体" w:cs="宋体"/>
          <w:b/>
          <w:color w:val="000000" w:themeColor="text1"/>
          <w:szCs w:val="21"/>
          <w:lang w:val="en-US" w:eastAsia="zh-CN"/>
          <w14:textFill>
            <w14:solidFill>
              <w14:schemeClr w14:val="tx1"/>
            </w14:solidFill>
          </w14:textFill>
        </w:rPr>
        <w:t>十、</w:t>
      </w:r>
      <w:r>
        <w:rPr>
          <w:rFonts w:hint="eastAsia" w:ascii="宋体" w:hAnsi="宋体" w:cs="宋体"/>
          <w:b/>
          <w:color w:val="000000" w:themeColor="text1"/>
          <w:szCs w:val="21"/>
          <w14:textFill>
            <w14:solidFill>
              <w14:schemeClr w14:val="tx1"/>
            </w14:solidFill>
          </w14:textFill>
        </w:rPr>
        <w:t>知识产权</w:t>
      </w:r>
    </w:p>
    <w:p w14:paraId="1F1308BE">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采购人在中华人民共和国境内使用投标人提供的货物及服务时免受第三方提出的侵犯其专利权或其它知识产权的起诉。如果第三方提出侵权指控，</w:t>
      </w:r>
      <w:r>
        <w:rPr>
          <w:rFonts w:hint="eastAsia" w:ascii="宋体" w:hAnsi="宋体" w:cs="宋体"/>
          <w:bCs/>
          <w:color w:val="000000" w:themeColor="text1"/>
          <w:szCs w:val="21"/>
          <w:lang w:eastAsia="zh-CN"/>
          <w14:textFill>
            <w14:solidFill>
              <w14:schemeClr w14:val="tx1"/>
            </w14:solidFill>
          </w14:textFill>
        </w:rPr>
        <w:t>成交</w:t>
      </w:r>
      <w:r>
        <w:rPr>
          <w:rFonts w:hint="eastAsia" w:ascii="宋体" w:hAnsi="宋体" w:cs="宋体"/>
          <w:bCs/>
          <w:color w:val="000000" w:themeColor="text1"/>
          <w:szCs w:val="21"/>
          <w14:textFill>
            <w14:solidFill>
              <w14:schemeClr w14:val="tx1"/>
            </w14:solidFill>
          </w14:textFill>
        </w:rPr>
        <w:t>人应承担由此而引起的一切法律责任和费用。</w:t>
      </w:r>
    </w:p>
    <w:p w14:paraId="5CCB462D">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十一、</w:t>
      </w:r>
      <w:r>
        <w:rPr>
          <w:rFonts w:hint="eastAsia" w:ascii="宋体" w:hAnsi="宋体" w:cs="宋体"/>
          <w:b/>
          <w:color w:val="000000" w:themeColor="text1"/>
          <w:szCs w:val="21"/>
          <w14:textFill>
            <w14:solidFill>
              <w14:schemeClr w14:val="tx1"/>
            </w14:solidFill>
          </w14:textFill>
        </w:rPr>
        <w:t>其他</w:t>
      </w:r>
    </w:p>
    <w:p w14:paraId="66B2AA28">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1、投标人必须在投标文件中对以上条款和服务承诺明确列出，承诺内容必须达到本篇及</w:t>
      </w:r>
      <w:r>
        <w:rPr>
          <w:rFonts w:hint="eastAsia" w:ascii="宋体" w:hAnsi="宋体" w:cs="宋体"/>
          <w:bCs/>
          <w:color w:val="000000" w:themeColor="text1"/>
          <w:szCs w:val="21"/>
          <w:lang w:eastAsia="zh-CN"/>
          <w14:textFill>
            <w14:solidFill>
              <w14:schemeClr w14:val="tx1"/>
            </w14:solidFill>
          </w14:textFill>
        </w:rPr>
        <w:t>采购文件</w:t>
      </w:r>
      <w:r>
        <w:rPr>
          <w:rFonts w:hint="eastAsia" w:ascii="宋体" w:hAnsi="宋体" w:cs="宋体"/>
          <w:bCs/>
          <w:color w:val="000000" w:themeColor="text1"/>
          <w:szCs w:val="21"/>
          <w14:textFill>
            <w14:solidFill>
              <w14:schemeClr w14:val="tx1"/>
            </w14:solidFill>
          </w14:textFill>
        </w:rPr>
        <w:t>其他条款的要求。</w:t>
      </w:r>
    </w:p>
    <w:p w14:paraId="50BBDDB3">
      <w:pPr>
        <w:spacing w:line="360" w:lineRule="auto"/>
        <w:ind w:firstLine="420" w:firstLineChars="200"/>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2、其</w:t>
      </w:r>
      <w:r>
        <w:rPr>
          <w:rFonts w:hint="eastAsia" w:ascii="宋体" w:hAnsi="宋体" w:cs="宋体"/>
          <w:bCs/>
          <w:color w:val="000000" w:themeColor="text1"/>
          <w:szCs w:val="21"/>
          <w:lang w:val="en-US" w:eastAsia="zh-CN"/>
          <w14:textFill>
            <w14:solidFill>
              <w14:schemeClr w14:val="tx1"/>
            </w14:solidFill>
          </w14:textFill>
        </w:rPr>
        <w:t>他未尽事宜由供需双方在采购合同中详细约定。</w:t>
      </w:r>
    </w:p>
    <w:p w14:paraId="69D68FB4">
      <w:pPr>
        <w:spacing w:line="360" w:lineRule="auto"/>
        <w:ind w:firstLine="420" w:firstLineChars="200"/>
        <w:rPr>
          <w:rFonts w:hint="eastAsia" w:ascii="宋体" w:hAnsi="宋体" w:cs="宋体"/>
          <w:bCs/>
          <w:color w:val="auto"/>
          <w:szCs w:val="21"/>
          <w:lang w:val="en-US" w:eastAsia="zh-CN"/>
        </w:rPr>
      </w:pPr>
      <w:r>
        <w:rPr>
          <w:rFonts w:hint="eastAsia" w:ascii="宋体" w:hAnsi="宋体" w:cs="宋体"/>
          <w:bCs/>
          <w:color w:val="auto"/>
          <w:szCs w:val="21"/>
          <w:lang w:val="en-US" w:eastAsia="zh-CN"/>
        </w:rPr>
        <w:t>3、投标人在服务期必须遵守安全生产事项、如：发生安全事故由投标人承担一切责任。</w:t>
      </w:r>
    </w:p>
    <w:p w14:paraId="399C0A57">
      <w:pPr>
        <w:spacing w:line="360" w:lineRule="auto"/>
        <w:ind w:firstLine="420" w:firstLineChars="200"/>
        <w:rPr>
          <w:rFonts w:hint="eastAsia" w:ascii="宋体" w:hAnsi="宋体" w:cs="宋体"/>
          <w:bCs/>
          <w:color w:val="auto"/>
          <w:szCs w:val="21"/>
          <w:lang w:val="en-US" w:eastAsia="zh-CN"/>
        </w:rPr>
      </w:pPr>
      <w:r>
        <w:rPr>
          <w:rFonts w:hint="eastAsia" w:ascii="宋体" w:hAnsi="宋体" w:cs="宋体"/>
          <w:bCs/>
          <w:color w:val="auto"/>
          <w:szCs w:val="21"/>
          <w:lang w:val="en-US" w:eastAsia="zh-CN"/>
        </w:rPr>
        <w:t>4、如果成交人不能按照采购文件要求及投标文件的承诺签订成交合同，或经核定成交人的投标文件与事实不符，从而影响公平、公正及影响成交合同执行时，采购人有权取消该其成交人的成交资格，确定排名在成交人之后第一顺位的投标人为成交人或依法重新招标。</w:t>
      </w:r>
    </w:p>
    <w:p w14:paraId="460A3078">
      <w:pPr>
        <w:spacing w:line="360" w:lineRule="auto"/>
        <w:ind w:firstLine="420" w:firstLineChars="200"/>
        <w:rPr>
          <w:rFonts w:hint="eastAsia" w:ascii="宋体" w:hAnsi="宋体" w:cs="宋体"/>
          <w:bCs/>
          <w:color w:val="auto"/>
          <w:szCs w:val="21"/>
          <w:lang w:val="en-US" w:eastAsia="zh-CN"/>
        </w:rPr>
      </w:pPr>
      <w:r>
        <w:rPr>
          <w:rFonts w:hint="eastAsia" w:ascii="宋体" w:hAnsi="宋体" w:cs="宋体"/>
          <w:bCs/>
          <w:color w:val="auto"/>
          <w:szCs w:val="21"/>
          <w:lang w:val="en-US" w:eastAsia="zh-CN"/>
        </w:rPr>
        <w:t>5、在实际供货时，成交人所提供的货物若已经停产（不列入该厂家当时的产品系统），且未能按原价提供同等质量或更优质的货物，则按违约处理。</w:t>
      </w:r>
    </w:p>
    <w:p w14:paraId="6E87CF2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bCs/>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highlight w:val="none"/>
          <w:lang w:val="en-US" w:eastAsia="zh-CN"/>
          <w14:textFill>
            <w14:solidFill>
              <w14:schemeClr w14:val="tx1"/>
            </w14:solidFill>
          </w14:textFill>
        </w:rPr>
        <w:t>3、投标人在服务期必须遵守安全生产事项、如：发生安全事故由投标人承担一切责任。</w:t>
      </w:r>
    </w:p>
    <w:p w14:paraId="67CA8932">
      <w:pPr>
        <w:pStyle w:val="10"/>
        <w:rPr>
          <w:rFonts w:hint="eastAsia" w:asciiTheme="majorEastAsia" w:hAnsiTheme="majorEastAsia" w:eastAsiaTheme="majorEastAsia" w:cstheme="majorEastAsia"/>
          <w:bCs/>
          <w:color w:val="000000" w:themeColor="text1"/>
          <w:sz w:val="21"/>
          <w:szCs w:val="21"/>
          <w:highlight w:val="none"/>
          <w:lang w:val="en-US" w:eastAsia="zh-CN"/>
          <w14:textFill>
            <w14:solidFill>
              <w14:schemeClr w14:val="tx1"/>
            </w14:solidFill>
          </w14:textFill>
        </w:rPr>
      </w:pPr>
    </w:p>
    <w:p w14:paraId="304EA5A1">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4EDF0957">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1324888B">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531E0AC2">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602F3C65">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323DE67F">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7F93F147">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68CDC582">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6B639149">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42C81406">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74F1023E">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bookmarkEnd w:id="80"/>
    <w:p w14:paraId="066BA9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Start w:id="81" w:name="_Toc20669"/>
    </w:p>
    <w:bookmarkEnd w:id="81"/>
    <w:p w14:paraId="5AE6FAD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bCs/>
          <w:spacing w:val="-20"/>
          <w:kern w:val="44"/>
          <w:sz w:val="48"/>
          <w:szCs w:val="48"/>
        </w:rPr>
      </w:pPr>
      <w:bookmarkStart w:id="82" w:name="_Toc469495743"/>
      <w:r>
        <w:rPr>
          <w:rFonts w:hint="eastAsia" w:ascii="宋体" w:hAnsi="宋体" w:eastAsia="宋体" w:cs="宋体"/>
          <w:color w:val="auto"/>
          <w:szCs w:val="21"/>
          <w:highlight w:val="none"/>
        </w:rPr>
        <w:t>（本合同为合同样稿，最终稿由供需双方协商后确定）</w:t>
      </w:r>
      <w:bookmarkStart w:id="83" w:name="_Toc3995"/>
    </w:p>
    <w:p w14:paraId="50214D0E">
      <w:pPr>
        <w:pStyle w:val="10"/>
        <w:spacing w:after="0"/>
        <w:jc w:val="center"/>
        <w:rPr>
          <w:rFonts w:hint="eastAsia" w:ascii="宋体" w:hAnsi="宋体" w:eastAsia="宋体" w:cs="宋体"/>
          <w:b/>
          <w:bCs/>
          <w:spacing w:val="-20"/>
          <w:kern w:val="44"/>
          <w:sz w:val="48"/>
          <w:szCs w:val="48"/>
        </w:rPr>
      </w:pPr>
    </w:p>
    <w:p w14:paraId="4196602D">
      <w:pPr>
        <w:pStyle w:val="10"/>
        <w:spacing w:after="0"/>
        <w:jc w:val="center"/>
        <w:rPr>
          <w:rFonts w:hint="eastAsia" w:ascii="宋体" w:hAnsi="宋体" w:eastAsia="宋体" w:cs="宋体"/>
          <w:b/>
          <w:bCs/>
          <w:spacing w:val="-20"/>
          <w:kern w:val="44"/>
          <w:sz w:val="28"/>
          <w:szCs w:val="28"/>
        </w:rPr>
      </w:pPr>
      <w:r>
        <w:rPr>
          <w:rFonts w:hint="eastAsia" w:ascii="宋体" w:hAnsi="宋体" w:eastAsia="宋体" w:cs="宋体"/>
          <w:b/>
          <w:bCs/>
          <w:spacing w:val="-20"/>
          <w:kern w:val="44"/>
          <w:sz w:val="28"/>
          <w:szCs w:val="28"/>
        </w:rPr>
        <w:t>政府采购</w:t>
      </w:r>
      <w:r>
        <w:rPr>
          <w:rFonts w:hint="eastAsia" w:ascii="宋体" w:hAnsi="宋体" w:eastAsia="宋体" w:cs="宋体"/>
          <w:b/>
          <w:bCs/>
          <w:spacing w:val="-20"/>
          <w:kern w:val="44"/>
          <w:sz w:val="28"/>
          <w:szCs w:val="28"/>
          <w:lang w:eastAsia="zh-CN"/>
        </w:rPr>
        <w:t>货物买卖</w:t>
      </w:r>
      <w:r>
        <w:rPr>
          <w:rFonts w:hint="eastAsia" w:ascii="宋体" w:hAnsi="宋体" w:eastAsia="宋体" w:cs="宋体"/>
          <w:b/>
          <w:bCs/>
          <w:spacing w:val="-20"/>
          <w:kern w:val="44"/>
          <w:sz w:val="28"/>
          <w:szCs w:val="28"/>
        </w:rPr>
        <w:t>合同</w:t>
      </w:r>
    </w:p>
    <w:p w14:paraId="248D01F6">
      <w:pPr>
        <w:rPr>
          <w:rFonts w:hint="eastAsia" w:ascii="宋体" w:hAnsi="宋体" w:eastAsia="宋体" w:cs="宋体"/>
          <w:b/>
          <w:bCs/>
          <w:spacing w:val="-20"/>
          <w:kern w:val="44"/>
          <w:sz w:val="40"/>
          <w:szCs w:val="40"/>
        </w:rPr>
      </w:pPr>
    </w:p>
    <w:p w14:paraId="664F723A">
      <w:pPr>
        <w:rPr>
          <w:rFonts w:hint="eastAsia" w:ascii="宋体" w:hAnsi="宋体" w:eastAsia="宋体" w:cs="宋体"/>
          <w:b/>
          <w:bCs/>
          <w:spacing w:val="-20"/>
          <w:kern w:val="44"/>
          <w:sz w:val="36"/>
          <w:szCs w:val="36"/>
        </w:rPr>
      </w:pPr>
    </w:p>
    <w:p w14:paraId="7C83EC11">
      <w:pPr>
        <w:rPr>
          <w:rFonts w:hint="eastAsia" w:ascii="宋体" w:hAnsi="宋体" w:eastAsia="宋体" w:cs="宋体"/>
          <w:b/>
          <w:bCs/>
          <w:spacing w:val="-20"/>
          <w:kern w:val="44"/>
          <w:sz w:val="36"/>
          <w:szCs w:val="36"/>
        </w:rPr>
      </w:pPr>
    </w:p>
    <w:p w14:paraId="7EEBFEF0">
      <w:pPr>
        <w:spacing w:line="360" w:lineRule="auto"/>
        <w:ind w:left="420" w:leftChars="200"/>
        <w:rPr>
          <w:rFonts w:hint="eastAsia" w:ascii="宋体" w:hAnsi="宋体" w:eastAsia="宋体" w:cs="宋体"/>
          <w:sz w:val="28"/>
          <w:szCs w:val="28"/>
        </w:rPr>
      </w:pPr>
      <w:r>
        <w:rPr>
          <w:rFonts w:hint="eastAsia" w:ascii="宋体" w:hAnsi="宋体" w:eastAsia="宋体" w:cs="宋体"/>
          <w:kern w:val="0"/>
          <w:sz w:val="28"/>
          <w:szCs w:val="28"/>
        </w:rPr>
        <w:t>项目名称：</w:t>
      </w:r>
      <w:r>
        <w:rPr>
          <w:rFonts w:hint="eastAsia" w:ascii="宋体" w:hAnsi="宋体" w:eastAsia="宋体" w:cs="宋体"/>
          <w:sz w:val="28"/>
          <w:szCs w:val="28"/>
          <w:u w:val="single"/>
        </w:rPr>
        <w:t xml:space="preserve">                             </w:t>
      </w:r>
    </w:p>
    <w:p w14:paraId="208FED68">
      <w:pPr>
        <w:spacing w:line="360" w:lineRule="auto"/>
        <w:ind w:left="420" w:leftChars="200"/>
        <w:rPr>
          <w:rFonts w:hint="eastAsia" w:ascii="宋体" w:hAnsi="宋体" w:eastAsia="宋体" w:cs="宋体"/>
          <w:sz w:val="28"/>
          <w:szCs w:val="28"/>
          <w:u w:val="single"/>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p>
    <w:p w14:paraId="13AE1AB3">
      <w:pPr>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甲    方：</w:t>
      </w:r>
      <w:r>
        <w:rPr>
          <w:rFonts w:hint="eastAsia" w:ascii="宋体" w:hAnsi="宋体" w:eastAsia="宋体" w:cs="宋体"/>
          <w:sz w:val="28"/>
          <w:szCs w:val="28"/>
          <w:u w:val="single"/>
        </w:rPr>
        <w:t xml:space="preserve">                             </w:t>
      </w:r>
    </w:p>
    <w:p w14:paraId="264F46BF">
      <w:pPr>
        <w:spacing w:line="360" w:lineRule="auto"/>
        <w:ind w:left="420" w:leftChars="200"/>
        <w:rPr>
          <w:rFonts w:hint="eastAsia" w:ascii="宋体" w:hAnsi="宋体" w:eastAsia="宋体" w:cs="宋体"/>
          <w:sz w:val="28"/>
          <w:szCs w:val="28"/>
          <w:u w:val="single"/>
        </w:rPr>
      </w:pPr>
      <w:r>
        <w:rPr>
          <w:rFonts w:hint="eastAsia" w:ascii="宋体" w:hAnsi="宋体" w:eastAsia="宋体" w:cs="宋体"/>
          <w:sz w:val="28"/>
          <w:szCs w:val="28"/>
        </w:rPr>
        <w:t>乙    方：</w:t>
      </w:r>
      <w:r>
        <w:rPr>
          <w:rFonts w:hint="eastAsia" w:ascii="宋体" w:hAnsi="宋体" w:eastAsia="宋体" w:cs="宋体"/>
          <w:sz w:val="28"/>
          <w:szCs w:val="28"/>
          <w:u w:val="single"/>
        </w:rPr>
        <w:t xml:space="preserve">                             </w:t>
      </w:r>
    </w:p>
    <w:p w14:paraId="101AA422">
      <w:pPr>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签订时间：</w:t>
      </w:r>
      <w:r>
        <w:rPr>
          <w:rFonts w:hint="eastAsia" w:ascii="宋体" w:hAnsi="宋体" w:eastAsia="宋体" w:cs="宋体"/>
          <w:sz w:val="28"/>
          <w:szCs w:val="28"/>
          <w:u w:val="single"/>
        </w:rPr>
        <w:t xml:space="preserve">                             </w:t>
      </w:r>
    </w:p>
    <w:p w14:paraId="743003C5">
      <w:pPr>
        <w:rPr>
          <w:rFonts w:hint="eastAsia" w:ascii="宋体" w:hAnsi="宋体" w:eastAsia="宋体" w:cs="宋体"/>
        </w:rPr>
      </w:pPr>
    </w:p>
    <w:p w14:paraId="10827503">
      <w:pPr>
        <w:rPr>
          <w:rFonts w:hint="eastAsia" w:ascii="宋体" w:hAnsi="宋体" w:eastAsia="宋体" w:cs="宋体"/>
          <w:sz w:val="44"/>
          <w:szCs w:val="44"/>
        </w:rPr>
      </w:pPr>
      <w:r>
        <w:rPr>
          <w:rFonts w:hint="eastAsia" w:ascii="宋体" w:hAnsi="宋体" w:eastAsia="宋体" w:cs="宋体"/>
          <w:sz w:val="44"/>
          <w:szCs w:val="44"/>
        </w:rPr>
        <w:br w:type="page"/>
      </w:r>
    </w:p>
    <w:p w14:paraId="476C6503">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明</w:t>
      </w:r>
    </w:p>
    <w:p w14:paraId="3640CC35">
      <w:pPr>
        <w:ind w:firstLine="640" w:firstLineChars="200"/>
        <w:rPr>
          <w:rFonts w:hint="eastAsia" w:ascii="宋体" w:hAnsi="宋体" w:eastAsia="宋体" w:cs="宋体"/>
          <w:sz w:val="32"/>
          <w:szCs w:val="32"/>
          <w:lang w:val="en-US" w:eastAsia="zh-CN"/>
        </w:rPr>
      </w:pPr>
    </w:p>
    <w:p w14:paraId="18CEE941">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1.本合同标准文本适用于购买现成货物的采购项目，不包括需要供应商定制开发、创新研发的货物采购项目。</w:t>
      </w:r>
    </w:p>
    <w:p w14:paraId="39BACE85">
      <w:pPr>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2.本合同标准文本为政府采购货物买卖合同编制提供参考，可以结合采购项目具体情况，对文本作必要的调整修订后使用。</w:t>
      </w:r>
    </w:p>
    <w:p w14:paraId="6674B47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3.本合同标准文本各条款中，如涉及填写多家供应商、制造商，多种采购标的、分包主要内容等信息的，可根据采购项目具体情况添加信息项。</w:t>
      </w:r>
    </w:p>
    <w:p w14:paraId="71C907F2">
      <w:pPr>
        <w:ind w:firstLine="800" w:firstLineChars="200"/>
        <w:jc w:val="both"/>
        <w:rPr>
          <w:rFonts w:hint="eastAsia" w:ascii="宋体" w:hAnsi="宋体" w:eastAsia="宋体" w:cs="宋体"/>
          <w:sz w:val="40"/>
          <w:szCs w:val="4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83"/>
    <w:p w14:paraId="34635712">
      <w:pPr>
        <w:pStyle w:val="3"/>
        <w:numPr>
          <w:ilvl w:val="1"/>
          <w:numId w:val="0"/>
        </w:numPr>
        <w:adjustRightInd w:val="0"/>
        <w:snapToGrid w:val="0"/>
        <w:spacing w:beforeLines="0" w:line="400" w:lineRule="exact"/>
        <w:ind w:left="431" w:leftChars="0"/>
        <w:jc w:val="both"/>
        <w:rPr>
          <w:rFonts w:hint="eastAsia" w:ascii="宋体" w:hAnsi="宋体" w:eastAsia="宋体" w:cs="宋体"/>
          <w:sz w:val="28"/>
          <w:szCs w:val="28"/>
        </w:rPr>
      </w:pPr>
      <w:bookmarkStart w:id="84" w:name="_Toc22209"/>
    </w:p>
    <w:p w14:paraId="1803E987">
      <w:pPr>
        <w:pStyle w:val="3"/>
        <w:numPr>
          <w:ilvl w:val="1"/>
          <w:numId w:val="0"/>
        </w:numPr>
        <w:adjustRightInd w:val="0"/>
        <w:snapToGrid w:val="0"/>
        <w:spacing w:beforeLines="0" w:line="400" w:lineRule="exact"/>
        <w:ind w:left="431" w:leftChars="0"/>
        <w:jc w:val="center"/>
        <w:rPr>
          <w:rFonts w:hint="eastAsia" w:ascii="宋体" w:hAnsi="宋体" w:eastAsia="宋体" w:cs="宋体"/>
          <w:b/>
          <w:bCs/>
          <w:sz w:val="28"/>
          <w:szCs w:val="28"/>
        </w:rPr>
      </w:pPr>
      <w:r>
        <w:rPr>
          <w:rFonts w:hint="eastAsia" w:ascii="宋体" w:hAnsi="宋体" w:eastAsia="宋体" w:cs="宋体"/>
          <w:b/>
          <w:bCs/>
          <w:sz w:val="28"/>
          <w:szCs w:val="28"/>
        </w:rPr>
        <w:t>第一节 政府采购合同协议书</w:t>
      </w:r>
      <w:bookmarkEnd w:id="84"/>
    </w:p>
    <w:p w14:paraId="4FD0A406">
      <w:pPr>
        <w:pStyle w:val="3"/>
        <w:numPr>
          <w:ilvl w:val="1"/>
          <w:numId w:val="0"/>
        </w:numPr>
        <w:adjustRightInd w:val="0"/>
        <w:snapToGrid w:val="0"/>
        <w:spacing w:beforeLines="0" w:line="400" w:lineRule="exact"/>
        <w:ind w:left="431" w:leftChars="0"/>
        <w:jc w:val="both"/>
        <w:rPr>
          <w:rFonts w:hint="eastAsia" w:ascii="宋体" w:hAnsi="宋体" w:eastAsia="宋体" w:cs="宋体"/>
          <w:b w:val="0"/>
          <w:bCs w:val="0"/>
          <w:sz w:val="28"/>
          <w:szCs w:val="28"/>
        </w:rPr>
      </w:pPr>
    </w:p>
    <w:p w14:paraId="7117285A">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r>
        <w:rPr>
          <w:rFonts w:hint="eastAsia" w:ascii="宋体" w:hAnsi="宋体" w:eastAsia="宋体" w:cs="宋体"/>
          <w:szCs w:val="21"/>
        </w:rPr>
        <w:t>文件约定的合同甲方）</w:t>
      </w:r>
    </w:p>
    <w:p w14:paraId="7D9479A6">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14:paraId="33BB23C7">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4E87E1A6">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255C0A10">
      <w:pPr>
        <w:spacing w:beforeLines="0" w:line="400" w:lineRule="exact"/>
        <w:rPr>
          <w:rFonts w:hint="eastAsia" w:ascii="宋体" w:hAnsi="宋体" w:eastAsia="宋体" w:cs="宋体"/>
          <w:lang w:val="en-US" w:eastAsia="zh-CN"/>
        </w:rPr>
      </w:pPr>
    </w:p>
    <w:p w14:paraId="6461DE39">
      <w:pPr>
        <w:pStyle w:val="12"/>
        <w:adjustRightInd w:val="0"/>
        <w:snapToGrid w:val="0"/>
        <w:spacing w:before="0" w:beforeLines="0" w:after="0" w:line="400" w:lineRule="exact"/>
        <w:ind w:left="0" w:leftChars="0" w:firstLine="426" w:firstLineChars="200"/>
        <w:rPr>
          <w:rFonts w:hint="eastAsia" w:ascii="宋体" w:hAnsi="宋体" w:eastAsia="宋体" w:cs="宋体"/>
          <w:szCs w:val="21"/>
        </w:rPr>
      </w:pPr>
      <w:r>
        <w:rPr>
          <w:rFonts w:hint="eastAsia" w:ascii="宋体" w:hAnsi="宋体" w:eastAsia="宋体" w:cs="宋体"/>
          <w:szCs w:val="21"/>
        </w:rPr>
        <w:t>依据《中华人民共和国民法典》</w:t>
      </w:r>
      <w:r>
        <w:rPr>
          <w:rFonts w:hint="eastAsia" w:ascii="宋体" w:hAnsi="宋体" w:eastAsia="宋体" w:cs="宋体"/>
          <w:szCs w:val="21"/>
          <w:lang w:eastAsia="zh-CN"/>
        </w:rPr>
        <w:t>、</w:t>
      </w:r>
      <w:r>
        <w:rPr>
          <w:rFonts w:hint="eastAsia" w:ascii="宋体" w:hAnsi="宋体" w:eastAsia="宋体" w:cs="宋体"/>
          <w:szCs w:val="21"/>
        </w:rPr>
        <w:t>《中华人民共和国政府采购法》等有关的法律法规，以及</w:t>
      </w:r>
      <w:r>
        <w:rPr>
          <w:rFonts w:hint="eastAsia" w:ascii="宋体" w:hAnsi="宋体" w:eastAsia="宋体" w:cs="宋体"/>
          <w:i w:val="0"/>
          <w:iCs w:val="0"/>
          <w:szCs w:val="21"/>
          <w:u w:val="none"/>
          <w:lang w:eastAsia="zh-CN"/>
        </w:rPr>
        <w:t>本采购项目</w:t>
      </w:r>
      <w:r>
        <w:rPr>
          <w:rFonts w:hint="eastAsia" w:ascii="宋体" w:hAnsi="宋体" w:eastAsia="宋体" w:cs="宋体"/>
          <w:szCs w:val="21"/>
        </w:rPr>
        <w:t>的</w:t>
      </w:r>
      <w:r>
        <w:rPr>
          <w:rFonts w:hint="eastAsia" w:ascii="宋体" w:hAnsi="宋体" w:eastAsia="宋体" w:cs="宋体"/>
          <w:szCs w:val="21"/>
          <w:lang w:eastAsia="zh-CN"/>
        </w:rPr>
        <w:t>招标</w:t>
      </w:r>
      <w:r>
        <w:rPr>
          <w:rFonts w:hint="eastAsia" w:ascii="宋体" w:hAnsi="宋体" w:eastAsia="宋体" w:cs="宋体"/>
          <w:szCs w:val="21"/>
          <w:lang w:val="en-US" w:eastAsia="zh-CN"/>
        </w:rPr>
        <w:t>/谈判</w:t>
      </w:r>
      <w:r>
        <w:rPr>
          <w:rFonts w:hint="eastAsia" w:ascii="宋体" w:hAnsi="宋体" w:eastAsia="宋体" w:cs="宋体"/>
          <w:szCs w:val="21"/>
          <w:lang w:eastAsia="zh-CN"/>
        </w:rPr>
        <w:t>文件等</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 xml:space="preserve">乙方的《投标（响应）文件》及《中标（成交）通知书》，甲乙双方同意签订本合同。具体情况及要求如下：     </w:t>
      </w:r>
    </w:p>
    <w:p w14:paraId="1D80BF94">
      <w:pPr>
        <w:numPr>
          <w:ilvl w:val="0"/>
          <w:numId w:val="13"/>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项目信息</w:t>
      </w:r>
    </w:p>
    <w:p w14:paraId="27292B5F">
      <w:pPr>
        <w:pStyle w:val="12"/>
        <w:numPr>
          <w:ilvl w:val="0"/>
          <w:numId w:val="14"/>
        </w:numPr>
        <w:adjustRightInd w:val="0"/>
        <w:snapToGrid w:val="0"/>
        <w:spacing w:before="0" w:beforeLines="0" w:after="0" w:line="400" w:lineRule="exact"/>
        <w:ind w:left="0" w:leftChars="0" w:firstLine="426" w:firstLineChars="200"/>
        <w:rPr>
          <w:rFonts w:hint="eastAsia" w:ascii="宋体" w:hAnsi="宋体" w:eastAsia="宋体" w:cs="宋体"/>
          <w:szCs w:val="21"/>
          <w:u w:val="single"/>
        </w:rPr>
      </w:pPr>
      <w:r>
        <w:rPr>
          <w:rFonts w:hint="eastAsia" w:ascii="宋体" w:hAnsi="宋体" w:eastAsia="宋体" w:cs="宋体"/>
          <w:szCs w:val="21"/>
        </w:rPr>
        <w:t>采购项目名称：</w:t>
      </w:r>
      <w:r>
        <w:rPr>
          <w:rFonts w:hint="eastAsia" w:ascii="宋体" w:hAnsi="宋体" w:eastAsia="宋体" w:cs="宋体"/>
          <w:szCs w:val="21"/>
          <w:u w:val="single"/>
        </w:rPr>
        <w:t xml:space="preserve">                                          </w:t>
      </w:r>
    </w:p>
    <w:p w14:paraId="342FEB54">
      <w:pPr>
        <w:pStyle w:val="12"/>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 xml:space="preserve">         采购项目编号：</w:t>
      </w:r>
      <w:r>
        <w:rPr>
          <w:rFonts w:hint="eastAsia" w:ascii="宋体" w:hAnsi="宋体" w:eastAsia="宋体" w:cs="宋体"/>
          <w:szCs w:val="21"/>
          <w:u w:val="single"/>
        </w:rPr>
        <w:t xml:space="preserve">                                          </w:t>
      </w:r>
    </w:p>
    <w:p w14:paraId="1BE1CC55">
      <w:pPr>
        <w:pStyle w:val="12"/>
        <w:adjustRightInd w:val="0"/>
        <w:snapToGrid w:val="0"/>
        <w:spacing w:before="0" w:beforeLines="0" w:after="0" w:line="400" w:lineRule="exact"/>
        <w:ind w:left="0" w:leftChars="0" w:firstLine="426" w:firstLineChars="200"/>
        <w:rPr>
          <w:rFonts w:hint="eastAsia" w:ascii="宋体" w:hAnsi="宋体" w:eastAsia="宋体" w:cs="宋体"/>
          <w:szCs w:val="21"/>
        </w:rPr>
      </w:pPr>
      <w:r>
        <w:rPr>
          <w:rFonts w:hint="eastAsia" w:ascii="宋体" w:hAnsi="宋体" w:eastAsia="宋体" w:cs="宋体"/>
          <w:szCs w:val="21"/>
        </w:rPr>
        <w:t>（2）采购计划编号：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BA3CD9E">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（3）项目内容：</w:t>
      </w:r>
    </w:p>
    <w:p w14:paraId="77F75632">
      <w:pPr>
        <w:adjustRightInd w:val="0"/>
        <w:snapToGrid w:val="0"/>
        <w:spacing w:before="0" w:beforeLines="0" w:line="400" w:lineRule="exact"/>
        <w:ind w:firstLine="426"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0268D539">
      <w:pPr>
        <w:numPr>
          <w:ilvl w:val="-1"/>
          <w:numId w:val="0"/>
        </w:numPr>
        <w:adjustRightInd w:val="0"/>
        <w:snapToGrid w:val="0"/>
        <w:spacing w:before="0" w:beforeLines="0" w:line="400" w:lineRule="exact"/>
        <w:ind w:firstLine="426" w:firstLineChars="20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14:paraId="4C7E3B14">
      <w:pPr>
        <w:adjustRightInd w:val="0"/>
        <w:snapToGrid w:val="0"/>
        <w:spacing w:before="0" w:beforeLines="0" w:line="400" w:lineRule="exact"/>
        <w:ind w:firstLine="958"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03A981F7">
      <w:pPr>
        <w:numPr>
          <w:ilvl w:val="-1"/>
          <w:numId w:val="0"/>
        </w:numPr>
        <w:adjustRightInd w:val="0"/>
        <w:snapToGrid w:val="0"/>
        <w:spacing w:before="0" w:beforeLines="0" w:line="400" w:lineRule="exact"/>
        <w:ind w:firstLine="958" w:firstLineChars="45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14:paraId="5F131FDA">
      <w:pPr>
        <w:numPr>
          <w:ilvl w:val="-1"/>
          <w:numId w:val="0"/>
        </w:numPr>
        <w:adjustRightInd w:val="0"/>
        <w:snapToGrid w:val="0"/>
        <w:spacing w:before="0" w:beforeLines="0" w:line="400" w:lineRule="exact"/>
        <w:ind w:firstLine="426"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6C65CD12">
      <w:pPr>
        <w:numPr>
          <w:ilvl w:val="-1"/>
          <w:numId w:val="0"/>
        </w:numPr>
        <w:adjustRightInd w:val="0"/>
        <w:snapToGrid w:val="0"/>
        <w:spacing w:before="0" w:beforeLines="0" w:line="400" w:lineRule="exact"/>
        <w:ind w:firstLine="426"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7F4D62A7">
      <w:pPr>
        <w:pStyle w:val="8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C5AFEBB">
      <w:pPr>
        <w:pStyle w:val="8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EA40370">
      <w:pPr>
        <w:pStyle w:val="8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DDADE06">
      <w:pPr>
        <w:pStyle w:val="8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45248FAA">
      <w:pPr>
        <w:pStyle w:val="89"/>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6E915E41">
      <w:pPr>
        <w:pStyle w:val="89"/>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28FC168A">
      <w:pPr>
        <w:pStyle w:val="89"/>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5777D74D">
      <w:pPr>
        <w:pStyle w:val="8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1264453B">
      <w:pPr>
        <w:pStyle w:val="8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6D2519C8">
      <w:pPr>
        <w:pStyle w:val="8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D8818EA">
      <w:pPr>
        <w:pStyle w:val="89"/>
        <w:numPr>
          <w:ilvl w:val="-1"/>
          <w:numId w:val="0"/>
        </w:numPr>
        <w:adjustRightInd w:val="0"/>
        <w:snapToGrid w:val="0"/>
        <w:spacing w:before="0" w:beforeLines="0" w:line="400" w:lineRule="exact"/>
        <w:ind w:firstLine="223"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Cs w:val="21"/>
          <w:lang w:val="en-US" w:eastAsia="zh-CN"/>
        </w:rPr>
        <w:t xml:space="preserve"> （</w:t>
      </w:r>
      <w:r>
        <w:rPr>
          <w:rFonts w:hint="eastAsia" w:ascii="宋体" w:hAnsi="宋体" w:eastAsia="宋体" w:cs="宋体"/>
          <w:szCs w:val="21"/>
          <w:lang w:val="en" w:eastAsia="zh-CN"/>
        </w:rPr>
        <w:t>6</w:t>
      </w:r>
      <w:r>
        <w:rPr>
          <w:rFonts w:hint="eastAsia" w:ascii="宋体" w:hAnsi="宋体" w:eastAsia="宋体" w:cs="宋体"/>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78D249AF">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14:paraId="5EB81E95">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200F142">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30BCDE8">
      <w:pPr>
        <w:numPr>
          <w:ilvl w:val="0"/>
          <w:numId w:val="0"/>
        </w:numPr>
        <w:snapToGrid w:val="0"/>
        <w:spacing w:beforeLines="0" w:line="400" w:lineRule="exact"/>
        <w:ind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6ADDDEDB">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4B4233AF">
      <w:pPr>
        <w:adjustRightInd w:val="0"/>
        <w:snapToGrid w:val="0"/>
        <w:spacing w:before="0" w:beforeLines="0" w:line="400" w:lineRule="exact"/>
        <w:ind w:firstLine="852" w:firstLineChars="40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7020DC9">
      <w:pPr>
        <w:adjustRightInd w:val="0"/>
        <w:snapToGrid w:val="0"/>
        <w:spacing w:before="0" w:beforeLines="0" w:line="400" w:lineRule="exact"/>
        <w:ind w:firstLine="852" w:firstLineChars="40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3CDA2739">
      <w:pPr>
        <w:adjustRightInd w:val="0"/>
        <w:snapToGrid w:val="0"/>
        <w:spacing w:before="0" w:beforeLines="0" w:line="400" w:lineRule="exact"/>
        <w:ind w:firstLine="852"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101D31CF">
      <w:pPr>
        <w:adjustRightInd w:val="0"/>
        <w:snapToGrid w:val="0"/>
        <w:spacing w:before="0" w:beforeLines="0" w:line="400" w:lineRule="exact"/>
        <w:ind w:firstLine="852" w:firstLineChars="40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14:paraId="4A9A745D">
      <w:pPr>
        <w:adjustRightInd w:val="0"/>
        <w:snapToGrid w:val="0"/>
        <w:spacing w:beforeLines="0" w:line="400" w:lineRule="exact"/>
        <w:ind w:firstLine="852" w:firstLineChars="40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14:paraId="039D1429">
      <w:pPr>
        <w:adjustRightInd w:val="0"/>
        <w:snapToGrid w:val="0"/>
        <w:spacing w:beforeLines="0" w:line="400" w:lineRule="exact"/>
        <w:ind w:firstLine="852" w:firstLineChars="40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14:paraId="690A9B71">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7CACDCFD">
      <w:pPr>
        <w:pStyle w:val="8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6C2CA9B">
      <w:pPr>
        <w:numPr>
          <w:ilvl w:val="-1"/>
          <w:numId w:val="0"/>
        </w:numPr>
        <w:adjustRightInd w:val="0"/>
        <w:snapToGrid w:val="0"/>
        <w:spacing w:before="0" w:beforeLines="0" w:line="400" w:lineRule="exact"/>
        <w:ind w:firstLine="426"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9021A91">
      <w:pPr>
        <w:numPr>
          <w:ilvl w:val="-1"/>
          <w:numId w:val="0"/>
        </w:numPr>
        <w:adjustRightInd w:val="0"/>
        <w:snapToGrid w:val="0"/>
        <w:spacing w:before="0" w:beforeLines="0" w:line="400" w:lineRule="exact"/>
        <w:ind w:firstLine="852"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2F4F54D9">
      <w:pPr>
        <w:numPr>
          <w:ilvl w:val="-1"/>
          <w:numId w:val="0"/>
        </w:numPr>
        <w:adjustRightInd w:val="0"/>
        <w:snapToGrid w:val="0"/>
        <w:spacing w:before="0" w:beforeLines="0" w:line="400" w:lineRule="exact"/>
        <w:ind w:firstLine="852" w:firstLineChars="40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14:paraId="1AE3B07A">
      <w:pPr>
        <w:adjustRightInd w:val="0"/>
        <w:snapToGrid w:val="0"/>
        <w:spacing w:before="0" w:beforeLines="0" w:line="400" w:lineRule="exact"/>
        <w:ind w:firstLine="852" w:firstLineChars="40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14:paraId="3C1CDEA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01D7C4E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535413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6D2B01D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2D95BE4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2AC8E00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3D144CD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079B07A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74E06C67">
      <w:pPr>
        <w:pStyle w:val="89"/>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07A8DBFD">
      <w:pPr>
        <w:pStyle w:val="89"/>
        <w:spacing w:beforeLines="0"/>
        <w:ind w:firstLine="420" w:firstLineChars="0"/>
        <w:rPr>
          <w:rFonts w:hint="eastAsia" w:ascii="宋体" w:hAnsi="宋体" w:eastAsia="宋体" w:cs="宋体"/>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Cs w:val="21"/>
          <w:u w:val="single"/>
          <w:lang w:val="en-US" w:eastAsia="zh-CN"/>
        </w:rPr>
        <w:t xml:space="preserve">         </w:t>
      </w:r>
    </w:p>
    <w:p w14:paraId="168EC50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2A79FA5C">
      <w:pPr>
        <w:pStyle w:val="89"/>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25B048DB">
      <w:pPr>
        <w:numPr>
          <w:ilvl w:val="-1"/>
          <w:numId w:val="0"/>
        </w:num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14:paraId="0662131A">
      <w:pPr>
        <w:numPr>
          <w:ilvl w:val="-1"/>
          <w:numId w:val="0"/>
        </w:numPr>
        <w:adjustRightInd w:val="0"/>
        <w:snapToGrid w:val="0"/>
        <w:spacing w:before="0" w:beforeLines="0" w:line="400" w:lineRule="exact"/>
        <w:ind w:firstLine="852" w:firstLineChars="40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14:paraId="0D3B2E2B">
      <w:pPr>
        <w:numPr>
          <w:ilvl w:val="0"/>
          <w:numId w:val="13"/>
        </w:numPr>
        <w:adjustRightInd w:val="0"/>
        <w:snapToGrid w:val="0"/>
        <w:spacing w:before="0" w:beforeLines="0" w:line="400" w:lineRule="exact"/>
        <w:ind w:firstLine="426"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3DFB8F61">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99611C2">
      <w:pPr>
        <w:adjustRightInd w:val="0"/>
        <w:snapToGrid w:val="0"/>
        <w:spacing w:before="0" w:beforeLines="0" w:line="400" w:lineRule="exact"/>
        <w:ind w:lef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F0F55AC">
      <w:p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14:paraId="5110A2E9">
      <w:pPr>
        <w:adjustRightInd w:val="0"/>
        <w:snapToGrid w:val="0"/>
        <w:spacing w:before="0" w:beforeLines="0" w:line="400" w:lineRule="exact"/>
        <w:ind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AB4E3A8">
      <w:p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14:paraId="5BE675AB">
      <w:pPr>
        <w:numPr>
          <w:ilvl w:val="-1"/>
          <w:numId w:val="0"/>
        </w:num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14:paraId="1184AFCD">
      <w:pPr>
        <w:adjustRightInd w:val="0"/>
        <w:snapToGrid w:val="0"/>
        <w:spacing w:before="0" w:beforeLines="0" w:line="400" w:lineRule="exact"/>
        <w:ind w:firstLine="426" w:firstLineChars="20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14:paraId="52828B6B">
      <w:pPr>
        <w:pStyle w:val="90"/>
        <w:spacing w:beforeLines="0" w:line="40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）付款方式（按项目实际勾选填写）：</w:t>
      </w:r>
    </w:p>
    <w:p w14:paraId="10DCD3FA">
      <w:pPr>
        <w:adjustRightInd w:val="0"/>
        <w:snapToGrid w:val="0"/>
        <w:spacing w:before="0" w:beforeLines="0" w:line="400" w:lineRule="exact"/>
        <w:ind w:firstLine="639"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14:paraId="199E43CF">
      <w:pPr>
        <w:snapToGrid w:val="0"/>
        <w:spacing w:beforeLines="0" w:line="400" w:lineRule="exact"/>
        <w:ind w:firstLine="639" w:firstLineChars="30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14:paraId="4D075D76">
      <w:pPr>
        <w:adjustRightInd w:val="0"/>
        <w:snapToGrid w:val="0"/>
        <w:spacing w:before="0" w:beforeLines="0" w:line="400" w:lineRule="exact"/>
        <w:ind w:firstLine="639"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14:paraId="45688080">
      <w:pPr>
        <w:adjustRightInd w:val="0"/>
        <w:snapToGrid w:val="0"/>
        <w:spacing w:before="0" w:beforeLines="0" w:line="400" w:lineRule="exact"/>
        <w:ind w:firstLine="639"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14:paraId="5B36A4AC">
      <w:pPr>
        <w:numPr>
          <w:ilvl w:val="0"/>
          <w:numId w:val="13"/>
        </w:numPr>
        <w:adjustRightInd w:val="0"/>
        <w:snapToGrid w:val="0"/>
        <w:spacing w:before="0" w:beforeLines="0" w:line="400" w:lineRule="exact"/>
        <w:ind w:firstLine="426" w:firstLineChars="200"/>
        <w:rPr>
          <w:rFonts w:hint="eastAsia" w:ascii="宋体" w:hAnsi="宋体" w:eastAsia="宋体" w:cs="宋体"/>
          <w:b/>
          <w:bCs w:val="0"/>
          <w:szCs w:val="21"/>
          <w:u w:val="single"/>
        </w:rPr>
      </w:pPr>
      <w:r>
        <w:rPr>
          <w:rFonts w:hint="eastAsia" w:ascii="宋体" w:hAnsi="宋体" w:eastAsia="宋体" w:cs="宋体"/>
          <w:b/>
          <w:bCs w:val="0"/>
          <w:szCs w:val="21"/>
        </w:rPr>
        <w:t>合同履行</w:t>
      </w:r>
    </w:p>
    <w:p w14:paraId="2333EEA1">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F2FADFB">
      <w:pPr>
        <w:adjustRightInd w:val="0"/>
        <w:snapToGrid w:val="0"/>
        <w:spacing w:before="0" w:beforeLines="0" w:line="400" w:lineRule="exact"/>
        <w:ind w:firstLine="426"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27EFA1EC">
      <w:pPr>
        <w:adjustRightInd w:val="0"/>
        <w:snapToGrid w:val="0"/>
        <w:spacing w:before="0" w:beforeLines="0" w:line="400" w:lineRule="exact"/>
        <w:ind w:firstLine="426"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12DA278">
      <w:pPr>
        <w:pStyle w:val="89"/>
        <w:spacing w:beforeLine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32419C32">
      <w:pPr>
        <w:pStyle w:val="8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9D46662">
      <w:pPr>
        <w:snapToGrid w:val="0"/>
        <w:spacing w:beforeLines="0" w:line="400" w:lineRule="exact"/>
        <w:ind w:firstLine="426"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44254B6">
      <w:pPr>
        <w:adjustRightInd w:val="0"/>
        <w:snapToGrid w:val="0"/>
        <w:spacing w:before="0" w:beforeLines="0" w:line="400" w:lineRule="exact"/>
        <w:ind w:firstLine="426"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250639DD">
      <w:pPr>
        <w:adjustRightInd w:val="0"/>
        <w:snapToGrid w:val="0"/>
        <w:spacing w:before="0" w:beforeLines="0" w:line="400" w:lineRule="exact"/>
        <w:ind w:firstLine="426"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szCs w:val="21"/>
          <w:u w:val="single"/>
        </w:rPr>
        <w:t xml:space="preserve">                                                </w:t>
      </w:r>
    </w:p>
    <w:p w14:paraId="1953A7CF">
      <w:pPr>
        <w:numPr>
          <w:ilvl w:val="0"/>
          <w:numId w:val="13"/>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合同验收</w:t>
      </w:r>
    </w:p>
    <w:p w14:paraId="0C00660C">
      <w:pPr>
        <w:numPr>
          <w:ilvl w:val="0"/>
          <w:numId w:val="15"/>
        </w:numPr>
        <w:adjustRightInd w:val="0"/>
        <w:snapToGrid w:val="0"/>
        <w:spacing w:before="0" w:beforeLines="0" w:line="400" w:lineRule="exact"/>
        <w:ind w:firstLine="426" w:firstLineChars="20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14:paraId="7F63F5CF">
      <w:pPr>
        <w:numPr>
          <w:ilvl w:val="0"/>
          <w:numId w:val="0"/>
        </w:numPr>
        <w:adjustRightInd w:val="0"/>
        <w:snapToGrid w:val="0"/>
        <w:spacing w:before="0" w:beforeLines="0" w:line="400" w:lineRule="exact"/>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14:paraId="57C1E234">
      <w:pPr>
        <w:adjustRightInd w:val="0"/>
        <w:snapToGrid w:val="0"/>
        <w:spacing w:before="0" w:beforeLines="0" w:line="400" w:lineRule="exact"/>
        <w:ind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43CC42F6">
      <w:pPr>
        <w:adjustRightInd w:val="0"/>
        <w:snapToGrid w:val="0"/>
        <w:spacing w:before="0" w:beforeLines="0" w:line="400" w:lineRule="exact"/>
        <w:ind w:firstLine="852" w:firstLineChars="40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0E134A16">
      <w:pPr>
        <w:adjustRightInd w:val="0"/>
        <w:snapToGrid w:val="0"/>
        <w:spacing w:before="0" w:beforeLines="0" w:line="400" w:lineRule="exact"/>
        <w:ind w:firstLine="852" w:firstLineChars="40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23088D04">
      <w:pPr>
        <w:adjustRightInd w:val="0"/>
        <w:snapToGrid w:val="0"/>
        <w:spacing w:before="0" w:beforeLines="0" w:line="400" w:lineRule="exact"/>
        <w:ind w:firstLine="852" w:firstLineChars="40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4B9098A9">
      <w:pPr>
        <w:adjustRightInd w:val="0"/>
        <w:snapToGrid w:val="0"/>
        <w:spacing w:before="0" w:beforeLines="0" w:line="400" w:lineRule="exact"/>
        <w:ind w:firstLine="852" w:firstLineChars="40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231DCCA5">
      <w:pPr>
        <w:adjustRightInd w:val="0"/>
        <w:snapToGrid w:val="0"/>
        <w:spacing w:before="0" w:beforeLines="0" w:line="400" w:lineRule="exact"/>
        <w:ind w:firstLine="852" w:firstLineChars="40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14:paraId="20BAFA30">
      <w:pPr>
        <w:adjustRightInd w:val="0"/>
        <w:snapToGrid w:val="0"/>
        <w:spacing w:before="0" w:beforeLines="0" w:line="400" w:lineRule="exact"/>
        <w:ind w:firstLine="852" w:firstLineChars="40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7794730B">
      <w:pPr>
        <w:adjustRightInd w:val="0"/>
        <w:snapToGrid w:val="0"/>
        <w:spacing w:before="0" w:beforeLines="0" w:line="400" w:lineRule="exact"/>
        <w:ind w:firstLine="852" w:firstLineChars="40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14:paraId="49D67797">
      <w:pPr>
        <w:adjustRightInd w:val="0"/>
        <w:snapToGrid w:val="0"/>
        <w:spacing w:before="0" w:beforeLines="0" w:line="400" w:lineRule="exact"/>
        <w:ind w:firstLine="426" w:firstLineChars="20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14:paraId="7E97261E">
      <w:pPr>
        <w:adjustRightInd w:val="0"/>
        <w:snapToGrid w:val="0"/>
        <w:spacing w:before="0" w:beforeLines="0" w:line="400" w:lineRule="exact"/>
        <w:ind w:firstLine="426" w:firstLineChars="20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14:paraId="2BEEE5C1">
      <w:pPr>
        <w:adjustRightInd w:val="0"/>
        <w:snapToGrid w:val="0"/>
        <w:spacing w:before="0" w:beforeLines="0" w:line="400" w:lineRule="exact"/>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14:paraId="12A998D8">
      <w:pPr>
        <w:adjustRightInd w:val="0"/>
        <w:snapToGrid w:val="0"/>
        <w:spacing w:before="0" w:beforeLines="0" w:line="400" w:lineRule="exact"/>
        <w:ind w:firstLine="426" w:firstLineChars="20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14:paraId="0B6C2AFD">
      <w:pPr>
        <w:adjustRightInd w:val="0"/>
        <w:snapToGrid w:val="0"/>
        <w:spacing w:before="0" w:beforeLines="0" w:line="400" w:lineRule="exact"/>
        <w:ind w:firstLine="426" w:firstLineChars="20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14:paraId="7A68CEDA">
      <w:pPr>
        <w:adjustRightInd w:val="0"/>
        <w:snapToGrid w:val="0"/>
        <w:spacing w:before="0" w:beforeLines="0" w:line="400" w:lineRule="exact"/>
        <w:ind w:firstLine="426" w:firstLineChars="20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14:paraId="72CC8A43">
      <w:pPr>
        <w:pStyle w:val="8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899E2AC">
      <w:pPr>
        <w:adjustRightInd w:val="0"/>
        <w:snapToGrid w:val="0"/>
        <w:spacing w:before="0" w:beforeLines="0" w:line="400" w:lineRule="exact"/>
        <w:ind w:firstLine="426"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17FB9537">
      <w:pPr>
        <w:numPr>
          <w:ilvl w:val="0"/>
          <w:numId w:val="13"/>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组成合同的文件</w:t>
      </w:r>
    </w:p>
    <w:p w14:paraId="0A5061EB">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14:paraId="59C6BABA">
      <w:pPr>
        <w:adjustRightInd w:val="0"/>
        <w:snapToGrid w:val="0"/>
        <w:spacing w:before="0" w:beforeLines="0" w:line="400" w:lineRule="exact"/>
        <w:ind w:firstLine="426" w:firstLineChars="20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14:paraId="2F54BBA9">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14:paraId="7AFCC14E">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14:paraId="4114671B">
      <w:pPr>
        <w:adjustRightInd w:val="0"/>
        <w:snapToGrid w:val="0"/>
        <w:spacing w:before="0" w:beforeLines="0" w:line="400" w:lineRule="exact"/>
        <w:ind w:firstLine="426"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14:paraId="02AFDA74">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14:paraId="5C3577CE">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（6）采购文件</w:t>
      </w:r>
    </w:p>
    <w:p w14:paraId="24C975D3">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（7）有关技术文件，图纸</w:t>
      </w:r>
    </w:p>
    <w:p w14:paraId="7BB9E044">
      <w:pPr>
        <w:pStyle w:val="8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1C08DD3">
      <w:pPr>
        <w:numPr>
          <w:ilvl w:val="0"/>
          <w:numId w:val="13"/>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合同生效</w:t>
      </w:r>
    </w:p>
    <w:p w14:paraId="74B00A4A">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14:paraId="680FFC0E">
      <w:pPr>
        <w:numPr>
          <w:ilvl w:val="0"/>
          <w:numId w:val="13"/>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合同份数</w:t>
      </w:r>
    </w:p>
    <w:p w14:paraId="246F4AB9">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14:paraId="69C4308F">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22E5331">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14:paraId="36A7FF49">
      <w:pPr>
        <w:adjustRightInd w:val="0"/>
        <w:snapToGrid w:val="0"/>
        <w:spacing w:before="0" w:beforeLines="0" w:line="400" w:lineRule="exact"/>
        <w:ind w:firstLine="426"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r>
        <w:rPr>
          <w:rFonts w:hint="eastAsia" w:ascii="宋体" w:hAnsi="宋体" w:eastAsia="宋体" w:cs="宋体"/>
          <w:lang w:val="en"/>
        </w:rPr>
        <w:t xml:space="preserve">   </w:t>
      </w:r>
    </w:p>
    <w:p w14:paraId="77C3525E">
      <w:pPr>
        <w:rPr>
          <w:rFonts w:hint="eastAsia" w:ascii="宋体" w:hAnsi="宋体" w:eastAsia="宋体" w:cs="宋体"/>
        </w:rPr>
      </w:pPr>
      <w:r>
        <w:rPr>
          <w:rFonts w:hint="eastAsia" w:ascii="宋体" w:hAnsi="宋体" w:eastAsia="宋体" w:cs="宋体"/>
        </w:rPr>
        <w:br w:type="page"/>
      </w:r>
    </w:p>
    <w:p w14:paraId="06F80470">
      <w:pPr>
        <w:pStyle w:val="90"/>
        <w:rPr>
          <w:rFonts w:hint="eastAsia" w:ascii="宋体" w:hAnsi="宋体" w:eastAsia="宋体" w:cs="宋体"/>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5E1268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6D18E08">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2437" w:type="pct"/>
            <w:gridSpan w:val="2"/>
            <w:tcBorders>
              <w:left w:val="single" w:color="auto" w:sz="2" w:space="0"/>
              <w:bottom w:val="single" w:color="auto" w:sz="2" w:space="0"/>
            </w:tcBorders>
            <w:vAlign w:val="center"/>
          </w:tcPr>
          <w:p w14:paraId="36E29FEF">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乙方（供应商）</w:t>
            </w:r>
          </w:p>
        </w:tc>
      </w:tr>
      <w:tr w14:paraId="121B2D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ED48AEF">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52CC362">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4D228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259" w:type="pct"/>
            <w:tcBorders>
              <w:top w:val="single" w:color="auto" w:sz="2" w:space="0"/>
              <w:left w:val="single" w:color="auto" w:sz="2" w:space="0"/>
              <w:bottom w:val="single" w:color="auto" w:sz="2" w:space="0"/>
            </w:tcBorders>
            <w:vAlign w:val="center"/>
          </w:tcPr>
          <w:p w14:paraId="155A6002">
            <w:pPr>
              <w:adjustRightInd w:val="0"/>
              <w:snapToGrid w:val="0"/>
              <w:spacing w:line="300" w:lineRule="exact"/>
              <w:jc w:val="center"/>
              <w:rPr>
                <w:rFonts w:hint="eastAsia" w:ascii="宋体" w:hAnsi="宋体" w:eastAsia="宋体" w:cs="宋体"/>
                <w:spacing w:val="20"/>
                <w:szCs w:val="21"/>
              </w:rPr>
            </w:pPr>
          </w:p>
        </w:tc>
      </w:tr>
      <w:tr w14:paraId="760819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C510514">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6A916805">
            <w:pPr>
              <w:adjustRightInd w:val="0"/>
              <w:snapToGrid w:val="0"/>
              <w:spacing w:line="300" w:lineRule="exact"/>
              <w:ind w:firstLine="101" w:firstLineChars="48"/>
              <w:jc w:val="center"/>
              <w:rPr>
                <w:rFonts w:hint="eastAsia" w:ascii="宋体" w:hAnsi="宋体" w:eastAsia="宋体" w:cs="宋体"/>
                <w:szCs w:val="21"/>
              </w:rPr>
            </w:pPr>
            <w:r>
              <w:rPr>
                <w:rFonts w:hint="eastAsia" w:ascii="宋体" w:hAnsi="宋体" w:eastAsia="宋体" w:cs="宋体"/>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B7D9F8A">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right w:val="single" w:color="auto" w:sz="2" w:space="0"/>
            </w:tcBorders>
            <w:vAlign w:val="center"/>
          </w:tcPr>
          <w:p w14:paraId="3B48905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1C5172D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或其委托代理人（签章）</w:t>
            </w:r>
          </w:p>
        </w:tc>
        <w:tc>
          <w:tcPr>
            <w:tcW w:w="1259" w:type="pct"/>
            <w:tcBorders>
              <w:top w:val="single" w:color="auto" w:sz="2" w:space="0"/>
              <w:left w:val="single" w:color="auto" w:sz="2" w:space="0"/>
              <w:bottom w:val="single" w:color="auto" w:sz="2" w:space="0"/>
            </w:tcBorders>
            <w:vAlign w:val="center"/>
          </w:tcPr>
          <w:p w14:paraId="4DDF12BD">
            <w:pPr>
              <w:adjustRightInd w:val="0"/>
              <w:snapToGrid w:val="0"/>
              <w:spacing w:line="300" w:lineRule="exact"/>
              <w:jc w:val="center"/>
              <w:rPr>
                <w:rFonts w:hint="eastAsia" w:ascii="宋体" w:hAnsi="宋体" w:eastAsia="宋体" w:cs="宋体"/>
                <w:szCs w:val="21"/>
              </w:rPr>
            </w:pPr>
          </w:p>
        </w:tc>
      </w:tr>
      <w:tr w14:paraId="0354C5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D4F07C2">
            <w:pPr>
              <w:adjustRightInd w:val="0"/>
              <w:snapToGrid w:val="0"/>
              <w:spacing w:line="300" w:lineRule="exact"/>
              <w:jc w:val="center"/>
              <w:rPr>
                <w:rFonts w:hint="eastAsia" w:ascii="宋体" w:hAnsi="宋体" w:eastAsia="宋体" w:cs="宋体"/>
                <w:szCs w:val="21"/>
              </w:rPr>
            </w:pPr>
          </w:p>
        </w:tc>
        <w:tc>
          <w:tcPr>
            <w:tcW w:w="1436" w:type="pct"/>
            <w:vMerge w:val="continue"/>
            <w:tcBorders>
              <w:left w:val="single" w:color="auto" w:sz="2" w:space="0"/>
              <w:bottom w:val="single" w:color="auto" w:sz="2" w:space="0"/>
              <w:right w:val="single" w:color="auto" w:sz="2" w:space="0"/>
            </w:tcBorders>
            <w:vAlign w:val="center"/>
          </w:tcPr>
          <w:p w14:paraId="41C12A99">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D304D2">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C1D0DA8">
            <w:pPr>
              <w:adjustRightInd w:val="0"/>
              <w:snapToGrid w:val="0"/>
              <w:spacing w:line="300" w:lineRule="exact"/>
              <w:jc w:val="center"/>
              <w:rPr>
                <w:rFonts w:hint="eastAsia" w:ascii="宋体" w:hAnsi="宋体" w:eastAsia="宋体" w:cs="宋体"/>
                <w:spacing w:val="20"/>
                <w:szCs w:val="21"/>
              </w:rPr>
            </w:pPr>
          </w:p>
        </w:tc>
      </w:tr>
      <w:tr w14:paraId="6BE93F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EB6868">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E4D7046">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FCE3CF">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259" w:type="pct"/>
            <w:tcBorders>
              <w:top w:val="single" w:color="auto" w:sz="2" w:space="0"/>
              <w:left w:val="single" w:color="auto" w:sz="2" w:space="0"/>
              <w:bottom w:val="single" w:color="auto" w:sz="2" w:space="0"/>
            </w:tcBorders>
            <w:vAlign w:val="center"/>
          </w:tcPr>
          <w:p w14:paraId="204E8FCA">
            <w:pPr>
              <w:adjustRightInd w:val="0"/>
              <w:snapToGrid w:val="0"/>
              <w:spacing w:line="300" w:lineRule="exact"/>
              <w:jc w:val="center"/>
              <w:rPr>
                <w:rFonts w:hint="eastAsia" w:ascii="宋体" w:hAnsi="宋体" w:eastAsia="宋体" w:cs="宋体"/>
                <w:spacing w:val="20"/>
                <w:szCs w:val="21"/>
              </w:rPr>
            </w:pPr>
          </w:p>
        </w:tc>
      </w:tr>
      <w:tr w14:paraId="1453A2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EA69C7">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87B3B88">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7CBC27">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259" w:type="pct"/>
            <w:tcBorders>
              <w:top w:val="single" w:color="auto" w:sz="2" w:space="0"/>
              <w:left w:val="single" w:color="auto" w:sz="2" w:space="0"/>
              <w:bottom w:val="single" w:color="auto" w:sz="2" w:space="0"/>
            </w:tcBorders>
            <w:vAlign w:val="center"/>
          </w:tcPr>
          <w:p w14:paraId="53E72E15">
            <w:pPr>
              <w:adjustRightInd w:val="0"/>
              <w:snapToGrid w:val="0"/>
              <w:spacing w:line="300" w:lineRule="exact"/>
              <w:jc w:val="center"/>
              <w:rPr>
                <w:rFonts w:hint="eastAsia" w:ascii="宋体" w:hAnsi="宋体" w:eastAsia="宋体" w:cs="宋体"/>
                <w:spacing w:val="20"/>
                <w:szCs w:val="21"/>
              </w:rPr>
            </w:pPr>
          </w:p>
        </w:tc>
      </w:tr>
      <w:tr w14:paraId="454686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0AD8B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2D380AF">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5B8E1A">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259" w:type="pct"/>
            <w:tcBorders>
              <w:top w:val="single" w:color="auto" w:sz="2" w:space="0"/>
              <w:left w:val="single" w:color="auto" w:sz="2" w:space="0"/>
              <w:bottom w:val="single" w:color="auto" w:sz="2" w:space="0"/>
            </w:tcBorders>
            <w:vAlign w:val="center"/>
          </w:tcPr>
          <w:p w14:paraId="097F53B7">
            <w:pPr>
              <w:adjustRightInd w:val="0"/>
              <w:snapToGrid w:val="0"/>
              <w:spacing w:line="300" w:lineRule="exact"/>
              <w:jc w:val="center"/>
              <w:rPr>
                <w:rFonts w:hint="eastAsia" w:ascii="宋体" w:hAnsi="宋体" w:eastAsia="宋体" w:cs="宋体"/>
                <w:spacing w:val="20"/>
                <w:szCs w:val="21"/>
              </w:rPr>
            </w:pPr>
          </w:p>
        </w:tc>
      </w:tr>
      <w:tr w14:paraId="178022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1B5716">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BB7089">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129D9C7">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D39B24A">
            <w:pPr>
              <w:adjustRightInd w:val="0"/>
              <w:snapToGrid w:val="0"/>
              <w:spacing w:line="300" w:lineRule="exact"/>
              <w:jc w:val="center"/>
              <w:rPr>
                <w:rFonts w:hint="eastAsia" w:ascii="宋体" w:hAnsi="宋体" w:eastAsia="宋体" w:cs="宋体"/>
                <w:spacing w:val="20"/>
                <w:szCs w:val="21"/>
              </w:rPr>
            </w:pPr>
          </w:p>
        </w:tc>
      </w:tr>
      <w:tr w14:paraId="334226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6F2849">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B4A274B">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7C923A">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259" w:type="pct"/>
            <w:tcBorders>
              <w:top w:val="single" w:color="auto" w:sz="2" w:space="0"/>
              <w:left w:val="single" w:color="auto" w:sz="2" w:space="0"/>
              <w:bottom w:val="single" w:color="auto" w:sz="2" w:space="0"/>
            </w:tcBorders>
            <w:vAlign w:val="center"/>
          </w:tcPr>
          <w:p w14:paraId="46F102F1">
            <w:pPr>
              <w:adjustRightInd w:val="0"/>
              <w:snapToGrid w:val="0"/>
              <w:spacing w:line="300" w:lineRule="exact"/>
              <w:jc w:val="center"/>
              <w:rPr>
                <w:rFonts w:hint="eastAsia" w:ascii="宋体" w:hAnsi="宋体" w:eastAsia="宋体" w:cs="宋体"/>
                <w:spacing w:val="20"/>
                <w:szCs w:val="21"/>
              </w:rPr>
            </w:pPr>
          </w:p>
        </w:tc>
      </w:tr>
      <w:tr w14:paraId="083D0F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8B049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A2A2C76">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628E2DC">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259" w:type="pct"/>
            <w:tcBorders>
              <w:top w:val="single" w:color="auto" w:sz="2" w:space="0"/>
              <w:left w:val="single" w:color="auto" w:sz="2" w:space="0"/>
              <w:bottom w:val="single" w:color="auto" w:sz="2" w:space="0"/>
            </w:tcBorders>
            <w:vAlign w:val="center"/>
          </w:tcPr>
          <w:p w14:paraId="7A5A4B7F">
            <w:pPr>
              <w:adjustRightInd w:val="0"/>
              <w:snapToGrid w:val="0"/>
              <w:spacing w:line="300" w:lineRule="exact"/>
              <w:jc w:val="center"/>
              <w:rPr>
                <w:rFonts w:hint="eastAsia" w:ascii="宋体" w:hAnsi="宋体" w:eastAsia="宋体" w:cs="宋体"/>
                <w:spacing w:val="20"/>
                <w:szCs w:val="21"/>
              </w:rPr>
            </w:pPr>
          </w:p>
        </w:tc>
      </w:tr>
      <w:tr w14:paraId="7FE516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95676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103679E">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E6C2D6C">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259" w:type="pct"/>
            <w:tcBorders>
              <w:top w:val="single" w:color="auto" w:sz="2" w:space="0"/>
              <w:left w:val="single" w:color="auto" w:sz="2" w:space="0"/>
              <w:bottom w:val="single" w:color="auto" w:sz="2" w:space="0"/>
            </w:tcBorders>
            <w:vAlign w:val="center"/>
          </w:tcPr>
          <w:p w14:paraId="7D7ECE97">
            <w:pPr>
              <w:adjustRightInd w:val="0"/>
              <w:snapToGrid w:val="0"/>
              <w:spacing w:line="300" w:lineRule="exact"/>
              <w:jc w:val="center"/>
              <w:rPr>
                <w:rFonts w:hint="eastAsia" w:ascii="宋体" w:hAnsi="宋体" w:eastAsia="宋体" w:cs="宋体"/>
                <w:spacing w:val="20"/>
                <w:szCs w:val="21"/>
              </w:rPr>
            </w:pPr>
          </w:p>
        </w:tc>
      </w:tr>
      <w:tr w14:paraId="0D27F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D829D5">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45CD7BE">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2C37AA0">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开户名称</w:t>
            </w:r>
          </w:p>
        </w:tc>
        <w:tc>
          <w:tcPr>
            <w:tcW w:w="1259" w:type="pct"/>
            <w:tcBorders>
              <w:top w:val="single" w:color="auto" w:sz="2" w:space="0"/>
              <w:left w:val="single" w:color="auto" w:sz="2" w:space="0"/>
              <w:bottom w:val="single" w:color="auto" w:sz="2" w:space="0"/>
            </w:tcBorders>
            <w:vAlign w:val="center"/>
          </w:tcPr>
          <w:p w14:paraId="3893BACB">
            <w:pPr>
              <w:adjustRightInd w:val="0"/>
              <w:snapToGrid w:val="0"/>
              <w:spacing w:line="300" w:lineRule="exact"/>
              <w:jc w:val="center"/>
              <w:rPr>
                <w:rFonts w:hint="eastAsia" w:ascii="宋体" w:hAnsi="宋体" w:eastAsia="宋体" w:cs="宋体"/>
                <w:spacing w:val="20"/>
                <w:szCs w:val="21"/>
              </w:rPr>
            </w:pPr>
          </w:p>
        </w:tc>
      </w:tr>
      <w:tr w14:paraId="68FA3E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959A94">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3EC7CE1">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538C55">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开户银行</w:t>
            </w:r>
          </w:p>
        </w:tc>
        <w:tc>
          <w:tcPr>
            <w:tcW w:w="1259" w:type="pct"/>
            <w:tcBorders>
              <w:top w:val="single" w:color="auto" w:sz="2" w:space="0"/>
              <w:left w:val="single" w:color="auto" w:sz="2" w:space="0"/>
              <w:bottom w:val="single" w:color="auto" w:sz="2" w:space="0"/>
            </w:tcBorders>
            <w:vAlign w:val="center"/>
          </w:tcPr>
          <w:p w14:paraId="24858C27">
            <w:pPr>
              <w:adjustRightInd w:val="0"/>
              <w:snapToGrid w:val="0"/>
              <w:spacing w:line="300" w:lineRule="exact"/>
              <w:jc w:val="center"/>
              <w:rPr>
                <w:rFonts w:hint="eastAsia" w:ascii="宋体" w:hAnsi="宋体" w:eastAsia="宋体" w:cs="宋体"/>
                <w:spacing w:val="20"/>
                <w:szCs w:val="21"/>
              </w:rPr>
            </w:pPr>
          </w:p>
        </w:tc>
      </w:tr>
      <w:tr w14:paraId="18D47E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C76551">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8F62F81">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057ABA">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银行账号</w:t>
            </w:r>
          </w:p>
        </w:tc>
        <w:tc>
          <w:tcPr>
            <w:tcW w:w="1259" w:type="pct"/>
            <w:tcBorders>
              <w:top w:val="single" w:color="auto" w:sz="2" w:space="0"/>
              <w:left w:val="single" w:color="auto" w:sz="2" w:space="0"/>
              <w:bottom w:val="single" w:color="auto" w:sz="2" w:space="0"/>
            </w:tcBorders>
            <w:vAlign w:val="center"/>
          </w:tcPr>
          <w:p w14:paraId="0566BBF4">
            <w:pPr>
              <w:adjustRightInd w:val="0"/>
              <w:snapToGrid w:val="0"/>
              <w:spacing w:line="300" w:lineRule="exact"/>
              <w:jc w:val="center"/>
              <w:rPr>
                <w:rFonts w:hint="eastAsia" w:ascii="宋体" w:hAnsi="宋体" w:eastAsia="宋体" w:cs="宋体"/>
                <w:spacing w:val="20"/>
                <w:szCs w:val="21"/>
              </w:rPr>
            </w:pPr>
          </w:p>
        </w:tc>
      </w:tr>
      <w:tr w14:paraId="7AB860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6668F71">
            <w:pPr>
              <w:pStyle w:val="12"/>
              <w:adjustRightInd w:val="0"/>
              <w:snapToGrid w:val="0"/>
              <w:spacing w:before="156" w:beforeLines="50" w:after="0" w:line="360" w:lineRule="auto"/>
              <w:ind w:left="0" w:leftChars="0"/>
              <w:jc w:val="left"/>
              <w:rPr>
                <w:rFonts w:hint="eastAsia" w:ascii="宋体" w:hAnsi="宋体" w:eastAsia="宋体" w:cs="宋体"/>
                <w:spacing w:val="20"/>
                <w:szCs w:val="21"/>
              </w:rPr>
            </w:pPr>
            <w:r>
              <w:rPr>
                <w:rFonts w:hint="eastAsia" w:ascii="宋体" w:hAnsi="宋体" w:eastAsia="宋体" w:cs="宋体"/>
                <w:szCs w:val="21"/>
              </w:rPr>
              <w:t>注：涉及联合体或其他合同主体的信息应按上表格式加列。</w:t>
            </w:r>
          </w:p>
        </w:tc>
      </w:tr>
    </w:tbl>
    <w:p w14:paraId="55D93982">
      <w:pPr>
        <w:pStyle w:val="3"/>
        <w:numPr>
          <w:ilvl w:val="1"/>
          <w:numId w:val="0"/>
        </w:numPr>
        <w:adjustRightInd w:val="0"/>
        <w:snapToGrid w:val="0"/>
        <w:spacing w:before="156" w:beforeLines="50"/>
        <w:ind w:left="431" w:leftChars="0"/>
        <w:jc w:val="center"/>
        <w:rPr>
          <w:rFonts w:hint="eastAsia" w:ascii="宋体" w:hAnsi="宋体" w:eastAsia="宋体" w:cs="宋体"/>
          <w:sz w:val="28"/>
          <w:szCs w:val="28"/>
        </w:rPr>
      </w:pPr>
      <w:r>
        <w:rPr>
          <w:rFonts w:hint="eastAsia" w:ascii="宋体" w:hAnsi="宋体" w:eastAsia="宋体" w:cs="宋体"/>
          <w:sz w:val="21"/>
          <w:szCs w:val="21"/>
          <w:u w:val="single"/>
        </w:rPr>
        <w:br w:type="page"/>
      </w:r>
      <w:bookmarkStart w:id="85" w:name="_Toc27624"/>
      <w:r>
        <w:rPr>
          <w:rFonts w:hint="eastAsia" w:ascii="宋体" w:hAnsi="宋体" w:eastAsia="宋体" w:cs="宋体"/>
          <w:b w:val="0"/>
          <w:bCs w:val="0"/>
          <w:sz w:val="28"/>
          <w:szCs w:val="28"/>
        </w:rPr>
        <w:t>第二节 政府采购合同通用条款</w:t>
      </w:r>
      <w:bookmarkEnd w:id="85"/>
    </w:p>
    <w:p w14:paraId="3FA7FD54">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14:paraId="561EDE58">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14:paraId="3A72EE39">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14BB9BE0">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3EA3F877">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14:paraId="7EE664C7">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00018C1A">
      <w:pPr>
        <w:adjustRightInd w:val="0"/>
        <w:snapToGrid w:val="0"/>
        <w:spacing w:before="0" w:beforeLines="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14:paraId="082249E5">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141234F7">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7D347429">
      <w:pPr>
        <w:adjustRightInd w:val="0"/>
        <w:snapToGrid w:val="0"/>
        <w:spacing w:before="0" w:line="400" w:lineRule="exact"/>
        <w:ind w:firstLine="426"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14:paraId="2FFD6AF1">
      <w:pPr>
        <w:adjustRightInd w:val="0"/>
        <w:snapToGrid w:val="0"/>
        <w:spacing w:before="0" w:line="400" w:lineRule="exact"/>
        <w:ind w:firstLine="426"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14:paraId="03D5DE58">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30A0ED51">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204E2A40">
      <w:pPr>
        <w:numPr>
          <w:ilvl w:val="0"/>
          <w:numId w:val="16"/>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14:paraId="428C3536">
      <w:pPr>
        <w:autoSpaceDE w:val="0"/>
        <w:autoSpaceDN w:val="0"/>
        <w:adjustRightInd w:val="0"/>
        <w:snapToGrid w:val="0"/>
        <w:spacing w:before="0" w:line="400" w:lineRule="exact"/>
        <w:ind w:firstLine="426"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14:paraId="2FD8AAD9">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14:paraId="35E83926">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4493BEBA">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14:paraId="44E9D746">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24550CEB">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32F6D277">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6707D9EF">
      <w:pPr>
        <w:snapToGrid w:val="0"/>
        <w:spacing w:line="400" w:lineRule="exact"/>
        <w:ind w:firstLine="426" w:firstLineChars="200"/>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14:paraId="05632A75">
      <w:pPr>
        <w:autoSpaceDE w:val="0"/>
        <w:autoSpaceDN w:val="0"/>
        <w:adjustRightInd w:val="0"/>
        <w:snapToGrid w:val="0"/>
        <w:spacing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2B915E17">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14:paraId="3D2C2105">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14:paraId="72E2F3B5">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14:paraId="6012920A">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14:paraId="6E7BE93A">
      <w:pPr>
        <w:pStyle w:val="10"/>
        <w:spacing w:after="0" w:line="400" w:lineRule="exact"/>
        <w:ind w:firstLine="374"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14:paraId="62FCF138">
      <w:pPr>
        <w:pStyle w:val="10"/>
        <w:spacing w:after="0" w:line="400" w:lineRule="exact"/>
        <w:ind w:firstLine="374"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14:paraId="1E9D0965">
      <w:pPr>
        <w:numPr>
          <w:ilvl w:val="0"/>
          <w:numId w:val="17"/>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14:paraId="53993D5F">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14:paraId="25F43F57">
      <w:pPr>
        <w:autoSpaceDE w:val="0"/>
        <w:autoSpaceDN w:val="0"/>
        <w:adjustRightInd w:val="0"/>
        <w:snapToGrid w:val="0"/>
        <w:spacing w:before="0" w:line="400" w:lineRule="exact"/>
        <w:ind w:firstLine="426" w:firstLineChars="200"/>
        <w:jc w:val="left"/>
        <w:rPr>
          <w:rFonts w:hint="eastAsia" w:ascii="宋体" w:hAnsi="宋体" w:eastAsia="宋体" w:cs="宋体"/>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85EE274">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14:paraId="4CE57759">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14:paraId="0D4DBDD6">
      <w:pPr>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14:paraId="4565A1D8">
      <w:pPr>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14:paraId="6101FF3F">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14:paraId="65288440">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25A05540">
      <w:pPr>
        <w:pStyle w:val="89"/>
        <w:rPr>
          <w:rFonts w:hint="eastAsia" w:ascii="宋体" w:hAnsi="宋体" w:eastAsia="宋体" w:cs="宋体"/>
          <w:sz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25BD06F0">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14:paraId="62A8C3F6">
      <w:pPr>
        <w:pStyle w:val="14"/>
        <w:adjustRightInd w:val="0"/>
        <w:snapToGrid w:val="0"/>
        <w:spacing w:before="0" w:line="400" w:lineRule="exact"/>
        <w:ind w:firstLine="426"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471E0009">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2C67F387">
      <w:pPr>
        <w:pStyle w:val="14"/>
        <w:adjustRightInd w:val="0"/>
        <w:snapToGrid w:val="0"/>
        <w:spacing w:before="0" w:line="400" w:lineRule="exact"/>
        <w:ind w:firstLine="426"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5635C42A">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1B5D9D86">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21263EDA">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6DA3D299">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6BDC56AA">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45A628C2">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15EC5E84">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14:paraId="350F4AD2">
      <w:pPr>
        <w:adjustRightInd w:val="0"/>
        <w:snapToGrid w:val="0"/>
        <w:spacing w:before="0" w:line="400" w:lineRule="exact"/>
        <w:ind w:firstLine="426"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47BEA7C4">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14:paraId="32CFEB9E">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14:paraId="2182F6F7">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4FAFB80">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14:paraId="26D9BB9F">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14:paraId="6CCAD61F">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8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6"/>
      <w:r>
        <w:rPr>
          <w:rFonts w:hint="eastAsia" w:ascii="宋体" w:hAnsi="宋体" w:eastAsia="宋体" w:cs="宋体"/>
          <w:color w:val="auto"/>
          <w:szCs w:val="21"/>
          <w:highlight w:val="none"/>
        </w:rPr>
        <w:t>。</w:t>
      </w:r>
    </w:p>
    <w:p w14:paraId="71C6FC90">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F62AE7E">
      <w:pPr>
        <w:autoSpaceDE w:val="0"/>
        <w:autoSpaceDN w:val="0"/>
        <w:adjustRightInd w:val="0"/>
        <w:snapToGrid w:val="0"/>
        <w:spacing w:before="0" w:line="400" w:lineRule="exact"/>
        <w:ind w:firstLine="426"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420E195">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47D41633">
      <w:pPr>
        <w:autoSpaceDE/>
        <w:autoSpaceDN/>
        <w:adjustRightInd w:val="0"/>
        <w:snapToGrid w:val="0"/>
        <w:spacing w:before="0" w:line="400" w:lineRule="exact"/>
        <w:ind w:firstLine="426"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385D2C01">
      <w:pPr>
        <w:pStyle w:val="3"/>
        <w:spacing w:line="400" w:lineRule="exact"/>
        <w:ind w:firstLine="426"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5750F170">
      <w:pPr>
        <w:pStyle w:val="10"/>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84AF086">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B5993A5">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0CD4C3B4">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13DCDF10">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1EE05EDB">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62018FD7">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4B628462">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0343F224">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7865D7E8">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14:paraId="0ABA014D">
      <w:pPr>
        <w:pStyle w:val="8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0855CFE">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4AA06AE7">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349BCDA5">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0F488A7A">
      <w:pPr>
        <w:adjustRightInd w:val="0"/>
        <w:snapToGrid w:val="0"/>
        <w:spacing w:before="0" w:line="400" w:lineRule="exact"/>
        <w:ind w:firstLine="426"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620D13F2">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6A1EF552">
      <w:pPr>
        <w:autoSpaceDE w:val="0"/>
        <w:autoSpaceDN w:val="0"/>
        <w:adjustRightInd w:val="0"/>
        <w:snapToGrid w:val="0"/>
        <w:spacing w:before="0" w:line="400" w:lineRule="exact"/>
        <w:ind w:firstLine="426"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2F96CB38">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3A92A55D">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18574C4E">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22B64020">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5E04E45F">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07878B69">
      <w:pPr>
        <w:numPr>
          <w:ilvl w:val="0"/>
          <w:numId w:val="18"/>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43A71C66">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1932AE0E">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3D5A75D4">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575A89B1">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0480F86F">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0A0852EC">
      <w:pPr>
        <w:pStyle w:val="89"/>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49ECA10">
      <w:pPr>
        <w:snapToGrid w:val="0"/>
        <w:spacing w:line="400" w:lineRule="exact"/>
        <w:ind w:firstLine="426" w:firstLineChars="20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56650545">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5B7A7078">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0BE1165E">
      <w:pPr>
        <w:snapToGrid w:val="0"/>
        <w:spacing w:line="400" w:lineRule="exact"/>
        <w:ind w:firstLine="426" w:firstLineChars="20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14:paraId="15714785">
      <w:pPr>
        <w:pStyle w:val="8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675C4EC9">
      <w:pPr>
        <w:pStyle w:val="89"/>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2E5580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0229A9AD">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78CAC6E6">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1064F9F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270233C8">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4458F8EC">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790CA7BD">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30BE612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5C49472F">
      <w:pPr>
        <w:pStyle w:val="8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FCE01F6">
      <w:pPr>
        <w:pStyle w:val="8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715A206">
      <w:pPr>
        <w:pStyle w:val="8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E2FA42D">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2D57B01B">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A0C7E6C">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3828793A">
      <w:pPr>
        <w:pStyle w:val="10"/>
        <w:spacing w:after="0"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CE220C8">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221676E4">
      <w:pPr>
        <w:pStyle w:val="8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6FA44A5">
      <w:pPr>
        <w:pStyle w:val="8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AA41039">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2565DE3F">
      <w:pPr>
        <w:pStyle w:val="8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FDB5CEA">
      <w:pPr>
        <w:pStyle w:val="89"/>
        <w:ind w:firstLine="0" w:firstLineChars="0"/>
        <w:jc w:val="both"/>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ABCCAF1">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78947BB0">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06CF473B">
      <w:pPr>
        <w:numPr>
          <w:ilvl w:val="0"/>
          <w:numId w:val="19"/>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154BEA70">
      <w:pPr>
        <w:adjustRightInd w:val="0"/>
        <w:snapToGrid w:val="0"/>
        <w:spacing w:before="0" w:line="400" w:lineRule="exact"/>
        <w:ind w:firstLine="426"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367B7103">
      <w:pPr>
        <w:adjustRightInd w:val="0"/>
        <w:snapToGrid w:val="0"/>
        <w:spacing w:line="400" w:lineRule="exact"/>
        <w:ind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87" w:name="_Toc20313"/>
    </w:p>
    <w:p w14:paraId="476D5C90">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7C6356FC">
      <w:pPr>
        <w:pStyle w:val="3"/>
        <w:numPr>
          <w:ilvl w:val="1"/>
          <w:numId w:val="0"/>
        </w:numPr>
        <w:adjustRightInd w:val="0"/>
        <w:snapToGrid w:val="0"/>
        <w:ind w:left="431" w:left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第三节 政府采购合同专用条款</w:t>
      </w:r>
      <w:bookmarkEnd w:id="87"/>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CA2E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785EEDC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4BC037C">
            <w:pPr>
              <w:adjustRightInd w:val="0"/>
              <w:snapToGrid w:val="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2FA7D62E">
            <w:pPr>
              <w:adjustRightInd w:val="0"/>
              <w:snapToGrid w:val="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14:paraId="36D69623">
            <w:pPr>
              <w:adjustRightInd w:val="0"/>
              <w:snapToGrid w:val="0"/>
              <w:jc w:val="left"/>
              <w:rPr>
                <w:rFonts w:hint="eastAsia" w:ascii="宋体" w:hAnsi="宋体" w:eastAsia="宋体" w:cs="宋体"/>
                <w:szCs w:val="21"/>
              </w:rPr>
            </w:pPr>
          </w:p>
        </w:tc>
      </w:tr>
      <w:tr w14:paraId="31732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E945EF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E76EE22">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14:paraId="2B6A8594">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14:paraId="237AC746">
            <w:pPr>
              <w:adjustRightInd w:val="0"/>
              <w:snapToGrid w:val="0"/>
              <w:jc w:val="left"/>
              <w:rPr>
                <w:rFonts w:hint="eastAsia" w:ascii="宋体" w:hAnsi="宋体" w:eastAsia="宋体" w:cs="宋体"/>
                <w:kern w:val="2"/>
                <w:sz w:val="21"/>
                <w:szCs w:val="21"/>
                <w:lang w:val="en-US" w:eastAsia="zh-CN" w:bidi="ar-SA"/>
              </w:rPr>
            </w:pPr>
          </w:p>
        </w:tc>
      </w:tr>
      <w:tr w14:paraId="552AFA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402195">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4AD12EF">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14:paraId="0032BBE4">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14:paraId="4F133B97">
            <w:pPr>
              <w:adjustRightInd w:val="0"/>
              <w:snapToGrid w:val="0"/>
              <w:jc w:val="left"/>
              <w:rPr>
                <w:rFonts w:hint="eastAsia" w:ascii="宋体" w:hAnsi="宋体" w:eastAsia="宋体" w:cs="宋体"/>
                <w:kern w:val="2"/>
                <w:sz w:val="21"/>
                <w:szCs w:val="21"/>
                <w:lang w:val="en-US" w:eastAsia="zh-CN" w:bidi="ar-SA"/>
              </w:rPr>
            </w:pPr>
          </w:p>
        </w:tc>
      </w:tr>
      <w:tr w14:paraId="006340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75439A">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7A3FF1A">
            <w:pPr>
              <w:adjustRightInd w:val="0"/>
              <w:snapToGrid w:val="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14:paraId="2ABBED49">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14:paraId="4B932CCB">
            <w:pPr>
              <w:adjustRightInd w:val="0"/>
              <w:snapToGrid w:val="0"/>
              <w:jc w:val="left"/>
              <w:rPr>
                <w:rFonts w:hint="eastAsia" w:ascii="宋体" w:hAnsi="宋体" w:eastAsia="宋体" w:cs="宋体"/>
                <w:kern w:val="2"/>
                <w:sz w:val="21"/>
                <w:szCs w:val="21"/>
                <w:lang w:val="en-US" w:eastAsia="zh-CN" w:bidi="ar-SA"/>
              </w:rPr>
            </w:pPr>
          </w:p>
        </w:tc>
      </w:tr>
      <w:tr w14:paraId="358CA7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0C9599">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12C3B6D7">
            <w:pPr>
              <w:snapToGrid w:val="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14:paraId="220A21AA">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14:paraId="6727546C">
            <w:pPr>
              <w:adjustRightInd w:val="0"/>
              <w:snapToGrid w:val="0"/>
              <w:jc w:val="left"/>
              <w:rPr>
                <w:rFonts w:hint="eastAsia" w:ascii="宋体" w:hAnsi="宋体" w:eastAsia="宋体" w:cs="宋体"/>
                <w:kern w:val="2"/>
                <w:sz w:val="21"/>
                <w:szCs w:val="21"/>
                <w:lang w:val="en-US" w:eastAsia="zh-CN" w:bidi="ar-SA"/>
              </w:rPr>
            </w:pPr>
          </w:p>
        </w:tc>
      </w:tr>
      <w:tr w14:paraId="616B5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66E3EB">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24087C70">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14:paraId="5DFA6E69">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14:paraId="6BC33257">
            <w:pPr>
              <w:adjustRightInd w:val="0"/>
              <w:snapToGrid w:val="0"/>
              <w:jc w:val="left"/>
              <w:rPr>
                <w:rFonts w:hint="eastAsia" w:ascii="宋体" w:hAnsi="宋体" w:eastAsia="宋体" w:cs="宋体"/>
                <w:kern w:val="2"/>
                <w:sz w:val="21"/>
                <w:szCs w:val="21"/>
                <w:lang w:val="en-US" w:eastAsia="zh-CN" w:bidi="ar-SA"/>
              </w:rPr>
            </w:pPr>
          </w:p>
        </w:tc>
      </w:tr>
      <w:tr w14:paraId="1037C8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8B5978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FE8E3D9">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14:paraId="1D0C5C3D">
            <w:pPr>
              <w:adjustRightInd w:val="0"/>
              <w:snapToGrid w:val="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14:paraId="47A50D05">
            <w:pPr>
              <w:rPr>
                <w:rFonts w:hint="eastAsia" w:ascii="宋体" w:hAnsi="宋体" w:eastAsia="宋体" w:cs="宋体"/>
              </w:rPr>
            </w:pPr>
          </w:p>
        </w:tc>
      </w:tr>
      <w:tr w14:paraId="11E59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535F896">
            <w:pPr>
              <w:adjustRightInd w:val="0"/>
              <w:snapToGrid w:val="0"/>
              <w:jc w:val="center"/>
              <w:rPr>
                <w:rFonts w:hint="eastAsia" w:ascii="宋体" w:hAnsi="宋体" w:eastAsia="宋体" w:cs="宋体"/>
                <w:szCs w:val="21"/>
              </w:rPr>
            </w:pPr>
          </w:p>
        </w:tc>
        <w:tc>
          <w:tcPr>
            <w:tcW w:w="1742" w:type="dxa"/>
            <w:vAlign w:val="center"/>
          </w:tcPr>
          <w:p w14:paraId="4869D331">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14:paraId="651AD061">
            <w:pPr>
              <w:rPr>
                <w:rFonts w:hint="eastAsia" w:ascii="宋体" w:hAnsi="宋体" w:eastAsia="宋体" w:cs="宋体"/>
              </w:rPr>
            </w:pPr>
          </w:p>
        </w:tc>
      </w:tr>
      <w:tr w14:paraId="219F6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845051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8895624">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14:paraId="149B2073">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14:paraId="08E7E3DB">
            <w:pPr>
              <w:rPr>
                <w:rFonts w:hint="eastAsia" w:ascii="宋体" w:hAnsi="宋体" w:eastAsia="宋体" w:cs="宋体"/>
              </w:rPr>
            </w:pPr>
          </w:p>
        </w:tc>
      </w:tr>
      <w:tr w14:paraId="12FA8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C07DB8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D515C1D">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14:paraId="7CED5C9B">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14:paraId="5C40A690">
            <w:pPr>
              <w:rPr>
                <w:rFonts w:hint="eastAsia" w:ascii="宋体" w:hAnsi="宋体" w:eastAsia="宋体" w:cs="宋体"/>
              </w:rPr>
            </w:pPr>
          </w:p>
        </w:tc>
      </w:tr>
      <w:tr w14:paraId="48B2B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01E45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A54C93F">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14:paraId="353B8C88">
            <w:pPr>
              <w:adjustRightInd w:val="0"/>
              <w:snapToGrid w:val="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14:paraId="527BF032">
            <w:pPr>
              <w:autoSpaceDE w:val="0"/>
              <w:autoSpaceDN w:val="0"/>
              <w:adjustRightInd w:val="0"/>
              <w:snapToGrid w:val="0"/>
              <w:ind w:firstLine="426" w:firstLineChars="200"/>
              <w:jc w:val="left"/>
              <w:rPr>
                <w:rFonts w:hint="eastAsia" w:ascii="宋体" w:hAnsi="宋体" w:eastAsia="宋体" w:cs="宋体"/>
                <w:szCs w:val="21"/>
              </w:rPr>
            </w:pPr>
          </w:p>
        </w:tc>
      </w:tr>
      <w:tr w14:paraId="4A750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58C18A">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EB32619">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14:paraId="6CBD6B6A">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14:paraId="2EC33236">
            <w:pPr>
              <w:adjustRightInd w:val="0"/>
              <w:snapToGrid w:val="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14:paraId="6C12324E">
            <w:pPr>
              <w:adjustRightInd w:val="0"/>
              <w:snapToGrid w:val="0"/>
              <w:jc w:val="left"/>
              <w:rPr>
                <w:rFonts w:hint="eastAsia" w:ascii="宋体" w:hAnsi="宋体" w:eastAsia="宋体" w:cs="宋体"/>
                <w:szCs w:val="21"/>
              </w:rPr>
            </w:pPr>
          </w:p>
        </w:tc>
      </w:tr>
      <w:tr w14:paraId="094D6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D0759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7812EE32">
            <w:pPr>
              <w:pStyle w:val="89"/>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1742" w:type="dxa"/>
            <w:vAlign w:val="center"/>
          </w:tcPr>
          <w:p w14:paraId="3AAB3E9B">
            <w:pPr>
              <w:adjustRightInd w:val="0"/>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14:paraId="7D7EDCED">
            <w:pPr>
              <w:adjustRightInd w:val="0"/>
              <w:snapToGrid w:val="0"/>
              <w:jc w:val="left"/>
              <w:rPr>
                <w:rFonts w:hint="eastAsia" w:ascii="宋体" w:hAnsi="宋体" w:eastAsia="宋体" w:cs="宋体"/>
                <w:szCs w:val="21"/>
              </w:rPr>
            </w:pPr>
          </w:p>
        </w:tc>
      </w:tr>
      <w:tr w14:paraId="72503B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EB1F5D6">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1BD7C41">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14:paraId="6E5A2B4D">
            <w:pPr>
              <w:adjustRightInd w:val="0"/>
              <w:snapToGrid w:val="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14:paraId="72885E2C">
            <w:pPr>
              <w:adjustRightInd w:val="0"/>
              <w:snapToGrid w:val="0"/>
              <w:jc w:val="left"/>
              <w:rPr>
                <w:rFonts w:hint="eastAsia" w:ascii="宋体" w:hAnsi="宋体" w:eastAsia="宋体" w:cs="宋体"/>
                <w:szCs w:val="21"/>
              </w:rPr>
            </w:pPr>
          </w:p>
        </w:tc>
      </w:tr>
      <w:tr w14:paraId="1A039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CDB84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C14D115">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14:paraId="53161FC8">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14:paraId="706B5418">
            <w:pPr>
              <w:adjustRightInd w:val="0"/>
              <w:snapToGrid w:val="0"/>
              <w:jc w:val="left"/>
              <w:rPr>
                <w:rFonts w:hint="eastAsia" w:ascii="宋体" w:hAnsi="宋体" w:eastAsia="宋体" w:cs="宋体"/>
                <w:szCs w:val="21"/>
              </w:rPr>
            </w:pPr>
          </w:p>
        </w:tc>
      </w:tr>
      <w:tr w14:paraId="2F5F7C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AC5A2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E6931E4">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14:paraId="34A5F918">
            <w:pPr>
              <w:adjustRightInd w:val="0"/>
              <w:snapToGrid w:val="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14:paraId="4DEB05B9">
            <w:pPr>
              <w:adjustRightInd w:val="0"/>
              <w:snapToGrid w:val="0"/>
              <w:jc w:val="left"/>
              <w:rPr>
                <w:rFonts w:hint="eastAsia" w:ascii="宋体" w:hAnsi="宋体" w:eastAsia="宋体" w:cs="宋体"/>
                <w:szCs w:val="21"/>
              </w:rPr>
            </w:pPr>
          </w:p>
        </w:tc>
      </w:tr>
      <w:tr w14:paraId="7644A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99ED8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E14C38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14:paraId="30850878">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14:paraId="4793C45A">
            <w:pPr>
              <w:adjustRightInd w:val="0"/>
              <w:snapToGrid w:val="0"/>
              <w:jc w:val="left"/>
              <w:rPr>
                <w:rFonts w:hint="eastAsia" w:ascii="宋体" w:hAnsi="宋体" w:eastAsia="宋体" w:cs="宋体"/>
                <w:szCs w:val="21"/>
              </w:rPr>
            </w:pPr>
          </w:p>
        </w:tc>
      </w:tr>
      <w:tr w14:paraId="58778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3B9D07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CEC2C0D">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14:paraId="29A049D2">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14:paraId="39B4CD46">
            <w:pPr>
              <w:adjustRightInd w:val="0"/>
              <w:snapToGrid w:val="0"/>
              <w:jc w:val="left"/>
              <w:rPr>
                <w:rFonts w:hint="eastAsia" w:ascii="宋体" w:hAnsi="宋体" w:eastAsia="宋体" w:cs="宋体"/>
                <w:szCs w:val="21"/>
              </w:rPr>
            </w:pPr>
          </w:p>
        </w:tc>
      </w:tr>
      <w:tr w14:paraId="06D38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7B68D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5E5A833">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7EF3EB4C">
            <w:pPr>
              <w:adjustRightInd w:val="0"/>
              <w:snapToGrid w:val="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14:paraId="41C73DB7">
            <w:pPr>
              <w:adjustRightInd w:val="0"/>
              <w:snapToGrid w:val="0"/>
              <w:jc w:val="left"/>
              <w:rPr>
                <w:rFonts w:hint="eastAsia" w:ascii="宋体" w:hAnsi="宋体" w:eastAsia="宋体" w:cs="宋体"/>
                <w:szCs w:val="21"/>
              </w:rPr>
            </w:pPr>
          </w:p>
        </w:tc>
      </w:tr>
      <w:tr w14:paraId="44943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9F9CB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4F4829A">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14:paraId="69984CA8">
            <w:pPr>
              <w:adjustRightInd w:val="0"/>
              <w:snapToGrid w:val="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5794695F">
            <w:pPr>
              <w:adjustRightInd w:val="0"/>
              <w:snapToGrid w:val="0"/>
              <w:jc w:val="left"/>
              <w:rPr>
                <w:rFonts w:hint="eastAsia" w:ascii="宋体" w:hAnsi="宋体" w:eastAsia="宋体" w:cs="宋体"/>
                <w:szCs w:val="21"/>
              </w:rPr>
            </w:pPr>
          </w:p>
        </w:tc>
      </w:tr>
      <w:tr w14:paraId="37A36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735A3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364EDCE">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14:paraId="6EF2849D">
            <w:pPr>
              <w:adjustRightInd w:val="0"/>
              <w:snapToGrid w:val="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14:paraId="7C0E4E36">
            <w:pPr>
              <w:adjustRightInd w:val="0"/>
              <w:snapToGrid w:val="0"/>
              <w:jc w:val="left"/>
              <w:rPr>
                <w:rFonts w:hint="eastAsia" w:ascii="宋体" w:hAnsi="宋体" w:eastAsia="宋体" w:cs="宋体"/>
                <w:szCs w:val="21"/>
                <w:u w:val="single"/>
              </w:rPr>
            </w:pPr>
          </w:p>
        </w:tc>
      </w:tr>
      <w:tr w14:paraId="2C989F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3382A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F8EDF3E">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14:paraId="00D9158D">
            <w:pPr>
              <w:adjustRightInd w:val="0"/>
              <w:snapToGrid w:val="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14:paraId="23C014C2">
            <w:pPr>
              <w:adjustRightInd w:val="0"/>
              <w:snapToGrid w:val="0"/>
              <w:jc w:val="left"/>
              <w:rPr>
                <w:rFonts w:hint="eastAsia" w:ascii="宋体" w:hAnsi="宋体" w:eastAsia="宋体" w:cs="宋体"/>
                <w:szCs w:val="21"/>
                <w:u w:val="single"/>
              </w:rPr>
            </w:pPr>
          </w:p>
        </w:tc>
      </w:tr>
      <w:tr w14:paraId="67C8FF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074ED5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880DF1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79AEAFC">
            <w:pPr>
              <w:adjustRightInd w:val="0"/>
              <w:snapToGrid w:val="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14:paraId="5754AC51">
            <w:pPr>
              <w:adjustRightInd w:val="0"/>
              <w:snapToGrid w:val="0"/>
              <w:jc w:val="left"/>
              <w:rPr>
                <w:rFonts w:hint="eastAsia" w:ascii="宋体" w:hAnsi="宋体" w:eastAsia="宋体" w:cs="宋体"/>
                <w:szCs w:val="21"/>
                <w:u w:val="single"/>
              </w:rPr>
            </w:pPr>
          </w:p>
        </w:tc>
      </w:tr>
      <w:tr w14:paraId="43FAB6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89C773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94395FA">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6E0BE97">
            <w:pPr>
              <w:adjustRightInd w:val="0"/>
              <w:snapToGrid w:val="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14:paraId="2167441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C807B0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F02910B">
            <w:pPr>
              <w:adjustRightInd w:val="0"/>
              <w:snapToGrid w:val="0"/>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31AF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1DE2706">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0A2B678">
            <w:pPr>
              <w:adjustRightInd w:val="0"/>
              <w:snapToGrid w:val="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14:paraId="63B23ED0">
            <w:pPr>
              <w:adjustRightInd w:val="0"/>
              <w:snapToGrid w:val="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14:paraId="598AF986">
            <w:pPr>
              <w:adjustRightInd w:val="0"/>
              <w:snapToGrid w:val="0"/>
              <w:jc w:val="left"/>
              <w:rPr>
                <w:rFonts w:hint="eastAsia" w:ascii="宋体" w:hAnsi="宋体" w:eastAsia="宋体" w:cs="宋体"/>
                <w:szCs w:val="21"/>
                <w:lang w:val="en-US" w:eastAsia="zh-CN"/>
              </w:rPr>
            </w:pPr>
          </w:p>
        </w:tc>
      </w:tr>
    </w:tbl>
    <w:p w14:paraId="72A66203">
      <w:pPr>
        <w:rPr>
          <w:rFonts w:hint="eastAsia" w:ascii="宋体" w:hAnsi="宋体" w:eastAsia="宋体" w:cs="宋体"/>
        </w:rPr>
      </w:pPr>
    </w:p>
    <w:bookmarkEnd w:id="82"/>
    <w:p w14:paraId="6EAA75B6">
      <w:pPr>
        <w:pageBreakBefore/>
        <w:shd w:val="clear" w:color="auto" w:fill="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第六章  投标文件</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目录及格式</w:t>
      </w:r>
      <w:r>
        <w:rPr>
          <w:rFonts w:hint="eastAsia" w:ascii="宋体" w:hAnsi="宋体" w:eastAsia="宋体" w:cs="宋体"/>
          <w:b/>
          <w:color w:val="auto"/>
          <w:sz w:val="30"/>
          <w:szCs w:val="30"/>
          <w:highlight w:val="none"/>
          <w:lang w:eastAsia="zh-CN"/>
        </w:rPr>
        <w:t>）</w:t>
      </w:r>
    </w:p>
    <w:p w14:paraId="6911E16C">
      <w:pPr>
        <w:shd w:val="clear" w:color="auto" w:fill="auto"/>
        <w:spacing w:line="440" w:lineRule="exact"/>
        <w:ind w:firstLine="426" w:firstLineChars="200"/>
        <w:jc w:val="center"/>
        <w:rPr>
          <w:rFonts w:hint="eastAsia" w:ascii="宋体" w:hAnsi="宋体" w:eastAsia="宋体" w:cs="宋体"/>
          <w:b/>
          <w:color w:val="0000FF"/>
          <w:sz w:val="24"/>
          <w:szCs w:val="24"/>
          <w:highlight w:val="none"/>
          <w:lang w:eastAsia="zh-CN"/>
        </w:rPr>
      </w:pPr>
      <w:r>
        <w:rPr>
          <w:rFonts w:hint="eastAsia" w:ascii="宋体" w:hAnsi="宋体" w:eastAsia="宋体" w:cs="宋体"/>
          <w:b/>
          <w:bCs w:val="0"/>
          <w:color w:val="0000FF"/>
          <w:sz w:val="21"/>
          <w:szCs w:val="21"/>
          <w:highlight w:val="none"/>
        </w:rPr>
        <w:t>资格证明文件</w:t>
      </w:r>
      <w:r>
        <w:rPr>
          <w:rFonts w:hint="eastAsia" w:ascii="宋体" w:hAnsi="宋体" w:eastAsia="宋体" w:cs="宋体"/>
          <w:b/>
          <w:bCs w:val="0"/>
          <w:color w:val="0000FF"/>
          <w:sz w:val="21"/>
          <w:szCs w:val="21"/>
          <w:highlight w:val="none"/>
          <w:lang w:eastAsia="zh-CN"/>
        </w:rPr>
        <w:t>（</w:t>
      </w:r>
      <w:r>
        <w:rPr>
          <w:rFonts w:hint="eastAsia" w:ascii="宋体" w:hAnsi="宋体" w:eastAsia="宋体" w:cs="宋体"/>
          <w:b/>
          <w:bCs w:val="0"/>
          <w:color w:val="0000FF"/>
          <w:sz w:val="21"/>
          <w:szCs w:val="21"/>
          <w:highlight w:val="none"/>
          <w:lang w:val="en-US" w:eastAsia="zh-CN"/>
        </w:rPr>
        <w:t>目录</w:t>
      </w:r>
      <w:r>
        <w:rPr>
          <w:rFonts w:hint="eastAsia" w:ascii="宋体" w:hAnsi="宋体" w:eastAsia="宋体" w:cs="宋体"/>
          <w:b/>
          <w:bCs w:val="0"/>
          <w:color w:val="0000FF"/>
          <w:sz w:val="21"/>
          <w:szCs w:val="21"/>
          <w:highlight w:val="none"/>
          <w:lang w:eastAsia="zh-CN"/>
        </w:rPr>
        <w:t>）</w:t>
      </w:r>
    </w:p>
    <w:p w14:paraId="6D92CF27">
      <w:pPr>
        <w:shd w:val="clear" w:color="auto" w:fill="auto"/>
        <w:spacing w:line="440" w:lineRule="exact"/>
        <w:ind w:firstLine="312" w:firstLineChars="147"/>
        <w:rPr>
          <w:rFonts w:hint="eastAsia" w:ascii="宋体" w:hAnsi="宋体" w:eastAsia="宋体" w:cs="宋体"/>
          <w:color w:val="auto"/>
          <w:szCs w:val="21"/>
          <w:highlight w:val="none"/>
        </w:rPr>
      </w:pPr>
      <w:r>
        <w:rPr>
          <w:rFonts w:hint="eastAsia" w:ascii="宋体" w:hAnsi="宋体" w:eastAsia="宋体" w:cs="宋体"/>
          <w:b/>
          <w:bCs/>
          <w:color w:val="0000FF"/>
          <w:sz w:val="21"/>
          <w:szCs w:val="21"/>
          <w:highlight w:val="none"/>
        </w:rPr>
        <w:t>资格证明</w:t>
      </w:r>
      <w:r>
        <w:rPr>
          <w:rFonts w:hint="eastAsia" w:ascii="宋体" w:hAnsi="宋体" w:eastAsia="宋体" w:cs="宋体"/>
          <w:b/>
          <w:bCs/>
          <w:color w:val="0000FF"/>
          <w:sz w:val="21"/>
          <w:szCs w:val="21"/>
          <w:highlight w:val="none"/>
          <w:lang w:eastAsia="zh-CN"/>
        </w:rPr>
        <w:t>文件</w:t>
      </w:r>
      <w:r>
        <w:rPr>
          <w:rFonts w:hint="eastAsia" w:ascii="宋体" w:hAnsi="宋体" w:eastAsia="宋体" w:cs="宋体"/>
          <w:b/>
          <w:bCs/>
          <w:color w:val="0000FF"/>
          <w:sz w:val="21"/>
          <w:szCs w:val="21"/>
          <w:highlight w:val="none"/>
        </w:rPr>
        <w:t>是证明投标人有资格参加投标和</w:t>
      </w:r>
      <w:r>
        <w:rPr>
          <w:rFonts w:hint="eastAsia" w:ascii="宋体" w:hAnsi="宋体" w:eastAsia="宋体" w:cs="宋体"/>
          <w:b/>
          <w:bCs/>
          <w:color w:val="0000FF"/>
          <w:sz w:val="21"/>
          <w:szCs w:val="21"/>
          <w:highlight w:val="none"/>
          <w:lang w:eastAsia="zh-CN"/>
        </w:rPr>
        <w:t>成交</w:t>
      </w:r>
      <w:r>
        <w:rPr>
          <w:rFonts w:hint="eastAsia" w:ascii="宋体" w:hAnsi="宋体" w:eastAsia="宋体" w:cs="宋体"/>
          <w:b/>
          <w:bCs/>
          <w:color w:val="0000FF"/>
          <w:sz w:val="21"/>
          <w:szCs w:val="21"/>
          <w:highlight w:val="none"/>
        </w:rPr>
        <w:t>后有能力履行合同的文件，这些文件应能满足招标的要求，否则作无效投标处理。</w:t>
      </w:r>
    </w:p>
    <w:p w14:paraId="2E191178">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1、法人或者非法人组织的营业执照证明文件；</w:t>
      </w:r>
    </w:p>
    <w:p w14:paraId="7C57A502">
      <w:pPr>
        <w:shd w:val="clear" w:color="auto" w:fill="auto"/>
        <w:spacing w:line="440" w:lineRule="exact"/>
        <w:ind w:firstLine="312" w:firstLineChars="147"/>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2、</w:t>
      </w:r>
      <w:r>
        <w:rPr>
          <w:rFonts w:hint="eastAsia" w:ascii="宋体" w:hAnsi="宋体" w:cs="宋体"/>
          <w:b/>
          <w:bCs/>
          <w:color w:val="0000FF"/>
          <w:szCs w:val="21"/>
          <w:highlight w:val="none"/>
          <w:lang w:val="en-US" w:eastAsia="zh-CN"/>
        </w:rPr>
        <w:t>投标人提供</w:t>
      </w:r>
      <w:r>
        <w:rPr>
          <w:rFonts w:hint="eastAsia" w:ascii="宋体" w:hAnsi="宋体" w:eastAsia="宋体" w:cs="宋体"/>
          <w:b/>
          <w:bCs/>
          <w:color w:val="0000FF"/>
          <w:szCs w:val="21"/>
          <w:highlight w:val="none"/>
          <w:lang w:val="en-US" w:eastAsia="zh-CN"/>
        </w:rPr>
        <w:t>投标文件递交截止之日前</w:t>
      </w:r>
      <w:r>
        <w:rPr>
          <w:rFonts w:hint="eastAsia" w:ascii="宋体" w:hAnsi="宋体" w:cs="宋体"/>
          <w:b/>
          <w:bCs/>
          <w:color w:val="0000FF"/>
          <w:szCs w:val="21"/>
          <w:highlight w:val="none"/>
          <w:lang w:val="en-US" w:eastAsia="zh-CN"/>
        </w:rPr>
        <w:t>6</w:t>
      </w:r>
      <w:r>
        <w:rPr>
          <w:rFonts w:hint="eastAsia" w:ascii="宋体" w:hAnsi="宋体" w:eastAsia="宋体" w:cs="宋体"/>
          <w:b/>
          <w:bCs/>
          <w:color w:val="0000FF"/>
          <w:szCs w:val="21"/>
          <w:highlight w:val="none"/>
          <w:lang w:val="en-US" w:eastAsia="zh-CN"/>
        </w:rPr>
        <w:t>个月内任</w:t>
      </w:r>
      <w:r>
        <w:rPr>
          <w:rFonts w:hint="eastAsia" w:ascii="宋体" w:hAnsi="宋体" w:cs="宋体"/>
          <w:b/>
          <w:bCs/>
          <w:color w:val="0000FF"/>
          <w:szCs w:val="21"/>
          <w:highlight w:val="none"/>
          <w:lang w:val="en-US" w:eastAsia="zh-CN"/>
        </w:rPr>
        <w:t>1</w:t>
      </w:r>
      <w:r>
        <w:rPr>
          <w:rFonts w:hint="eastAsia" w:ascii="宋体" w:hAnsi="宋体" w:eastAsia="宋体" w:cs="宋体"/>
          <w:b/>
          <w:bCs/>
          <w:color w:val="0000FF"/>
          <w:szCs w:val="21"/>
          <w:highlight w:val="none"/>
          <w:lang w:val="en-US" w:eastAsia="zh-CN"/>
        </w:rPr>
        <w:t>个月的缴纳税收的完税凭证，依法免税的投标人应提供相应文件证明其依法免税）；</w:t>
      </w:r>
    </w:p>
    <w:p w14:paraId="3A1A92BD">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3</w:t>
      </w:r>
      <w:r>
        <w:rPr>
          <w:rFonts w:hint="eastAsia" w:ascii="宋体" w:hAnsi="宋体" w:eastAsia="宋体" w:cs="宋体"/>
          <w:b/>
          <w:bCs/>
          <w:color w:val="0000FF"/>
          <w:szCs w:val="21"/>
          <w:highlight w:val="none"/>
          <w:lang w:val="en-US" w:eastAsia="zh-CN"/>
        </w:rPr>
        <w:t>、法定代表人投标需提供法定代表人资格证明书，委托代理人投标需提供法定代表人授权委托书及被授权在职人员近6个月内任意1个月有效的社保证明；</w:t>
      </w:r>
    </w:p>
    <w:p w14:paraId="55EEDE91">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4</w:t>
      </w:r>
      <w:r>
        <w:rPr>
          <w:rFonts w:hint="eastAsia" w:ascii="宋体" w:hAnsi="宋体" w:eastAsia="宋体" w:cs="宋体"/>
          <w:b/>
          <w:bCs/>
          <w:color w:val="0000FF"/>
          <w:szCs w:val="21"/>
          <w:highlight w:val="none"/>
          <w:lang w:val="en-US" w:eastAsia="zh-CN"/>
        </w:rPr>
        <w:t>、投标保证金汇款凭证或投标保函；</w:t>
      </w:r>
    </w:p>
    <w:p w14:paraId="37711F7F">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kern w:val="2"/>
          <w:sz w:val="21"/>
          <w:szCs w:val="24"/>
          <w:lang w:val="en-US" w:eastAsia="zh-CN" w:bidi="ar-SA"/>
        </w:rPr>
        <w:t>5</w:t>
      </w:r>
      <w:r>
        <w:rPr>
          <w:rFonts w:hint="eastAsia" w:ascii="宋体" w:hAnsi="宋体" w:eastAsia="宋体" w:cs="宋体"/>
          <w:b/>
          <w:bCs/>
          <w:color w:val="0000FF"/>
          <w:kern w:val="2"/>
          <w:sz w:val="21"/>
          <w:szCs w:val="24"/>
          <w:lang w:val="en-US" w:eastAsia="zh-CN" w:bidi="ar-SA"/>
        </w:rPr>
        <w:t>、在“信用</w:t>
      </w:r>
      <w:r>
        <w:rPr>
          <w:rFonts w:hint="eastAsia" w:ascii="宋体" w:hAnsi="宋体" w:eastAsia="宋体" w:cs="宋体"/>
          <w:b/>
          <w:bCs/>
          <w:color w:val="0000FF"/>
          <w:szCs w:val="21"/>
          <w:highlight w:val="none"/>
          <w:lang w:val="en-US" w:eastAsia="zh-CN"/>
        </w:rPr>
        <w:t>中国”及“中国政府采购网”网站上未被列入失信被执行人、重大税收违法案件当事人名单以及政府采购严重违法失信行为记录名单的投标企业；</w:t>
      </w:r>
    </w:p>
    <w:p w14:paraId="6F46FF0A">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6</w:t>
      </w:r>
      <w:r>
        <w:rPr>
          <w:rFonts w:hint="eastAsia" w:ascii="宋体" w:hAnsi="宋体" w:eastAsia="宋体" w:cs="宋体"/>
          <w:b/>
          <w:bCs/>
          <w:color w:val="0000FF"/>
          <w:szCs w:val="21"/>
          <w:highlight w:val="none"/>
          <w:lang w:val="en-US" w:eastAsia="zh-CN"/>
        </w:rPr>
        <w:t>、具有良好的商业信誉和健全的财务会计制度（经审计的近3年内任意1年的财务审计报告（新成立不足一年的提供成立之日起至今的财务报表）或基本开户银行出具的资信证明）</w:t>
      </w:r>
    </w:p>
    <w:p w14:paraId="77B311C8">
      <w:pPr>
        <w:shd w:val="clear" w:color="auto" w:fill="auto"/>
        <w:spacing w:line="440" w:lineRule="exact"/>
        <w:ind w:firstLine="287" w:firstLineChars="135"/>
        <w:rPr>
          <w:rFonts w:hint="eastAsia" w:ascii="宋体" w:hAnsi="宋体" w:cs="宋体"/>
          <w:b/>
          <w:color w:val="auto"/>
          <w:szCs w:val="21"/>
          <w:highlight w:val="none"/>
        </w:rPr>
      </w:pPr>
      <w:r>
        <w:rPr>
          <w:rFonts w:hint="eastAsia" w:ascii="宋体" w:hAnsi="宋体" w:cs="宋体"/>
          <w:b/>
          <w:bCs/>
          <w:color w:val="0000FF"/>
          <w:szCs w:val="21"/>
          <w:highlight w:val="none"/>
          <w:lang w:val="en-US" w:eastAsia="zh-CN"/>
        </w:rPr>
        <w:t>7</w:t>
      </w:r>
      <w:r>
        <w:rPr>
          <w:rFonts w:hint="eastAsia" w:ascii="宋体" w:hAnsi="宋体" w:eastAsia="宋体" w:cs="宋体"/>
          <w:b/>
          <w:bCs/>
          <w:color w:val="0000FF"/>
          <w:szCs w:val="21"/>
          <w:highlight w:val="none"/>
          <w:lang w:val="en-US" w:eastAsia="zh-CN"/>
        </w:rPr>
        <w:t>、</w:t>
      </w:r>
      <w:r>
        <w:rPr>
          <w:rFonts w:hint="eastAsia" w:ascii="宋体" w:hAnsi="宋体" w:eastAsia="宋体" w:cs="宋体"/>
          <w:b/>
          <w:bCs/>
          <w:color w:val="0000FF"/>
          <w:kern w:val="2"/>
          <w:sz w:val="21"/>
          <w:szCs w:val="21"/>
          <w:lang w:val="en-US" w:eastAsia="zh-CN" w:bidi="ar-SA"/>
        </w:rPr>
        <w:t>提供</w:t>
      </w:r>
      <w:r>
        <w:rPr>
          <w:rFonts w:hint="eastAsia" w:ascii="宋体" w:hAnsi="宋体" w:cs="宋体"/>
          <w:b/>
          <w:bCs/>
          <w:color w:val="0000FF"/>
          <w:kern w:val="2"/>
          <w:sz w:val="21"/>
          <w:szCs w:val="21"/>
          <w:lang w:val="en-US" w:eastAsia="zh-CN" w:bidi="ar-SA"/>
        </w:rPr>
        <w:t>本次投标</w:t>
      </w:r>
      <w:r>
        <w:rPr>
          <w:rFonts w:hint="eastAsia" w:ascii="宋体" w:hAnsi="宋体" w:eastAsia="宋体" w:cs="宋体"/>
          <w:b/>
          <w:bCs/>
          <w:color w:val="0000FF"/>
          <w:kern w:val="2"/>
          <w:sz w:val="21"/>
          <w:szCs w:val="21"/>
          <w:lang w:val="en-US" w:eastAsia="zh-CN" w:bidi="ar-SA"/>
        </w:rPr>
        <w:t>货物制造商为</w:t>
      </w:r>
      <w:r>
        <w:rPr>
          <w:rFonts w:hint="eastAsia" w:ascii="宋体" w:hAnsi="宋体" w:cs="宋体"/>
          <w:b/>
          <w:bCs/>
          <w:color w:val="0000FF"/>
          <w:kern w:val="2"/>
          <w:sz w:val="21"/>
          <w:szCs w:val="21"/>
          <w:lang w:val="en-US" w:eastAsia="zh-CN" w:bidi="ar-SA"/>
        </w:rPr>
        <w:t>中小</w:t>
      </w:r>
      <w:r>
        <w:rPr>
          <w:rFonts w:hint="eastAsia" w:ascii="宋体" w:hAnsi="宋体" w:eastAsia="宋体" w:cs="宋体"/>
          <w:b/>
          <w:bCs/>
          <w:color w:val="0000FF"/>
          <w:kern w:val="2"/>
          <w:sz w:val="21"/>
          <w:szCs w:val="21"/>
          <w:lang w:val="en-US" w:eastAsia="zh-CN" w:bidi="ar-SA"/>
        </w:rPr>
        <w:t>企业的</w:t>
      </w:r>
      <w:r>
        <w:rPr>
          <w:rFonts w:hint="eastAsia" w:ascii="宋体" w:hAnsi="宋体" w:cs="宋体"/>
          <w:b/>
          <w:bCs/>
          <w:color w:val="0000FF"/>
          <w:kern w:val="2"/>
          <w:sz w:val="21"/>
          <w:szCs w:val="21"/>
          <w:lang w:val="en-US" w:eastAsia="zh-CN" w:bidi="ar-SA"/>
        </w:rPr>
        <w:t>《</w:t>
      </w:r>
      <w:r>
        <w:rPr>
          <w:rFonts w:hint="eastAsia" w:ascii="宋体" w:hAnsi="宋体" w:eastAsia="宋体" w:cs="宋体"/>
          <w:b/>
          <w:bCs/>
          <w:color w:val="0000FF"/>
          <w:kern w:val="2"/>
          <w:sz w:val="21"/>
          <w:szCs w:val="21"/>
          <w:lang w:val="en-US" w:eastAsia="zh-CN" w:bidi="ar-SA"/>
        </w:rPr>
        <w:t>中小企业声明函</w:t>
      </w:r>
      <w:r>
        <w:rPr>
          <w:rFonts w:hint="eastAsia" w:ascii="宋体" w:hAnsi="宋体" w:cs="宋体"/>
          <w:b/>
          <w:bCs/>
          <w:color w:val="0000FF"/>
          <w:kern w:val="2"/>
          <w:sz w:val="21"/>
          <w:szCs w:val="21"/>
          <w:lang w:val="en-US" w:eastAsia="zh-CN" w:bidi="ar-SA"/>
        </w:rPr>
        <w:t>》</w:t>
      </w:r>
    </w:p>
    <w:p w14:paraId="3A2946CC">
      <w:pPr>
        <w:shd w:val="clear" w:color="auto" w:fill="auto"/>
        <w:spacing w:line="440" w:lineRule="exact"/>
        <w:ind w:firstLine="426" w:firstLineChars="200"/>
        <w:rPr>
          <w:rFonts w:hint="eastAsia" w:ascii="宋体" w:hAnsi="宋体" w:eastAsia="宋体" w:cs="宋体"/>
          <w:b/>
          <w:bCs w:val="0"/>
          <w:color w:val="0000FF"/>
          <w:sz w:val="21"/>
          <w:szCs w:val="21"/>
          <w:highlight w:val="none"/>
          <w:lang w:val="en-US" w:eastAsia="zh-CN"/>
        </w:rPr>
      </w:pPr>
    </w:p>
    <w:p w14:paraId="0E6D265D">
      <w:pPr>
        <w:shd w:val="clear" w:color="auto" w:fill="auto"/>
        <w:spacing w:line="440" w:lineRule="exact"/>
        <w:ind w:firstLine="426" w:firstLineChars="200"/>
        <w:jc w:val="center"/>
        <w:rPr>
          <w:rFonts w:hint="eastAsia" w:ascii="宋体" w:hAnsi="宋体" w:eastAsia="宋体" w:cs="宋体"/>
          <w:b/>
          <w:bCs w:val="0"/>
          <w:color w:val="0000FF"/>
          <w:sz w:val="21"/>
          <w:szCs w:val="21"/>
          <w:highlight w:val="none"/>
          <w:lang w:val="en-US" w:eastAsia="zh-CN"/>
        </w:rPr>
      </w:pPr>
      <w:r>
        <w:rPr>
          <w:rFonts w:hint="eastAsia" w:ascii="宋体" w:hAnsi="宋体" w:eastAsia="宋体" w:cs="宋体"/>
          <w:b/>
          <w:bCs w:val="0"/>
          <w:color w:val="0000FF"/>
          <w:sz w:val="21"/>
          <w:szCs w:val="21"/>
          <w:highlight w:val="none"/>
          <w:lang w:val="en-US" w:eastAsia="zh-CN"/>
        </w:rPr>
        <w:t>报价文件</w:t>
      </w:r>
      <w:r>
        <w:rPr>
          <w:rFonts w:hint="eastAsia" w:ascii="宋体" w:hAnsi="宋体" w:cs="宋体"/>
          <w:b/>
          <w:bCs w:val="0"/>
          <w:color w:val="0000FF"/>
          <w:sz w:val="21"/>
          <w:szCs w:val="21"/>
          <w:highlight w:val="none"/>
          <w:lang w:val="en-US" w:eastAsia="zh-CN"/>
        </w:rPr>
        <w:t>（目录）</w:t>
      </w:r>
    </w:p>
    <w:p w14:paraId="752B6311">
      <w:pPr>
        <w:shd w:val="clear" w:color="auto" w:fill="auto"/>
        <w:spacing w:line="440" w:lineRule="exact"/>
        <w:ind w:firstLine="426" w:firstLineChars="200"/>
        <w:rPr>
          <w:rFonts w:hint="eastAsia" w:ascii="宋体" w:hAnsi="宋体" w:eastAsia="宋体" w:cs="宋体"/>
          <w:b/>
          <w:bCs w:val="0"/>
          <w:color w:val="0000FF"/>
          <w:sz w:val="21"/>
          <w:szCs w:val="21"/>
          <w:highlight w:val="none"/>
          <w:lang w:val="en-US" w:eastAsia="zh-CN"/>
        </w:rPr>
      </w:pPr>
      <w:r>
        <w:rPr>
          <w:rFonts w:hint="eastAsia" w:ascii="宋体" w:hAnsi="宋体" w:eastAsia="宋体" w:cs="宋体"/>
          <w:b/>
          <w:bCs w:val="0"/>
          <w:color w:val="0000FF"/>
          <w:sz w:val="21"/>
          <w:szCs w:val="21"/>
          <w:highlight w:val="none"/>
          <w:lang w:val="en-US" w:eastAsia="zh-CN"/>
        </w:rPr>
        <w:t>1、开标一览表</w:t>
      </w:r>
    </w:p>
    <w:p w14:paraId="527CF33B">
      <w:pPr>
        <w:shd w:val="clear" w:color="auto" w:fill="auto"/>
        <w:spacing w:line="440" w:lineRule="exact"/>
        <w:ind w:firstLine="426" w:firstLineChars="200"/>
        <w:rPr>
          <w:rFonts w:hint="default" w:ascii="宋体" w:hAnsi="宋体" w:cs="宋体"/>
          <w:b/>
          <w:color w:val="auto"/>
          <w:szCs w:val="21"/>
          <w:highlight w:val="none"/>
          <w:lang w:val="en-US" w:eastAsia="zh-CN"/>
        </w:rPr>
      </w:pPr>
      <w:r>
        <w:rPr>
          <w:rFonts w:hint="eastAsia" w:ascii="宋体" w:hAnsi="宋体" w:cs="宋体"/>
          <w:b/>
          <w:bCs/>
          <w:color w:val="0000FF"/>
          <w:szCs w:val="21"/>
          <w:highlight w:val="none"/>
          <w:lang w:val="en-US" w:eastAsia="zh-CN"/>
        </w:rPr>
        <w:t>2</w:t>
      </w:r>
      <w:r>
        <w:rPr>
          <w:rFonts w:hint="eastAsia" w:ascii="宋体" w:hAnsi="宋体" w:eastAsia="宋体" w:cs="宋体"/>
          <w:b/>
          <w:bCs/>
          <w:color w:val="0000FF"/>
          <w:szCs w:val="21"/>
          <w:highlight w:val="none"/>
          <w:lang w:val="en-US" w:eastAsia="zh-CN"/>
        </w:rPr>
        <w:t>、投标分项报价表</w:t>
      </w:r>
    </w:p>
    <w:p w14:paraId="5960C6B6">
      <w:pPr>
        <w:shd w:val="clear" w:color="auto" w:fill="auto"/>
        <w:spacing w:line="440" w:lineRule="exact"/>
        <w:ind w:firstLine="312" w:firstLineChars="147"/>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商务及技术文件（目录）</w:t>
      </w:r>
    </w:p>
    <w:p w14:paraId="4D05D29F">
      <w:pPr>
        <w:shd w:val="clear" w:color="auto" w:fill="auto"/>
        <w:spacing w:line="440" w:lineRule="exact"/>
        <w:ind w:firstLine="312" w:firstLineChars="147"/>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1、</w:t>
      </w:r>
      <w:r>
        <w:rPr>
          <w:rFonts w:hint="eastAsia" w:ascii="宋体" w:hAnsi="宋体" w:eastAsia="宋体" w:cs="宋体"/>
          <w:b/>
          <w:bCs/>
          <w:color w:val="0000FF"/>
          <w:szCs w:val="21"/>
          <w:highlight w:val="none"/>
          <w:lang w:val="en-US" w:eastAsia="zh-CN"/>
        </w:rPr>
        <w:t>投标函</w:t>
      </w:r>
    </w:p>
    <w:p w14:paraId="3EF8A73A">
      <w:pPr>
        <w:shd w:val="clear" w:color="auto" w:fill="auto"/>
        <w:spacing w:line="440" w:lineRule="exact"/>
        <w:ind w:firstLine="312" w:firstLineChars="147"/>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2</w:t>
      </w:r>
      <w:r>
        <w:rPr>
          <w:rFonts w:hint="eastAsia" w:ascii="宋体" w:hAnsi="宋体" w:eastAsia="宋体" w:cs="宋体"/>
          <w:b/>
          <w:bCs/>
          <w:color w:val="0000FF"/>
          <w:szCs w:val="21"/>
          <w:highlight w:val="none"/>
          <w:lang w:val="en-US" w:eastAsia="zh-CN"/>
        </w:rPr>
        <w:t>、</w:t>
      </w:r>
      <w:r>
        <w:rPr>
          <w:rFonts w:hint="eastAsia" w:ascii="宋体" w:hAnsi="宋体" w:cs="宋体"/>
          <w:b/>
          <w:bCs/>
          <w:color w:val="0000FF"/>
          <w:szCs w:val="21"/>
          <w:highlight w:val="none"/>
          <w:lang w:val="en-US" w:eastAsia="zh-CN"/>
        </w:rPr>
        <w:t>诚信声明</w:t>
      </w:r>
      <w:r>
        <w:rPr>
          <w:rFonts w:hint="eastAsia" w:ascii="宋体" w:hAnsi="宋体" w:eastAsia="宋体" w:cs="宋体"/>
          <w:b/>
          <w:bCs/>
          <w:color w:val="0000FF"/>
          <w:szCs w:val="21"/>
          <w:highlight w:val="none"/>
          <w:lang w:val="en-US" w:eastAsia="zh-CN"/>
        </w:rPr>
        <w:t>；</w:t>
      </w:r>
    </w:p>
    <w:p w14:paraId="49B41230">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3、</w:t>
      </w:r>
      <w:r>
        <w:rPr>
          <w:rFonts w:hint="eastAsia" w:ascii="宋体" w:hAnsi="宋体" w:eastAsia="宋体" w:cs="宋体"/>
          <w:b/>
          <w:bCs/>
          <w:color w:val="0000FF"/>
          <w:szCs w:val="21"/>
          <w:highlight w:val="none"/>
          <w:lang w:val="en-US" w:eastAsia="zh-CN"/>
        </w:rPr>
        <w:t>参加政府采购活动前三年内，在经营活动中没有重大违法记录（提供承诺函）；</w:t>
      </w:r>
    </w:p>
    <w:p w14:paraId="76760151">
      <w:pPr>
        <w:shd w:val="clear" w:color="auto" w:fill="auto"/>
        <w:spacing w:line="440" w:lineRule="exact"/>
        <w:ind w:firstLine="287" w:firstLineChars="135"/>
        <w:rPr>
          <w:rFonts w:hint="eastAsia" w:ascii="宋体" w:hAnsi="宋体" w:eastAsia="宋体" w:cs="宋体"/>
          <w:b/>
          <w:bCs/>
          <w:color w:val="0000FF"/>
          <w:kern w:val="2"/>
          <w:sz w:val="21"/>
          <w:szCs w:val="24"/>
          <w:lang w:val="en-US" w:eastAsia="zh-CN" w:bidi="ar-SA"/>
        </w:rPr>
      </w:pPr>
      <w:r>
        <w:rPr>
          <w:rFonts w:hint="eastAsia" w:ascii="宋体" w:hAnsi="宋体" w:cs="宋体"/>
          <w:b/>
          <w:bCs/>
          <w:color w:val="0000FF"/>
          <w:szCs w:val="21"/>
          <w:highlight w:val="none"/>
          <w:lang w:val="en-US" w:eastAsia="zh-CN"/>
        </w:rPr>
        <w:t>4</w:t>
      </w:r>
      <w:r>
        <w:rPr>
          <w:rFonts w:hint="eastAsia" w:ascii="宋体" w:hAnsi="宋体" w:eastAsia="宋体" w:cs="宋体"/>
          <w:b/>
          <w:bCs/>
          <w:color w:val="0000FF"/>
          <w:kern w:val="2"/>
          <w:sz w:val="21"/>
          <w:szCs w:val="24"/>
          <w:lang w:val="en-US" w:eastAsia="zh-CN" w:bidi="ar-SA"/>
        </w:rPr>
        <w:t>、针对本次采购项目《反商业贿赂承诺书》；</w:t>
      </w:r>
    </w:p>
    <w:p w14:paraId="2544F059">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5</w:t>
      </w:r>
      <w:r>
        <w:rPr>
          <w:rFonts w:hint="eastAsia" w:ascii="宋体" w:hAnsi="宋体" w:eastAsia="宋体" w:cs="宋体"/>
          <w:b/>
          <w:bCs/>
          <w:color w:val="0000FF"/>
          <w:szCs w:val="21"/>
          <w:highlight w:val="none"/>
          <w:lang w:val="en-US" w:eastAsia="zh-CN"/>
        </w:rPr>
        <w:t>、投标人关联单位的说明</w:t>
      </w:r>
    </w:p>
    <w:p w14:paraId="44EEA49E">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6</w:t>
      </w:r>
      <w:r>
        <w:rPr>
          <w:rFonts w:hint="eastAsia" w:ascii="宋体" w:hAnsi="宋体" w:eastAsia="宋体" w:cs="宋体"/>
          <w:b/>
          <w:bCs/>
          <w:color w:val="0000FF"/>
          <w:szCs w:val="21"/>
          <w:highlight w:val="none"/>
          <w:lang w:val="en-US" w:eastAsia="zh-CN"/>
        </w:rPr>
        <w:t>、技术规格偏离表</w:t>
      </w:r>
    </w:p>
    <w:p w14:paraId="4C131D0A">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7</w:t>
      </w:r>
      <w:r>
        <w:rPr>
          <w:rFonts w:hint="eastAsia" w:ascii="宋体" w:hAnsi="宋体" w:eastAsia="宋体" w:cs="宋体"/>
          <w:b/>
          <w:bCs/>
          <w:color w:val="0000FF"/>
          <w:szCs w:val="21"/>
          <w:highlight w:val="none"/>
          <w:lang w:val="en-US" w:eastAsia="zh-CN"/>
        </w:rPr>
        <w:t>、商务条款偏离表</w:t>
      </w:r>
    </w:p>
    <w:p w14:paraId="79DC1D0E">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8</w:t>
      </w:r>
      <w:r>
        <w:rPr>
          <w:rFonts w:hint="eastAsia" w:ascii="宋体" w:hAnsi="宋体" w:eastAsia="宋体" w:cs="宋体"/>
          <w:b/>
          <w:bCs/>
          <w:color w:val="0000FF"/>
          <w:szCs w:val="21"/>
          <w:highlight w:val="none"/>
          <w:lang w:val="en-US" w:eastAsia="zh-CN"/>
        </w:rPr>
        <w:t>、投标人基本情况表</w:t>
      </w:r>
    </w:p>
    <w:p w14:paraId="67FE697B">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9</w:t>
      </w:r>
      <w:r>
        <w:rPr>
          <w:rFonts w:hint="eastAsia" w:ascii="宋体" w:hAnsi="宋体" w:eastAsia="宋体" w:cs="宋体"/>
          <w:b/>
          <w:bCs/>
          <w:color w:val="0000FF"/>
          <w:szCs w:val="21"/>
          <w:highlight w:val="none"/>
          <w:lang w:val="en-US" w:eastAsia="zh-CN"/>
        </w:rPr>
        <w:t>、供货、培训、验收、售后</w:t>
      </w:r>
      <w:r>
        <w:rPr>
          <w:rFonts w:hint="eastAsia" w:ascii="宋体" w:hAnsi="宋体" w:cs="宋体"/>
          <w:b/>
          <w:bCs/>
          <w:color w:val="0000FF"/>
          <w:szCs w:val="21"/>
          <w:highlight w:val="none"/>
          <w:lang w:val="en-US" w:eastAsia="zh-CN"/>
        </w:rPr>
        <w:t>等</w:t>
      </w:r>
      <w:r>
        <w:rPr>
          <w:rFonts w:hint="eastAsia" w:ascii="宋体" w:hAnsi="宋体" w:eastAsia="宋体" w:cs="宋体"/>
          <w:b/>
          <w:bCs/>
          <w:color w:val="0000FF"/>
          <w:szCs w:val="21"/>
          <w:highlight w:val="none"/>
          <w:lang w:val="en-US" w:eastAsia="zh-CN"/>
        </w:rPr>
        <w:t>服务方案</w:t>
      </w:r>
    </w:p>
    <w:p w14:paraId="376DC918">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10</w:t>
      </w:r>
      <w:r>
        <w:rPr>
          <w:rFonts w:hint="eastAsia" w:ascii="宋体" w:hAnsi="宋体" w:eastAsia="宋体" w:cs="宋体"/>
          <w:b/>
          <w:bCs/>
          <w:color w:val="0000FF"/>
          <w:szCs w:val="21"/>
          <w:highlight w:val="none"/>
          <w:lang w:val="en-US" w:eastAsia="zh-CN"/>
        </w:rPr>
        <w:t>、投标人认为有必要提供的其他证明材料</w:t>
      </w:r>
    </w:p>
    <w:p w14:paraId="346E847C">
      <w:pPr>
        <w:numPr>
          <w:ilvl w:val="0"/>
          <w:numId w:val="0"/>
        </w:numPr>
        <w:shd w:val="clear" w:color="auto" w:fill="auto"/>
        <w:spacing w:line="360" w:lineRule="auto"/>
        <w:ind w:leftChars="0"/>
        <w:jc w:val="both"/>
        <w:rPr>
          <w:rFonts w:hint="eastAsia" w:ascii="宋体" w:hAnsi="宋体" w:eastAsia="宋体" w:cs="宋体"/>
          <w:b/>
          <w:bCs/>
          <w:color w:val="auto"/>
          <w:sz w:val="24"/>
          <w:szCs w:val="24"/>
          <w:highlight w:val="none"/>
          <w:lang w:val="en-US" w:eastAsia="zh-CN"/>
        </w:rPr>
      </w:pPr>
    </w:p>
    <w:p w14:paraId="4EC162FE">
      <w:pPr>
        <w:numPr>
          <w:ilvl w:val="0"/>
          <w:numId w:val="0"/>
        </w:numPr>
        <w:shd w:val="clear" w:color="auto" w:fill="auto"/>
        <w:spacing w:line="36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p>
    <w:p w14:paraId="7FA8B16B">
      <w:pPr>
        <w:numPr>
          <w:ilvl w:val="0"/>
          <w:numId w:val="0"/>
        </w:numPr>
        <w:shd w:val="clear" w:color="auto" w:fill="auto"/>
        <w:spacing w:line="48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0000FF"/>
          <w:sz w:val="21"/>
          <w:szCs w:val="21"/>
          <w:highlight w:val="none"/>
          <w:lang w:val="en-US" w:eastAsia="zh-CN"/>
        </w:rPr>
        <w:t>1、为方便专家评审建议供应商编制目录对应页码。</w:t>
      </w:r>
    </w:p>
    <w:p w14:paraId="2CDE4801">
      <w:pPr>
        <w:spacing w:line="480" w:lineRule="auto"/>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2、招标文件提供格式的请严格按照格式要求填写，未提供格式的请供应商自行编辑提供。</w:t>
      </w:r>
    </w:p>
    <w:p w14:paraId="3D86B747">
      <w:pPr>
        <w:spacing w:line="480" w:lineRule="auto"/>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3、投标文件须逐页加盖投标单位公章。</w:t>
      </w:r>
    </w:p>
    <w:p w14:paraId="2A8C1DF0">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36821F7D">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69761772">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0F6A8002">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98B9E9D">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7C5D80BE">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3E1F64D">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0EA11AF4">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6CCDB429">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1ABEF29">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0BE2D77">
      <w:pPr>
        <w:pStyle w:val="4"/>
        <w:rPr>
          <w:rFonts w:hint="eastAsia" w:ascii="宋体" w:hAnsi="宋体" w:eastAsia="宋体" w:cs="宋体"/>
          <w:color w:val="auto"/>
          <w:sz w:val="24"/>
          <w:highlight w:val="none"/>
        </w:rPr>
      </w:pPr>
    </w:p>
    <w:p w14:paraId="11F6405E">
      <w:pPr>
        <w:rPr>
          <w:rFonts w:hint="eastAsia" w:ascii="宋体" w:hAnsi="宋体" w:eastAsia="宋体" w:cs="宋体"/>
          <w:color w:val="auto"/>
          <w:sz w:val="24"/>
          <w:highlight w:val="none"/>
        </w:rPr>
      </w:pPr>
    </w:p>
    <w:p w14:paraId="675F0639">
      <w:pPr>
        <w:rPr>
          <w:rFonts w:hint="eastAsia" w:ascii="宋体" w:hAnsi="宋体" w:eastAsia="宋体" w:cs="宋体"/>
          <w:color w:val="auto"/>
          <w:sz w:val="24"/>
          <w:highlight w:val="none"/>
        </w:rPr>
      </w:pPr>
    </w:p>
    <w:p w14:paraId="113176E4">
      <w:pPr>
        <w:rPr>
          <w:rFonts w:hint="eastAsia" w:ascii="宋体" w:hAnsi="宋体" w:eastAsia="宋体" w:cs="宋体"/>
          <w:color w:val="auto"/>
          <w:sz w:val="24"/>
          <w:highlight w:val="none"/>
        </w:rPr>
      </w:pPr>
    </w:p>
    <w:p w14:paraId="515638D3">
      <w:pPr>
        <w:rPr>
          <w:rFonts w:hint="eastAsia" w:ascii="宋体" w:hAnsi="宋体" w:eastAsia="宋体" w:cs="宋体"/>
          <w:color w:val="auto"/>
          <w:sz w:val="24"/>
          <w:highlight w:val="none"/>
        </w:rPr>
      </w:pPr>
    </w:p>
    <w:p w14:paraId="63D8EE46">
      <w:pPr>
        <w:rPr>
          <w:rFonts w:hint="eastAsia" w:ascii="宋体" w:hAnsi="宋体" w:eastAsia="宋体" w:cs="宋体"/>
          <w:color w:val="auto"/>
          <w:sz w:val="24"/>
          <w:highlight w:val="none"/>
        </w:rPr>
      </w:pPr>
    </w:p>
    <w:p w14:paraId="2D0504D1">
      <w:pPr>
        <w:rPr>
          <w:rFonts w:hint="eastAsia" w:ascii="宋体" w:hAnsi="宋体" w:eastAsia="宋体" w:cs="宋体"/>
          <w:color w:val="auto"/>
          <w:sz w:val="24"/>
          <w:highlight w:val="none"/>
        </w:rPr>
      </w:pPr>
    </w:p>
    <w:p w14:paraId="3164C0F6">
      <w:pPr>
        <w:rPr>
          <w:rFonts w:hint="eastAsia" w:ascii="宋体" w:hAnsi="宋体" w:eastAsia="宋体" w:cs="宋体"/>
          <w:color w:val="auto"/>
          <w:sz w:val="24"/>
          <w:highlight w:val="none"/>
        </w:rPr>
      </w:pPr>
    </w:p>
    <w:p w14:paraId="09E481E7">
      <w:pPr>
        <w:rPr>
          <w:rFonts w:hint="eastAsia" w:ascii="宋体" w:hAnsi="宋体" w:eastAsia="宋体" w:cs="宋体"/>
          <w:color w:val="auto"/>
          <w:sz w:val="24"/>
          <w:highlight w:val="none"/>
        </w:rPr>
      </w:pPr>
    </w:p>
    <w:p w14:paraId="50ED1E33">
      <w:pPr>
        <w:rPr>
          <w:rFonts w:hint="eastAsia" w:ascii="宋体" w:hAnsi="宋体" w:eastAsia="宋体" w:cs="宋体"/>
          <w:color w:val="auto"/>
          <w:sz w:val="24"/>
          <w:highlight w:val="none"/>
        </w:rPr>
      </w:pPr>
    </w:p>
    <w:p w14:paraId="242C1AC8">
      <w:pPr>
        <w:rPr>
          <w:rFonts w:hint="eastAsia" w:ascii="宋体" w:hAnsi="宋体" w:eastAsia="宋体" w:cs="宋体"/>
          <w:color w:val="auto"/>
          <w:sz w:val="24"/>
          <w:highlight w:val="none"/>
        </w:rPr>
      </w:pPr>
    </w:p>
    <w:p w14:paraId="3D962139">
      <w:pPr>
        <w:rPr>
          <w:rFonts w:hint="eastAsia" w:ascii="宋体" w:hAnsi="宋体" w:eastAsia="宋体" w:cs="宋体"/>
          <w:color w:val="auto"/>
          <w:sz w:val="24"/>
          <w:highlight w:val="none"/>
        </w:rPr>
      </w:pPr>
    </w:p>
    <w:p w14:paraId="7510303A">
      <w:pPr>
        <w:rPr>
          <w:rFonts w:hint="eastAsia" w:ascii="宋体" w:hAnsi="宋体" w:eastAsia="宋体" w:cs="宋体"/>
          <w:color w:val="auto"/>
          <w:sz w:val="24"/>
          <w:highlight w:val="none"/>
        </w:rPr>
      </w:pPr>
    </w:p>
    <w:p w14:paraId="69830A1A">
      <w:pPr>
        <w:rPr>
          <w:rFonts w:hint="eastAsia" w:ascii="宋体" w:hAnsi="宋体" w:eastAsia="宋体" w:cs="宋体"/>
          <w:color w:val="auto"/>
          <w:sz w:val="24"/>
          <w:highlight w:val="none"/>
        </w:rPr>
      </w:pPr>
    </w:p>
    <w:p w14:paraId="78952037">
      <w:pPr>
        <w:rPr>
          <w:rFonts w:hint="eastAsia" w:ascii="宋体" w:hAnsi="宋体" w:eastAsia="宋体" w:cs="宋体"/>
          <w:color w:val="auto"/>
          <w:sz w:val="24"/>
          <w:highlight w:val="none"/>
        </w:rPr>
      </w:pPr>
    </w:p>
    <w:p w14:paraId="1A3B5D03">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bookmarkStart w:id="88" w:name="_Toc2963"/>
      <w:bookmarkStart w:id="89" w:name="_Toc515647823"/>
      <w:bookmarkStart w:id="90" w:name="_Toc30795"/>
      <w:bookmarkStart w:id="91" w:name="_Toc21312"/>
      <w:bookmarkStart w:id="92" w:name="_Toc10725"/>
      <w:bookmarkStart w:id="93" w:name="_Toc515647827"/>
      <w:bookmarkStart w:id="94" w:name="_Toc28099"/>
    </w:p>
    <w:p w14:paraId="54C565E3">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4E126E9">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57A0D034">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投标文件格式1</w:t>
      </w:r>
      <w:r>
        <w:rPr>
          <w:rFonts w:hint="eastAsia" w:ascii="宋体" w:hAnsi="宋体" w:eastAsia="宋体" w:cs="宋体"/>
          <w:color w:val="auto"/>
          <w:sz w:val="24"/>
          <w:highlight w:val="none"/>
          <w:lang w:val="en-US" w:eastAsia="zh-CN"/>
        </w:rPr>
        <w:t>：</w:t>
      </w:r>
    </w:p>
    <w:p w14:paraId="654A3001">
      <w:pPr>
        <w:pStyle w:val="45"/>
        <w:shd w:val="clear" w:color="auto" w:fill="auto"/>
        <w:spacing w:line="360" w:lineRule="auto"/>
        <w:ind w:left="0" w:leftChars="0" w:firstLine="0" w:firstLineChars="0"/>
        <w:rPr>
          <w:rFonts w:hint="eastAsia" w:ascii="宋体" w:hAnsi="宋体" w:eastAsia="宋体" w:cs="宋体"/>
          <w:color w:val="auto"/>
          <w:sz w:val="24"/>
          <w:highlight w:val="none"/>
        </w:rPr>
      </w:pPr>
      <w:bookmarkStart w:id="95" w:name="_Toc515647807"/>
      <w:bookmarkStart w:id="96" w:name="_Toc23503"/>
      <w:bookmarkStart w:id="97" w:name="_Toc22472"/>
      <w:bookmarkStart w:id="98" w:name="_Toc1083"/>
      <w:bookmarkStart w:id="99" w:name="_Toc32520"/>
      <w:bookmarkStart w:id="100" w:name="_Toc515647808"/>
      <w:bookmarkStart w:id="101" w:name="_Toc7039"/>
      <w:bookmarkStart w:id="102" w:name="_Toc216582813"/>
      <w:bookmarkStart w:id="103" w:name="_Ref467988698"/>
      <w:bookmarkStart w:id="104" w:name="_Toc520356217"/>
      <w:bookmarkStart w:id="105" w:name="_Toc480942349"/>
    </w:p>
    <w:p w14:paraId="40CAA393">
      <w:pPr>
        <w:pStyle w:val="3"/>
        <w:numPr>
          <w:ilvl w:val="0"/>
          <w:numId w:val="0"/>
        </w:numPr>
        <w:shd w:val="clear" w:color="auto" w:fill="auto"/>
        <w:spacing w:before="0" w:line="360" w:lineRule="auto"/>
        <w:jc w:val="center"/>
        <w:rPr>
          <w:rFonts w:hint="eastAsia" w:ascii="宋体" w:hAnsi="宋体" w:eastAsia="宋体" w:cs="宋体"/>
          <w:b w:val="0"/>
          <w:color w:val="auto"/>
          <w:sz w:val="24"/>
          <w:highlight w:val="none"/>
          <w:u w:val="single"/>
        </w:rPr>
      </w:pPr>
      <w:bookmarkStart w:id="106" w:name="_Toc30244"/>
      <w:r>
        <w:rPr>
          <w:rFonts w:hint="eastAsia" w:ascii="宋体" w:hAnsi="宋体" w:eastAsia="宋体" w:cs="宋体"/>
          <w:b/>
          <w:bCs/>
          <w:color w:val="auto"/>
          <w:sz w:val="24"/>
          <w:highlight w:val="none"/>
        </w:rPr>
        <w:t>法定代表人资格证明书</w:t>
      </w:r>
    </w:p>
    <w:p w14:paraId="10D22FDD">
      <w:pPr>
        <w:adjustRightInd w:val="0"/>
        <w:snapToGrid w:val="0"/>
        <w:spacing w:before="240" w:beforeLines="100" w:after="240" w:afterLines="10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14:paraId="6C063E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14:paraId="4A0B5319">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成立日期</w:t>
      </w:r>
      <w:r>
        <w:rPr>
          <w:rFonts w:hint="eastAsia" w:ascii="宋体" w:hAnsi="宋体" w:eastAsia="宋体" w:cs="宋体"/>
          <w:color w:val="auto"/>
          <w:sz w:val="21"/>
          <w:szCs w:val="21"/>
          <w:highlight w:val="none"/>
        </w:rPr>
        <w:t xml:space="preserve">：          单位：          </w:t>
      </w:r>
    </w:p>
    <w:p w14:paraId="36C1354D">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14:paraId="580F812C">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75FB877D">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14:paraId="047390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E805407">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14:paraId="34691C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14:paraId="7AE7FCD5">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14:paraId="4B38033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14:paraId="392EF0FC">
      <w:pPr>
        <w:spacing w:line="360" w:lineRule="auto"/>
        <w:rPr>
          <w:rFonts w:hint="eastAsia" w:ascii="宋体" w:hAnsi="宋体" w:eastAsia="宋体" w:cs="宋体"/>
          <w:color w:val="auto"/>
          <w:sz w:val="24"/>
          <w:szCs w:val="24"/>
          <w:highlight w:val="none"/>
        </w:rPr>
      </w:pPr>
    </w:p>
    <w:p w14:paraId="454D56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1143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20302F">
                            <w:pPr>
                              <w:jc w:val="center"/>
                              <w:rPr>
                                <w:rFonts w:hint="eastAsia" w:hAnsi="宋体"/>
                                <w:szCs w:val="21"/>
                              </w:rPr>
                            </w:pPr>
                          </w:p>
                          <w:p w14:paraId="19E34211">
                            <w:pPr>
                              <w:jc w:val="center"/>
                              <w:rPr>
                                <w:rFonts w:hint="eastAsia" w:hAnsi="宋体"/>
                                <w:szCs w:val="21"/>
                              </w:rPr>
                            </w:pPr>
                          </w:p>
                          <w:p w14:paraId="763937B1">
                            <w:pPr>
                              <w:jc w:val="center"/>
                              <w:rPr>
                                <w:rFonts w:hint="eastAsia" w:hAnsi="宋体"/>
                                <w:szCs w:val="21"/>
                              </w:rPr>
                            </w:pPr>
                          </w:p>
                          <w:p w14:paraId="612F2E33">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14:paraId="4D20302F">
                      <w:pPr>
                        <w:jc w:val="center"/>
                        <w:rPr>
                          <w:rFonts w:hint="eastAsia" w:hAnsi="宋体"/>
                          <w:szCs w:val="21"/>
                        </w:rPr>
                      </w:pPr>
                    </w:p>
                    <w:p w14:paraId="19E34211">
                      <w:pPr>
                        <w:jc w:val="center"/>
                        <w:rPr>
                          <w:rFonts w:hint="eastAsia" w:hAnsi="宋体"/>
                          <w:szCs w:val="21"/>
                        </w:rPr>
                      </w:pPr>
                    </w:p>
                    <w:p w14:paraId="763937B1">
                      <w:pPr>
                        <w:jc w:val="center"/>
                        <w:rPr>
                          <w:rFonts w:hint="eastAsia" w:hAnsi="宋体"/>
                          <w:szCs w:val="21"/>
                        </w:rPr>
                      </w:pPr>
                    </w:p>
                    <w:p w14:paraId="612F2E33">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1143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17075BD">
                            <w:pPr>
                              <w:jc w:val="center"/>
                              <w:rPr>
                                <w:rFonts w:hint="eastAsia" w:hAnsi="宋体"/>
                                <w:szCs w:val="21"/>
                              </w:rPr>
                            </w:pPr>
                          </w:p>
                          <w:p w14:paraId="2A2679BF">
                            <w:pPr>
                              <w:jc w:val="center"/>
                              <w:rPr>
                                <w:rFonts w:hint="eastAsia" w:hAnsi="宋体"/>
                                <w:szCs w:val="21"/>
                              </w:rPr>
                            </w:pPr>
                          </w:p>
                          <w:p w14:paraId="3519168D">
                            <w:pPr>
                              <w:jc w:val="center"/>
                              <w:rPr>
                                <w:rFonts w:hint="eastAsia" w:hAnsi="宋体"/>
                                <w:szCs w:val="21"/>
                              </w:rPr>
                            </w:pPr>
                          </w:p>
                          <w:p w14:paraId="5754196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14:paraId="217075BD">
                      <w:pPr>
                        <w:jc w:val="center"/>
                        <w:rPr>
                          <w:rFonts w:hint="eastAsia" w:hAnsi="宋体"/>
                          <w:szCs w:val="21"/>
                        </w:rPr>
                      </w:pPr>
                    </w:p>
                    <w:p w14:paraId="2A2679BF">
                      <w:pPr>
                        <w:jc w:val="center"/>
                        <w:rPr>
                          <w:rFonts w:hint="eastAsia" w:hAnsi="宋体"/>
                          <w:szCs w:val="21"/>
                        </w:rPr>
                      </w:pPr>
                    </w:p>
                    <w:p w14:paraId="3519168D">
                      <w:pPr>
                        <w:jc w:val="center"/>
                        <w:rPr>
                          <w:rFonts w:hint="eastAsia" w:hAnsi="宋体"/>
                          <w:szCs w:val="21"/>
                        </w:rPr>
                      </w:pPr>
                    </w:p>
                    <w:p w14:paraId="5754196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17435FBC">
      <w:pPr>
        <w:spacing w:line="360" w:lineRule="auto"/>
        <w:rPr>
          <w:rFonts w:hint="eastAsia" w:ascii="宋体" w:hAnsi="宋体" w:eastAsia="宋体" w:cs="宋体"/>
          <w:color w:val="auto"/>
          <w:sz w:val="24"/>
          <w:szCs w:val="24"/>
          <w:highlight w:val="none"/>
        </w:rPr>
      </w:pPr>
    </w:p>
    <w:p w14:paraId="1D489FEC">
      <w:pPr>
        <w:spacing w:line="360" w:lineRule="auto"/>
        <w:rPr>
          <w:rFonts w:hint="eastAsia" w:ascii="宋体" w:hAnsi="宋体" w:eastAsia="宋体" w:cs="宋体"/>
          <w:color w:val="auto"/>
          <w:sz w:val="24"/>
          <w:szCs w:val="24"/>
          <w:highlight w:val="none"/>
        </w:rPr>
      </w:pPr>
    </w:p>
    <w:p w14:paraId="766F279C">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14:paraId="26A86A98">
      <w:pPr>
        <w:spacing w:line="360" w:lineRule="auto"/>
        <w:jc w:val="center"/>
        <w:rPr>
          <w:rFonts w:hint="eastAsia" w:ascii="宋体" w:hAnsi="宋体" w:eastAsia="宋体" w:cs="宋体"/>
          <w:color w:val="auto"/>
          <w:sz w:val="24"/>
          <w:szCs w:val="24"/>
          <w:highlight w:val="none"/>
        </w:rPr>
      </w:pPr>
    </w:p>
    <w:p w14:paraId="1E9C7E7F">
      <w:pPr>
        <w:autoSpaceDE w:val="0"/>
        <w:autoSpaceDN w:val="0"/>
        <w:adjustRightInd w:val="0"/>
        <w:spacing w:line="360" w:lineRule="auto"/>
        <w:ind w:right="246" w:firstLine="793" w:firstLineChars="327"/>
        <w:rPr>
          <w:rFonts w:hint="eastAsia" w:ascii="宋体" w:hAnsi="宋体" w:eastAsia="宋体" w:cs="宋体"/>
          <w:color w:val="auto"/>
          <w:kern w:val="0"/>
          <w:sz w:val="24"/>
          <w:szCs w:val="24"/>
          <w:highlight w:val="none"/>
        </w:rPr>
      </w:pPr>
    </w:p>
    <w:p w14:paraId="6DCA8B14">
      <w:pPr>
        <w:pStyle w:val="14"/>
        <w:shd w:val="clear" w:color="auto" w:fill="auto"/>
        <w:tabs>
          <w:tab w:val="left" w:pos="5580"/>
        </w:tabs>
        <w:spacing w:line="360" w:lineRule="auto"/>
        <w:ind w:firstLine="426"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投标人（盖单位章）：                           </w:t>
      </w:r>
    </w:p>
    <w:p w14:paraId="42E8D545">
      <w:pPr>
        <w:pStyle w:val="14"/>
        <w:shd w:val="clear" w:color="auto" w:fill="auto"/>
        <w:tabs>
          <w:tab w:val="left" w:pos="5580"/>
        </w:tabs>
        <w:spacing w:line="360" w:lineRule="auto"/>
        <w:ind w:firstLine="426"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法定代表人（签字或盖章）：                     </w:t>
      </w:r>
    </w:p>
    <w:p w14:paraId="0A42C034">
      <w:pPr>
        <w:shd w:val="clear" w:color="auto" w:fill="auto"/>
        <w:spacing w:line="360" w:lineRule="auto"/>
        <w:ind w:firstLine="426" w:firstLineChars="200"/>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年   月   日 </w:t>
      </w:r>
    </w:p>
    <w:p w14:paraId="7EB49053">
      <w:pPr>
        <w:pStyle w:val="45"/>
        <w:spacing w:line="360" w:lineRule="auto"/>
        <w:ind w:left="0" w:leftChars="0" w:firstLine="0" w:firstLineChars="0"/>
        <w:rPr>
          <w:rFonts w:hint="eastAsia" w:ascii="宋体" w:hAnsi="宋体" w:eastAsia="宋体" w:cs="宋体"/>
          <w:b/>
          <w:color w:val="auto"/>
          <w:sz w:val="28"/>
          <w:szCs w:val="28"/>
          <w:highlight w:val="none"/>
        </w:rPr>
      </w:pPr>
    </w:p>
    <w:p w14:paraId="40F38A33">
      <w:pPr>
        <w:pStyle w:val="45"/>
        <w:spacing w:line="360" w:lineRule="auto"/>
        <w:ind w:left="0" w:leftChars="0" w:firstLine="0" w:firstLineChars="0"/>
        <w:rPr>
          <w:rFonts w:hint="eastAsia" w:ascii="宋体" w:hAnsi="宋体" w:eastAsia="宋体" w:cs="宋体"/>
          <w:b/>
          <w:color w:val="auto"/>
          <w:sz w:val="28"/>
          <w:szCs w:val="28"/>
          <w:highlight w:val="none"/>
        </w:rPr>
      </w:pPr>
    </w:p>
    <w:p w14:paraId="41584150">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D77CA08">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投标文件格式2</w:t>
      </w:r>
      <w:r>
        <w:rPr>
          <w:rFonts w:hint="eastAsia" w:ascii="宋体" w:hAnsi="宋体" w:eastAsia="宋体" w:cs="宋体"/>
          <w:color w:val="auto"/>
          <w:sz w:val="24"/>
          <w:highlight w:val="none"/>
          <w:lang w:val="en-US" w:eastAsia="zh-CN"/>
        </w:rPr>
        <w:t>：</w:t>
      </w:r>
    </w:p>
    <w:p w14:paraId="7A3E8495">
      <w:pPr>
        <w:pStyle w:val="45"/>
        <w:spacing w:line="360" w:lineRule="auto"/>
        <w:rPr>
          <w:rFonts w:hint="eastAsia" w:ascii="宋体" w:hAnsi="宋体" w:eastAsia="宋体" w:cs="宋体"/>
          <w:b/>
          <w:color w:val="auto"/>
          <w:sz w:val="28"/>
          <w:szCs w:val="28"/>
          <w:highlight w:val="none"/>
        </w:rPr>
      </w:pPr>
    </w:p>
    <w:p w14:paraId="791B2FF0">
      <w:pPr>
        <w:pStyle w:val="3"/>
        <w:numPr>
          <w:ilvl w:val="0"/>
          <w:numId w:val="0"/>
        </w:numPr>
        <w:shd w:val="clear" w:color="auto" w:fill="auto"/>
        <w:spacing w:before="0" w:line="360" w:lineRule="auto"/>
        <w:jc w:val="center"/>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法定代表人授权委托书</w:t>
      </w:r>
      <w:bookmarkEnd w:id="95"/>
      <w:bookmarkEnd w:id="96"/>
      <w:bookmarkEnd w:id="97"/>
      <w:bookmarkEnd w:id="98"/>
      <w:bookmarkEnd w:id="106"/>
    </w:p>
    <w:p w14:paraId="0BF8D8EA">
      <w:pPr>
        <w:pStyle w:val="14"/>
        <w:shd w:val="clear" w:color="auto" w:fill="auto"/>
        <w:spacing w:line="360" w:lineRule="auto"/>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2EFAAEBF">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 xml:space="preserve"> </w:t>
      </w:r>
      <w:r>
        <w:rPr>
          <w:rFonts w:hint="eastAsia" w:ascii="宋体" w:hAnsi="宋体" w:eastAsia="宋体" w:cs="宋体"/>
          <w:color w:val="auto"/>
          <w:sz w:val="21"/>
          <w:szCs w:val="16"/>
          <w:highlight w:val="none"/>
        </w:rPr>
        <w:t>本授权书声明</w:t>
      </w:r>
      <w:r>
        <w:rPr>
          <w:rFonts w:hint="eastAsia" w:ascii="宋体" w:hAnsi="宋体" w:eastAsia="宋体" w:cs="宋体"/>
          <w:i w:val="0"/>
          <w:iCs w:val="0"/>
          <w:color w:val="auto"/>
          <w:sz w:val="21"/>
          <w:szCs w:val="16"/>
          <w:highlight w:val="none"/>
        </w:rPr>
        <w:t>：注册于</w:t>
      </w:r>
      <w:r>
        <w:rPr>
          <w:rFonts w:hint="eastAsia" w:ascii="宋体" w:hAnsi="宋体" w:eastAsia="宋体" w:cs="宋体"/>
          <w:i w:val="0"/>
          <w:iCs w:val="0"/>
          <w:color w:val="auto"/>
          <w:sz w:val="21"/>
          <w:szCs w:val="16"/>
          <w:highlight w:val="none"/>
          <w:u w:val="single"/>
        </w:rPr>
        <w:t>（国家或地区的名称）</w:t>
      </w:r>
      <w:r>
        <w:rPr>
          <w:rFonts w:hint="eastAsia" w:ascii="宋体" w:hAnsi="宋体" w:eastAsia="宋体" w:cs="宋体"/>
          <w:i w:val="0"/>
          <w:iCs w:val="0"/>
          <w:color w:val="auto"/>
          <w:sz w:val="21"/>
          <w:szCs w:val="16"/>
          <w:highlight w:val="none"/>
        </w:rPr>
        <w:t>的（</w:t>
      </w:r>
      <w:r>
        <w:rPr>
          <w:rFonts w:hint="eastAsia" w:ascii="宋体" w:hAnsi="宋体" w:eastAsia="宋体" w:cs="宋体"/>
          <w:i w:val="0"/>
          <w:iCs w:val="0"/>
          <w:color w:val="auto"/>
          <w:sz w:val="21"/>
          <w:szCs w:val="16"/>
          <w:highlight w:val="none"/>
          <w:u w:val="single"/>
        </w:rPr>
        <w:t>投标人</w:t>
      </w:r>
      <w:r>
        <w:rPr>
          <w:rFonts w:hint="eastAsia" w:ascii="宋体" w:hAnsi="宋体" w:eastAsia="宋体" w:cs="宋体"/>
          <w:i w:val="0"/>
          <w:iCs w:val="0"/>
          <w:color w:val="auto"/>
          <w:sz w:val="21"/>
          <w:szCs w:val="16"/>
          <w:highlight w:val="none"/>
        </w:rPr>
        <w:t>）的在下面签字的（</w:t>
      </w:r>
      <w:r>
        <w:rPr>
          <w:rFonts w:hint="eastAsia" w:ascii="宋体" w:hAnsi="宋体" w:eastAsia="宋体" w:cs="宋体"/>
          <w:i w:val="0"/>
          <w:iCs w:val="0"/>
          <w:color w:val="auto"/>
          <w:sz w:val="21"/>
          <w:szCs w:val="16"/>
          <w:highlight w:val="none"/>
          <w:u w:val="single"/>
        </w:rPr>
        <w:t>法人代表姓名、职务</w:t>
      </w:r>
      <w:r>
        <w:rPr>
          <w:rFonts w:hint="eastAsia" w:ascii="宋体" w:hAnsi="宋体" w:eastAsia="宋体" w:cs="宋体"/>
          <w:i w:val="0"/>
          <w:iCs w:val="0"/>
          <w:color w:val="auto"/>
          <w:sz w:val="21"/>
          <w:szCs w:val="16"/>
          <w:highlight w:val="none"/>
        </w:rPr>
        <w:t>）代表我单位授权（</w:t>
      </w:r>
      <w:r>
        <w:rPr>
          <w:rFonts w:hint="eastAsia" w:ascii="宋体" w:hAnsi="宋体" w:eastAsia="宋体" w:cs="宋体"/>
          <w:i w:val="0"/>
          <w:iCs w:val="0"/>
          <w:color w:val="auto"/>
          <w:sz w:val="21"/>
          <w:szCs w:val="16"/>
          <w:highlight w:val="none"/>
          <w:u w:val="single"/>
        </w:rPr>
        <w:t>单位名称</w:t>
      </w:r>
      <w:r>
        <w:rPr>
          <w:rFonts w:hint="eastAsia" w:ascii="宋体" w:hAnsi="宋体" w:eastAsia="宋体" w:cs="宋体"/>
          <w:i w:val="0"/>
          <w:iCs w:val="0"/>
          <w:color w:val="auto"/>
          <w:sz w:val="21"/>
          <w:szCs w:val="16"/>
          <w:highlight w:val="none"/>
        </w:rPr>
        <w:t>）的在下面签字的（</w:t>
      </w:r>
      <w:r>
        <w:rPr>
          <w:rFonts w:hint="eastAsia" w:ascii="宋体" w:hAnsi="宋体" w:eastAsia="宋体" w:cs="宋体"/>
          <w:i w:val="0"/>
          <w:iCs w:val="0"/>
          <w:color w:val="auto"/>
          <w:sz w:val="21"/>
          <w:szCs w:val="16"/>
          <w:highlight w:val="none"/>
          <w:u w:val="single"/>
        </w:rPr>
        <w:t>被授权人的姓名、职务</w:t>
      </w:r>
      <w:r>
        <w:rPr>
          <w:rFonts w:hint="eastAsia" w:ascii="宋体" w:hAnsi="宋体" w:eastAsia="宋体" w:cs="宋体"/>
          <w:i w:val="0"/>
          <w:iCs w:val="0"/>
          <w:color w:val="auto"/>
          <w:sz w:val="21"/>
          <w:szCs w:val="16"/>
          <w:highlight w:val="none"/>
        </w:rPr>
        <w:t>）</w:t>
      </w:r>
      <w:r>
        <w:rPr>
          <w:rFonts w:hint="eastAsia" w:ascii="宋体" w:hAnsi="宋体" w:eastAsia="宋体" w:cs="宋体"/>
          <w:color w:val="auto"/>
          <w:sz w:val="21"/>
          <w:szCs w:val="16"/>
          <w:highlight w:val="none"/>
        </w:rPr>
        <w:t>为我单位的合法代理人，</w:t>
      </w:r>
      <w:r>
        <w:rPr>
          <w:rFonts w:hint="eastAsia" w:ascii="宋体" w:hAnsi="宋体" w:eastAsia="宋体" w:cs="宋体"/>
          <w:i w:val="0"/>
          <w:iCs w:val="0"/>
          <w:color w:val="auto"/>
          <w:sz w:val="21"/>
          <w:szCs w:val="16"/>
          <w:highlight w:val="none"/>
        </w:rPr>
        <w:t>就（</w:t>
      </w:r>
      <w:r>
        <w:rPr>
          <w:rFonts w:hint="eastAsia" w:ascii="宋体" w:hAnsi="宋体" w:eastAsia="宋体" w:cs="宋体"/>
          <w:i w:val="0"/>
          <w:iCs w:val="0"/>
          <w:color w:val="auto"/>
          <w:sz w:val="21"/>
          <w:szCs w:val="16"/>
          <w:highlight w:val="none"/>
          <w:u w:val="single"/>
        </w:rPr>
        <w:t>项目名称</w:t>
      </w:r>
      <w:r>
        <w:rPr>
          <w:rFonts w:hint="eastAsia" w:ascii="宋体" w:hAnsi="宋体" w:eastAsia="宋体" w:cs="宋体"/>
          <w:color w:val="auto"/>
          <w:sz w:val="21"/>
          <w:szCs w:val="16"/>
          <w:highlight w:val="none"/>
        </w:rPr>
        <w:t>）投标，以我单位名义处理一切与之有关的事务。</w:t>
      </w:r>
      <w:r>
        <w:rPr>
          <w:rFonts w:hint="eastAsia" w:ascii="宋体" w:hAnsi="宋体" w:eastAsia="宋体" w:cs="宋体"/>
          <w:color w:val="auto"/>
          <w:sz w:val="21"/>
          <w:szCs w:val="16"/>
          <w:highlight w:val="none"/>
        </w:rPr>
        <w:cr/>
      </w:r>
      <w:r>
        <w:rPr>
          <w:rFonts w:hint="eastAsia" w:ascii="宋体" w:hAnsi="宋体" w:eastAsia="宋体" w:cs="宋体"/>
          <w:color w:val="auto"/>
          <w:sz w:val="21"/>
          <w:szCs w:val="16"/>
          <w:highlight w:val="none"/>
        </w:rPr>
        <w:t>　　本授权书于</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年</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月</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日签字生效,特此声明。</w:t>
      </w:r>
      <w:r>
        <w:rPr>
          <w:rFonts w:hint="eastAsia" w:ascii="宋体" w:hAnsi="宋体" w:eastAsia="宋体" w:cs="宋体"/>
          <w:color w:val="auto"/>
          <w:sz w:val="22"/>
          <w:szCs w:val="18"/>
          <w:highlight w:val="none"/>
        </w:rPr>
        <w:cr/>
      </w:r>
    </w:p>
    <w:p w14:paraId="73B53727">
      <w:pPr>
        <w:pStyle w:val="14"/>
        <w:shd w:val="clear" w:color="auto" w:fill="auto"/>
        <w:tabs>
          <w:tab w:val="left" w:pos="5580"/>
        </w:tabs>
        <w:spacing w:line="360" w:lineRule="auto"/>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1587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7FB7495">
                            <w:pPr>
                              <w:rPr>
                                <w:rFonts w:hint="eastAsia" w:hAnsi="宋体"/>
                              </w:rPr>
                            </w:pPr>
                          </w:p>
                          <w:p w14:paraId="56B4E05F">
                            <w:pPr>
                              <w:rPr>
                                <w:rFonts w:hint="eastAsia" w:hAnsi="宋体"/>
                              </w:rPr>
                            </w:pPr>
                          </w:p>
                          <w:p w14:paraId="4998DCCE">
                            <w:pPr>
                              <w:jc w:val="center"/>
                              <w:rPr>
                                <w:rFonts w:hint="eastAsia" w:hAnsi="宋体"/>
                              </w:rPr>
                            </w:pPr>
                            <w:r>
                              <w:rPr>
                                <w:rFonts w:hint="eastAsia" w:hAnsi="宋体"/>
                              </w:rPr>
                              <w:t>法人身份证复印件反面</w:t>
                            </w:r>
                          </w:p>
                          <w:p w14:paraId="0FF3CD5B"/>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57FB7495">
                      <w:pPr>
                        <w:rPr>
                          <w:rFonts w:hint="eastAsia" w:hAnsi="宋体"/>
                        </w:rPr>
                      </w:pPr>
                    </w:p>
                    <w:p w14:paraId="56B4E05F">
                      <w:pPr>
                        <w:rPr>
                          <w:rFonts w:hint="eastAsia" w:hAnsi="宋体"/>
                        </w:rPr>
                      </w:pPr>
                    </w:p>
                    <w:p w14:paraId="4998DCCE">
                      <w:pPr>
                        <w:jc w:val="center"/>
                        <w:rPr>
                          <w:rFonts w:hint="eastAsia" w:hAnsi="宋体"/>
                        </w:rPr>
                      </w:pPr>
                      <w:r>
                        <w:rPr>
                          <w:rFonts w:hint="eastAsia" w:hAnsi="宋体"/>
                        </w:rPr>
                        <w:t>法人身份证复印件反面</w:t>
                      </w:r>
                    </w:p>
                    <w:p w14:paraId="0FF3CD5B"/>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15240" b="825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85A277E">
                            <w:pPr>
                              <w:jc w:val="center"/>
                              <w:rPr>
                                <w:rFonts w:hint="eastAsia" w:hAnsi="宋体"/>
                              </w:rPr>
                            </w:pPr>
                          </w:p>
                          <w:p w14:paraId="794EDBA8">
                            <w:pPr>
                              <w:jc w:val="center"/>
                              <w:rPr>
                                <w:rFonts w:hint="eastAsia" w:hAnsi="宋体"/>
                              </w:rPr>
                            </w:pPr>
                          </w:p>
                          <w:p w14:paraId="3F83C31D">
                            <w:pPr>
                              <w:jc w:val="center"/>
                            </w:pPr>
                            <w:r>
                              <w:rPr>
                                <w:rFonts w:hint="eastAsia" w:hAnsi="宋体"/>
                              </w:rPr>
                              <w:t>法人身份证复印件正面</w:t>
                            </w:r>
                          </w:p>
                          <w:p w14:paraId="2AAB3096">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485A277E">
                      <w:pPr>
                        <w:jc w:val="center"/>
                        <w:rPr>
                          <w:rFonts w:hint="eastAsia" w:hAnsi="宋体"/>
                        </w:rPr>
                      </w:pPr>
                    </w:p>
                    <w:p w14:paraId="794EDBA8">
                      <w:pPr>
                        <w:jc w:val="center"/>
                        <w:rPr>
                          <w:rFonts w:hint="eastAsia" w:hAnsi="宋体"/>
                        </w:rPr>
                      </w:pPr>
                    </w:p>
                    <w:p w14:paraId="3F83C31D">
                      <w:pPr>
                        <w:jc w:val="center"/>
                      </w:pPr>
                      <w:r>
                        <w:rPr>
                          <w:rFonts w:hint="eastAsia" w:hAnsi="宋体"/>
                        </w:rPr>
                        <w:t>法人身份证复印件正面</w:t>
                      </w:r>
                    </w:p>
                    <w:p w14:paraId="2AAB3096">
                      <w:pPr>
                        <w:jc w:val="center"/>
                        <w:rPr>
                          <w:rFonts w:hint="eastAsia" w:hAnsi="宋体"/>
                        </w:rPr>
                      </w:pPr>
                    </w:p>
                  </w:txbxContent>
                </v:textbox>
              </v:shape>
            </w:pict>
          </mc:Fallback>
        </mc:AlternateContent>
      </w:r>
    </w:p>
    <w:p w14:paraId="70F8A24A">
      <w:pPr>
        <w:shd w:val="clear" w:color="auto" w:fill="auto"/>
        <w:spacing w:line="360" w:lineRule="auto"/>
        <w:ind w:firstLine="243" w:firstLineChars="100"/>
        <w:rPr>
          <w:rFonts w:hint="eastAsia" w:ascii="宋体" w:hAnsi="宋体" w:eastAsia="宋体" w:cs="宋体"/>
          <w:color w:val="auto"/>
          <w:sz w:val="24"/>
          <w:highlight w:val="none"/>
        </w:rPr>
      </w:pPr>
    </w:p>
    <w:p w14:paraId="438DEBAA">
      <w:pPr>
        <w:shd w:val="clear" w:color="auto" w:fill="auto"/>
        <w:spacing w:line="360" w:lineRule="auto"/>
        <w:ind w:firstLine="243" w:firstLineChars="100"/>
        <w:rPr>
          <w:rFonts w:hint="eastAsia" w:ascii="宋体" w:hAnsi="宋体" w:eastAsia="宋体" w:cs="宋体"/>
          <w:color w:val="auto"/>
          <w:sz w:val="24"/>
          <w:highlight w:val="none"/>
        </w:rPr>
      </w:pPr>
    </w:p>
    <w:p w14:paraId="752ED6E1">
      <w:pPr>
        <w:shd w:val="clear" w:color="auto" w:fill="auto"/>
        <w:spacing w:line="360" w:lineRule="auto"/>
        <w:ind w:firstLine="243" w:firstLineChars="100"/>
        <w:rPr>
          <w:rFonts w:hint="eastAsia" w:ascii="宋体" w:hAnsi="宋体" w:eastAsia="宋体" w:cs="宋体"/>
          <w:color w:val="auto"/>
          <w:sz w:val="24"/>
          <w:highlight w:val="none"/>
        </w:rPr>
      </w:pPr>
    </w:p>
    <w:p w14:paraId="44C585DE">
      <w:pPr>
        <w:shd w:val="clear" w:color="auto" w:fill="auto"/>
        <w:spacing w:line="360" w:lineRule="auto"/>
        <w:ind w:firstLine="243" w:firstLineChars="100"/>
        <w:rPr>
          <w:rFonts w:hint="eastAsia" w:ascii="宋体" w:hAnsi="宋体" w:eastAsia="宋体" w:cs="宋体"/>
          <w:color w:val="auto"/>
          <w:sz w:val="24"/>
          <w:highlight w:val="none"/>
        </w:rPr>
      </w:pPr>
    </w:p>
    <w:p w14:paraId="56FDDF2F">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714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138FAF2">
                            <w:pPr>
                              <w:jc w:val="center"/>
                              <w:rPr>
                                <w:rFonts w:hint="eastAsia" w:hAnsi="宋体"/>
                              </w:rPr>
                            </w:pPr>
                            <w:r>
                              <w:rPr>
                                <w:rFonts w:hint="eastAsia" w:hAnsi="宋体"/>
                              </w:rPr>
                              <w:t xml:space="preserve">  </w:t>
                            </w:r>
                          </w:p>
                          <w:p w14:paraId="5D3067F4">
                            <w:pPr>
                              <w:jc w:val="both"/>
                              <w:rPr>
                                <w:rFonts w:hint="eastAsia" w:hAnsi="宋体"/>
                              </w:rPr>
                            </w:pPr>
                          </w:p>
                          <w:p w14:paraId="2DFD8DA8">
                            <w:pPr>
                              <w:jc w:val="center"/>
                            </w:pPr>
                            <w:r>
                              <w:rPr>
                                <w:rFonts w:hint="eastAsia" w:hAnsi="宋体"/>
                              </w:rPr>
                              <w:t>授权委托人身份证复印件反面</w:t>
                            </w:r>
                          </w:p>
                          <w:p w14:paraId="7C77C824">
                            <w:pPr>
                              <w:jc w:val="center"/>
                            </w:pPr>
                          </w:p>
                          <w:p w14:paraId="2F3A1046"/>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4138FAF2">
                      <w:pPr>
                        <w:jc w:val="center"/>
                        <w:rPr>
                          <w:rFonts w:hint="eastAsia" w:hAnsi="宋体"/>
                        </w:rPr>
                      </w:pPr>
                      <w:r>
                        <w:rPr>
                          <w:rFonts w:hint="eastAsia" w:hAnsi="宋体"/>
                        </w:rPr>
                        <w:t xml:space="preserve">  </w:t>
                      </w:r>
                    </w:p>
                    <w:p w14:paraId="5D3067F4">
                      <w:pPr>
                        <w:jc w:val="both"/>
                        <w:rPr>
                          <w:rFonts w:hint="eastAsia" w:hAnsi="宋体"/>
                        </w:rPr>
                      </w:pPr>
                    </w:p>
                    <w:p w14:paraId="2DFD8DA8">
                      <w:pPr>
                        <w:jc w:val="center"/>
                      </w:pPr>
                      <w:r>
                        <w:rPr>
                          <w:rFonts w:hint="eastAsia" w:hAnsi="宋体"/>
                        </w:rPr>
                        <w:t>授权委托人身份证复印件反面</w:t>
                      </w:r>
                    </w:p>
                    <w:p w14:paraId="7C77C824">
                      <w:pPr>
                        <w:jc w:val="center"/>
                      </w:pPr>
                    </w:p>
                    <w:p w14:paraId="2F3A1046"/>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15240" b="889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D955EFD">
                            <w:pPr>
                              <w:jc w:val="center"/>
                              <w:rPr>
                                <w:rFonts w:hint="eastAsia" w:hAnsi="宋体"/>
                              </w:rPr>
                            </w:pPr>
                          </w:p>
                          <w:p w14:paraId="25888FC2">
                            <w:pPr>
                              <w:jc w:val="center"/>
                              <w:rPr>
                                <w:rFonts w:hint="eastAsia" w:hAnsi="宋体"/>
                              </w:rPr>
                            </w:pPr>
                          </w:p>
                          <w:p w14:paraId="57CBF625">
                            <w:pPr>
                              <w:jc w:val="center"/>
                            </w:pPr>
                            <w:r>
                              <w:rPr>
                                <w:rFonts w:hint="eastAsia" w:hAnsi="宋体"/>
                              </w:rPr>
                              <w:t>授权委托人身份证复印件正面</w:t>
                            </w:r>
                          </w:p>
                          <w:p w14:paraId="0A98508B">
                            <w:pPr>
                              <w:jc w:val="center"/>
                              <w:rPr>
                                <w:rFonts w:hint="eastAsia" w:hAnsi="宋体"/>
                              </w:rPr>
                            </w:pPr>
                          </w:p>
                          <w:p w14:paraId="4A83317A"/>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1D955EFD">
                      <w:pPr>
                        <w:jc w:val="center"/>
                        <w:rPr>
                          <w:rFonts w:hint="eastAsia" w:hAnsi="宋体"/>
                        </w:rPr>
                      </w:pPr>
                    </w:p>
                    <w:p w14:paraId="25888FC2">
                      <w:pPr>
                        <w:jc w:val="center"/>
                        <w:rPr>
                          <w:rFonts w:hint="eastAsia" w:hAnsi="宋体"/>
                        </w:rPr>
                      </w:pPr>
                    </w:p>
                    <w:p w14:paraId="57CBF625">
                      <w:pPr>
                        <w:jc w:val="center"/>
                      </w:pPr>
                      <w:r>
                        <w:rPr>
                          <w:rFonts w:hint="eastAsia" w:hAnsi="宋体"/>
                        </w:rPr>
                        <w:t>授权委托人身份证复印件正面</w:t>
                      </w:r>
                    </w:p>
                    <w:p w14:paraId="0A98508B">
                      <w:pPr>
                        <w:jc w:val="center"/>
                        <w:rPr>
                          <w:rFonts w:hint="eastAsia" w:hAnsi="宋体"/>
                        </w:rPr>
                      </w:pPr>
                    </w:p>
                    <w:p w14:paraId="4A83317A"/>
                  </w:txbxContent>
                </v:textbox>
              </v:roundrect>
            </w:pict>
          </mc:Fallback>
        </mc:AlternateContent>
      </w:r>
    </w:p>
    <w:p w14:paraId="5C4E8111">
      <w:pPr>
        <w:shd w:val="clear" w:color="auto" w:fill="auto"/>
        <w:spacing w:line="360" w:lineRule="auto"/>
        <w:ind w:firstLine="243" w:firstLineChars="100"/>
        <w:rPr>
          <w:rFonts w:hint="eastAsia" w:ascii="宋体" w:hAnsi="宋体" w:eastAsia="宋体" w:cs="宋体"/>
          <w:color w:val="auto"/>
          <w:sz w:val="24"/>
          <w:highlight w:val="none"/>
        </w:rPr>
      </w:pPr>
    </w:p>
    <w:p w14:paraId="55D03C53">
      <w:pPr>
        <w:shd w:val="clear" w:color="auto" w:fill="auto"/>
        <w:spacing w:line="360" w:lineRule="auto"/>
        <w:ind w:firstLine="243" w:firstLineChars="100"/>
        <w:rPr>
          <w:rFonts w:hint="eastAsia" w:ascii="宋体" w:hAnsi="宋体" w:eastAsia="宋体" w:cs="宋体"/>
          <w:color w:val="auto"/>
          <w:sz w:val="24"/>
          <w:highlight w:val="none"/>
        </w:rPr>
      </w:pPr>
    </w:p>
    <w:p w14:paraId="33EF8421">
      <w:pPr>
        <w:shd w:val="clear" w:color="auto" w:fill="auto"/>
        <w:spacing w:line="360" w:lineRule="auto"/>
        <w:ind w:firstLine="243" w:firstLineChars="100"/>
        <w:rPr>
          <w:rFonts w:hint="eastAsia" w:ascii="宋体" w:hAnsi="宋体" w:eastAsia="宋体" w:cs="宋体"/>
          <w:color w:val="auto"/>
          <w:sz w:val="24"/>
          <w:highlight w:val="none"/>
        </w:rPr>
      </w:pPr>
    </w:p>
    <w:p w14:paraId="658ACB8D">
      <w:pPr>
        <w:pStyle w:val="14"/>
        <w:shd w:val="clear" w:color="auto" w:fill="auto"/>
        <w:tabs>
          <w:tab w:val="left" w:pos="5580"/>
        </w:tabs>
        <w:spacing w:line="360" w:lineRule="auto"/>
        <w:rPr>
          <w:rFonts w:hint="eastAsia" w:ascii="宋体" w:hAnsi="宋体" w:eastAsia="宋体" w:cs="宋体"/>
          <w:color w:val="auto"/>
          <w:sz w:val="24"/>
          <w:highlight w:val="none"/>
        </w:rPr>
      </w:pPr>
    </w:p>
    <w:p w14:paraId="7B179036">
      <w:pPr>
        <w:pStyle w:val="14"/>
        <w:shd w:val="clear" w:color="auto" w:fill="auto"/>
        <w:tabs>
          <w:tab w:val="left" w:pos="5580"/>
        </w:tabs>
        <w:spacing w:line="360" w:lineRule="auto"/>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 xml:space="preserve">                           </w:t>
      </w:r>
    </w:p>
    <w:p w14:paraId="247DE98E">
      <w:pPr>
        <w:pStyle w:val="14"/>
        <w:shd w:val="clear" w:color="auto" w:fill="auto"/>
        <w:tabs>
          <w:tab w:val="left" w:pos="5580"/>
        </w:tabs>
        <w:spacing w:line="360" w:lineRule="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法定代表人（签字或</w:t>
      </w:r>
      <w:r>
        <w:rPr>
          <w:rFonts w:hint="eastAsia" w:ascii="宋体" w:hAnsi="宋体" w:eastAsia="宋体" w:cs="宋体"/>
          <w:color w:val="auto"/>
          <w:sz w:val="21"/>
          <w:szCs w:val="16"/>
          <w:highlight w:val="none"/>
          <w:lang w:val="en-US" w:eastAsia="zh-CN"/>
        </w:rPr>
        <w:t>盖章</w:t>
      </w: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u w:val="single"/>
        </w:rPr>
        <w:t xml:space="preserve">                     </w:t>
      </w:r>
    </w:p>
    <w:p w14:paraId="0F96BA45">
      <w:pPr>
        <w:pStyle w:val="14"/>
        <w:shd w:val="clear" w:color="auto" w:fill="auto"/>
        <w:tabs>
          <w:tab w:val="left" w:pos="5580"/>
        </w:tabs>
        <w:spacing w:line="360" w:lineRule="auto"/>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委托代理人：</w:t>
      </w:r>
      <w:r>
        <w:rPr>
          <w:rFonts w:hint="eastAsia" w:ascii="宋体" w:hAnsi="宋体" w:eastAsia="宋体" w:cs="宋体"/>
          <w:color w:val="auto"/>
          <w:sz w:val="21"/>
          <w:szCs w:val="16"/>
          <w:highlight w:val="none"/>
          <w:u w:val="single"/>
        </w:rPr>
        <w:t xml:space="preserve">                                   </w:t>
      </w:r>
    </w:p>
    <w:p w14:paraId="18D88640">
      <w:pPr>
        <w:shd w:val="clear" w:color="auto" w:fill="auto"/>
        <w:spacing w:line="360" w:lineRule="auto"/>
        <w:ind w:firstLine="426"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1"/>
          <w:szCs w:val="16"/>
          <w:highlight w:val="none"/>
          <w:u w:val="none" w:color="000000"/>
          <w:lang w:val="en-US" w:eastAsia="zh-CN" w:bidi="ar-SA"/>
        </w:rPr>
        <w:t xml:space="preserve">年   月   日 </w:t>
      </w:r>
    </w:p>
    <w:p w14:paraId="5E3EDFBB">
      <w:pPr>
        <w:shd w:val="clear" w:color="auto" w:fill="auto"/>
        <w:spacing w:line="360" w:lineRule="auto"/>
        <w:ind w:firstLine="274" w:firstLineChars="135"/>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注：委托代理人投标的还须提供投标人（被授权人）投标截止时间前半年内任意1个月的社保证明，后附社保证明文件。</w:t>
      </w:r>
    </w:p>
    <w:p w14:paraId="23DE5008">
      <w:pPr>
        <w:pStyle w:val="3"/>
        <w:numPr>
          <w:ilvl w:val="0"/>
          <w:numId w:val="0"/>
        </w:numPr>
        <w:shd w:val="clear" w:color="auto" w:fill="auto"/>
        <w:spacing w:before="0" w:line="360" w:lineRule="auto"/>
        <w:ind w:leftChars="257"/>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br w:type="page"/>
      </w:r>
      <w:bookmarkStart w:id="107" w:name="_Toc26357"/>
    </w:p>
    <w:bookmarkEnd w:id="99"/>
    <w:bookmarkEnd w:id="100"/>
    <w:bookmarkEnd w:id="101"/>
    <w:bookmarkEnd w:id="107"/>
    <w:p w14:paraId="37CB30FC">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投标文件格式3</w:t>
      </w:r>
      <w:r>
        <w:rPr>
          <w:rFonts w:hint="eastAsia" w:ascii="宋体" w:hAnsi="宋体" w:eastAsia="宋体" w:cs="宋体"/>
          <w:color w:val="auto"/>
          <w:sz w:val="24"/>
          <w:highlight w:val="none"/>
          <w:lang w:val="en-US" w:eastAsia="zh-CN"/>
        </w:rPr>
        <w:t>：</w:t>
      </w:r>
    </w:p>
    <w:p w14:paraId="5A3A3C89">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0068CE2C">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诚 信 声 明</w:t>
      </w:r>
    </w:p>
    <w:p w14:paraId="154EA3EE">
      <w:pPr>
        <w:tabs>
          <w:tab w:val="left" w:pos="6300"/>
        </w:tabs>
        <w:snapToGrid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181CC54">
      <w:pPr>
        <w:tabs>
          <w:tab w:val="left" w:pos="6300"/>
        </w:tabs>
        <w:snapToGrid w:val="0"/>
        <w:spacing w:line="360" w:lineRule="auto"/>
        <w:ind w:firstLine="570"/>
        <w:rPr>
          <w:rFonts w:hint="eastAsia" w:ascii="宋体" w:hAnsi="宋体" w:eastAsia="宋体" w:cs="宋体"/>
          <w:sz w:val="21"/>
          <w:szCs w:val="21"/>
        </w:rPr>
      </w:pPr>
    </w:p>
    <w:p w14:paraId="6ACD61B0">
      <w:pPr>
        <w:tabs>
          <w:tab w:val="left" w:pos="6300"/>
        </w:tabs>
        <w:snapToGrid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（采购人）</w:t>
      </w:r>
      <w:r>
        <w:rPr>
          <w:rFonts w:hint="eastAsia" w:ascii="宋体" w:hAnsi="宋体" w:eastAsia="宋体" w:cs="宋体"/>
          <w:sz w:val="21"/>
          <w:szCs w:val="21"/>
        </w:rPr>
        <w:t>：</w:t>
      </w:r>
    </w:p>
    <w:p w14:paraId="1EB9496C">
      <w:pPr>
        <w:tabs>
          <w:tab w:val="left" w:pos="6300"/>
        </w:tabs>
        <w:snapToGrid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申明内容如有不实，我方愿意承担全部责任，自觉接受相关处罚。</w:t>
      </w:r>
    </w:p>
    <w:p w14:paraId="5AE7FE78">
      <w:pPr>
        <w:tabs>
          <w:tab w:val="left" w:pos="6300"/>
        </w:tabs>
        <w:snapToGrid w:val="0"/>
        <w:spacing w:line="360" w:lineRule="auto"/>
        <w:ind w:firstLine="426" w:firstLineChars="200"/>
        <w:rPr>
          <w:rFonts w:hint="eastAsia" w:ascii="宋体" w:hAnsi="宋体" w:eastAsia="宋体" w:cs="宋体"/>
          <w:sz w:val="21"/>
          <w:szCs w:val="21"/>
        </w:rPr>
      </w:pPr>
    </w:p>
    <w:p w14:paraId="64C2B0FB">
      <w:pPr>
        <w:tabs>
          <w:tab w:val="left" w:pos="6300"/>
        </w:tabs>
        <w:snapToGrid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 xml:space="preserve">特此声明。                                  </w:t>
      </w:r>
    </w:p>
    <w:p w14:paraId="698CA4B8">
      <w:pPr>
        <w:tabs>
          <w:tab w:val="left" w:pos="6300"/>
        </w:tabs>
        <w:snapToGrid w:val="0"/>
        <w:spacing w:line="360" w:lineRule="auto"/>
        <w:ind w:firstLine="426" w:firstLineChars="200"/>
        <w:rPr>
          <w:rFonts w:hint="eastAsia" w:ascii="宋体" w:hAnsi="宋体" w:eastAsia="宋体" w:cs="宋体"/>
          <w:sz w:val="21"/>
          <w:szCs w:val="21"/>
        </w:rPr>
      </w:pPr>
    </w:p>
    <w:p w14:paraId="2DA4A893">
      <w:pPr>
        <w:tabs>
          <w:tab w:val="left" w:pos="6300"/>
        </w:tabs>
        <w:snapToGrid w:val="0"/>
        <w:spacing w:line="360" w:lineRule="auto"/>
        <w:ind w:firstLine="426" w:firstLineChars="200"/>
        <w:rPr>
          <w:rFonts w:hint="eastAsia" w:ascii="宋体" w:hAnsi="宋体" w:eastAsia="宋体" w:cs="宋体"/>
          <w:sz w:val="21"/>
          <w:szCs w:val="21"/>
        </w:rPr>
      </w:pPr>
    </w:p>
    <w:p w14:paraId="14737593">
      <w:pPr>
        <w:tabs>
          <w:tab w:val="left" w:pos="6300"/>
        </w:tabs>
        <w:snapToGrid w:val="0"/>
        <w:spacing w:line="360" w:lineRule="auto"/>
        <w:ind w:firstLine="4473" w:firstLineChars="2100"/>
        <w:rPr>
          <w:rFonts w:hint="eastAsia" w:ascii="宋体" w:hAnsi="宋体" w:eastAsia="宋体" w:cs="宋体"/>
          <w:sz w:val="21"/>
          <w:szCs w:val="21"/>
        </w:rPr>
      </w:pPr>
      <w:r>
        <w:rPr>
          <w:rFonts w:hint="eastAsia" w:ascii="宋体" w:hAnsi="宋体" w:eastAsia="宋体" w:cs="宋体"/>
          <w:sz w:val="21"/>
          <w:szCs w:val="21"/>
        </w:rPr>
        <w:t>（投标人公章）</w:t>
      </w:r>
    </w:p>
    <w:p w14:paraId="192DC65B">
      <w:pPr>
        <w:tabs>
          <w:tab w:val="left" w:pos="6300"/>
        </w:tabs>
        <w:snapToGrid w:val="0"/>
        <w:spacing w:line="360" w:lineRule="auto"/>
        <w:ind w:right="480" w:firstLine="570"/>
        <w:jc w:val="center"/>
        <w:rPr>
          <w:rFonts w:hint="eastAsia" w:ascii="宋体" w:hAnsi="宋体" w:eastAsia="宋体" w:cs="宋体"/>
          <w:bCs/>
          <w:sz w:val="21"/>
          <w:szCs w:val="21"/>
        </w:rPr>
      </w:pPr>
      <w:r>
        <w:rPr>
          <w:rFonts w:hint="eastAsia" w:ascii="宋体" w:hAnsi="宋体" w:eastAsia="宋体" w:cs="宋体"/>
          <w:sz w:val="21"/>
          <w:szCs w:val="21"/>
        </w:rPr>
        <w:t xml:space="preserve">                     年   月   日</w:t>
      </w:r>
    </w:p>
    <w:p w14:paraId="70BF4BDB">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4F1EB1DD">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0A327BBC">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4E6F710A">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2C0C5DFD">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2A129989">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2A34C392">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43EA4E0D">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2E45C9AE">
      <w:pPr>
        <w:widowControl/>
        <w:numPr>
          <w:ilvl w:val="0"/>
          <w:numId w:val="0"/>
        </w:numPr>
        <w:kinsoku/>
        <w:topLinePunct w:val="0"/>
        <w:bidi w:val="0"/>
        <w:spacing w:before="100" w:beforeAutospacing="1" w:after="100" w:afterAutospacing="1" w:line="480" w:lineRule="auto"/>
        <w:jc w:val="left"/>
        <w:rPr>
          <w:rFonts w:hint="eastAsia" w:ascii="宋体" w:hAnsi="宋体" w:cs="宋体"/>
          <w:b/>
          <w:bCs/>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投标文件格式</w:t>
      </w:r>
      <w:r>
        <w:rPr>
          <w:rFonts w:hint="eastAsia" w:ascii="宋体" w:hAnsi="宋体" w:cs="宋体"/>
          <w:b/>
          <w:bCs/>
          <w:color w:val="auto"/>
          <w:sz w:val="24"/>
          <w:highlight w:val="none"/>
          <w:lang w:val="en-US" w:eastAsia="zh-CN"/>
        </w:rPr>
        <w:t>4</w:t>
      </w:r>
    </w:p>
    <w:p w14:paraId="389FC722">
      <w:pPr>
        <w:spacing w:line="48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反</w:t>
      </w:r>
      <w:r>
        <w:rPr>
          <w:rFonts w:hint="eastAsia" w:ascii="宋体" w:hAnsi="宋体" w:eastAsia="宋体" w:cs="宋体"/>
          <w:b/>
          <w:bCs/>
          <w:color w:val="auto"/>
          <w:sz w:val="24"/>
          <w:highlight w:val="none"/>
          <w:lang w:val="en-US" w:eastAsia="zh-CN"/>
        </w:rPr>
        <w:t>商业贿赂承诺书</w:t>
      </w:r>
    </w:p>
    <w:p w14:paraId="117B842F">
      <w:pPr>
        <w:autoSpaceDE w:val="0"/>
        <w:autoSpaceDN w:val="0"/>
        <w:adjustRightInd w:val="0"/>
        <w:snapToGrid w:val="0"/>
        <w:spacing w:line="480" w:lineRule="auto"/>
        <w:ind w:firstLine="366" w:firstLineChars="200"/>
        <w:jc w:val="left"/>
        <w:outlineLvl w:val="9"/>
        <w:rPr>
          <w:rFonts w:hint="eastAsia" w:ascii="宋体" w:hAnsi="宋体" w:eastAsia="宋体" w:cs="宋体"/>
          <w:color w:val="000000"/>
          <w:kern w:val="0"/>
          <w:sz w:val="18"/>
          <w:szCs w:val="18"/>
          <w:highlight w:val="none"/>
          <w:lang w:val="zh-CN"/>
        </w:rPr>
      </w:pPr>
    </w:p>
    <w:p w14:paraId="23BB38F6">
      <w:pPr>
        <w:autoSpaceDE w:val="0"/>
        <w:autoSpaceDN w:val="0"/>
        <w:adjustRightInd w:val="0"/>
        <w:snapToGrid w:val="0"/>
        <w:spacing w:line="480" w:lineRule="auto"/>
        <w:ind w:firstLine="406" w:firstLineChars="200"/>
        <w:jc w:val="left"/>
        <w:outlineLvl w:val="9"/>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在</w:t>
      </w:r>
      <w:r>
        <w:rPr>
          <w:rFonts w:hint="eastAsia" w:ascii="宋体" w:hAnsi="宋体" w:eastAsia="宋体" w:cs="宋体"/>
          <w:color w:val="000000"/>
          <w:kern w:val="0"/>
          <w:sz w:val="20"/>
          <w:szCs w:val="20"/>
          <w:highlight w:val="none"/>
          <w:u w:val="single"/>
        </w:rPr>
        <w:t xml:space="preserve">          </w:t>
      </w:r>
      <w:r>
        <w:rPr>
          <w:rFonts w:hint="eastAsia" w:ascii="宋体" w:hAnsi="宋体" w:eastAsia="宋体" w:cs="宋体"/>
          <w:color w:val="000000"/>
          <w:kern w:val="0"/>
          <w:sz w:val="20"/>
          <w:szCs w:val="20"/>
          <w:highlight w:val="none"/>
          <w:u w:val="none"/>
          <w:lang w:val="en-US" w:eastAsia="zh-CN"/>
        </w:rPr>
        <w:t>项目编</w:t>
      </w:r>
      <w:r>
        <w:rPr>
          <w:rFonts w:hint="eastAsia" w:ascii="宋体" w:hAnsi="宋体" w:eastAsia="宋体" w:cs="宋体"/>
          <w:color w:val="000000"/>
          <w:kern w:val="0"/>
          <w:sz w:val="20"/>
          <w:szCs w:val="20"/>
          <w:highlight w:val="none"/>
          <w:u w:val="none"/>
        </w:rPr>
        <w:t>号</w:t>
      </w:r>
      <w:r>
        <w:rPr>
          <w:rFonts w:hint="eastAsia" w:ascii="宋体" w:hAnsi="宋体" w:eastAsia="宋体" w:cs="宋体"/>
          <w:color w:val="000000"/>
          <w:kern w:val="0"/>
          <w:sz w:val="20"/>
          <w:szCs w:val="20"/>
          <w:highlight w:val="none"/>
        </w:rPr>
        <w:t>（</w:t>
      </w:r>
      <w:r>
        <w:rPr>
          <w:rFonts w:hint="eastAsia" w:ascii="宋体" w:hAnsi="宋体" w:eastAsia="宋体" w:cs="宋体"/>
          <w:color w:val="000000"/>
          <w:kern w:val="0"/>
          <w:sz w:val="20"/>
          <w:szCs w:val="20"/>
          <w:highlight w:val="none"/>
          <w:u w:val="single"/>
        </w:rPr>
        <w:t xml:space="preserve">              </w:t>
      </w:r>
      <w:r>
        <w:rPr>
          <w:rFonts w:hint="eastAsia" w:ascii="宋体" w:hAnsi="宋体" w:eastAsia="宋体" w:cs="宋体"/>
          <w:color w:val="000000"/>
          <w:kern w:val="0"/>
          <w:sz w:val="20"/>
          <w:szCs w:val="20"/>
          <w:highlight w:val="none"/>
        </w:rPr>
        <w:t>项目）招标活动中，我公司承诺如下 ：</w:t>
      </w:r>
    </w:p>
    <w:p w14:paraId="355A30F0">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1、不给予国家工作人员及其亲属各种形式的商业贿赂（包括送礼金礼品、有价证券、购物券、回扣、佣金、咨询费、劳务费、赞助费、宣传费、支付旅游费用、报销各种消费凭证、宴请、娱乐等）；</w:t>
      </w:r>
    </w:p>
    <w:p w14:paraId="59B3996B">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2、不与采购人相互勾结私下协议，弄虚作假，搞假投标、陪标、串通投标，明招暗定，暗箱操作。</w:t>
      </w:r>
    </w:p>
    <w:p w14:paraId="3488571A">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3、我公司法人及项目参与人员有亲戚担任业主方副科级以上领导职务时，自愿放弃此次投标权。</w:t>
      </w:r>
    </w:p>
    <w:p w14:paraId="4233C4A4">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如有上述行为，一经发现，我公司及项目参与人员愿意按照《政府采购法》、《招投标法》、《反不正当竞争法》的有关规定接受处罚。</w:t>
      </w:r>
    </w:p>
    <w:p w14:paraId="7E3A7754">
      <w:pPr>
        <w:tabs>
          <w:tab w:val="left" w:pos="6300"/>
        </w:tabs>
        <w:snapToGrid w:val="0"/>
        <w:spacing w:line="480" w:lineRule="auto"/>
        <w:ind w:firstLine="426" w:firstLineChars="200"/>
        <w:rPr>
          <w:rFonts w:hint="eastAsia" w:ascii="宋体" w:hAnsi="宋体" w:eastAsia="宋体" w:cs="宋体"/>
          <w:sz w:val="21"/>
          <w:szCs w:val="21"/>
        </w:rPr>
      </w:pPr>
    </w:p>
    <w:p w14:paraId="1A0E7D30">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lang w:val="en-US" w:eastAsia="zh-CN"/>
        </w:rPr>
        <w:t>投标单位名称</w:t>
      </w:r>
      <w:r>
        <w:rPr>
          <w:rFonts w:hint="eastAsia" w:ascii="宋体" w:hAnsi="宋体" w:eastAsia="宋体" w:cs="宋体"/>
          <w:sz w:val="21"/>
          <w:szCs w:val="21"/>
        </w:rPr>
        <w:t>：（公章）</w:t>
      </w:r>
    </w:p>
    <w:p w14:paraId="2155DF41">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或</w:t>
      </w:r>
      <w:r>
        <w:rPr>
          <w:rFonts w:hint="eastAsia" w:ascii="宋体" w:hAnsi="宋体" w:eastAsia="宋体" w:cs="宋体"/>
          <w:sz w:val="21"/>
          <w:szCs w:val="21"/>
        </w:rPr>
        <w:t>法定代表授权委托人：（签字</w:t>
      </w:r>
      <w:r>
        <w:rPr>
          <w:rFonts w:hint="eastAsia" w:ascii="宋体" w:hAnsi="宋体" w:cs="宋体"/>
          <w:sz w:val="21"/>
          <w:szCs w:val="21"/>
          <w:lang w:val="en-US" w:eastAsia="zh-CN"/>
        </w:rPr>
        <w:t>或盖章</w:t>
      </w:r>
      <w:r>
        <w:rPr>
          <w:rFonts w:hint="eastAsia" w:ascii="宋体" w:hAnsi="宋体" w:eastAsia="宋体" w:cs="宋体"/>
          <w:sz w:val="21"/>
          <w:szCs w:val="21"/>
        </w:rPr>
        <w:t>）</w:t>
      </w:r>
    </w:p>
    <w:p w14:paraId="26A1943F">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年      月     日</w:t>
      </w:r>
    </w:p>
    <w:p w14:paraId="03C8233E">
      <w:pPr>
        <w:widowControl/>
        <w:numPr>
          <w:ilvl w:val="0"/>
          <w:numId w:val="0"/>
        </w:numPr>
        <w:kinsoku/>
        <w:topLinePunct w:val="0"/>
        <w:bidi w:val="0"/>
        <w:spacing w:before="100" w:beforeAutospacing="1" w:after="100" w:afterAutospacing="1" w:line="360" w:lineRule="auto"/>
        <w:jc w:val="left"/>
        <w:rPr>
          <w:rFonts w:hint="eastAsia" w:ascii="宋体" w:hAnsi="宋体" w:cs="宋体"/>
          <w:b/>
          <w:bCs/>
          <w:color w:val="auto"/>
          <w:sz w:val="24"/>
          <w:highlight w:val="none"/>
          <w:lang w:val="en-US" w:eastAsia="zh-CN"/>
        </w:rPr>
      </w:pPr>
    </w:p>
    <w:p w14:paraId="3C7DB43E">
      <w:pPr>
        <w:pStyle w:val="4"/>
        <w:rPr>
          <w:rFonts w:hint="eastAsia" w:ascii="宋体" w:hAnsi="宋体" w:cs="宋体"/>
          <w:b/>
          <w:bCs/>
          <w:color w:val="auto"/>
          <w:sz w:val="24"/>
          <w:highlight w:val="none"/>
          <w:lang w:val="en-US" w:eastAsia="zh-CN"/>
        </w:rPr>
      </w:pPr>
    </w:p>
    <w:p w14:paraId="2917DABD">
      <w:pPr>
        <w:rPr>
          <w:rFonts w:hint="eastAsia" w:ascii="宋体" w:hAnsi="宋体" w:cs="宋体"/>
          <w:b/>
          <w:bCs/>
          <w:color w:val="auto"/>
          <w:sz w:val="24"/>
          <w:highlight w:val="none"/>
          <w:lang w:val="en-US" w:eastAsia="zh-CN"/>
        </w:rPr>
      </w:pPr>
    </w:p>
    <w:p w14:paraId="69C2A205">
      <w:pPr>
        <w:pStyle w:val="4"/>
        <w:rPr>
          <w:rFonts w:hint="eastAsia" w:ascii="宋体" w:hAnsi="宋体" w:cs="宋体"/>
          <w:b/>
          <w:bCs/>
          <w:color w:val="auto"/>
          <w:sz w:val="24"/>
          <w:highlight w:val="none"/>
          <w:lang w:val="en-US" w:eastAsia="zh-CN"/>
        </w:rPr>
      </w:pPr>
    </w:p>
    <w:p w14:paraId="0DE2F9E6">
      <w:pPr>
        <w:rPr>
          <w:rFonts w:hint="eastAsia" w:ascii="宋体" w:hAnsi="宋体" w:cs="宋体"/>
          <w:b/>
          <w:bCs/>
          <w:color w:val="auto"/>
          <w:sz w:val="24"/>
          <w:highlight w:val="none"/>
          <w:lang w:val="en-US" w:eastAsia="zh-CN"/>
        </w:rPr>
      </w:pPr>
    </w:p>
    <w:p w14:paraId="6D49C3F7">
      <w:pPr>
        <w:pStyle w:val="25"/>
        <w:ind w:left="0" w:leftChars="0" w:firstLine="0" w:firstLineChars="0"/>
        <w:rPr>
          <w:rFonts w:hint="eastAsia"/>
          <w:lang w:val="en-US" w:eastAsia="zh-CN"/>
        </w:rPr>
      </w:pPr>
    </w:p>
    <w:p w14:paraId="4B229F5B">
      <w:pPr>
        <w:widowControl/>
        <w:numPr>
          <w:ilvl w:val="0"/>
          <w:numId w:val="0"/>
        </w:numPr>
        <w:kinsoku/>
        <w:topLinePunct w:val="0"/>
        <w:bidi w:val="0"/>
        <w:spacing w:before="100" w:beforeAutospacing="1" w:after="100" w:afterAutospacing="1" w:line="360" w:lineRule="auto"/>
        <w:jc w:val="left"/>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ascii="宋体" w:hAnsi="宋体" w:cs="宋体"/>
          <w:b/>
          <w:bCs/>
          <w:color w:val="auto"/>
          <w:sz w:val="24"/>
          <w:highlight w:val="none"/>
          <w:lang w:val="en-US" w:eastAsia="zh-CN"/>
        </w:rPr>
        <w:t>5</w:t>
      </w:r>
    </w:p>
    <w:p w14:paraId="57F90B28">
      <w:pPr>
        <w:widowControl/>
        <w:numPr>
          <w:ilvl w:val="0"/>
          <w:numId w:val="0"/>
        </w:numPr>
        <w:kinsoku/>
        <w:topLinePunct w:val="0"/>
        <w:bidi w:val="0"/>
        <w:spacing w:before="100" w:beforeAutospacing="1" w:after="100" w:afterAutospacing="1"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中小企业声明函(货物)</w:t>
      </w:r>
    </w:p>
    <w:p w14:paraId="6CE54B2F">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14:paraId="786B9C6E">
      <w:pPr>
        <w:widowControl/>
        <w:kinsoku/>
        <w:topLinePunct w:val="0"/>
        <w:bidi w:val="0"/>
        <w:spacing w:before="100" w:beforeAutospacing="1" w:after="100" w:afterAutospacing="1" w:line="24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1. （标的名称） ，属于（</w:t>
      </w:r>
      <w:r>
        <w:rPr>
          <w:rFonts w:hint="eastAsia" w:ascii="宋体" w:hAnsi="宋体" w:eastAsia="宋体" w:cs="宋体"/>
          <w:u w:val="single"/>
        </w:rPr>
        <w:t>采购文件中明确的所属行业</w:t>
      </w:r>
      <w:r>
        <w:rPr>
          <w:rFonts w:hint="eastAsia" w:ascii="宋体" w:hAnsi="宋体" w:eastAsia="宋体" w:cs="宋体"/>
          <w:color w:val="auto"/>
          <w:kern w:val="2"/>
          <w:sz w:val="21"/>
          <w:szCs w:val="21"/>
          <w:u w:val="none" w:color="000000"/>
          <w:lang w:val="en-US" w:eastAsia="zh-CN" w:bidi="ar-SA"/>
        </w:rPr>
        <w:t xml:space="preserve">） 行业；制造商为（企业名称），从业人员     人，营业收 入为   万元，资产总额为   万元，属于（中型企业、小型企业、微型企业）； </w:t>
      </w:r>
    </w:p>
    <w:p w14:paraId="0A3E3F83">
      <w:pPr>
        <w:widowControl/>
        <w:kinsoku/>
        <w:topLinePunct w:val="0"/>
        <w:bidi w:val="0"/>
        <w:spacing w:before="100" w:beforeAutospacing="1" w:after="100" w:afterAutospacing="1" w:line="24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2. （标的名称） ，属于（</w:t>
      </w:r>
      <w:r>
        <w:rPr>
          <w:rFonts w:hint="eastAsia" w:ascii="宋体" w:hAnsi="宋体" w:eastAsia="宋体" w:cs="宋体"/>
          <w:u w:val="single"/>
        </w:rPr>
        <w:t>采购文件中明确的所属行业</w:t>
      </w:r>
      <w:r>
        <w:rPr>
          <w:rFonts w:hint="eastAsia" w:ascii="宋体" w:hAnsi="宋体" w:eastAsia="宋体" w:cs="宋体"/>
          <w:color w:val="auto"/>
          <w:kern w:val="2"/>
          <w:sz w:val="21"/>
          <w:szCs w:val="21"/>
          <w:u w:val="none" w:color="000000"/>
          <w:lang w:val="en-US" w:eastAsia="zh-CN" w:bidi="ar-SA"/>
        </w:rPr>
        <w:t xml:space="preserve">）行业；制造商为（企业名称），从业人员     人，营业收入为    万元，资产总额为员     万元，属于（中型企业、小型企业、微型企业）； </w:t>
      </w:r>
    </w:p>
    <w:p w14:paraId="027D300C">
      <w:pPr>
        <w:pStyle w:val="10"/>
        <w:spacing w:line="240" w:lineRule="auto"/>
        <w:ind w:firstLine="426" w:firstLineChars="20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color w:val="auto"/>
          <w:kern w:val="2"/>
          <w:sz w:val="21"/>
          <w:szCs w:val="21"/>
          <w:u w:val="none" w:color="000000"/>
          <w:lang w:val="en-US" w:eastAsia="zh-CN" w:bidi="ar-SA"/>
        </w:rPr>
        <w:t>.</w:t>
      </w:r>
      <w:r>
        <w:rPr>
          <w:rFonts w:hint="eastAsia" w:ascii="宋体" w:hAnsi="宋体" w:eastAsia="宋体" w:cs="宋体"/>
          <w:lang w:val="en-US" w:eastAsia="zh-CN"/>
        </w:rPr>
        <w:t xml:space="preserve">   </w:t>
      </w:r>
      <w:r>
        <w:rPr>
          <w:rFonts w:hint="eastAsia" w:ascii="宋体" w:hAnsi="宋体" w:eastAsia="宋体" w:cs="宋体"/>
          <w:color w:val="auto"/>
          <w:kern w:val="2"/>
          <w:sz w:val="21"/>
          <w:szCs w:val="21"/>
          <w:u w:val="none" w:color="000000"/>
          <w:lang w:val="en-US" w:eastAsia="zh-CN" w:bidi="ar-SA"/>
        </w:rPr>
        <w:t>......</w:t>
      </w:r>
    </w:p>
    <w:p w14:paraId="7BAADBCE">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14:paraId="19DEACB0">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14:paraId="7B12CBDB">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14:paraId="633312B3">
      <w:pPr>
        <w:widowControl/>
        <w:kinsoku/>
        <w:topLinePunct w:val="0"/>
        <w:bidi w:val="0"/>
        <w:spacing w:before="100" w:beforeAutospacing="1" w:after="100" w:afterAutospacing="1" w:line="360" w:lineRule="auto"/>
        <w:ind w:firstLine="420"/>
        <w:jc w:val="left"/>
        <w:rPr>
          <w:rFonts w:hint="eastAsia" w:ascii="宋体" w:hAnsi="宋体" w:eastAsia="宋体" w:cs="宋体"/>
          <w:kern w:val="0"/>
          <w:sz w:val="24"/>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 xml:space="preserve">    </w:t>
      </w:r>
    </w:p>
    <w:p w14:paraId="4B5AE5CF">
      <w:pPr>
        <w:pStyle w:val="25"/>
        <w:kinsoku/>
        <w:topLinePunct w:val="0"/>
        <w:bidi w:val="0"/>
        <w:spacing w:line="380" w:lineRule="exac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注：①从业人员、营业收入、资产总额填报上一年度数据，无上一年度数据的新成立企业可不填报。</w:t>
      </w:r>
    </w:p>
    <w:p w14:paraId="73ECD5C3">
      <w:pPr>
        <w:pStyle w:val="25"/>
        <w:kinsoku/>
        <w:topLinePunct w:val="0"/>
        <w:bidi w:val="0"/>
        <w:spacing w:line="380" w:lineRule="exact"/>
        <w:ind w:firstLine="549" w:firstLineChars="300"/>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②投标人须按招标文件中明确的所属行业填列，</w:t>
      </w:r>
      <w:r>
        <w:rPr>
          <w:rFonts w:hint="eastAsia" w:ascii="宋体" w:hAnsi="宋体" w:eastAsia="宋体" w:cs="宋体"/>
          <w:color w:val="auto"/>
          <w:kern w:val="0"/>
          <w:sz w:val="18"/>
          <w:szCs w:val="18"/>
          <w:highlight w:val="yellow"/>
          <w:lang w:val="en-US" w:eastAsia="zh-CN" w:bidi="ar"/>
        </w:rPr>
        <w:t>多品目</w:t>
      </w:r>
      <w:r>
        <w:rPr>
          <w:rFonts w:hint="eastAsia" w:ascii="宋体" w:hAnsi="宋体" w:cs="宋体"/>
          <w:color w:val="auto"/>
          <w:kern w:val="0"/>
          <w:sz w:val="18"/>
          <w:szCs w:val="18"/>
          <w:highlight w:val="yellow"/>
          <w:lang w:val="en-US" w:eastAsia="zh-CN" w:bidi="ar"/>
        </w:rPr>
        <w:t>（多个标的物）</w:t>
      </w:r>
      <w:r>
        <w:rPr>
          <w:rFonts w:hint="eastAsia" w:ascii="宋体" w:hAnsi="宋体" w:eastAsia="宋体" w:cs="宋体"/>
          <w:color w:val="auto"/>
          <w:kern w:val="0"/>
          <w:sz w:val="18"/>
          <w:szCs w:val="18"/>
          <w:highlight w:val="yellow"/>
          <w:lang w:val="en-US" w:eastAsia="zh-CN" w:bidi="ar"/>
        </w:rPr>
        <w:t>项目中须按上表要求</w:t>
      </w:r>
      <w:r>
        <w:rPr>
          <w:rFonts w:hint="eastAsia" w:ascii="宋体" w:hAnsi="宋体" w:eastAsia="宋体" w:cs="宋体"/>
          <w:color w:val="0000FF"/>
          <w:kern w:val="0"/>
          <w:sz w:val="18"/>
          <w:szCs w:val="18"/>
          <w:highlight w:val="yellow"/>
          <w:lang w:val="en-US" w:eastAsia="zh-CN" w:bidi="ar"/>
        </w:rPr>
        <w:t>逐条</w:t>
      </w:r>
      <w:r>
        <w:rPr>
          <w:rFonts w:hint="eastAsia" w:ascii="宋体" w:hAnsi="宋体" w:eastAsia="宋体" w:cs="宋体"/>
          <w:color w:val="auto"/>
          <w:kern w:val="0"/>
          <w:sz w:val="18"/>
          <w:szCs w:val="18"/>
          <w:highlight w:val="yellow"/>
          <w:lang w:val="en-US" w:eastAsia="zh-CN" w:bidi="ar"/>
        </w:rPr>
        <w:t>填列</w:t>
      </w:r>
      <w:r>
        <w:rPr>
          <w:rFonts w:hint="eastAsia" w:ascii="宋体" w:hAnsi="宋体" w:eastAsia="宋体" w:cs="宋体"/>
          <w:color w:val="auto"/>
          <w:kern w:val="0"/>
          <w:sz w:val="18"/>
          <w:szCs w:val="18"/>
          <w:lang w:val="en-US" w:eastAsia="zh-CN" w:bidi="ar"/>
        </w:rPr>
        <w:t>，否则，其提供的中小企业声明将被判定为无效声明函，由此造成的后果由投标人自行承担（涉及资格的按无效投标处理；涉及价格评审优惠的，不予认定）</w:t>
      </w:r>
    </w:p>
    <w:p w14:paraId="41867627">
      <w:pPr>
        <w:pStyle w:val="25"/>
        <w:kinsoku/>
        <w:topLinePunct w:val="0"/>
        <w:bidi w:val="0"/>
        <w:spacing w:line="380" w:lineRule="exact"/>
        <w:ind w:firstLine="549" w:firstLineChars="300"/>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③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w:t>
      </w:r>
    </w:p>
    <w:p w14:paraId="09E794A5">
      <w:pPr>
        <w:rPr>
          <w:rFonts w:hint="eastAsia" w:ascii="宋体" w:hAnsi="宋体" w:eastAsia="宋体" w:cs="宋体"/>
          <w:lang w:val="en-US" w:eastAsia="zh-CN"/>
        </w:rPr>
      </w:pPr>
    </w:p>
    <w:p w14:paraId="3D4080AC">
      <w:pPr>
        <w:pStyle w:val="3"/>
        <w:numPr>
          <w:ilvl w:val="0"/>
          <w:numId w:val="0"/>
        </w:numPr>
        <w:kinsoku/>
        <w:topLinePunct w:val="0"/>
        <w:bidi w:val="0"/>
        <w:spacing w:line="360" w:lineRule="auto"/>
        <w:jc w:val="center"/>
        <w:rPr>
          <w:rFonts w:hint="eastAsia" w:ascii="宋体" w:hAnsi="宋体" w:eastAsia="宋体" w:cs="宋体"/>
          <w:b/>
          <w:bCs/>
        </w:rPr>
      </w:pPr>
      <w:r>
        <w:rPr>
          <w:rFonts w:hint="eastAsia" w:ascii="宋体" w:hAnsi="宋体" w:eastAsia="宋体" w:cs="宋体"/>
          <w:b/>
          <w:bCs/>
        </w:rPr>
        <w:t xml:space="preserve"> 残疾人福利性单位声明函</w:t>
      </w:r>
    </w:p>
    <w:p w14:paraId="66B97A76">
      <w:pPr>
        <w:kinsoku/>
        <w:topLinePunct w:val="0"/>
        <w:bidi w:val="0"/>
        <w:spacing w:line="360" w:lineRule="auto"/>
        <w:ind w:left="1087" w:leftChars="257" w:hanging="540"/>
        <w:jc w:val="center"/>
        <w:rPr>
          <w:rFonts w:hint="eastAsia" w:ascii="宋体" w:hAnsi="宋体" w:eastAsia="宋体" w:cs="宋体"/>
          <w:kern w:val="0"/>
          <w:sz w:val="24"/>
          <w:szCs w:val="20"/>
        </w:rPr>
      </w:pPr>
    </w:p>
    <w:p w14:paraId="7DC9D8CC">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8C0E544">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14:paraId="5C629C7B">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14:paraId="710647A8">
      <w:pPr>
        <w:widowControl/>
        <w:kinsoku/>
        <w:topLinePunct w:val="0"/>
        <w:bidi w:val="0"/>
        <w:spacing w:before="100" w:beforeAutospacing="1" w:after="100" w:afterAutospacing="1" w:line="360" w:lineRule="auto"/>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_________________________</w:t>
      </w:r>
    </w:p>
    <w:p w14:paraId="11F11911">
      <w:pPr>
        <w:pStyle w:val="3"/>
        <w:numPr>
          <w:ilvl w:val="0"/>
          <w:numId w:val="0"/>
        </w:numPr>
        <w:shd w:val="clear" w:color="auto" w:fill="auto"/>
        <w:spacing w:before="0" w:line="360" w:lineRule="auto"/>
        <w:rPr>
          <w:rFonts w:hint="eastAsia" w:ascii="宋体" w:hAnsi="宋体" w:eastAsia="宋体" w:cs="宋体"/>
          <w:color w:val="auto"/>
          <w:sz w:val="24"/>
          <w:highlight w:val="none"/>
        </w:rPr>
      </w:pPr>
    </w:p>
    <w:p w14:paraId="1CD3FB53">
      <w:pPr>
        <w:pStyle w:val="3"/>
        <w:numPr>
          <w:ilvl w:val="0"/>
          <w:numId w:val="0"/>
        </w:numPr>
        <w:shd w:val="clear" w:color="auto" w:fill="auto"/>
        <w:spacing w:before="0" w:line="360" w:lineRule="auto"/>
        <w:rPr>
          <w:rFonts w:hint="eastAsia" w:ascii="宋体" w:hAnsi="宋体" w:eastAsia="宋体" w:cs="宋体"/>
          <w:color w:val="auto"/>
          <w:sz w:val="24"/>
          <w:highlight w:val="none"/>
        </w:rPr>
      </w:pPr>
    </w:p>
    <w:p w14:paraId="6AE0D18F">
      <w:pPr>
        <w:pStyle w:val="89"/>
        <w:ind w:left="0" w:leftChars="0" w:firstLine="0" w:firstLineChars="0"/>
        <w:rPr>
          <w:rFonts w:hint="eastAsia" w:ascii="宋体" w:hAnsi="宋体" w:eastAsia="宋体" w:cs="宋体"/>
          <w:color w:val="auto"/>
          <w:sz w:val="24"/>
          <w:highlight w:val="none"/>
        </w:rPr>
      </w:pPr>
    </w:p>
    <w:p w14:paraId="2CC48222">
      <w:pPr>
        <w:pStyle w:val="89"/>
        <w:rPr>
          <w:rFonts w:hint="eastAsia" w:ascii="宋体" w:hAnsi="宋体" w:eastAsia="宋体" w:cs="宋体"/>
          <w:color w:val="auto"/>
          <w:sz w:val="24"/>
          <w:highlight w:val="none"/>
        </w:rPr>
      </w:pPr>
    </w:p>
    <w:bookmarkEnd w:id="102"/>
    <w:bookmarkEnd w:id="103"/>
    <w:bookmarkEnd w:id="104"/>
    <w:bookmarkEnd w:id="105"/>
    <w:p w14:paraId="7C287D45">
      <w:pPr>
        <w:rPr>
          <w:rFonts w:hint="eastAsia" w:ascii="宋体" w:hAnsi="宋体" w:eastAsia="宋体" w:cs="宋体"/>
          <w:b/>
          <w:bCs/>
          <w:color w:val="auto"/>
          <w:sz w:val="28"/>
          <w:szCs w:val="28"/>
          <w:lang w:val="en-US" w:eastAsia="zh-CN"/>
        </w:rPr>
      </w:pPr>
      <w:bookmarkStart w:id="108" w:name="_Toc10107"/>
      <w:bookmarkStart w:id="109" w:name="_Toc23473"/>
      <w:bookmarkStart w:id="110" w:name="_Toc1266"/>
    </w:p>
    <w:p w14:paraId="4A83A279">
      <w:pPr>
        <w:rPr>
          <w:rFonts w:hint="eastAsia" w:ascii="宋体" w:hAnsi="宋体" w:eastAsia="宋体" w:cs="宋体"/>
          <w:b/>
          <w:bCs/>
          <w:color w:val="auto"/>
          <w:sz w:val="28"/>
          <w:szCs w:val="28"/>
          <w:lang w:val="en-US" w:eastAsia="zh-CN"/>
        </w:rPr>
      </w:pPr>
    </w:p>
    <w:p w14:paraId="23411644">
      <w:pPr>
        <w:rPr>
          <w:rFonts w:hint="eastAsia" w:ascii="宋体" w:hAnsi="宋体" w:eastAsia="宋体" w:cs="宋体"/>
          <w:b/>
          <w:bCs/>
          <w:color w:val="auto"/>
          <w:sz w:val="28"/>
          <w:szCs w:val="28"/>
          <w:lang w:val="en-US" w:eastAsia="zh-CN"/>
        </w:rPr>
      </w:pPr>
    </w:p>
    <w:p w14:paraId="22152720">
      <w:pPr>
        <w:rPr>
          <w:rFonts w:hint="eastAsia" w:ascii="宋体" w:hAnsi="宋体" w:eastAsia="宋体" w:cs="宋体"/>
          <w:b/>
          <w:bCs/>
          <w:color w:val="auto"/>
          <w:sz w:val="28"/>
          <w:szCs w:val="28"/>
          <w:lang w:val="en-US" w:eastAsia="zh-CN"/>
        </w:rPr>
      </w:pPr>
    </w:p>
    <w:p w14:paraId="141E560E">
      <w:pPr>
        <w:rPr>
          <w:rFonts w:hint="eastAsia" w:ascii="宋体" w:hAnsi="宋体" w:eastAsia="宋体" w:cs="宋体"/>
          <w:b/>
          <w:bCs/>
          <w:color w:val="auto"/>
          <w:sz w:val="28"/>
          <w:szCs w:val="28"/>
          <w:lang w:val="en-US" w:eastAsia="zh-CN"/>
        </w:rPr>
      </w:pPr>
    </w:p>
    <w:p w14:paraId="1818AC75">
      <w:pPr>
        <w:rPr>
          <w:rFonts w:hint="eastAsia" w:ascii="宋体" w:hAnsi="宋体" w:eastAsia="宋体" w:cs="宋体"/>
          <w:b/>
          <w:bCs/>
          <w:color w:val="auto"/>
          <w:sz w:val="28"/>
          <w:szCs w:val="28"/>
          <w:lang w:val="en-US" w:eastAsia="zh-CN"/>
        </w:rPr>
      </w:pPr>
    </w:p>
    <w:p w14:paraId="5BEBDF46">
      <w:pPr>
        <w:rPr>
          <w:rFonts w:hint="eastAsia" w:ascii="宋体" w:hAnsi="宋体" w:eastAsia="宋体" w:cs="宋体"/>
          <w:b/>
          <w:bCs/>
          <w:color w:val="auto"/>
          <w:sz w:val="28"/>
          <w:szCs w:val="28"/>
          <w:lang w:val="en-US" w:eastAsia="zh-CN"/>
        </w:rPr>
      </w:pPr>
    </w:p>
    <w:p w14:paraId="3668EB61">
      <w:pPr>
        <w:rPr>
          <w:rFonts w:hint="eastAsia" w:ascii="宋体" w:hAnsi="宋体" w:eastAsia="宋体" w:cs="宋体"/>
          <w:b/>
          <w:bCs/>
          <w:color w:val="auto"/>
          <w:sz w:val="28"/>
          <w:szCs w:val="28"/>
          <w:lang w:val="en-US" w:eastAsia="zh-CN"/>
        </w:rPr>
      </w:pPr>
    </w:p>
    <w:p w14:paraId="03884BB9">
      <w:pPr>
        <w:rPr>
          <w:rFonts w:hint="eastAsia" w:ascii="宋体" w:hAnsi="宋体" w:eastAsia="宋体" w:cs="宋体"/>
          <w:b/>
          <w:bCs/>
          <w:color w:val="auto"/>
          <w:sz w:val="28"/>
          <w:szCs w:val="28"/>
          <w:lang w:val="en-US" w:eastAsia="zh-CN"/>
        </w:rPr>
      </w:pPr>
    </w:p>
    <w:p w14:paraId="6DBF24A9">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0AC81A80">
      <w:pPr>
        <w:pStyle w:val="25"/>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各行业划型标准： </w:t>
      </w:r>
    </w:p>
    <w:p w14:paraId="1899EE99">
      <w:pPr>
        <w:pStyle w:val="25"/>
        <w:numPr>
          <w:ilvl w:val="0"/>
          <w:numId w:val="20"/>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农、林、牧、渔业。营业收入 20000 万元以下的为中小微型企业。其中，营业收入 500 万元及以上的为中型企业，营业收入 50 万元及以上的为小型企业，营业收入50 万元以下的为微型企业。 </w:t>
      </w:r>
    </w:p>
    <w:p w14:paraId="1E9EECAF">
      <w:pPr>
        <w:pStyle w:val="25"/>
        <w:numPr>
          <w:ilvl w:val="0"/>
          <w:numId w:val="20"/>
        </w:numPr>
        <w:kinsoku/>
        <w:topLinePunct w:val="0"/>
        <w:bidi w:val="0"/>
        <w:spacing w:line="360" w:lineRule="auto"/>
        <w:ind w:left="0" w:leftChars="0" w:firstLine="0" w:firstLineChars="0"/>
        <w:rPr>
          <w:rFonts w:hint="eastAsia" w:ascii="宋体" w:hAnsi="宋体" w:eastAsia="宋体" w:cs="宋体"/>
          <w:color w:val="auto"/>
          <w:kern w:val="2"/>
          <w:sz w:val="21"/>
          <w:szCs w:val="21"/>
          <w:highlight w:val="yellow"/>
          <w:u w:val="none" w:color="000000"/>
          <w:lang w:val="en-US" w:eastAsia="zh-CN" w:bidi="ar-SA"/>
        </w:rPr>
      </w:pPr>
      <w:r>
        <w:rPr>
          <w:rFonts w:hint="eastAsia" w:ascii="宋体" w:hAnsi="宋体" w:eastAsia="宋体" w:cs="宋体"/>
          <w:color w:val="auto"/>
          <w:kern w:val="2"/>
          <w:sz w:val="21"/>
          <w:szCs w:val="21"/>
          <w:highlight w:val="yellow"/>
          <w:u w:val="none" w:color="000000"/>
          <w:lang w:val="en-US" w:eastAsia="zh-CN" w:bidi="ar-SA"/>
        </w:rPr>
        <w:t xml:space="preserve">工业。从业人员 1000 人以下或营业收入 40000 万元以下的为中小微型企业。其中，从业人员 300 人及以上，且营业收入 2000 万元及以上的为中型企业；从业人员20 人及以上，且营业收入 300 万元及以上的为小型企业；从业人员 20 人以下或营业收入300 万元以下的为微型企业。 </w:t>
      </w:r>
    </w:p>
    <w:p w14:paraId="528241AA">
      <w:pPr>
        <w:pStyle w:val="25"/>
        <w:numPr>
          <w:ilvl w:val="0"/>
          <w:numId w:val="20"/>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建筑业。营业收入 80000 万元以下或资产总额 80000 万元以下的为中小微型企业。其中，营业收入 6000 万元及以上，且资产总额 5000 万元及以上的为中型企业；营业收入300 万元及以上，且资产总额 300 万元及以上的为小型企业；营业收入300 万元以下或资产总额 300 万元以下的为微型企业。 （四）批发业。从业人员 200 人以下或营业收入 40000 万元以下的为中小微型企业。其中，从业人员 20 人及以上，且营业收入 5000 万元及以上的为中型企业；从业人员5 人及以上，且营业收入 1000 万元及以上的为小型企业；从业人员 5 人以下或营业收入1000 万元以下的为微型企业。 </w:t>
      </w:r>
    </w:p>
    <w:p w14:paraId="5D52F43B">
      <w:pPr>
        <w:pStyle w:val="25"/>
        <w:numPr>
          <w:ilvl w:val="0"/>
          <w:numId w:val="20"/>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人以下或营业收入100 万元以下的为微型企业。 </w:t>
      </w:r>
    </w:p>
    <w:p w14:paraId="7E1D1BFB">
      <w:pPr>
        <w:pStyle w:val="25"/>
        <w:numPr>
          <w:ilvl w:val="0"/>
          <w:numId w:val="20"/>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交通运输业。从业人员 1000 人以下或营业收入 30000 万元以下的为中小微型企业。其中，从业人员 300 人及以上，且营业收入 3000 万元及以上的为中型企业；从业人员20 人及以上，且营业收入 200 万元及以上的为小型企业；从业人员 20 人以下或营业收入200万元以下的为微型企业。 </w:t>
      </w:r>
    </w:p>
    <w:p w14:paraId="06D2B04D">
      <w:pPr>
        <w:pStyle w:val="25"/>
        <w:numPr>
          <w:ilvl w:val="0"/>
          <w:numId w:val="20"/>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仓储业。从业人员 200 人以下或营业收入 30000 万元以下的为中小微型企业。其中，从业人员 100 人及以上，且营业收入 1000 万元及以上的为中型企业；从业人员20 人及以上，且营业收入 100 万元及以上的为小型企业；从业人员 20 人以下或营业收入100 万元以下的为微型企业。 </w:t>
      </w:r>
    </w:p>
    <w:p w14:paraId="7BF4E842">
      <w:pPr>
        <w:pStyle w:val="25"/>
        <w:numPr>
          <w:ilvl w:val="0"/>
          <w:numId w:val="20"/>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邮政业。从业人员 1000 人以下或营业收入 30000 万元以下的为中小微型企业。其中，从业人员 300 人及以上，且营业收入 2000 万元及以上的为中型企业；从业人员20人及以上，且营业收入 100 万元及以上的为小型企业；从业人员 20 人以下或营业收入100万元以下的为微型企业。 （九）住宿业。从业人员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人以下或营业收入100 万元以下的为微型企业。 （十）餐饮业。从业人员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人以下或营业收入100 万元以下的为微型企业。 </w:t>
      </w:r>
    </w:p>
    <w:p w14:paraId="7AABC3C1">
      <w:pPr>
        <w:pStyle w:val="25"/>
        <w:numPr>
          <w:ilvl w:val="0"/>
          <w:numId w:val="21"/>
        </w:numPr>
        <w:kinsoku/>
        <w:topLinePunct w:val="0"/>
        <w:bidi w:val="0"/>
        <w:spacing w:line="360" w:lineRule="auto"/>
        <w:ind w:left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万元及以上的为小型企业；从业人员10 人以下或营业收入100 万元以下的为微型企业。</w:t>
      </w:r>
    </w:p>
    <w:p w14:paraId="74DFBF42">
      <w:pPr>
        <w:pStyle w:val="25"/>
        <w:numPr>
          <w:ilvl w:val="0"/>
          <w:numId w:val="21"/>
        </w:numPr>
        <w:kinsoku/>
        <w:topLinePunct w:val="0"/>
        <w:bidi w:val="0"/>
        <w:spacing w:line="360" w:lineRule="auto"/>
        <w:ind w:left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软件和信息技术服务业。从业人员 300 人以下或营业收入10000 万元以下的为 27 中小微型企业。其中，从业人员 100 人及以上，且营业收入 1000 万元及以上的为中型企业；从业人员 10 人及以上，且营业收入 50 万元及以上的为小型企业；从业人员10 人以下或营业收入 50 万元以下的为微型企业。 </w:t>
      </w:r>
    </w:p>
    <w:p w14:paraId="5828E52B">
      <w:pPr>
        <w:pStyle w:val="25"/>
        <w:numPr>
          <w:ilvl w:val="0"/>
          <w:numId w:val="21"/>
        </w:numPr>
        <w:kinsoku/>
        <w:topLinePunct w:val="0"/>
        <w:bidi w:val="0"/>
        <w:spacing w:line="360" w:lineRule="auto"/>
        <w:ind w:left="0" w:leftChars="0" w:firstLine="213" w:firstLineChars="10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房地产开发经营。营业收入 200000 万元以下或资产总额10000 万元以下的为中小微型企业。其中，营业收入 1000 万元及以上，且资产总额 5000 万元及以上的为中型企业；营业收入 100 万元及以上，且资产总额 2000 万元及以上的为小型企业；营业收入100万元以下或资产总额 2000 万元以下的为微型企业。 </w:t>
      </w:r>
    </w:p>
    <w:p w14:paraId="2F1D7FC6">
      <w:pPr>
        <w:pStyle w:val="25"/>
        <w:numPr>
          <w:ilvl w:val="0"/>
          <w:numId w:val="21"/>
        </w:numPr>
        <w:kinsoku/>
        <w:topLinePunct w:val="0"/>
        <w:bidi w:val="0"/>
        <w:spacing w:line="360" w:lineRule="auto"/>
        <w:ind w:left="0" w:leftChars="0" w:firstLine="213" w:firstLineChars="10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物业管理。从业人员 1000 人以下或营业收入 5000 万元以下的为中小微型企业。其中，从业人员 300 人及以上，且营业收入 1000 万元及以上的为中型企业；从业人员100人及以上，且营业收入 500 万元及以上的为小型企业；从业人员 100 人以下或营业收入500万元以下的为微型企业。 </w:t>
      </w:r>
    </w:p>
    <w:p w14:paraId="607520E7">
      <w:pPr>
        <w:pStyle w:val="25"/>
        <w:numPr>
          <w:ilvl w:val="0"/>
          <w:numId w:val="21"/>
        </w:numPr>
        <w:kinsoku/>
        <w:topLinePunct w:val="0"/>
        <w:bidi w:val="0"/>
        <w:spacing w:line="360" w:lineRule="auto"/>
        <w:ind w:left="0" w:leftChars="0" w:firstLine="213" w:firstLineChars="10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万元及以上的为小型企业；从业人员10 人以下或资产总额 100 万元以下的为微型企业。 </w:t>
      </w:r>
    </w:p>
    <w:p w14:paraId="0A461897">
      <w:pPr>
        <w:pStyle w:val="25"/>
        <w:numPr>
          <w:ilvl w:val="0"/>
          <w:numId w:val="0"/>
        </w:numPr>
        <w:kinsoku/>
        <w:topLinePunct w:val="0"/>
        <w:bidi w:val="0"/>
        <w:spacing w:line="360" w:lineRule="auto"/>
        <w:ind w:leftChars="10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（十六）其他未列明行业。从业人员 300 人以下的为中小微型企业。其中，从业人员100 人及以上的为中型企业；从业人员 10 人及以上的为小型企业；从业人员10 人以下的为微型企业。</w:t>
      </w:r>
    </w:p>
    <w:p w14:paraId="006AAB0C">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649EE334">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143C00C5">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1605A80C">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5F86D85">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02C700E6">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04E7A93A">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9336430">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2450C90">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0A686B06">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6085A19A">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14ACB1B">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764FA799">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FB2E356">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63D29EBE">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7BC82ABA">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52E3198">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06FD6F5">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43ACD9B2">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7AFEBDCC">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72801B35">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66492D66">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7E50127A">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hAnsi="宋体" w:cs="宋体"/>
          <w:b/>
          <w:bCs/>
          <w:color w:val="auto"/>
          <w:sz w:val="24"/>
          <w:highlight w:val="none"/>
          <w:lang w:val="en-US" w:eastAsia="zh-CN"/>
        </w:rPr>
        <w:t>6</w:t>
      </w:r>
      <w:r>
        <w:rPr>
          <w:rFonts w:hint="eastAsia" w:ascii="宋体" w:hAnsi="宋体" w:eastAsia="宋体" w:cs="宋体"/>
          <w:color w:val="auto"/>
          <w:sz w:val="24"/>
          <w:highlight w:val="none"/>
          <w:lang w:val="en-US" w:eastAsia="zh-CN"/>
        </w:rPr>
        <w:t>：</w:t>
      </w:r>
    </w:p>
    <w:p w14:paraId="1CBA7B0E">
      <w:pPr>
        <w:pStyle w:val="10"/>
        <w:numPr>
          <w:ilvl w:val="0"/>
          <w:numId w:val="0"/>
        </w:numPr>
        <w:kinsoku w:val="0"/>
        <w:overflowPunct w:val="0"/>
        <w:spacing w:before="130" w:line="360"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投标函</w:t>
      </w:r>
    </w:p>
    <w:p w14:paraId="0B019354">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u w:val="single"/>
          <w:lang w:eastAsia="zh-CN"/>
        </w:rPr>
      </w:pPr>
      <w:r>
        <w:rPr>
          <w:rFonts w:hint="eastAsia" w:ascii="宋体" w:hAnsi="宋体" w:eastAsia="宋体" w:cs="宋体"/>
          <w:color w:val="auto"/>
          <w:kern w:val="0"/>
          <w:sz w:val="21"/>
          <w:szCs w:val="21"/>
        </w:rPr>
        <w:t>致：</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采购代理机构</w:t>
      </w:r>
      <w:r>
        <w:rPr>
          <w:rFonts w:hint="eastAsia" w:ascii="宋体" w:hAnsi="宋体" w:eastAsia="宋体" w:cs="宋体"/>
          <w:sz w:val="21"/>
          <w:szCs w:val="21"/>
          <w:u w:val="single"/>
          <w:lang w:eastAsia="zh-CN"/>
        </w:rPr>
        <w:t>）</w:t>
      </w:r>
    </w:p>
    <w:p w14:paraId="792E7309">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14:paraId="206B46D8">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r>
        <w:rPr>
          <w:rFonts w:hint="eastAsia" w:ascii="宋体" w:hAnsi="宋体" w:eastAsia="宋体" w:cs="宋体"/>
          <w:color w:val="auto"/>
          <w:kern w:val="0"/>
          <w:sz w:val="21"/>
          <w:szCs w:val="21"/>
          <w:u w:val="none"/>
        </w:rPr>
        <w:t>。并出具的金额为人民币</w:t>
      </w:r>
      <w:r>
        <w:rPr>
          <w:rFonts w:hint="eastAsia" w:ascii="宋体" w:hAnsi="宋体" w:eastAsia="宋体" w:cs="宋体"/>
          <w:i/>
          <w:iCs/>
          <w:color w:val="auto"/>
          <w:kern w:val="0"/>
          <w:sz w:val="21"/>
          <w:szCs w:val="21"/>
          <w:u w:val="single"/>
          <w:lang w:val="en-US" w:eastAsia="zh-CN"/>
        </w:rPr>
        <w:t xml:space="preserve">           </w:t>
      </w:r>
      <w:r>
        <w:rPr>
          <w:rFonts w:hint="eastAsia" w:ascii="宋体" w:hAnsi="宋体" w:eastAsia="宋体" w:cs="宋体"/>
          <w:color w:val="auto"/>
          <w:kern w:val="0"/>
          <w:sz w:val="21"/>
          <w:szCs w:val="21"/>
          <w:u w:val="none"/>
        </w:rPr>
        <w:t>元的投标保证金。</w:t>
      </w:r>
    </w:p>
    <w:p w14:paraId="7A80A4E0">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68D49409">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14:paraId="5178BD1B">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14:paraId="7D5C1369">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w:t>
      </w:r>
      <w:r>
        <w:rPr>
          <w:rFonts w:hint="eastAsia" w:ascii="宋体" w:hAnsi="宋体" w:eastAsia="宋体" w:cs="宋体"/>
          <w:color w:val="auto"/>
          <w:kern w:val="0"/>
          <w:sz w:val="21"/>
          <w:szCs w:val="21"/>
          <w:lang w:val="en-US" w:eastAsia="zh-CN"/>
        </w:rPr>
        <w:t>开标</w:t>
      </w:r>
      <w:r>
        <w:rPr>
          <w:rFonts w:hint="eastAsia" w:ascii="宋体" w:hAnsi="宋体" w:eastAsia="宋体" w:cs="宋体"/>
          <w:color w:val="auto"/>
          <w:kern w:val="0"/>
          <w:sz w:val="21"/>
          <w:szCs w:val="21"/>
        </w:rPr>
        <w:t>一览表》。</w:t>
      </w:r>
    </w:p>
    <w:p w14:paraId="13FB79A7">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CE52C6F">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14:paraId="4AA44593">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14:paraId="31BC7F1A">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14:paraId="223D33FE">
      <w:pPr>
        <w:spacing w:line="360" w:lineRule="auto"/>
        <w:ind w:firstLine="426"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）如我方被授予合同，我方承诺一次性支付就本次招标应支付或将支付的中标服务费。</w:t>
      </w:r>
    </w:p>
    <w:p w14:paraId="6107232E">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14:paraId="20F7A1D8">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14:paraId="0456DF1D">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14:paraId="434A50AA">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14:paraId="79DF4D4C">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14:paraId="2768C2BE">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14:paraId="3E7CE520">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14:paraId="233203B2">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14:paraId="431EEA68">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14:paraId="2B95EEA9">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14:paraId="25D0CE7F">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14:paraId="69CAE4F8">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val="en-US" w:eastAsia="zh-CN"/>
        </w:rPr>
        <w:t>二</w:t>
      </w:r>
      <w:r>
        <w:rPr>
          <w:rFonts w:hint="eastAsia" w:ascii="宋体" w:hAnsi="宋体" w:eastAsia="宋体" w:cs="宋体"/>
          <w:color w:val="auto"/>
          <w:kern w:val="0"/>
          <w:sz w:val="21"/>
          <w:szCs w:val="21"/>
        </w:rPr>
        <w:t>）我方对在本函及投标文件中所作的所有承诺承担法律责任。</w:t>
      </w:r>
    </w:p>
    <w:p w14:paraId="79D9942C">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val="en-US" w:eastAsia="zh-CN"/>
        </w:rPr>
        <w:t>三</w:t>
      </w:r>
      <w:r>
        <w:rPr>
          <w:rFonts w:hint="eastAsia" w:ascii="宋体" w:hAnsi="宋体" w:eastAsia="宋体" w:cs="宋体"/>
          <w:color w:val="auto"/>
          <w:kern w:val="0"/>
          <w:sz w:val="21"/>
          <w:szCs w:val="21"/>
        </w:rPr>
        <w:t>）所有与本招标有关的函件请发往下列地址：</w:t>
      </w:r>
    </w:p>
    <w:p w14:paraId="74A1A7C7">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FC6A831">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9F8A10D">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C761143">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44DA980">
      <w:pPr>
        <w:keepNext w:val="0"/>
        <w:keepLines w:val="0"/>
        <w:pageBreakBefore w:val="0"/>
        <w:widowControl w:val="0"/>
        <w:topLinePunct w:val="0"/>
        <w:autoSpaceDE/>
        <w:autoSpaceDN/>
        <w:bidi w:val="0"/>
        <w:adjustRightInd/>
        <w:snapToGrid/>
        <w:spacing w:line="360" w:lineRule="auto"/>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14:paraId="3FD38E48">
      <w:pPr>
        <w:keepNext w:val="0"/>
        <w:keepLines w:val="0"/>
        <w:pageBreakBefore w:val="0"/>
        <w:widowControl w:val="0"/>
        <w:wordWrap w:val="0"/>
        <w:topLinePunct w:val="0"/>
        <w:autoSpaceDE/>
        <w:autoSpaceDN/>
        <w:bidi w:val="0"/>
        <w:adjustRightInd/>
        <w:snapToGrid/>
        <w:spacing w:line="360" w:lineRule="auto"/>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14:paraId="4328FA6D">
      <w:pPr>
        <w:keepNext w:val="0"/>
        <w:keepLines w:val="0"/>
        <w:pageBreakBefore w:val="0"/>
        <w:widowControl w:val="0"/>
        <w:wordWrap w:val="0"/>
        <w:topLinePunct w:val="0"/>
        <w:autoSpaceDE/>
        <w:autoSpaceDN/>
        <w:bidi w:val="0"/>
        <w:adjustRightInd/>
        <w:snapToGrid/>
        <w:spacing w:line="360" w:lineRule="auto"/>
        <w:ind w:firstLine="426" w:firstLineChars="200"/>
        <w:jc w:val="right"/>
        <w:textAlignment w:val="auto"/>
        <w:rPr>
          <w:rFonts w:hint="eastAsia" w:ascii="宋体" w:hAnsi="宋体" w:eastAsia="宋体" w:cs="宋体"/>
          <w:b/>
          <w:color w:val="auto"/>
          <w:sz w:val="28"/>
          <w:szCs w:val="21"/>
          <w:highlight w:val="none"/>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bookmarkStart w:id="111" w:name="_Toc494296984"/>
    </w:p>
    <w:p w14:paraId="4D4F5B16">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238E8B1B">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0FE43ACF">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hAnsi="宋体" w:cs="宋体"/>
          <w:b/>
          <w:bCs/>
          <w:color w:val="auto"/>
          <w:sz w:val="24"/>
          <w:highlight w:val="none"/>
          <w:lang w:val="en-US" w:eastAsia="zh-CN"/>
        </w:rPr>
        <w:t>7</w:t>
      </w:r>
      <w:r>
        <w:rPr>
          <w:rFonts w:hint="eastAsia" w:ascii="宋体" w:hAnsi="宋体" w:eastAsia="宋体" w:cs="宋体"/>
          <w:color w:val="auto"/>
          <w:sz w:val="24"/>
          <w:highlight w:val="none"/>
          <w:lang w:val="en-US" w:eastAsia="zh-CN"/>
        </w:rPr>
        <w:t>：</w:t>
      </w:r>
    </w:p>
    <w:p w14:paraId="1BBAC224">
      <w:pPr>
        <w:pStyle w:val="6"/>
        <w:numPr>
          <w:ilvl w:val="0"/>
          <w:numId w:val="0"/>
        </w:numPr>
        <w:shd w:val="clear" w:color="auto" w:fill="auto"/>
        <w:tabs>
          <w:tab w:val="left" w:pos="5580"/>
        </w:tabs>
        <w:spacing w:line="360" w:lineRule="auto"/>
        <w:ind w:left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1"/>
    </w:p>
    <w:p w14:paraId="5E5545C3">
      <w:pPr>
        <w:pStyle w:val="6"/>
        <w:numPr>
          <w:ilvl w:val="0"/>
          <w:numId w:val="0"/>
        </w:numPr>
        <w:shd w:val="clear" w:color="auto" w:fill="auto"/>
        <w:tabs>
          <w:tab w:val="left" w:pos="5580"/>
        </w:tabs>
        <w:spacing w:line="360" w:lineRule="auto"/>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14:paraId="629CF3DA">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14:paraId="6799C9B9">
      <w:pPr>
        <w:shd w:val="clear" w:color="auto" w:fill="auto"/>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07A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3B59FFA7">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85" w:type="dxa"/>
            <w:noWrap w:val="0"/>
            <w:vAlign w:val="center"/>
          </w:tcPr>
          <w:p w14:paraId="4A807E07">
            <w:pPr>
              <w:shd w:val="clear" w:color="auto" w:fill="auto"/>
              <w:spacing w:line="360" w:lineRule="auto"/>
              <w:rPr>
                <w:rFonts w:hint="eastAsia" w:ascii="宋体" w:hAnsi="宋体" w:eastAsia="宋体" w:cs="宋体"/>
                <w:color w:val="auto"/>
                <w:szCs w:val="21"/>
                <w:highlight w:val="none"/>
              </w:rPr>
            </w:pPr>
          </w:p>
        </w:tc>
      </w:tr>
      <w:tr w14:paraId="01CE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5E958EA">
            <w:pPr>
              <w:shd w:val="clear" w:color="auto" w:fill="auto"/>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交货时间</w:t>
            </w:r>
          </w:p>
        </w:tc>
        <w:tc>
          <w:tcPr>
            <w:tcW w:w="6185" w:type="dxa"/>
            <w:noWrap w:val="0"/>
            <w:vAlign w:val="center"/>
          </w:tcPr>
          <w:p w14:paraId="11DF1E1B">
            <w:pPr>
              <w:shd w:val="clear" w:color="auto" w:fill="auto"/>
              <w:spacing w:line="360" w:lineRule="auto"/>
              <w:jc w:val="center"/>
              <w:rPr>
                <w:rFonts w:hint="eastAsia" w:ascii="宋体" w:hAnsi="宋体" w:eastAsia="宋体" w:cs="宋体"/>
                <w:color w:val="auto"/>
                <w:szCs w:val="21"/>
                <w:highlight w:val="none"/>
              </w:rPr>
            </w:pPr>
          </w:p>
        </w:tc>
      </w:tr>
      <w:tr w14:paraId="2DD1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3A53774">
            <w:pPr>
              <w:shd w:val="clear" w:color="auto" w:fill="auto"/>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14:paraId="14A2BE61">
            <w:pPr>
              <w:shd w:val="clear" w:color="auto" w:fill="auto"/>
              <w:spacing w:line="360" w:lineRule="auto"/>
              <w:jc w:val="center"/>
              <w:rPr>
                <w:rFonts w:hint="eastAsia" w:ascii="宋体" w:hAnsi="宋体" w:eastAsia="宋体" w:cs="宋体"/>
                <w:color w:val="auto"/>
                <w:szCs w:val="21"/>
                <w:highlight w:val="none"/>
              </w:rPr>
            </w:pPr>
          </w:p>
        </w:tc>
      </w:tr>
      <w:tr w14:paraId="1548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36DE092">
            <w:pPr>
              <w:shd w:val="clear" w:color="auto" w:fill="auto"/>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14:paraId="5EB894D8">
            <w:pPr>
              <w:shd w:val="clear" w:color="auto" w:fill="auto"/>
              <w:spacing w:line="360" w:lineRule="auto"/>
              <w:jc w:val="center"/>
              <w:rPr>
                <w:rFonts w:hint="eastAsia" w:ascii="宋体" w:hAnsi="宋体" w:eastAsia="宋体" w:cs="宋体"/>
                <w:color w:val="auto"/>
                <w:szCs w:val="21"/>
                <w:highlight w:val="none"/>
              </w:rPr>
            </w:pPr>
          </w:p>
        </w:tc>
      </w:tr>
      <w:tr w14:paraId="1A44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0DA3BA62">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14:paraId="1862F49B">
            <w:pPr>
              <w:shd w:val="clear" w:color="auto" w:fill="auto"/>
              <w:spacing w:line="360" w:lineRule="auto"/>
              <w:jc w:val="center"/>
              <w:rPr>
                <w:rFonts w:hint="eastAsia" w:ascii="宋体" w:hAnsi="宋体" w:eastAsia="宋体" w:cs="宋体"/>
                <w:color w:val="auto"/>
                <w:szCs w:val="21"/>
                <w:highlight w:val="none"/>
              </w:rPr>
            </w:pPr>
          </w:p>
        </w:tc>
      </w:tr>
      <w:tr w14:paraId="362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6BC2E44C">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报价</w:t>
            </w:r>
          </w:p>
          <w:p w14:paraId="15843707">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14:paraId="45F751EA">
            <w:pPr>
              <w:widowControl/>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14:paraId="507ECCDC">
            <w:pPr>
              <w:shd w:val="clear" w:color="auto" w:fill="auto"/>
              <w:spacing w:line="360" w:lineRule="auto"/>
              <w:jc w:val="center"/>
              <w:rPr>
                <w:rFonts w:hint="eastAsia" w:ascii="宋体" w:hAnsi="宋体" w:eastAsia="宋体" w:cs="宋体"/>
                <w:color w:val="auto"/>
                <w:szCs w:val="21"/>
                <w:highlight w:val="none"/>
              </w:rPr>
            </w:pPr>
          </w:p>
        </w:tc>
      </w:tr>
      <w:tr w14:paraId="71BE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0B836868">
            <w:pPr>
              <w:shd w:val="clear" w:color="auto" w:fill="auto"/>
              <w:spacing w:line="360" w:lineRule="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14:paraId="102106C7">
            <w:pPr>
              <w:widowControl/>
              <w:shd w:val="clear" w:color="auto" w:fill="auto"/>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14:paraId="759BBE44">
            <w:pPr>
              <w:shd w:val="clear" w:color="auto" w:fill="auto"/>
              <w:spacing w:line="360" w:lineRule="auto"/>
              <w:jc w:val="center"/>
              <w:rPr>
                <w:rFonts w:hint="eastAsia" w:ascii="宋体" w:hAnsi="宋体" w:eastAsia="宋体" w:cs="宋体"/>
                <w:color w:val="auto"/>
                <w:szCs w:val="21"/>
                <w:highlight w:val="none"/>
              </w:rPr>
            </w:pPr>
          </w:p>
        </w:tc>
      </w:tr>
    </w:tbl>
    <w:p w14:paraId="6F8CCBAD">
      <w:pPr>
        <w:shd w:val="clear" w:color="auto" w:fill="auto"/>
        <w:spacing w:line="360" w:lineRule="auto"/>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14:paraId="61AEDF15">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.开标时，本表中的内容与投标文件中的投标函、分项</w:t>
      </w:r>
      <w:r>
        <w:rPr>
          <w:rFonts w:hint="eastAsia" w:ascii="宋体" w:hAnsi="宋体" w:eastAsia="宋体" w:cs="宋体"/>
          <w:color w:val="auto"/>
          <w:szCs w:val="21"/>
          <w:highlight w:val="none"/>
          <w:lang w:val="en-US" w:eastAsia="zh-CN"/>
        </w:rPr>
        <w:t>报价表</w:t>
      </w:r>
      <w:r>
        <w:rPr>
          <w:rFonts w:hint="eastAsia" w:ascii="宋体" w:hAnsi="宋体" w:eastAsia="宋体" w:cs="宋体"/>
          <w:color w:val="auto"/>
          <w:szCs w:val="21"/>
          <w:highlight w:val="none"/>
        </w:rPr>
        <w:t>的内容不一致的，以本表为准；大写金额与小写金额不一致的，以大写金额为准；总价金额与按单价汇总金额不一致的，以单价金额计算结果为准；单价金额小数点有明显错位的，应以总价为准，并修改单价。</w:t>
      </w:r>
    </w:p>
    <w:p w14:paraId="05F469A5">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.投标总价为招标范围所列全部招标项目的报价总和，并应与分项价格表</w:t>
      </w:r>
      <w:r>
        <w:rPr>
          <w:rFonts w:hint="eastAsia" w:ascii="宋体" w:hAnsi="宋体" w:eastAsia="宋体" w:cs="宋体"/>
          <w:color w:val="auto"/>
          <w:szCs w:val="21"/>
          <w:highlight w:val="none"/>
          <w:lang w:val="en-US" w:eastAsia="zh-CN"/>
        </w:rPr>
        <w:t>的合计</w:t>
      </w:r>
      <w:r>
        <w:rPr>
          <w:rFonts w:hint="eastAsia" w:ascii="宋体" w:hAnsi="宋体" w:eastAsia="宋体" w:cs="宋体"/>
          <w:color w:val="auto"/>
          <w:szCs w:val="21"/>
          <w:highlight w:val="none"/>
        </w:rPr>
        <w:t>保持一致。</w:t>
      </w:r>
    </w:p>
    <w:p w14:paraId="1DC7948C">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66F3C893">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704A7EBC">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5EBCF06">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196A8FA">
      <w:pPr>
        <w:shd w:val="clear" w:color="auto" w:fill="auto"/>
        <w:spacing w:line="360" w:lineRule="auto"/>
        <w:ind w:firstLine="426"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bookmarkEnd w:id="108"/>
    <w:bookmarkEnd w:id="109"/>
    <w:bookmarkEnd w:id="110"/>
    <w:p w14:paraId="70BCE560">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bookmarkStart w:id="112" w:name="_Toc20897"/>
      <w:bookmarkStart w:id="113" w:name="_Toc10313"/>
      <w:bookmarkStart w:id="114" w:name="_Toc515647818"/>
      <w:bookmarkStart w:id="115" w:name="_Toc1881"/>
      <w:bookmarkStart w:id="116" w:name="_Toc216582815"/>
      <w:bookmarkStart w:id="117" w:name="_Toc216582817"/>
      <w:bookmarkStart w:id="118" w:name="_Toc28959"/>
      <w:bookmarkStart w:id="119" w:name="_Toc22563"/>
      <w:bookmarkStart w:id="120" w:name="_Toc515647820"/>
    </w:p>
    <w:p w14:paraId="5606946D">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93CB445">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512171BE">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hAnsi="宋体" w:cs="宋体"/>
          <w:b/>
          <w:bCs/>
          <w:color w:val="auto"/>
          <w:sz w:val="24"/>
          <w:highlight w:val="none"/>
          <w:lang w:val="en-US" w:eastAsia="zh-CN"/>
        </w:rPr>
        <w:t>7</w:t>
      </w:r>
      <w:r>
        <w:rPr>
          <w:rFonts w:hint="eastAsia" w:ascii="宋体" w:hAnsi="宋体" w:eastAsia="宋体" w:cs="宋体"/>
          <w:color w:val="auto"/>
          <w:sz w:val="24"/>
          <w:highlight w:val="none"/>
          <w:lang w:val="en-US" w:eastAsia="zh-CN"/>
        </w:rPr>
        <w:t>：</w:t>
      </w:r>
    </w:p>
    <w:p w14:paraId="1F42C994">
      <w:pPr>
        <w:pStyle w:val="3"/>
        <w:numPr>
          <w:ilvl w:val="0"/>
          <w:numId w:val="0"/>
        </w:numPr>
        <w:shd w:val="clear" w:color="auto" w:fill="auto"/>
        <w:spacing w:before="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投标分项报价表</w:t>
      </w:r>
      <w:bookmarkEnd w:id="112"/>
      <w:bookmarkEnd w:id="113"/>
      <w:bookmarkEnd w:id="114"/>
      <w:bookmarkEnd w:id="115"/>
      <w:bookmarkEnd w:id="116"/>
    </w:p>
    <w:p w14:paraId="0E0DD37A">
      <w:pPr>
        <w:pStyle w:val="14"/>
        <w:shd w:val="clear" w:color="auto" w:fill="auto"/>
        <w:spacing w:line="360" w:lineRule="auto"/>
        <w:ind w:left="1087" w:leftChars="257" w:hanging="540"/>
        <w:rPr>
          <w:rFonts w:hint="eastAsia" w:ascii="宋体" w:hAnsi="宋体" w:eastAsia="宋体" w:cs="宋体"/>
          <w:color w:val="auto"/>
          <w:sz w:val="24"/>
          <w:highlight w:val="none"/>
        </w:rPr>
      </w:pPr>
    </w:p>
    <w:p w14:paraId="5A5167D4">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w:t>
      </w:r>
      <w:r>
        <w:rPr>
          <w:rFonts w:hint="eastAsia" w:hAnsi="宋体" w:cs="宋体"/>
          <w:color w:val="auto"/>
          <w:sz w:val="21"/>
          <w:szCs w:val="21"/>
          <w:highlight w:val="none"/>
          <w:lang w:val="en-US" w:eastAsia="zh-CN"/>
        </w:rPr>
        <w:t>标项</w:t>
      </w:r>
      <w:r>
        <w:rPr>
          <w:rFonts w:hint="eastAsia" w:ascii="宋体" w:hAnsi="宋体" w:eastAsia="宋体" w:cs="宋体"/>
          <w:color w:val="auto"/>
          <w:sz w:val="21"/>
          <w:szCs w:val="21"/>
          <w:highlight w:val="none"/>
        </w:rPr>
        <w:t xml:space="preserve">号: 　 </w:t>
      </w:r>
    </w:p>
    <w:p w14:paraId="28B163F3">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98"/>
        <w:gridCol w:w="1095"/>
        <w:gridCol w:w="982"/>
        <w:gridCol w:w="869"/>
        <w:gridCol w:w="945"/>
        <w:gridCol w:w="849"/>
        <w:gridCol w:w="822"/>
        <w:gridCol w:w="781"/>
      </w:tblGrid>
      <w:tr w14:paraId="453D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16" w:type="dxa"/>
            <w:noWrap w:val="0"/>
            <w:vAlign w:val="center"/>
          </w:tcPr>
          <w:p w14:paraId="3875A92E">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298" w:type="dxa"/>
            <w:noWrap w:val="0"/>
            <w:vAlign w:val="center"/>
          </w:tcPr>
          <w:p w14:paraId="53566C51">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产品（标的物）名称</w:t>
            </w:r>
          </w:p>
        </w:tc>
        <w:tc>
          <w:tcPr>
            <w:tcW w:w="1095" w:type="dxa"/>
            <w:noWrap w:val="0"/>
            <w:vAlign w:val="center"/>
          </w:tcPr>
          <w:p w14:paraId="52EC8265">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品牌及</w:t>
            </w:r>
          </w:p>
          <w:p w14:paraId="508AE780">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型号</w:t>
            </w:r>
          </w:p>
        </w:tc>
        <w:tc>
          <w:tcPr>
            <w:tcW w:w="982" w:type="dxa"/>
            <w:noWrap w:val="0"/>
            <w:vAlign w:val="center"/>
          </w:tcPr>
          <w:p w14:paraId="7C8A131D">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w:t>
            </w:r>
          </w:p>
        </w:tc>
        <w:tc>
          <w:tcPr>
            <w:tcW w:w="869" w:type="dxa"/>
            <w:noWrap w:val="0"/>
            <w:vAlign w:val="center"/>
          </w:tcPr>
          <w:p w14:paraId="3E513232">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w:t>
            </w:r>
          </w:p>
          <w:p w14:paraId="745D2C6C">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参数</w:t>
            </w:r>
          </w:p>
        </w:tc>
        <w:tc>
          <w:tcPr>
            <w:tcW w:w="945" w:type="dxa"/>
            <w:noWrap w:val="0"/>
            <w:vAlign w:val="center"/>
          </w:tcPr>
          <w:p w14:paraId="2B5D61B8">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p w14:paraId="67BFE58C">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849" w:type="dxa"/>
            <w:noWrap w:val="0"/>
            <w:vAlign w:val="center"/>
          </w:tcPr>
          <w:p w14:paraId="79882549">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22" w:type="dxa"/>
            <w:noWrap w:val="0"/>
            <w:vAlign w:val="center"/>
          </w:tcPr>
          <w:p w14:paraId="457BEE2A">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p>
        </w:tc>
        <w:tc>
          <w:tcPr>
            <w:tcW w:w="781" w:type="dxa"/>
            <w:noWrap w:val="0"/>
            <w:vAlign w:val="center"/>
          </w:tcPr>
          <w:p w14:paraId="5D2AA03A">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DC2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16" w:type="dxa"/>
            <w:noWrap w:val="0"/>
            <w:vAlign w:val="center"/>
          </w:tcPr>
          <w:p w14:paraId="6D094FF7">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98" w:type="dxa"/>
            <w:noWrap w:val="0"/>
            <w:vAlign w:val="center"/>
          </w:tcPr>
          <w:p w14:paraId="0B9B23E3">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p>
        </w:tc>
        <w:tc>
          <w:tcPr>
            <w:tcW w:w="1095" w:type="dxa"/>
            <w:noWrap w:val="0"/>
            <w:vAlign w:val="center"/>
          </w:tcPr>
          <w:p w14:paraId="06ABE43C">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982" w:type="dxa"/>
            <w:noWrap w:val="0"/>
            <w:vAlign w:val="center"/>
          </w:tcPr>
          <w:p w14:paraId="350EEC9E">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869" w:type="dxa"/>
            <w:noWrap w:val="0"/>
            <w:vAlign w:val="center"/>
          </w:tcPr>
          <w:p w14:paraId="61E08116">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945" w:type="dxa"/>
            <w:noWrap w:val="0"/>
            <w:vAlign w:val="center"/>
          </w:tcPr>
          <w:p w14:paraId="0CDF6F4C">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849" w:type="dxa"/>
            <w:noWrap w:val="0"/>
            <w:vAlign w:val="center"/>
          </w:tcPr>
          <w:p w14:paraId="35BDC674">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822" w:type="dxa"/>
            <w:noWrap w:val="0"/>
            <w:vAlign w:val="center"/>
          </w:tcPr>
          <w:p w14:paraId="47AC73FB">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c>
          <w:tcPr>
            <w:tcW w:w="781" w:type="dxa"/>
            <w:noWrap w:val="0"/>
            <w:vAlign w:val="center"/>
          </w:tcPr>
          <w:p w14:paraId="63E07751">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r>
      <w:tr w14:paraId="773F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6" w:type="dxa"/>
            <w:noWrap w:val="0"/>
            <w:vAlign w:val="center"/>
          </w:tcPr>
          <w:p w14:paraId="1F61F6C1">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98" w:type="dxa"/>
            <w:noWrap w:val="0"/>
            <w:vAlign w:val="center"/>
          </w:tcPr>
          <w:p w14:paraId="17A05E83">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c>
          <w:tcPr>
            <w:tcW w:w="1095" w:type="dxa"/>
            <w:noWrap w:val="0"/>
            <w:vAlign w:val="center"/>
          </w:tcPr>
          <w:p w14:paraId="7151D903">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82" w:type="dxa"/>
            <w:noWrap w:val="0"/>
            <w:vAlign w:val="center"/>
          </w:tcPr>
          <w:p w14:paraId="3C3933B9">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69" w:type="dxa"/>
            <w:noWrap w:val="0"/>
            <w:vAlign w:val="center"/>
          </w:tcPr>
          <w:p w14:paraId="578C0797">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45" w:type="dxa"/>
            <w:noWrap w:val="0"/>
            <w:vAlign w:val="center"/>
          </w:tcPr>
          <w:p w14:paraId="03F866E6">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49" w:type="dxa"/>
            <w:noWrap w:val="0"/>
            <w:vAlign w:val="center"/>
          </w:tcPr>
          <w:p w14:paraId="32A316EA">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22" w:type="dxa"/>
            <w:noWrap w:val="0"/>
            <w:vAlign w:val="center"/>
          </w:tcPr>
          <w:p w14:paraId="5C860A8B">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781" w:type="dxa"/>
            <w:noWrap w:val="0"/>
            <w:vAlign w:val="center"/>
          </w:tcPr>
          <w:p w14:paraId="6677DCC6">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r>
      <w:tr w14:paraId="052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6" w:type="dxa"/>
            <w:noWrap w:val="0"/>
            <w:vAlign w:val="center"/>
          </w:tcPr>
          <w:p w14:paraId="0C61F2B3">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98" w:type="dxa"/>
            <w:noWrap w:val="0"/>
            <w:vAlign w:val="center"/>
          </w:tcPr>
          <w:p w14:paraId="5705DAB4">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c>
          <w:tcPr>
            <w:tcW w:w="1095" w:type="dxa"/>
            <w:noWrap w:val="0"/>
            <w:vAlign w:val="center"/>
          </w:tcPr>
          <w:p w14:paraId="0DAE40DE">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82" w:type="dxa"/>
            <w:noWrap w:val="0"/>
            <w:vAlign w:val="center"/>
          </w:tcPr>
          <w:p w14:paraId="2E192AF2">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69" w:type="dxa"/>
            <w:noWrap w:val="0"/>
            <w:vAlign w:val="center"/>
          </w:tcPr>
          <w:p w14:paraId="2A1BBB7D">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45" w:type="dxa"/>
            <w:noWrap w:val="0"/>
            <w:vAlign w:val="center"/>
          </w:tcPr>
          <w:p w14:paraId="5ED8CAFB">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49" w:type="dxa"/>
            <w:noWrap w:val="0"/>
            <w:vAlign w:val="center"/>
          </w:tcPr>
          <w:p w14:paraId="151E544D">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22" w:type="dxa"/>
            <w:noWrap w:val="0"/>
            <w:vAlign w:val="center"/>
          </w:tcPr>
          <w:p w14:paraId="292607CB">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781" w:type="dxa"/>
            <w:noWrap w:val="0"/>
            <w:vAlign w:val="center"/>
          </w:tcPr>
          <w:p w14:paraId="243A61CB">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r>
      <w:tr w14:paraId="5692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6" w:type="dxa"/>
            <w:noWrap w:val="0"/>
            <w:vAlign w:val="center"/>
          </w:tcPr>
          <w:p w14:paraId="2468ED2C">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98" w:type="dxa"/>
            <w:noWrap w:val="0"/>
            <w:vAlign w:val="center"/>
          </w:tcPr>
          <w:p w14:paraId="376056BA">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c>
          <w:tcPr>
            <w:tcW w:w="1095" w:type="dxa"/>
            <w:noWrap w:val="0"/>
            <w:vAlign w:val="center"/>
          </w:tcPr>
          <w:p w14:paraId="235D6F8C">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82" w:type="dxa"/>
            <w:noWrap w:val="0"/>
            <w:vAlign w:val="center"/>
          </w:tcPr>
          <w:p w14:paraId="07570BE3">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69" w:type="dxa"/>
            <w:noWrap w:val="0"/>
            <w:vAlign w:val="center"/>
          </w:tcPr>
          <w:p w14:paraId="5185914A">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45" w:type="dxa"/>
            <w:noWrap w:val="0"/>
            <w:vAlign w:val="center"/>
          </w:tcPr>
          <w:p w14:paraId="0AB5607E">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49" w:type="dxa"/>
            <w:noWrap w:val="0"/>
            <w:vAlign w:val="center"/>
          </w:tcPr>
          <w:p w14:paraId="6F4D6EA9">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22" w:type="dxa"/>
            <w:noWrap w:val="0"/>
            <w:vAlign w:val="center"/>
          </w:tcPr>
          <w:p w14:paraId="320DE379">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781" w:type="dxa"/>
            <w:noWrap w:val="0"/>
            <w:vAlign w:val="center"/>
          </w:tcPr>
          <w:p w14:paraId="1910F1CF">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r>
      <w:tr w14:paraId="3D5D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6" w:type="dxa"/>
            <w:noWrap w:val="0"/>
            <w:vAlign w:val="center"/>
          </w:tcPr>
          <w:p w14:paraId="188097BA">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7641" w:type="dxa"/>
            <w:gridSpan w:val="8"/>
            <w:noWrap w:val="0"/>
            <w:vAlign w:val="center"/>
          </w:tcPr>
          <w:p w14:paraId="69E461D4">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合计总价：   元。</w:t>
            </w:r>
          </w:p>
        </w:tc>
      </w:tr>
    </w:tbl>
    <w:p w14:paraId="75F632A6">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p>
    <w:p w14:paraId="1F5A5ED8">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0A9846AE">
      <w:pPr>
        <w:pStyle w:val="14"/>
        <w:shd w:val="clear" w:color="auto" w:fill="auto"/>
        <w:tabs>
          <w:tab w:val="left" w:pos="5370"/>
        </w:tabs>
        <w:spacing w:line="360" w:lineRule="auto"/>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7418E213">
      <w:pPr>
        <w:pStyle w:val="14"/>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rPr>
        <w:t>.表中投标报价总计应与对应</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一览表中投标总价一致。</w:t>
      </w:r>
    </w:p>
    <w:p w14:paraId="7332DD00">
      <w:pPr>
        <w:pStyle w:val="14"/>
        <w:shd w:val="clear" w:color="auto" w:fill="auto"/>
        <w:spacing w:line="360" w:lineRule="auto"/>
        <w:ind w:firstLine="852" w:firstLineChars="4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投标人应根据货物清单分项进行填报，表中表格行数可自行添加。招标文件中未列出的相关辅助材料和在实施过程中涉及到的其它一切费用应在报价时一并考虑，项目实施过程中不再单独结算</w:t>
      </w:r>
    </w:p>
    <w:p w14:paraId="1D3F793C">
      <w:pPr>
        <w:pStyle w:val="14"/>
        <w:shd w:val="clear" w:color="auto" w:fill="auto"/>
        <w:spacing w:line="360" w:lineRule="auto"/>
        <w:ind w:firstLine="852" w:firstLineChars="4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.投标分项报价表不得缺项漏项，否则按废标处理。根据提供的清单为准。</w:t>
      </w:r>
    </w:p>
    <w:p w14:paraId="392817D8">
      <w:pPr>
        <w:pStyle w:val="14"/>
        <w:shd w:val="clear" w:color="auto" w:fill="auto"/>
        <w:spacing w:line="360" w:lineRule="auto"/>
        <w:ind w:left="1087" w:leftChars="257" w:hanging="54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br w:type="page"/>
      </w:r>
      <w:bookmarkStart w:id="121" w:name="_Toc12170"/>
    </w:p>
    <w:p w14:paraId="75F6EDA1">
      <w:pPr>
        <w:pStyle w:val="3"/>
        <w:numPr>
          <w:ilvl w:val="0"/>
          <w:numId w:val="0"/>
        </w:numPr>
        <w:shd w:val="clear" w:color="auto" w:fill="auto"/>
        <w:spacing w:before="0"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w:t>
      </w:r>
    </w:p>
    <w:p w14:paraId="26600881">
      <w:pPr>
        <w:pStyle w:val="3"/>
        <w:numPr>
          <w:ilvl w:val="0"/>
          <w:numId w:val="0"/>
        </w:numPr>
        <w:shd w:val="clear" w:color="auto" w:fill="auto"/>
        <w:spacing w:before="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技术规格偏离表</w:t>
      </w:r>
      <w:bookmarkEnd w:id="117"/>
      <w:bookmarkEnd w:id="118"/>
      <w:bookmarkEnd w:id="119"/>
      <w:bookmarkEnd w:id="120"/>
      <w:bookmarkEnd w:id="121"/>
    </w:p>
    <w:p w14:paraId="6212F10A">
      <w:pPr>
        <w:pStyle w:val="14"/>
        <w:shd w:val="clear" w:color="auto" w:fill="auto"/>
        <w:spacing w:line="360" w:lineRule="auto"/>
        <w:ind w:left="1087" w:leftChars="257" w:hanging="540"/>
        <w:rPr>
          <w:rFonts w:hint="eastAsia" w:ascii="宋体" w:hAnsi="宋体" w:eastAsia="宋体" w:cs="宋体"/>
          <w:color w:val="auto"/>
          <w:sz w:val="22"/>
          <w:szCs w:val="18"/>
          <w:highlight w:val="none"/>
        </w:rPr>
      </w:pPr>
    </w:p>
    <w:p w14:paraId="3E4FFB4A">
      <w:pPr>
        <w:pStyle w:val="14"/>
        <w:shd w:val="clear" w:color="auto" w:fill="auto"/>
        <w:spacing w:line="360" w:lineRule="auto"/>
        <w:ind w:firstLine="852"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w:t>
      </w:r>
      <w:r>
        <w:rPr>
          <w:rFonts w:hint="eastAsia" w:hAnsi="宋体" w:cs="宋体"/>
          <w:color w:val="auto"/>
          <w:sz w:val="21"/>
          <w:szCs w:val="21"/>
          <w:highlight w:val="none"/>
          <w:lang w:val="en-US" w:eastAsia="zh-CN"/>
        </w:rPr>
        <w:t>标项</w:t>
      </w:r>
      <w:r>
        <w:rPr>
          <w:rFonts w:hint="eastAsia" w:ascii="宋体" w:hAnsi="宋体" w:eastAsia="宋体" w:cs="宋体"/>
          <w:color w:val="auto"/>
          <w:sz w:val="21"/>
          <w:szCs w:val="21"/>
          <w:highlight w:val="none"/>
        </w:rPr>
        <w:t>号:</w:t>
      </w:r>
    </w:p>
    <w:p w14:paraId="0FE8D223">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p>
    <w:tbl>
      <w:tblPr>
        <w:tblStyle w:val="27"/>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12"/>
        <w:gridCol w:w="1412"/>
        <w:gridCol w:w="1412"/>
        <w:gridCol w:w="1412"/>
        <w:gridCol w:w="1417"/>
      </w:tblGrid>
      <w:tr w14:paraId="07D2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12" w:type="dxa"/>
            <w:noWrap w:val="0"/>
            <w:vAlign w:val="center"/>
          </w:tcPr>
          <w:p w14:paraId="4721AAED">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412" w:type="dxa"/>
            <w:noWrap w:val="0"/>
            <w:vAlign w:val="center"/>
          </w:tcPr>
          <w:p w14:paraId="202FAB77">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货物名称</w:t>
            </w:r>
          </w:p>
        </w:tc>
        <w:tc>
          <w:tcPr>
            <w:tcW w:w="1412" w:type="dxa"/>
            <w:noWrap w:val="0"/>
            <w:vAlign w:val="center"/>
          </w:tcPr>
          <w:p w14:paraId="1728A18A">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412" w:type="dxa"/>
            <w:noWrap w:val="0"/>
            <w:vAlign w:val="center"/>
          </w:tcPr>
          <w:p w14:paraId="34B32E11">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1412" w:type="dxa"/>
            <w:noWrap w:val="0"/>
            <w:vAlign w:val="center"/>
          </w:tcPr>
          <w:p w14:paraId="21ECD4BB">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1417" w:type="dxa"/>
            <w:noWrap w:val="0"/>
            <w:vAlign w:val="center"/>
          </w:tcPr>
          <w:p w14:paraId="6740FB34">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14:paraId="3968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12" w:type="dxa"/>
            <w:noWrap w:val="0"/>
            <w:vAlign w:val="top"/>
          </w:tcPr>
          <w:p w14:paraId="74FF8A6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F989CDF">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301DD5F">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F10EC11">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center"/>
          </w:tcPr>
          <w:p w14:paraId="3F0BA329">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p>
        </w:tc>
        <w:tc>
          <w:tcPr>
            <w:tcW w:w="1417" w:type="dxa"/>
            <w:noWrap w:val="0"/>
            <w:vAlign w:val="top"/>
          </w:tcPr>
          <w:p w14:paraId="542BEFE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1D8F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41C152E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B9C792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2765A2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A393BA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401A65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4A7A4B6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0E5F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61FB567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C1EBAB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577D1A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09AC310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1BB9807">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6E02DC3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2356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60FE42F7">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838F4FE">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F42DFC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9FF8B81">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A5A178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1D17230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2C42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64DC04D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0E92D3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316AFE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200624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2330C3E">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0191E63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36B1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68DA6C9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95109D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571BB5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311D4A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B9F9F3F">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19AAC1BE">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4FA1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4B6A0F3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918A75D">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52CFF6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7F2E00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701E3E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35A507F1">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1165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571E33C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17DAA1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009984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28ED07F">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E1268C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4BAB6C52">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7449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12" w:type="dxa"/>
            <w:noWrap w:val="0"/>
            <w:vAlign w:val="top"/>
          </w:tcPr>
          <w:p w14:paraId="107A84A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A971C2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140F78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58B8BB1">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71F04E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6F121CE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2EA1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4EEE045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077F152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EAEB2E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06FC07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F60D47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7144975D">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28D3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12" w:type="dxa"/>
            <w:noWrap w:val="0"/>
            <w:vAlign w:val="top"/>
          </w:tcPr>
          <w:p w14:paraId="7C76D39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8C8B41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C95D00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01F3E4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0356B52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635D1372">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636F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42F341B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802769D">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04BED9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759AD5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BF0366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69478A3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659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12" w:type="dxa"/>
            <w:noWrap w:val="0"/>
            <w:vAlign w:val="top"/>
          </w:tcPr>
          <w:p w14:paraId="3F5FCE9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BE84FBD">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74ED6A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AB9339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3C933B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00C6A28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bl>
    <w:p w14:paraId="4AF49559">
      <w:pPr>
        <w:pStyle w:val="14"/>
        <w:shd w:val="clear" w:color="auto" w:fill="auto"/>
        <w:spacing w:line="360" w:lineRule="auto"/>
        <w:rPr>
          <w:rFonts w:hint="default" w:ascii="宋体" w:hAnsi="宋体" w:eastAsia="宋体" w:cs="宋体"/>
          <w:color w:val="auto"/>
          <w:sz w:val="21"/>
          <w:szCs w:val="21"/>
          <w:highlight w:val="none"/>
          <w:lang w:val="en-US" w:eastAsia="zh-CN"/>
        </w:rPr>
      </w:pPr>
    </w:p>
    <w:p w14:paraId="61725D1A">
      <w:pPr>
        <w:pStyle w:val="14"/>
        <w:shd w:val="clear" w:color="auto" w:fill="auto"/>
        <w:spacing w:line="360" w:lineRule="auto"/>
        <w:ind w:left="1087" w:leftChars="257" w:hanging="540"/>
        <w:rPr>
          <w:rFonts w:hint="eastAsia" w:ascii="宋体" w:hAnsi="宋体" w:eastAsia="宋体" w:cs="宋体"/>
          <w:color w:val="auto"/>
          <w:sz w:val="21"/>
          <w:szCs w:val="21"/>
          <w:highlight w:val="none"/>
          <w:lang w:eastAsia="zh-CN"/>
        </w:rPr>
      </w:pPr>
    </w:p>
    <w:p w14:paraId="7196D9A6">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4FD3C75E">
      <w:pPr>
        <w:pStyle w:val="14"/>
        <w:shd w:val="clear" w:color="auto" w:fill="auto"/>
        <w:tabs>
          <w:tab w:val="left" w:pos="5370"/>
        </w:tabs>
        <w:spacing w:line="360" w:lineRule="auto"/>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02EEF22E">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1"/>
          <w:szCs w:val="21"/>
          <w:highlight w:val="none"/>
          <w:lang w:val="en-US" w:eastAsia="zh-CN"/>
        </w:rPr>
        <w:t>日期：          年    月    日</w:t>
      </w:r>
      <w:r>
        <w:rPr>
          <w:rFonts w:hint="eastAsia" w:ascii="宋体" w:hAnsi="宋体" w:eastAsia="宋体" w:cs="宋体"/>
          <w:color w:val="auto"/>
          <w:sz w:val="24"/>
          <w:highlight w:val="yellow"/>
          <w:u w:val="single"/>
        </w:rPr>
        <w:br w:type="page"/>
      </w:r>
    </w:p>
    <w:p w14:paraId="029633FE">
      <w:pPr>
        <w:pStyle w:val="3"/>
        <w:numPr>
          <w:ilvl w:val="0"/>
          <w:numId w:val="0"/>
        </w:numPr>
        <w:shd w:val="clear" w:color="auto" w:fill="auto"/>
        <w:spacing w:before="0" w:line="360" w:lineRule="auto"/>
        <w:jc w:val="left"/>
        <w:rPr>
          <w:rFonts w:hint="eastAsia" w:ascii="宋体" w:hAnsi="宋体" w:eastAsia="宋体" w:cs="宋体"/>
          <w:b/>
          <w:bCs/>
          <w:color w:val="auto"/>
          <w:sz w:val="24"/>
          <w:highlight w:val="none"/>
          <w:lang w:val="en-US" w:eastAsia="zh-CN"/>
        </w:rPr>
      </w:pPr>
      <w:bookmarkStart w:id="122" w:name="_Toc23"/>
      <w:bookmarkStart w:id="123" w:name="_Toc216582818"/>
      <w:bookmarkStart w:id="124" w:name="_Toc515647821"/>
      <w:bookmarkStart w:id="125" w:name="_Toc1980"/>
      <w:bookmarkStart w:id="126" w:name="_Toc21391"/>
      <w:r>
        <w:rPr>
          <w:rFonts w:hint="eastAsia" w:ascii="宋体" w:hAnsi="宋体" w:eastAsia="宋体" w:cs="宋体"/>
          <w:b/>
          <w:bCs/>
          <w:color w:val="auto"/>
          <w:sz w:val="24"/>
          <w:highlight w:val="none"/>
          <w:lang w:val="en-US" w:eastAsia="zh-CN"/>
        </w:rPr>
        <w:t>投标文件格式</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val="en-US" w:eastAsia="zh-CN"/>
        </w:rPr>
        <w:t>：</w:t>
      </w:r>
    </w:p>
    <w:p w14:paraId="0385DF88">
      <w:pPr>
        <w:pStyle w:val="3"/>
        <w:numPr>
          <w:ilvl w:val="0"/>
          <w:numId w:val="0"/>
        </w:numPr>
        <w:shd w:val="clear" w:color="auto" w:fill="auto"/>
        <w:spacing w:before="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商务条款偏离表</w:t>
      </w:r>
      <w:bookmarkEnd w:id="122"/>
      <w:bookmarkEnd w:id="123"/>
      <w:bookmarkEnd w:id="124"/>
      <w:bookmarkEnd w:id="125"/>
      <w:bookmarkEnd w:id="126"/>
    </w:p>
    <w:p w14:paraId="7B892A46">
      <w:pPr>
        <w:pStyle w:val="14"/>
        <w:shd w:val="clear" w:color="auto" w:fill="auto"/>
        <w:spacing w:line="360" w:lineRule="auto"/>
        <w:ind w:left="1087" w:leftChars="257" w:hanging="540"/>
        <w:rPr>
          <w:rFonts w:hint="eastAsia" w:ascii="宋体" w:hAnsi="宋体" w:eastAsia="宋体" w:cs="宋体"/>
          <w:color w:val="auto"/>
          <w:sz w:val="24"/>
          <w:highlight w:val="none"/>
        </w:rPr>
      </w:pPr>
    </w:p>
    <w:p w14:paraId="5D6D68C4">
      <w:pPr>
        <w:pStyle w:val="14"/>
        <w:shd w:val="clear" w:color="auto" w:fill="auto"/>
        <w:spacing w:line="360" w:lineRule="auto"/>
        <w:ind w:left="1087" w:leftChars="257" w:hanging="540"/>
        <w:rPr>
          <w:rFonts w:hint="eastAsia" w:ascii="宋体" w:hAnsi="宋体" w:eastAsia="宋体" w:cs="宋体"/>
          <w:color w:val="auto"/>
          <w:sz w:val="24"/>
          <w:highlight w:val="none"/>
        </w:rPr>
      </w:pPr>
    </w:p>
    <w:p w14:paraId="222159C0">
      <w:pPr>
        <w:pStyle w:val="14"/>
        <w:shd w:val="clear" w:color="auto" w:fill="auto"/>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项目名称:                      招标编号: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 xml:space="preserve">     </w:t>
      </w:r>
      <w:r>
        <w:rPr>
          <w:rFonts w:hint="eastAsia" w:hAnsi="宋体" w:cs="宋体"/>
          <w:color w:val="auto"/>
          <w:sz w:val="21"/>
          <w:szCs w:val="16"/>
          <w:highlight w:val="none"/>
          <w:lang w:val="en-US" w:eastAsia="zh-CN"/>
        </w:rPr>
        <w:t>标项</w:t>
      </w:r>
      <w:r>
        <w:rPr>
          <w:rFonts w:hint="eastAsia" w:ascii="宋体" w:hAnsi="宋体" w:eastAsia="宋体" w:cs="宋体"/>
          <w:color w:val="auto"/>
          <w:sz w:val="21"/>
          <w:szCs w:val="16"/>
          <w:highlight w:val="none"/>
        </w:rPr>
        <w:t>号:</w:t>
      </w:r>
    </w:p>
    <w:p w14:paraId="5E3AE318">
      <w:pPr>
        <w:pStyle w:val="14"/>
        <w:shd w:val="clear" w:color="auto" w:fill="auto"/>
        <w:spacing w:line="360" w:lineRule="auto"/>
        <w:ind w:left="1087" w:leftChars="257" w:hanging="540"/>
        <w:rPr>
          <w:rFonts w:hint="eastAsia" w:ascii="宋体" w:hAnsi="宋体" w:eastAsia="宋体" w:cs="宋体"/>
          <w:color w:val="auto"/>
          <w:sz w:val="22"/>
          <w:szCs w:val="18"/>
          <w:highlight w:val="none"/>
        </w:rPr>
      </w:pPr>
    </w:p>
    <w:tbl>
      <w:tblPr>
        <w:tblStyle w:val="2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925"/>
        <w:gridCol w:w="1200"/>
        <w:gridCol w:w="1105"/>
      </w:tblGrid>
      <w:tr w14:paraId="1117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8" w:type="dxa"/>
            <w:noWrap w:val="0"/>
            <w:vAlign w:val="top"/>
          </w:tcPr>
          <w:p w14:paraId="6F4EDA26">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5925" w:type="dxa"/>
            <w:noWrap w:val="0"/>
            <w:vAlign w:val="top"/>
          </w:tcPr>
          <w:p w14:paraId="0895BF60">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招标文件主要商务条款</w:t>
            </w:r>
          </w:p>
        </w:tc>
        <w:tc>
          <w:tcPr>
            <w:tcW w:w="1200" w:type="dxa"/>
            <w:noWrap w:val="0"/>
            <w:vAlign w:val="top"/>
          </w:tcPr>
          <w:p w14:paraId="14AE5C7F">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是否响应</w:t>
            </w:r>
          </w:p>
        </w:tc>
        <w:tc>
          <w:tcPr>
            <w:tcW w:w="1105" w:type="dxa"/>
            <w:noWrap w:val="0"/>
            <w:vAlign w:val="top"/>
          </w:tcPr>
          <w:p w14:paraId="42978AA9">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偏离说明</w:t>
            </w:r>
          </w:p>
        </w:tc>
      </w:tr>
      <w:tr w14:paraId="754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8" w:type="dxa"/>
            <w:noWrap w:val="0"/>
            <w:vAlign w:val="top"/>
          </w:tcPr>
          <w:p w14:paraId="3CF00ADE">
            <w:pPr>
              <w:pStyle w:val="91"/>
              <w:spacing w:before="230" w:line="18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5925" w:type="dxa"/>
            <w:noWrap w:val="0"/>
            <w:vAlign w:val="top"/>
          </w:tcPr>
          <w:p w14:paraId="2C24057D">
            <w:pPr>
              <w:pStyle w:val="91"/>
              <w:spacing w:before="38" w:line="223" w:lineRule="auto"/>
              <w:ind w:left="113" w:leftChars="0" w:right="104"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完全理解并接受对合格供应商、合格的货物和服务</w:t>
            </w:r>
            <w:r>
              <w:rPr>
                <w:rFonts w:hint="eastAsia" w:ascii="宋体" w:hAnsi="宋体" w:eastAsia="宋体" w:cs="宋体"/>
                <w:color w:val="auto"/>
                <w:spacing w:val="-4"/>
                <w:sz w:val="21"/>
                <w:szCs w:val="21"/>
              </w:rPr>
              <w:t>要求。</w:t>
            </w:r>
          </w:p>
        </w:tc>
        <w:tc>
          <w:tcPr>
            <w:tcW w:w="1200" w:type="dxa"/>
            <w:noWrap w:val="0"/>
            <w:vAlign w:val="top"/>
          </w:tcPr>
          <w:p w14:paraId="59DF354C">
            <w:pPr>
              <w:rPr>
                <w:rFonts w:hint="eastAsia" w:ascii="宋体" w:hAnsi="宋体" w:eastAsia="宋体" w:cs="宋体"/>
                <w:color w:val="auto"/>
                <w:kern w:val="2"/>
                <w:sz w:val="21"/>
                <w:szCs w:val="21"/>
                <w:lang w:val="en-US" w:eastAsia="zh-CN" w:bidi="ar-SA"/>
              </w:rPr>
            </w:pPr>
          </w:p>
        </w:tc>
        <w:tc>
          <w:tcPr>
            <w:tcW w:w="1105" w:type="dxa"/>
            <w:noWrap w:val="0"/>
            <w:vAlign w:val="top"/>
          </w:tcPr>
          <w:p w14:paraId="03E53D56">
            <w:pPr>
              <w:pStyle w:val="14"/>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14:paraId="58ED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8" w:type="dxa"/>
            <w:noWrap w:val="0"/>
            <w:vAlign w:val="top"/>
          </w:tcPr>
          <w:p w14:paraId="15E1570E">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rPr>
              <w:t>2</w:t>
            </w:r>
          </w:p>
        </w:tc>
        <w:tc>
          <w:tcPr>
            <w:tcW w:w="5925" w:type="dxa"/>
            <w:noWrap w:val="0"/>
            <w:vAlign w:val="top"/>
          </w:tcPr>
          <w:p w14:paraId="0FB28B1F">
            <w:pPr>
              <w:pStyle w:val="91"/>
              <w:spacing w:before="38" w:line="223" w:lineRule="auto"/>
              <w:ind w:left="114" w:leftChars="0" w:right="104"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完全理解并接受对供应商的各项须知、规约要求和责任义</w:t>
            </w:r>
            <w:r>
              <w:rPr>
                <w:rFonts w:hint="eastAsia" w:ascii="宋体" w:hAnsi="宋体" w:eastAsia="宋体" w:cs="宋体"/>
                <w:color w:val="auto"/>
                <w:spacing w:val="-6"/>
                <w:sz w:val="21"/>
                <w:szCs w:val="21"/>
              </w:rPr>
              <w:t>务。</w:t>
            </w:r>
          </w:p>
        </w:tc>
        <w:tc>
          <w:tcPr>
            <w:tcW w:w="1200" w:type="dxa"/>
            <w:noWrap w:val="0"/>
            <w:vAlign w:val="top"/>
          </w:tcPr>
          <w:p w14:paraId="2896E9E8">
            <w:pPr>
              <w:rPr>
                <w:rFonts w:hint="eastAsia" w:ascii="宋体" w:hAnsi="宋体" w:eastAsia="宋体" w:cs="宋体"/>
                <w:color w:val="auto"/>
                <w:kern w:val="2"/>
                <w:sz w:val="21"/>
                <w:szCs w:val="21"/>
                <w:lang w:val="en-US" w:eastAsia="zh-CN" w:bidi="ar-SA"/>
              </w:rPr>
            </w:pPr>
          </w:p>
        </w:tc>
        <w:tc>
          <w:tcPr>
            <w:tcW w:w="1105" w:type="dxa"/>
            <w:noWrap w:val="0"/>
            <w:vAlign w:val="top"/>
          </w:tcPr>
          <w:p w14:paraId="5FDDE02A">
            <w:pPr>
              <w:pStyle w:val="14"/>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14:paraId="610B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8" w:type="dxa"/>
            <w:noWrap w:val="0"/>
            <w:vAlign w:val="top"/>
          </w:tcPr>
          <w:p w14:paraId="7657B799">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rPr>
              <w:t>3</w:t>
            </w:r>
          </w:p>
        </w:tc>
        <w:tc>
          <w:tcPr>
            <w:tcW w:w="5925" w:type="dxa"/>
            <w:noWrap w:val="0"/>
            <w:vAlign w:val="top"/>
          </w:tcPr>
          <w:p w14:paraId="160C12B1">
            <w:pPr>
              <w:pStyle w:val="91"/>
              <w:spacing w:before="110"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同意接受合同范本所列述的各项条款。</w:t>
            </w:r>
          </w:p>
        </w:tc>
        <w:tc>
          <w:tcPr>
            <w:tcW w:w="1200" w:type="dxa"/>
            <w:noWrap w:val="0"/>
            <w:vAlign w:val="top"/>
          </w:tcPr>
          <w:p w14:paraId="5B2E6775">
            <w:pPr>
              <w:rPr>
                <w:rFonts w:hint="eastAsia" w:ascii="宋体" w:hAnsi="宋体" w:eastAsia="宋体" w:cs="宋体"/>
                <w:color w:val="auto"/>
                <w:kern w:val="2"/>
                <w:sz w:val="21"/>
                <w:szCs w:val="21"/>
                <w:lang w:val="en-US" w:eastAsia="zh-CN" w:bidi="ar-SA"/>
              </w:rPr>
            </w:pPr>
          </w:p>
        </w:tc>
        <w:tc>
          <w:tcPr>
            <w:tcW w:w="1105" w:type="dxa"/>
            <w:noWrap w:val="0"/>
            <w:vAlign w:val="top"/>
          </w:tcPr>
          <w:p w14:paraId="0B243827">
            <w:pPr>
              <w:pStyle w:val="14"/>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14:paraId="529B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8" w:type="dxa"/>
            <w:noWrap w:val="0"/>
            <w:vAlign w:val="top"/>
          </w:tcPr>
          <w:p w14:paraId="44B874A8">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rPr>
              <w:t>4</w:t>
            </w:r>
          </w:p>
        </w:tc>
        <w:tc>
          <w:tcPr>
            <w:tcW w:w="5925" w:type="dxa"/>
            <w:noWrap w:val="0"/>
            <w:vAlign w:val="top"/>
          </w:tcPr>
          <w:p w14:paraId="7D9C547E">
            <w:pPr>
              <w:pStyle w:val="91"/>
              <w:spacing w:before="109"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同意按本项目要求缴付相关款项。</w:t>
            </w:r>
          </w:p>
        </w:tc>
        <w:tc>
          <w:tcPr>
            <w:tcW w:w="1200" w:type="dxa"/>
            <w:noWrap w:val="0"/>
            <w:vAlign w:val="top"/>
          </w:tcPr>
          <w:p w14:paraId="12B464BF">
            <w:pPr>
              <w:rPr>
                <w:rFonts w:hint="eastAsia" w:ascii="宋体" w:hAnsi="宋体" w:eastAsia="宋体" w:cs="宋体"/>
                <w:color w:val="auto"/>
                <w:kern w:val="2"/>
                <w:sz w:val="21"/>
                <w:szCs w:val="21"/>
                <w:lang w:val="en-US" w:eastAsia="zh-CN" w:bidi="ar-SA"/>
              </w:rPr>
            </w:pPr>
          </w:p>
        </w:tc>
        <w:tc>
          <w:tcPr>
            <w:tcW w:w="1105" w:type="dxa"/>
            <w:noWrap w:val="0"/>
            <w:vAlign w:val="top"/>
          </w:tcPr>
          <w:p w14:paraId="727ABB6C">
            <w:pPr>
              <w:pStyle w:val="14"/>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14:paraId="317E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8" w:type="dxa"/>
            <w:noWrap w:val="0"/>
            <w:vAlign w:val="top"/>
          </w:tcPr>
          <w:p w14:paraId="1E4E6CAC">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5</w:t>
            </w:r>
          </w:p>
        </w:tc>
        <w:tc>
          <w:tcPr>
            <w:tcW w:w="5925" w:type="dxa"/>
            <w:noWrap w:val="0"/>
            <w:vAlign w:val="top"/>
          </w:tcPr>
          <w:p w14:paraId="0E1A391F">
            <w:pPr>
              <w:pStyle w:val="91"/>
              <w:spacing w:before="40" w:line="228" w:lineRule="auto"/>
              <w:ind w:left="111" w:leftChars="0" w:right="104" w:rightChars="0" w:firstLine="3"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投标有效期：</w:t>
            </w:r>
            <w:r>
              <w:rPr>
                <w:rFonts w:hint="eastAsia" w:ascii="宋体" w:hAnsi="宋体" w:eastAsia="宋体" w:cs="宋体"/>
                <w:color w:val="auto"/>
                <w:spacing w:val="1"/>
                <w:sz w:val="21"/>
                <w:szCs w:val="21"/>
              </w:rPr>
              <w:t>不少于</w:t>
            </w:r>
            <w:r>
              <w:rPr>
                <w:rFonts w:hint="eastAsia" w:cs="宋体"/>
                <w:color w:val="auto"/>
                <w:spacing w:val="-42"/>
                <w:sz w:val="21"/>
                <w:szCs w:val="21"/>
                <w:u w:val="single"/>
                <w:lang w:val="en-US" w:eastAsia="zh-CN"/>
              </w:rPr>
              <w:t>60</w:t>
            </w:r>
            <w:r>
              <w:rPr>
                <w:rFonts w:hint="eastAsia" w:ascii="宋体" w:hAnsi="宋体" w:eastAsia="宋体" w:cs="宋体"/>
                <w:color w:val="auto"/>
                <w:spacing w:val="-42"/>
                <w:sz w:val="21"/>
                <w:szCs w:val="21"/>
                <w:u w:val="single"/>
                <w:lang w:val="en-US" w:eastAsia="zh-CN"/>
              </w:rPr>
              <w:t xml:space="preserve"> </w:t>
            </w:r>
            <w:r>
              <w:rPr>
                <w:rFonts w:hint="eastAsia" w:ascii="宋体" w:hAnsi="宋体" w:eastAsia="宋体" w:cs="宋体"/>
                <w:color w:val="auto"/>
                <w:spacing w:val="1"/>
                <w:sz w:val="21"/>
                <w:szCs w:val="21"/>
              </w:rPr>
              <w:t>天</w:t>
            </w:r>
            <w:r>
              <w:rPr>
                <w:rFonts w:hint="eastAsia" w:ascii="宋体" w:hAnsi="宋体" w:eastAsia="宋体" w:cs="宋体"/>
                <w:color w:val="auto"/>
                <w:spacing w:val="-2"/>
                <w:sz w:val="21"/>
                <w:szCs w:val="21"/>
              </w:rPr>
              <w:t>。</w:t>
            </w:r>
          </w:p>
        </w:tc>
        <w:tc>
          <w:tcPr>
            <w:tcW w:w="1200" w:type="dxa"/>
            <w:noWrap w:val="0"/>
            <w:vAlign w:val="top"/>
          </w:tcPr>
          <w:p w14:paraId="3967576B">
            <w:pPr>
              <w:rPr>
                <w:rFonts w:hint="eastAsia" w:ascii="宋体" w:hAnsi="宋体" w:eastAsia="宋体" w:cs="宋体"/>
                <w:color w:val="auto"/>
                <w:kern w:val="2"/>
                <w:sz w:val="21"/>
                <w:szCs w:val="21"/>
                <w:lang w:val="en-US" w:eastAsia="zh-CN" w:bidi="ar-SA"/>
              </w:rPr>
            </w:pPr>
          </w:p>
        </w:tc>
        <w:tc>
          <w:tcPr>
            <w:tcW w:w="1105" w:type="dxa"/>
            <w:noWrap w:val="0"/>
            <w:vAlign w:val="top"/>
          </w:tcPr>
          <w:p w14:paraId="4AA4743C">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2B6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8" w:type="dxa"/>
            <w:noWrap w:val="0"/>
            <w:vAlign w:val="top"/>
          </w:tcPr>
          <w:p w14:paraId="08979B13">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w:t>
            </w:r>
          </w:p>
        </w:tc>
        <w:tc>
          <w:tcPr>
            <w:tcW w:w="5925" w:type="dxa"/>
            <w:noWrap w:val="0"/>
            <w:vAlign w:val="top"/>
          </w:tcPr>
          <w:p w14:paraId="29003B9A">
            <w:pPr>
              <w:pStyle w:val="91"/>
              <w:spacing w:before="112" w:line="219" w:lineRule="auto"/>
              <w:ind w:left="115"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投标内容均涵盖</w:t>
            </w:r>
            <w:r>
              <w:rPr>
                <w:rFonts w:hint="eastAsia" w:ascii="宋体" w:hAnsi="宋体" w:eastAsia="宋体" w:cs="宋体"/>
                <w:color w:val="auto"/>
                <w:spacing w:val="-1"/>
                <w:sz w:val="21"/>
                <w:szCs w:val="21"/>
                <w:lang w:val="en-US" w:eastAsia="zh-CN"/>
              </w:rPr>
              <w:t>采购</w:t>
            </w:r>
            <w:r>
              <w:rPr>
                <w:rFonts w:hint="eastAsia" w:ascii="宋体" w:hAnsi="宋体" w:eastAsia="宋体" w:cs="宋体"/>
                <w:color w:val="auto"/>
                <w:spacing w:val="-1"/>
                <w:sz w:val="21"/>
                <w:szCs w:val="21"/>
              </w:rPr>
              <w:t>要求及一切费用和伴随服务。</w:t>
            </w:r>
          </w:p>
        </w:tc>
        <w:tc>
          <w:tcPr>
            <w:tcW w:w="1200" w:type="dxa"/>
            <w:noWrap w:val="0"/>
            <w:vAlign w:val="top"/>
          </w:tcPr>
          <w:p w14:paraId="4C5753C8">
            <w:pPr>
              <w:rPr>
                <w:rFonts w:hint="eastAsia" w:ascii="宋体" w:hAnsi="宋体" w:eastAsia="宋体" w:cs="宋体"/>
                <w:color w:val="auto"/>
                <w:kern w:val="2"/>
                <w:sz w:val="21"/>
                <w:szCs w:val="21"/>
                <w:lang w:val="en-US" w:eastAsia="zh-CN" w:bidi="ar-SA"/>
              </w:rPr>
            </w:pPr>
          </w:p>
        </w:tc>
        <w:tc>
          <w:tcPr>
            <w:tcW w:w="1105" w:type="dxa"/>
            <w:noWrap w:val="0"/>
            <w:vAlign w:val="top"/>
          </w:tcPr>
          <w:p w14:paraId="3DABCC6F">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45EA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8" w:type="dxa"/>
            <w:noWrap w:val="0"/>
            <w:vAlign w:val="top"/>
          </w:tcPr>
          <w:p w14:paraId="5A520634">
            <w:pPr>
              <w:pStyle w:val="91"/>
              <w:spacing w:before="149" w:line="183"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w:t>
            </w:r>
          </w:p>
        </w:tc>
        <w:tc>
          <w:tcPr>
            <w:tcW w:w="5925" w:type="dxa"/>
            <w:noWrap w:val="0"/>
            <w:vAlign w:val="top"/>
          </w:tcPr>
          <w:p w14:paraId="55C2B25D">
            <w:pPr>
              <w:pStyle w:val="91"/>
              <w:spacing w:before="110"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同意接受本项目</w:t>
            </w:r>
            <w:r>
              <w:rPr>
                <w:rFonts w:hint="eastAsia" w:ascii="宋体" w:hAnsi="宋体" w:eastAsia="宋体" w:cs="宋体"/>
                <w:color w:val="auto"/>
                <w:spacing w:val="-2"/>
                <w:sz w:val="21"/>
                <w:szCs w:val="21"/>
                <w:lang w:val="en-US" w:eastAsia="zh-CN"/>
              </w:rPr>
              <w:t>的供货期、供货地点以及</w:t>
            </w:r>
            <w:r>
              <w:rPr>
                <w:rFonts w:hint="eastAsia" w:ascii="宋体" w:hAnsi="宋体" w:eastAsia="宋体" w:cs="宋体"/>
                <w:color w:val="auto"/>
                <w:spacing w:val="-2"/>
                <w:sz w:val="21"/>
                <w:szCs w:val="21"/>
              </w:rPr>
              <w:t>相关进度安排要求。</w:t>
            </w:r>
          </w:p>
        </w:tc>
        <w:tc>
          <w:tcPr>
            <w:tcW w:w="1200" w:type="dxa"/>
            <w:noWrap w:val="0"/>
            <w:vAlign w:val="top"/>
          </w:tcPr>
          <w:p w14:paraId="4E51CE22">
            <w:pPr>
              <w:rPr>
                <w:rFonts w:hint="eastAsia" w:ascii="宋体" w:hAnsi="宋体" w:eastAsia="宋体" w:cs="宋体"/>
                <w:color w:val="auto"/>
                <w:kern w:val="2"/>
                <w:sz w:val="21"/>
                <w:szCs w:val="21"/>
                <w:lang w:val="en-US" w:eastAsia="zh-CN" w:bidi="ar-SA"/>
              </w:rPr>
            </w:pPr>
          </w:p>
        </w:tc>
        <w:tc>
          <w:tcPr>
            <w:tcW w:w="1105" w:type="dxa"/>
            <w:noWrap w:val="0"/>
            <w:vAlign w:val="top"/>
          </w:tcPr>
          <w:p w14:paraId="47145B5A">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476C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8" w:type="dxa"/>
            <w:noWrap w:val="0"/>
            <w:vAlign w:val="top"/>
          </w:tcPr>
          <w:p w14:paraId="7BCE65EA">
            <w:pPr>
              <w:pStyle w:val="91"/>
              <w:spacing w:before="150" w:line="183"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w:t>
            </w:r>
          </w:p>
        </w:tc>
        <w:tc>
          <w:tcPr>
            <w:tcW w:w="5925" w:type="dxa"/>
            <w:noWrap w:val="0"/>
            <w:vAlign w:val="top"/>
          </w:tcPr>
          <w:p w14:paraId="5FC839BE">
            <w:pPr>
              <w:pStyle w:val="91"/>
              <w:spacing w:before="112"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同意接受本项目</w:t>
            </w:r>
            <w:r>
              <w:rPr>
                <w:rFonts w:hint="eastAsia" w:ascii="宋体" w:hAnsi="宋体" w:eastAsia="宋体" w:cs="宋体"/>
                <w:color w:val="auto"/>
                <w:spacing w:val="-3"/>
                <w:sz w:val="21"/>
                <w:szCs w:val="21"/>
                <w:lang w:val="en-US" w:eastAsia="zh-CN"/>
              </w:rPr>
              <w:t>货物、</w:t>
            </w:r>
            <w:r>
              <w:rPr>
                <w:rFonts w:hint="eastAsia" w:ascii="宋体" w:hAnsi="宋体" w:eastAsia="宋体" w:cs="宋体"/>
                <w:color w:val="auto"/>
                <w:spacing w:val="-3"/>
                <w:sz w:val="21"/>
                <w:szCs w:val="21"/>
              </w:rPr>
              <w:t>服务的各项要求。</w:t>
            </w:r>
          </w:p>
        </w:tc>
        <w:tc>
          <w:tcPr>
            <w:tcW w:w="1200" w:type="dxa"/>
            <w:noWrap w:val="0"/>
            <w:vAlign w:val="top"/>
          </w:tcPr>
          <w:p w14:paraId="5E5846BD">
            <w:pPr>
              <w:rPr>
                <w:rFonts w:hint="eastAsia" w:ascii="宋体" w:hAnsi="宋体" w:eastAsia="宋体" w:cs="宋体"/>
                <w:color w:val="auto"/>
                <w:kern w:val="2"/>
                <w:sz w:val="21"/>
                <w:szCs w:val="21"/>
                <w:lang w:val="en-US" w:eastAsia="zh-CN" w:bidi="ar-SA"/>
              </w:rPr>
            </w:pPr>
          </w:p>
        </w:tc>
        <w:tc>
          <w:tcPr>
            <w:tcW w:w="1105" w:type="dxa"/>
            <w:noWrap w:val="0"/>
            <w:vAlign w:val="top"/>
          </w:tcPr>
          <w:p w14:paraId="4E1D9E7C">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6F28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8" w:type="dxa"/>
            <w:noWrap w:val="0"/>
            <w:vAlign w:val="top"/>
          </w:tcPr>
          <w:p w14:paraId="4489FBC8">
            <w:pPr>
              <w:pStyle w:val="91"/>
              <w:spacing w:before="278" w:line="18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4"/>
                <w:sz w:val="21"/>
                <w:szCs w:val="21"/>
                <w:lang w:val="en-US" w:eastAsia="zh-CN"/>
              </w:rPr>
              <w:t>9</w:t>
            </w:r>
          </w:p>
        </w:tc>
        <w:tc>
          <w:tcPr>
            <w:tcW w:w="5925" w:type="dxa"/>
            <w:noWrap w:val="0"/>
            <w:vAlign w:val="top"/>
          </w:tcPr>
          <w:p w14:paraId="6458923C">
            <w:pPr>
              <w:pStyle w:val="91"/>
              <w:spacing w:before="85" w:line="230" w:lineRule="auto"/>
              <w:ind w:left="118" w:leftChars="0" w:right="106" w:rightChars="0" w:firstLine="17"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同意采购方以任何形式对我方的投标/投标文件内容的真</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实性和有效性进行审查、验证。</w:t>
            </w:r>
          </w:p>
        </w:tc>
        <w:tc>
          <w:tcPr>
            <w:tcW w:w="1200" w:type="dxa"/>
            <w:noWrap w:val="0"/>
            <w:vAlign w:val="top"/>
          </w:tcPr>
          <w:p w14:paraId="77BC10B6">
            <w:pPr>
              <w:rPr>
                <w:rFonts w:hint="eastAsia" w:ascii="宋体" w:hAnsi="宋体" w:eastAsia="宋体" w:cs="宋体"/>
                <w:color w:val="auto"/>
                <w:kern w:val="2"/>
                <w:sz w:val="21"/>
                <w:szCs w:val="21"/>
                <w:lang w:val="en-US" w:eastAsia="zh-CN" w:bidi="ar-SA"/>
              </w:rPr>
            </w:pPr>
          </w:p>
        </w:tc>
        <w:tc>
          <w:tcPr>
            <w:tcW w:w="1105" w:type="dxa"/>
            <w:noWrap w:val="0"/>
            <w:vAlign w:val="top"/>
          </w:tcPr>
          <w:p w14:paraId="4C143F4B">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1AC7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8" w:type="dxa"/>
            <w:noWrap w:val="0"/>
            <w:vAlign w:val="top"/>
          </w:tcPr>
          <w:p w14:paraId="3E0FD95D">
            <w:pPr>
              <w:pStyle w:val="91"/>
              <w:spacing w:before="159" w:line="18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4"/>
                <w:sz w:val="21"/>
                <w:szCs w:val="21"/>
                <w:lang w:val="en-US" w:eastAsia="zh-CN"/>
              </w:rPr>
              <w:t>10</w:t>
            </w:r>
          </w:p>
        </w:tc>
        <w:tc>
          <w:tcPr>
            <w:tcW w:w="5925" w:type="dxa"/>
            <w:noWrap w:val="0"/>
            <w:vAlign w:val="top"/>
          </w:tcPr>
          <w:p w14:paraId="1F985044">
            <w:pPr>
              <w:pStyle w:val="91"/>
              <w:spacing w:before="122"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同意接受本项目付款的各项要求。</w:t>
            </w:r>
          </w:p>
        </w:tc>
        <w:tc>
          <w:tcPr>
            <w:tcW w:w="1200" w:type="dxa"/>
            <w:noWrap w:val="0"/>
            <w:vAlign w:val="top"/>
          </w:tcPr>
          <w:p w14:paraId="6BCADF19">
            <w:pPr>
              <w:rPr>
                <w:rFonts w:hint="eastAsia" w:ascii="宋体" w:hAnsi="宋体" w:eastAsia="宋体" w:cs="宋体"/>
                <w:color w:val="auto"/>
                <w:kern w:val="2"/>
                <w:sz w:val="21"/>
                <w:szCs w:val="21"/>
                <w:lang w:val="en-US" w:eastAsia="zh-CN" w:bidi="ar-SA"/>
              </w:rPr>
            </w:pPr>
          </w:p>
        </w:tc>
        <w:tc>
          <w:tcPr>
            <w:tcW w:w="1105" w:type="dxa"/>
            <w:noWrap w:val="0"/>
            <w:vAlign w:val="top"/>
          </w:tcPr>
          <w:p w14:paraId="40DCDF0B">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4E02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8" w:type="dxa"/>
            <w:noWrap w:val="0"/>
            <w:vAlign w:val="top"/>
          </w:tcPr>
          <w:p w14:paraId="6652097C">
            <w:pPr>
              <w:pStyle w:val="91"/>
              <w:spacing w:before="78" w:line="18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4"/>
                <w:sz w:val="21"/>
                <w:szCs w:val="21"/>
              </w:rPr>
              <w:t>1</w:t>
            </w:r>
            <w:r>
              <w:rPr>
                <w:rFonts w:hint="eastAsia" w:ascii="宋体" w:hAnsi="宋体" w:eastAsia="宋体" w:cs="宋体"/>
                <w:color w:val="auto"/>
                <w:spacing w:val="-14"/>
                <w:sz w:val="21"/>
                <w:szCs w:val="21"/>
                <w:lang w:val="en-US" w:eastAsia="zh-CN"/>
              </w:rPr>
              <w:t>1</w:t>
            </w:r>
          </w:p>
        </w:tc>
        <w:tc>
          <w:tcPr>
            <w:tcW w:w="5925" w:type="dxa"/>
            <w:noWrap w:val="0"/>
            <w:vAlign w:val="top"/>
          </w:tcPr>
          <w:p w14:paraId="7590B7F9">
            <w:pPr>
              <w:pStyle w:val="91"/>
              <w:spacing w:before="42" w:line="219" w:lineRule="auto"/>
              <w:ind w:left="113"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其它商务条款偏离说明</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如有</w:t>
            </w:r>
            <w:r>
              <w:rPr>
                <w:rFonts w:hint="eastAsia" w:ascii="宋体" w:hAnsi="宋体" w:eastAsia="宋体" w:cs="宋体"/>
                <w:color w:val="auto"/>
                <w:spacing w:val="-1"/>
                <w:sz w:val="21"/>
                <w:szCs w:val="21"/>
                <w:lang w:eastAsia="zh-CN"/>
              </w:rPr>
              <w:t>）</w:t>
            </w:r>
          </w:p>
        </w:tc>
        <w:tc>
          <w:tcPr>
            <w:tcW w:w="1200" w:type="dxa"/>
            <w:noWrap w:val="0"/>
            <w:vAlign w:val="top"/>
          </w:tcPr>
          <w:p w14:paraId="42C207B7">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c>
          <w:tcPr>
            <w:tcW w:w="1105" w:type="dxa"/>
            <w:noWrap w:val="0"/>
            <w:vAlign w:val="top"/>
          </w:tcPr>
          <w:p w14:paraId="092D5708">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bl>
    <w:p w14:paraId="67CBD5F2">
      <w:pPr>
        <w:pStyle w:val="14"/>
        <w:shd w:val="clear" w:color="auto" w:fill="auto"/>
        <w:spacing w:line="360" w:lineRule="auto"/>
        <w:ind w:left="1087" w:leftChars="257" w:hanging="540"/>
        <w:rPr>
          <w:rFonts w:hint="eastAsia" w:ascii="宋体" w:hAnsi="宋体" w:eastAsia="宋体" w:cs="宋体"/>
          <w:color w:val="auto"/>
          <w:sz w:val="24"/>
          <w:highlight w:val="yellow"/>
        </w:rPr>
      </w:pPr>
    </w:p>
    <w:p w14:paraId="48CDB7E6">
      <w:pPr>
        <w:pStyle w:val="14"/>
        <w:shd w:val="clear" w:color="auto" w:fill="auto"/>
        <w:spacing w:line="360" w:lineRule="auto"/>
        <w:ind w:left="1087" w:leftChars="257" w:hanging="540"/>
        <w:rPr>
          <w:rFonts w:hint="eastAsia" w:ascii="宋体" w:hAnsi="宋体" w:eastAsia="宋体" w:cs="宋体"/>
          <w:color w:val="auto"/>
          <w:sz w:val="24"/>
          <w:highlight w:val="yellow"/>
        </w:rPr>
      </w:pPr>
    </w:p>
    <w:p w14:paraId="6FC7D611">
      <w:pPr>
        <w:pStyle w:val="14"/>
        <w:shd w:val="clear" w:color="auto" w:fill="auto"/>
        <w:spacing w:line="360" w:lineRule="auto"/>
        <w:jc w:val="left"/>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 xml:space="preserve">法定代表人或其委托代理人签字或盖章: </w:t>
      </w:r>
      <w:r>
        <w:rPr>
          <w:rFonts w:hint="eastAsia" w:ascii="宋体" w:hAnsi="宋体" w:eastAsia="宋体" w:cs="宋体"/>
          <w:color w:val="auto"/>
          <w:sz w:val="21"/>
          <w:szCs w:val="16"/>
          <w:highlight w:val="none"/>
          <w:u w:val="single" w:color="auto"/>
          <w:lang w:val="en-US" w:eastAsia="zh-CN"/>
        </w:rPr>
        <w:tab/>
      </w:r>
      <w:r>
        <w:rPr>
          <w:rFonts w:hint="eastAsia" w:ascii="宋体" w:hAnsi="宋体" w:eastAsia="宋体" w:cs="宋体"/>
          <w:color w:val="auto"/>
          <w:sz w:val="21"/>
          <w:szCs w:val="16"/>
          <w:highlight w:val="none"/>
          <w:u w:val="single" w:color="auto"/>
          <w:lang w:val="en-US" w:eastAsia="zh-CN"/>
        </w:rPr>
        <w:t xml:space="preserve">      </w:t>
      </w:r>
      <w:r>
        <w:rPr>
          <w:rFonts w:hint="eastAsia" w:ascii="宋体" w:hAnsi="宋体" w:eastAsia="宋体" w:cs="宋体"/>
          <w:color w:val="auto"/>
          <w:sz w:val="21"/>
          <w:szCs w:val="16"/>
          <w:highlight w:val="none"/>
          <w:lang w:val="en-US" w:eastAsia="zh-CN"/>
        </w:rPr>
        <w:t xml:space="preserve">           </w:t>
      </w:r>
    </w:p>
    <w:p w14:paraId="62FD74A5">
      <w:pPr>
        <w:pStyle w:val="14"/>
        <w:shd w:val="clear" w:color="auto" w:fill="auto"/>
        <w:spacing w:line="360" w:lineRule="auto"/>
        <w:jc w:val="left"/>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 xml:space="preserve">投标人(盖单位章): </w:t>
      </w:r>
      <w:r>
        <w:rPr>
          <w:rFonts w:hint="eastAsia" w:ascii="宋体" w:hAnsi="宋体" w:eastAsia="宋体" w:cs="宋体"/>
          <w:color w:val="auto"/>
          <w:sz w:val="21"/>
          <w:szCs w:val="16"/>
          <w:highlight w:val="none"/>
          <w:u w:val="single" w:color="auto"/>
          <w:lang w:val="en-US" w:eastAsia="zh-CN"/>
        </w:rPr>
        <w:tab/>
      </w:r>
      <w:r>
        <w:rPr>
          <w:rFonts w:hint="eastAsia" w:ascii="宋体" w:hAnsi="宋体" w:eastAsia="宋体" w:cs="宋体"/>
          <w:color w:val="auto"/>
          <w:sz w:val="21"/>
          <w:szCs w:val="16"/>
          <w:highlight w:val="none"/>
          <w:u w:val="single" w:color="auto"/>
          <w:lang w:val="en-US" w:eastAsia="zh-CN"/>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lang w:val="en-US" w:eastAsia="zh-CN"/>
        </w:rPr>
        <w:tab/>
      </w:r>
    </w:p>
    <w:p w14:paraId="1DB5B9AD">
      <w:pPr>
        <w:pStyle w:val="14"/>
        <w:shd w:val="clear" w:color="auto" w:fill="auto"/>
        <w:spacing w:line="360" w:lineRule="auto"/>
        <w:jc w:val="left"/>
        <w:rPr>
          <w:rFonts w:hint="eastAsia" w:ascii="宋体" w:hAnsi="宋体" w:eastAsia="宋体" w:cs="宋体"/>
          <w:color w:val="auto"/>
          <w:highlight w:val="none"/>
        </w:rPr>
      </w:pPr>
      <w:r>
        <w:rPr>
          <w:rFonts w:hint="eastAsia" w:ascii="宋体" w:hAnsi="宋体" w:eastAsia="宋体" w:cs="宋体"/>
          <w:color w:val="auto"/>
          <w:sz w:val="21"/>
          <w:szCs w:val="16"/>
          <w:highlight w:val="none"/>
          <w:lang w:val="en-US" w:eastAsia="zh-CN"/>
        </w:rPr>
        <w:br w:type="page"/>
      </w:r>
    </w:p>
    <w:p w14:paraId="63D6357D">
      <w:pPr>
        <w:pStyle w:val="86"/>
        <w:keepNext w:val="0"/>
        <w:keepLines w:val="0"/>
        <w:widowControl w:val="0"/>
        <w:shd w:val="clear" w:color="auto" w:fill="auto"/>
        <w:bidi w:val="0"/>
        <w:spacing w:before="0" w:after="0" w:line="360" w:lineRule="auto"/>
        <w:ind w:left="0" w:right="0" w:firstLine="420"/>
        <w:jc w:val="left"/>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z w:val="24"/>
          <w:highlight w:val="none"/>
          <w:lang w:val="en-US" w:eastAsia="zh-CN"/>
        </w:rPr>
        <w:t>投标文件格式</w:t>
      </w:r>
      <w:r>
        <w:rPr>
          <w:rFonts w:hint="eastAsia" w:cs="宋体"/>
          <w:b/>
          <w:bCs/>
          <w:color w:val="auto"/>
          <w:spacing w:val="0"/>
          <w:w w:val="100"/>
          <w:position w:val="0"/>
          <w:sz w:val="24"/>
          <w:szCs w:val="24"/>
          <w:lang w:val="en-US" w:eastAsia="zh-CN"/>
        </w:rPr>
        <w:t>10</w:t>
      </w:r>
      <w:r>
        <w:rPr>
          <w:rFonts w:hint="eastAsia" w:ascii="宋体" w:hAnsi="宋体" w:eastAsia="宋体" w:cs="宋体"/>
          <w:b/>
          <w:bCs/>
          <w:color w:val="auto"/>
          <w:spacing w:val="0"/>
          <w:w w:val="100"/>
          <w:position w:val="0"/>
          <w:sz w:val="24"/>
          <w:szCs w:val="24"/>
          <w:lang w:val="en-US" w:eastAsia="zh-CN"/>
        </w:rPr>
        <w:t>：</w:t>
      </w:r>
    </w:p>
    <w:p w14:paraId="2D1715CE">
      <w:pPr>
        <w:pStyle w:val="86"/>
        <w:keepNext w:val="0"/>
        <w:keepLines w:val="0"/>
        <w:widowControl w:val="0"/>
        <w:shd w:val="clear" w:color="auto" w:fill="auto"/>
        <w:bidi w:val="0"/>
        <w:spacing w:before="0" w:after="0" w:line="360" w:lineRule="auto"/>
        <w:ind w:left="0" w:right="0" w:firstLine="420"/>
        <w:jc w:val="center"/>
        <w:rPr>
          <w:rFonts w:hint="eastAsia" w:ascii="宋体" w:hAnsi="宋体" w:eastAsia="宋体" w:cs="宋体"/>
          <w:b/>
          <w:bCs/>
          <w:color w:val="auto"/>
          <w:spacing w:val="0"/>
          <w:w w:val="100"/>
          <w:position w:val="0"/>
          <w:sz w:val="24"/>
          <w:szCs w:val="24"/>
          <w:lang w:val="en-US" w:eastAsia="zh-CN"/>
        </w:rPr>
      </w:pPr>
    </w:p>
    <w:p w14:paraId="41C70B79">
      <w:pPr>
        <w:pStyle w:val="10"/>
        <w:numPr>
          <w:ilvl w:val="0"/>
          <w:numId w:val="0"/>
        </w:numPr>
        <w:kinsoku w:val="0"/>
        <w:overflowPunct w:val="0"/>
        <w:spacing w:before="5" w:line="360" w:lineRule="auto"/>
        <w:ind w:leftChars="0" w:right="0" w:rightChars="0"/>
        <w:jc w:val="center"/>
        <w:rPr>
          <w:rFonts w:hint="eastAsia" w:ascii="宋体" w:hAnsi="宋体" w:eastAsia="宋体" w:cs="宋体"/>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投标人基本情况表</w:t>
      </w:r>
    </w:p>
    <w:p w14:paraId="22718E3D">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tbl>
      <w:tblPr>
        <w:tblStyle w:val="27"/>
        <w:tblW w:w="8639" w:type="dxa"/>
        <w:jc w:val="center"/>
        <w:tblLayout w:type="fixed"/>
        <w:tblCellMar>
          <w:top w:w="0" w:type="dxa"/>
          <w:left w:w="0" w:type="dxa"/>
          <w:bottom w:w="0" w:type="dxa"/>
          <w:right w:w="0" w:type="dxa"/>
        </w:tblCellMar>
      </w:tblPr>
      <w:tblGrid>
        <w:gridCol w:w="1499"/>
        <w:gridCol w:w="1164"/>
        <w:gridCol w:w="842"/>
        <w:gridCol w:w="488"/>
        <w:gridCol w:w="1331"/>
        <w:gridCol w:w="455"/>
        <w:gridCol w:w="910"/>
        <w:gridCol w:w="1950"/>
      </w:tblGrid>
      <w:tr w14:paraId="4EEEC144">
        <w:tblPrEx>
          <w:tblCellMar>
            <w:top w:w="0" w:type="dxa"/>
            <w:left w:w="0" w:type="dxa"/>
            <w:bottom w:w="0" w:type="dxa"/>
            <w:right w:w="0" w:type="dxa"/>
          </w:tblCellMar>
        </w:tblPrEx>
        <w:trPr>
          <w:trHeight w:val="603"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C87E234">
            <w:pPr>
              <w:pStyle w:val="56"/>
              <w:kinsoku w:val="0"/>
              <w:overflowPunct w:val="0"/>
              <w:spacing w:before="14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54B3D0F3">
            <w:pPr>
              <w:spacing w:line="360" w:lineRule="auto"/>
              <w:jc w:val="center"/>
              <w:rPr>
                <w:rFonts w:hint="eastAsia" w:ascii="宋体" w:hAnsi="宋体" w:eastAsia="宋体" w:cs="宋体"/>
                <w:color w:val="auto"/>
                <w:sz w:val="21"/>
                <w:szCs w:val="21"/>
              </w:rPr>
            </w:pPr>
          </w:p>
        </w:tc>
      </w:tr>
      <w:tr w14:paraId="0B77CF7A">
        <w:tblPrEx>
          <w:tblCellMar>
            <w:top w:w="0" w:type="dxa"/>
            <w:left w:w="0" w:type="dxa"/>
            <w:bottom w:w="0" w:type="dxa"/>
            <w:right w:w="0" w:type="dxa"/>
          </w:tblCellMar>
        </w:tblPrEx>
        <w:trPr>
          <w:trHeight w:val="689"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760F4A7">
            <w:pPr>
              <w:pStyle w:val="56"/>
              <w:kinsoku w:val="0"/>
              <w:overflowPunct w:val="0"/>
              <w:spacing w:before="14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6750E479">
            <w:pPr>
              <w:spacing w:line="360" w:lineRule="auto"/>
              <w:jc w:val="center"/>
              <w:rPr>
                <w:rFonts w:hint="eastAsia" w:ascii="宋体" w:hAnsi="宋体" w:eastAsia="宋体" w:cs="宋体"/>
                <w:color w:val="auto"/>
                <w:sz w:val="21"/>
                <w:szCs w:val="21"/>
              </w:rPr>
            </w:pPr>
          </w:p>
        </w:tc>
      </w:tr>
      <w:tr w14:paraId="711C8C41">
        <w:tblPrEx>
          <w:tblCellMar>
            <w:top w:w="0" w:type="dxa"/>
            <w:left w:w="0" w:type="dxa"/>
            <w:bottom w:w="0" w:type="dxa"/>
            <w:right w:w="0" w:type="dxa"/>
          </w:tblCellMar>
        </w:tblPrEx>
        <w:trPr>
          <w:trHeight w:val="628"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531D6CD">
            <w:pPr>
              <w:pStyle w:val="56"/>
              <w:kinsoku w:val="0"/>
              <w:overflowPunct w:val="0"/>
              <w:spacing w:before="14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63435CBA">
            <w:pPr>
              <w:spacing w:line="360" w:lineRule="auto"/>
              <w:jc w:val="center"/>
              <w:rPr>
                <w:rFonts w:hint="eastAsia" w:ascii="宋体" w:hAnsi="宋体" w:eastAsia="宋体" w:cs="宋体"/>
                <w:color w:val="auto"/>
                <w:sz w:val="21"/>
                <w:szCs w:val="21"/>
              </w:rPr>
            </w:pPr>
          </w:p>
        </w:tc>
      </w:tr>
      <w:tr w14:paraId="074739CE">
        <w:tblPrEx>
          <w:tblCellMar>
            <w:top w:w="0" w:type="dxa"/>
            <w:left w:w="0" w:type="dxa"/>
            <w:bottom w:w="0" w:type="dxa"/>
            <w:right w:w="0" w:type="dxa"/>
          </w:tblCellMar>
        </w:tblPrEx>
        <w:trPr>
          <w:trHeight w:val="787"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27FEC4B">
            <w:pPr>
              <w:pStyle w:val="56"/>
              <w:kinsoku w:val="0"/>
              <w:overflowPunct w:val="0"/>
              <w:spacing w:before="14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006" w:type="dxa"/>
            <w:gridSpan w:val="2"/>
            <w:tcBorders>
              <w:top w:val="single" w:color="000000" w:sz="4" w:space="0"/>
              <w:left w:val="single" w:color="000000" w:sz="4" w:space="0"/>
              <w:bottom w:val="single" w:color="000000" w:sz="4" w:space="0"/>
              <w:right w:val="single" w:color="000000" w:sz="4" w:space="0"/>
            </w:tcBorders>
            <w:noWrap w:val="0"/>
            <w:vAlign w:val="center"/>
          </w:tcPr>
          <w:p w14:paraId="5255A403">
            <w:pPr>
              <w:spacing w:line="360" w:lineRule="auto"/>
              <w:jc w:val="both"/>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center"/>
          </w:tcPr>
          <w:p w14:paraId="6DA7F0C9">
            <w:pPr>
              <w:pStyle w:val="56"/>
              <w:kinsoku w:val="0"/>
              <w:overflowPunct w:val="0"/>
              <w:spacing w:before="145" w:line="360" w:lineRule="auto"/>
              <w:ind w:left="181"/>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center"/>
          </w:tcPr>
          <w:p w14:paraId="6F6C1004">
            <w:pPr>
              <w:spacing w:line="360" w:lineRule="auto"/>
              <w:jc w:val="center"/>
              <w:rPr>
                <w:rFonts w:hint="eastAsia" w:ascii="宋体" w:hAnsi="宋体" w:eastAsia="宋体" w:cs="宋体"/>
                <w:color w:val="auto"/>
                <w:sz w:val="21"/>
                <w:szCs w:val="21"/>
              </w:rPr>
            </w:pPr>
          </w:p>
        </w:tc>
      </w:tr>
      <w:tr w14:paraId="29BFDF7F">
        <w:tblPrEx>
          <w:tblCellMar>
            <w:top w:w="0" w:type="dxa"/>
            <w:left w:w="0" w:type="dxa"/>
            <w:bottom w:w="0" w:type="dxa"/>
            <w:right w:w="0" w:type="dxa"/>
          </w:tblCellMar>
        </w:tblPrEx>
        <w:trPr>
          <w:trHeight w:val="447" w:hRule="exact"/>
          <w:jc w:val="center"/>
        </w:trPr>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14:paraId="505E800F">
            <w:pPr>
              <w:pStyle w:val="56"/>
              <w:kinsoku w:val="0"/>
              <w:overflowPunct w:val="0"/>
              <w:spacing w:before="145"/>
              <w:jc w:val="center"/>
              <w:rPr>
                <w:rFonts w:hint="eastAsia" w:ascii="宋体" w:hAnsi="宋体" w:eastAsia="宋体" w:cs="宋体"/>
                <w:color w:val="auto"/>
                <w:sz w:val="21"/>
                <w:szCs w:val="21"/>
              </w:rPr>
            </w:pPr>
            <w:r>
              <w:rPr>
                <w:rFonts w:hint="eastAsia" w:ascii="宋体" w:hAnsi="宋体" w:eastAsia="宋体" w:cs="宋体"/>
                <w:i w:val="0"/>
                <w:iCs w:val="0"/>
                <w:color w:val="auto"/>
                <w:sz w:val="21"/>
                <w:szCs w:val="21"/>
                <w:lang w:val="en-US" w:eastAsia="zh-CN"/>
              </w:rPr>
              <w:t>开户银行</w:t>
            </w:r>
          </w:p>
        </w:tc>
        <w:tc>
          <w:tcPr>
            <w:tcW w:w="20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C156C5D">
            <w:pPr>
              <w:jc w:val="cente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center"/>
          </w:tcPr>
          <w:p w14:paraId="5A8B30C3">
            <w:pPr>
              <w:pStyle w:val="56"/>
              <w:kinsoku w:val="0"/>
              <w:overflowPunct w:val="0"/>
              <w:spacing w:before="145"/>
              <w:ind w:left="181" w:leftChars="0"/>
              <w:jc w:val="center"/>
              <w:rPr>
                <w:rFonts w:hint="eastAsia" w:ascii="宋体" w:hAnsi="宋体" w:eastAsia="宋体" w:cs="宋体"/>
                <w:color w:val="auto"/>
                <w:sz w:val="21"/>
                <w:szCs w:val="21"/>
              </w:rPr>
            </w:pPr>
            <w:r>
              <w:rPr>
                <w:rFonts w:hint="eastAsia" w:ascii="宋体" w:hAnsi="宋体" w:eastAsia="宋体" w:cs="宋体"/>
                <w:i w:val="0"/>
                <w:iCs w:val="0"/>
                <w:color w:val="auto"/>
                <w:sz w:val="21"/>
                <w:szCs w:val="21"/>
                <w:lang w:val="en-US" w:eastAsia="zh-CN"/>
              </w:rPr>
              <w:t>开户行账号</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center"/>
          </w:tcPr>
          <w:p w14:paraId="0D4C5E67">
            <w:pPr>
              <w:jc w:val="center"/>
              <w:rPr>
                <w:rFonts w:hint="eastAsia" w:ascii="宋体" w:hAnsi="宋体" w:eastAsia="宋体" w:cs="宋体"/>
                <w:color w:val="auto"/>
                <w:sz w:val="21"/>
                <w:szCs w:val="21"/>
              </w:rPr>
            </w:pPr>
          </w:p>
        </w:tc>
      </w:tr>
      <w:tr w14:paraId="7B0B2CAF">
        <w:tblPrEx>
          <w:tblCellMar>
            <w:top w:w="0" w:type="dxa"/>
            <w:left w:w="0" w:type="dxa"/>
            <w:bottom w:w="0" w:type="dxa"/>
            <w:right w:w="0" w:type="dxa"/>
          </w:tblCellMar>
        </w:tblPrEx>
        <w:trPr>
          <w:trHeight w:val="602" w:hRule="exac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8A01D">
            <w:pPr>
              <w:pStyle w:val="56"/>
              <w:kinsoku w:val="0"/>
              <w:overflowPunct w:val="0"/>
              <w:spacing w:before="145"/>
              <w:ind w:left="137" w:leftChars="0"/>
              <w:jc w:val="center"/>
              <w:rPr>
                <w:rFonts w:hint="eastAsia" w:ascii="宋体" w:hAnsi="宋体" w:eastAsia="宋体" w:cs="宋体"/>
                <w:color w:val="auto"/>
                <w:sz w:val="21"/>
                <w:szCs w:val="21"/>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B6F0E7">
            <w:pPr>
              <w:jc w:val="cente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center"/>
          </w:tcPr>
          <w:p w14:paraId="0DE9EDDF">
            <w:pPr>
              <w:pStyle w:val="56"/>
              <w:kinsoku w:val="0"/>
              <w:overflowPunct w:val="0"/>
              <w:spacing w:before="145"/>
              <w:ind w:left="181" w:leftChars="0"/>
              <w:jc w:val="center"/>
              <w:rPr>
                <w:rFonts w:hint="eastAsia" w:ascii="宋体" w:hAnsi="宋体" w:eastAsia="宋体" w:cs="宋体"/>
                <w:color w:val="auto"/>
                <w:sz w:val="21"/>
                <w:szCs w:val="21"/>
              </w:rPr>
            </w:pPr>
            <w:r>
              <w:rPr>
                <w:rFonts w:hint="eastAsia" w:ascii="宋体" w:hAnsi="宋体" w:eastAsia="宋体" w:cs="宋体"/>
                <w:i w:val="0"/>
                <w:iCs w:val="0"/>
                <w:color w:val="auto"/>
                <w:sz w:val="21"/>
                <w:szCs w:val="21"/>
                <w:lang w:val="en-US" w:eastAsia="zh-CN"/>
              </w:rPr>
              <w:t>开户行行号</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center"/>
          </w:tcPr>
          <w:p w14:paraId="66CD4DD7">
            <w:pPr>
              <w:jc w:val="center"/>
              <w:rPr>
                <w:rFonts w:hint="eastAsia" w:ascii="宋体" w:hAnsi="宋体" w:eastAsia="宋体" w:cs="宋体"/>
                <w:color w:val="auto"/>
                <w:sz w:val="21"/>
                <w:szCs w:val="21"/>
              </w:rPr>
            </w:pPr>
          </w:p>
        </w:tc>
      </w:tr>
      <w:tr w14:paraId="5897465F">
        <w:tblPrEx>
          <w:tblCellMar>
            <w:top w:w="0" w:type="dxa"/>
            <w:left w:w="0" w:type="dxa"/>
            <w:bottom w:w="0" w:type="dxa"/>
            <w:right w:w="0" w:type="dxa"/>
          </w:tblCellMar>
        </w:tblPrEx>
        <w:trPr>
          <w:trHeight w:val="603"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61D0CA2">
            <w:pPr>
              <w:pStyle w:val="56"/>
              <w:kinsoku w:val="0"/>
              <w:overflowPunct w:val="0"/>
              <w:spacing w:before="146"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4956F2DC">
            <w:pPr>
              <w:spacing w:line="360" w:lineRule="auto"/>
              <w:jc w:val="center"/>
              <w:rPr>
                <w:rFonts w:hint="eastAsia" w:ascii="宋体" w:hAnsi="宋体" w:eastAsia="宋体" w:cs="宋体"/>
                <w:color w:val="auto"/>
                <w:sz w:val="21"/>
                <w:szCs w:val="21"/>
              </w:rPr>
            </w:pPr>
          </w:p>
        </w:tc>
      </w:tr>
      <w:tr w14:paraId="1FE21697">
        <w:tblPrEx>
          <w:tblCellMar>
            <w:top w:w="0" w:type="dxa"/>
            <w:left w:w="0" w:type="dxa"/>
            <w:bottom w:w="0" w:type="dxa"/>
            <w:right w:w="0" w:type="dxa"/>
          </w:tblCellMar>
        </w:tblPrEx>
        <w:trPr>
          <w:trHeight w:val="1150"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C417223">
            <w:pPr>
              <w:pStyle w:val="56"/>
              <w:kinsoku w:val="0"/>
              <w:overflowPunct w:val="0"/>
              <w:spacing w:before="141" w:line="360" w:lineRule="auto"/>
              <w:ind w:left="257" w:right="133" w:hanging="1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投标期间</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联系人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1F37709">
            <w:pPr>
              <w:spacing w:line="360" w:lineRule="auto"/>
              <w:jc w:val="cente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0C8AAC58">
            <w:pPr>
              <w:pStyle w:val="56"/>
              <w:kinsoku w:val="0"/>
              <w:overflowPunct w:val="0"/>
              <w:jc w:val="center"/>
              <w:rPr>
                <w:rFonts w:hint="eastAsia" w:ascii="宋体" w:hAnsi="宋体" w:eastAsia="宋体" w:cs="宋体"/>
                <w:i w:val="0"/>
                <w:iCs w:val="0"/>
                <w:color w:val="auto"/>
                <w:sz w:val="21"/>
                <w:szCs w:val="21"/>
                <w:lang w:val="en-US" w:eastAsia="zh-CN"/>
              </w:rPr>
            </w:pPr>
          </w:p>
          <w:p w14:paraId="39652F0E">
            <w:pPr>
              <w:pStyle w:val="56"/>
              <w:kinsoku w:val="0"/>
              <w:overflowPunct w:val="0"/>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手机</w:t>
            </w:r>
          </w:p>
          <w:p w14:paraId="59A3F787">
            <w:pPr>
              <w:pStyle w:val="56"/>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i w:val="0"/>
                <w:iCs w:val="0"/>
                <w:color w:val="auto"/>
                <w:sz w:val="21"/>
                <w:szCs w:val="21"/>
                <w:lang w:val="en-US" w:eastAsia="zh-CN"/>
              </w:rPr>
              <w:t>联系方式</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05B217E">
            <w:pPr>
              <w:spacing w:line="360" w:lineRule="auto"/>
              <w:jc w:val="cente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564357D5">
            <w:pPr>
              <w:pStyle w:val="56"/>
              <w:kinsoku w:val="0"/>
              <w:overflowPunct w:val="0"/>
              <w:spacing w:before="4" w:line="360" w:lineRule="auto"/>
              <w:jc w:val="center"/>
              <w:rPr>
                <w:rFonts w:hint="eastAsia" w:ascii="宋体" w:hAnsi="宋体" w:eastAsia="宋体" w:cs="宋体"/>
                <w:b/>
                <w:bCs/>
                <w:color w:val="auto"/>
                <w:sz w:val="21"/>
                <w:szCs w:val="21"/>
              </w:rPr>
            </w:pPr>
          </w:p>
          <w:p w14:paraId="32229BF5">
            <w:pPr>
              <w:pStyle w:val="56"/>
              <w:kinsoku w:val="0"/>
              <w:overflowPunct w:val="0"/>
              <w:spacing w:line="360" w:lineRule="auto"/>
              <w:ind w:left="383"/>
              <w:jc w:val="both"/>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FD73066">
            <w:pPr>
              <w:spacing w:line="360" w:lineRule="auto"/>
              <w:jc w:val="center"/>
              <w:rPr>
                <w:rFonts w:hint="eastAsia" w:ascii="宋体" w:hAnsi="宋体" w:eastAsia="宋体" w:cs="宋体"/>
                <w:color w:val="auto"/>
                <w:sz w:val="21"/>
                <w:szCs w:val="21"/>
              </w:rPr>
            </w:pPr>
          </w:p>
        </w:tc>
      </w:tr>
      <w:tr w14:paraId="76C0C885">
        <w:tblPrEx>
          <w:tblCellMar>
            <w:top w:w="0" w:type="dxa"/>
            <w:left w:w="0" w:type="dxa"/>
            <w:bottom w:w="0" w:type="dxa"/>
            <w:right w:w="0" w:type="dxa"/>
          </w:tblCellMar>
        </w:tblPrEx>
        <w:trPr>
          <w:trHeight w:val="1589"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7DA2298">
            <w:pPr>
              <w:pStyle w:val="56"/>
              <w:kinsoku w:val="0"/>
              <w:overflowPunct w:val="0"/>
              <w:spacing w:line="360" w:lineRule="auto"/>
              <w:ind w:left="497" w:right="493"/>
              <w:jc w:val="center"/>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11A2ABB6">
            <w:pPr>
              <w:spacing w:line="360" w:lineRule="auto"/>
              <w:jc w:val="center"/>
              <w:rPr>
                <w:rFonts w:hint="eastAsia" w:ascii="宋体" w:hAnsi="宋体" w:eastAsia="宋体" w:cs="宋体"/>
                <w:color w:val="auto"/>
                <w:sz w:val="21"/>
                <w:szCs w:val="21"/>
              </w:rPr>
            </w:pPr>
          </w:p>
        </w:tc>
      </w:tr>
      <w:tr w14:paraId="2E38E87E">
        <w:tblPrEx>
          <w:tblCellMar>
            <w:top w:w="0" w:type="dxa"/>
            <w:left w:w="0" w:type="dxa"/>
            <w:bottom w:w="0" w:type="dxa"/>
            <w:right w:w="0" w:type="dxa"/>
          </w:tblCellMar>
        </w:tblPrEx>
        <w:trPr>
          <w:trHeight w:val="1213"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028D75D3">
            <w:pPr>
              <w:pStyle w:val="56"/>
              <w:kinsoku w:val="0"/>
              <w:overflowPunct w:val="0"/>
              <w:spacing w:line="360" w:lineRule="auto"/>
              <w:ind w:left="497" w:right="49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7A87D8E8">
            <w:pPr>
              <w:spacing w:line="360" w:lineRule="auto"/>
              <w:jc w:val="center"/>
              <w:rPr>
                <w:rFonts w:hint="eastAsia" w:ascii="宋体" w:hAnsi="宋体" w:eastAsia="宋体" w:cs="宋体"/>
                <w:color w:val="auto"/>
                <w:sz w:val="21"/>
                <w:szCs w:val="21"/>
              </w:rPr>
            </w:pPr>
          </w:p>
        </w:tc>
      </w:tr>
    </w:tbl>
    <w:p w14:paraId="7BCAE069">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064964BD">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462D1024">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0C018C99">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67F68196">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729F0D3B">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1682C3B1">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72122177">
      <w:pPr>
        <w:pStyle w:val="10"/>
        <w:numPr>
          <w:ilvl w:val="0"/>
          <w:numId w:val="0"/>
        </w:numPr>
        <w:kinsoku w:val="0"/>
        <w:overflowPunct w:val="0"/>
        <w:spacing w:before="34" w:line="357" w:lineRule="auto"/>
        <w:ind w:left="480" w:leftChars="0" w:right="126" w:rightChars="0"/>
        <w:jc w:val="both"/>
        <w:rPr>
          <w:rFonts w:hint="eastAsia" w:ascii="宋体" w:hAnsi="宋体" w:eastAsia="宋体" w:cs="宋体"/>
          <w:b/>
          <w:bCs/>
          <w:color w:val="auto"/>
          <w:w w:val="90"/>
          <w:sz w:val="24"/>
          <w:szCs w:val="24"/>
          <w:lang w:eastAsia="zh-CN"/>
        </w:rPr>
      </w:pPr>
      <w:r>
        <w:rPr>
          <w:rFonts w:hint="eastAsia" w:ascii="宋体" w:hAnsi="宋体" w:eastAsia="宋体" w:cs="宋体"/>
          <w:b/>
          <w:bCs/>
          <w:color w:val="auto"/>
          <w:sz w:val="24"/>
          <w:highlight w:val="none"/>
          <w:lang w:val="en-US" w:eastAsia="zh-CN"/>
        </w:rPr>
        <w:t>投标文件格式</w:t>
      </w:r>
      <w:r>
        <w:rPr>
          <w:rFonts w:hint="eastAsia" w:ascii="宋体" w:hAnsi="宋体" w:eastAsia="宋体" w:cs="宋体"/>
          <w:b/>
          <w:bCs/>
          <w:color w:val="auto"/>
          <w:spacing w:val="0"/>
          <w:w w:val="100"/>
          <w:position w:val="0"/>
          <w:sz w:val="24"/>
          <w:szCs w:val="24"/>
          <w:lang w:val="en-US" w:eastAsia="zh-CN"/>
        </w:rPr>
        <w:t>1</w:t>
      </w:r>
      <w:r>
        <w:rPr>
          <w:rFonts w:hint="eastAsia" w:ascii="宋体" w:hAnsi="宋体" w:cs="宋体"/>
          <w:b/>
          <w:bCs/>
          <w:color w:val="auto"/>
          <w:spacing w:val="0"/>
          <w:w w:val="100"/>
          <w:position w:val="0"/>
          <w:sz w:val="24"/>
          <w:szCs w:val="24"/>
          <w:lang w:val="en-US" w:eastAsia="zh-CN"/>
        </w:rPr>
        <w:t>1</w:t>
      </w:r>
      <w:r>
        <w:rPr>
          <w:rFonts w:hint="eastAsia" w:ascii="宋体" w:hAnsi="宋体" w:eastAsia="宋体" w:cs="宋体"/>
          <w:b/>
          <w:bCs/>
          <w:color w:val="auto"/>
          <w:w w:val="90"/>
          <w:sz w:val="24"/>
          <w:szCs w:val="24"/>
          <w:lang w:val="en-US" w:eastAsia="zh-CN"/>
        </w:rPr>
        <w:t xml:space="preserve">、            </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r>
        <w:rPr>
          <w:rFonts w:hint="eastAsia" w:ascii="宋体" w:hAnsi="宋体" w:cs="宋体"/>
          <w:b/>
          <w:bCs/>
          <w:color w:val="auto"/>
          <w:w w:val="90"/>
          <w:sz w:val="24"/>
          <w:szCs w:val="24"/>
          <w:lang w:eastAsia="zh-CN"/>
        </w:rPr>
        <w:t>（</w:t>
      </w:r>
      <w:r>
        <w:rPr>
          <w:rFonts w:hint="eastAsia" w:ascii="宋体" w:hAnsi="宋体" w:cs="宋体"/>
          <w:b/>
          <w:bCs/>
          <w:color w:val="auto"/>
          <w:w w:val="90"/>
          <w:sz w:val="24"/>
          <w:szCs w:val="24"/>
          <w:lang w:val="en-US" w:eastAsia="zh-CN"/>
        </w:rPr>
        <w:t>如有，没有不填写</w:t>
      </w:r>
      <w:r>
        <w:rPr>
          <w:rFonts w:hint="eastAsia" w:ascii="宋体" w:hAnsi="宋体" w:cs="宋体"/>
          <w:b/>
          <w:bCs/>
          <w:color w:val="auto"/>
          <w:w w:val="90"/>
          <w:sz w:val="24"/>
          <w:szCs w:val="24"/>
          <w:lang w:eastAsia="zh-CN"/>
        </w:rPr>
        <w:t>）</w:t>
      </w:r>
    </w:p>
    <w:p w14:paraId="3AA1EB99">
      <w:pPr>
        <w:pStyle w:val="10"/>
        <w:numPr>
          <w:ilvl w:val="0"/>
          <w:numId w:val="0"/>
        </w:numPr>
        <w:kinsoku w:val="0"/>
        <w:overflowPunct w:val="0"/>
        <w:ind w:leftChars="0" w:right="0" w:rightChars="0"/>
        <w:rPr>
          <w:rFonts w:hint="eastAsia" w:ascii="宋体" w:hAnsi="宋体" w:eastAsia="宋体" w:cs="宋体"/>
          <w:b/>
          <w:bCs/>
          <w:color w:val="auto"/>
          <w:sz w:val="20"/>
          <w:szCs w:val="20"/>
        </w:rPr>
      </w:pPr>
    </w:p>
    <w:tbl>
      <w:tblPr>
        <w:tblStyle w:val="27"/>
        <w:tblW w:w="9736" w:type="dxa"/>
        <w:jc w:val="center"/>
        <w:tblLayout w:type="fixed"/>
        <w:tblCellMar>
          <w:top w:w="0" w:type="dxa"/>
          <w:left w:w="10" w:type="dxa"/>
          <w:bottom w:w="0" w:type="dxa"/>
          <w:right w:w="10" w:type="dxa"/>
        </w:tblCellMar>
      </w:tblPr>
      <w:tblGrid>
        <w:gridCol w:w="1162"/>
        <w:gridCol w:w="1938"/>
        <w:gridCol w:w="1612"/>
        <w:gridCol w:w="1196"/>
        <w:gridCol w:w="1289"/>
        <w:gridCol w:w="1481"/>
        <w:gridCol w:w="1058"/>
      </w:tblGrid>
      <w:tr w14:paraId="0D1E556B">
        <w:tblPrEx>
          <w:tblCellMar>
            <w:top w:w="0" w:type="dxa"/>
            <w:left w:w="10" w:type="dxa"/>
            <w:bottom w:w="0" w:type="dxa"/>
            <w:right w:w="10" w:type="dxa"/>
          </w:tblCellMar>
        </w:tblPrEx>
        <w:trPr>
          <w:trHeight w:val="609" w:hRule="exact"/>
          <w:jc w:val="center"/>
        </w:trPr>
        <w:tc>
          <w:tcPr>
            <w:tcW w:w="1162" w:type="dxa"/>
            <w:tcBorders>
              <w:top w:val="single" w:color="auto" w:sz="4" w:space="0"/>
              <w:left w:val="single" w:color="auto" w:sz="4" w:space="0"/>
            </w:tcBorders>
            <w:noWrap w:val="0"/>
            <w:vAlign w:val="center"/>
          </w:tcPr>
          <w:p w14:paraId="43747468">
            <w:pPr>
              <w:pStyle w:val="8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938" w:type="dxa"/>
            <w:tcBorders>
              <w:top w:val="single" w:color="auto" w:sz="4" w:space="0"/>
              <w:left w:val="single" w:color="auto" w:sz="4" w:space="0"/>
              <w:right w:val="single" w:color="auto" w:sz="4" w:space="0"/>
            </w:tcBorders>
            <w:noWrap w:val="0"/>
            <w:vAlign w:val="top"/>
          </w:tcPr>
          <w:p w14:paraId="0F8B728A">
            <w:pPr>
              <w:widowControl w:val="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1612" w:type="dxa"/>
            <w:tcBorders>
              <w:top w:val="single" w:color="auto" w:sz="4" w:space="0"/>
              <w:left w:val="single" w:color="auto" w:sz="4" w:space="0"/>
              <w:right w:val="single" w:color="auto" w:sz="4" w:space="0"/>
            </w:tcBorders>
            <w:noWrap w:val="0"/>
            <w:vAlign w:val="top"/>
          </w:tcPr>
          <w:p w14:paraId="777158E2">
            <w:pPr>
              <w:widowControl w:val="0"/>
              <w:jc w:val="center"/>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设备</w:t>
            </w:r>
            <w:r>
              <w:rPr>
                <w:rFonts w:hint="eastAsia" w:ascii="宋体" w:hAnsi="宋体" w:cs="宋体"/>
                <w:color w:val="auto"/>
                <w:sz w:val="21"/>
                <w:szCs w:val="21"/>
                <w:lang w:val="en-US" w:eastAsia="zh-CN"/>
              </w:rPr>
              <w:t>（货物）</w:t>
            </w:r>
          </w:p>
          <w:p w14:paraId="03B65DAC">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w:t>
            </w:r>
          </w:p>
        </w:tc>
        <w:tc>
          <w:tcPr>
            <w:tcW w:w="1196" w:type="dxa"/>
            <w:tcBorders>
              <w:top w:val="single" w:color="auto" w:sz="4" w:space="0"/>
              <w:left w:val="single" w:color="auto" w:sz="4" w:space="0"/>
              <w:right w:val="single" w:color="auto" w:sz="4" w:space="0"/>
            </w:tcBorders>
            <w:noWrap w:val="0"/>
            <w:vAlign w:val="top"/>
          </w:tcPr>
          <w:p w14:paraId="53C18BE5">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289" w:type="dxa"/>
            <w:tcBorders>
              <w:top w:val="single" w:color="auto" w:sz="4" w:space="0"/>
              <w:left w:val="single" w:color="auto" w:sz="4" w:space="0"/>
              <w:right w:val="single" w:color="auto" w:sz="4" w:space="0"/>
            </w:tcBorders>
            <w:noWrap w:val="0"/>
            <w:vAlign w:val="top"/>
          </w:tcPr>
          <w:p w14:paraId="7A747C89">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中标日期</w:t>
            </w:r>
          </w:p>
        </w:tc>
        <w:tc>
          <w:tcPr>
            <w:tcW w:w="1481" w:type="dxa"/>
            <w:tcBorders>
              <w:top w:val="single" w:color="auto" w:sz="4" w:space="0"/>
              <w:left w:val="single" w:color="auto" w:sz="4" w:space="0"/>
              <w:right w:val="single" w:color="auto" w:sz="4" w:space="0"/>
            </w:tcBorders>
            <w:noWrap w:val="0"/>
            <w:vAlign w:val="top"/>
          </w:tcPr>
          <w:p w14:paraId="6BCA469B">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中标金额</w:t>
            </w:r>
          </w:p>
        </w:tc>
        <w:tc>
          <w:tcPr>
            <w:tcW w:w="1058" w:type="dxa"/>
            <w:tcBorders>
              <w:top w:val="single" w:color="auto" w:sz="4" w:space="0"/>
              <w:left w:val="single" w:color="auto" w:sz="4" w:space="0"/>
              <w:right w:val="single" w:color="auto" w:sz="4" w:space="0"/>
            </w:tcBorders>
            <w:noWrap w:val="0"/>
            <w:vAlign w:val="top"/>
          </w:tcPr>
          <w:p w14:paraId="1ED1D0A6">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14:paraId="61A1B6F6">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3252A4EB">
            <w:pPr>
              <w:pStyle w:val="88"/>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41A81BDE">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4A9E11B8">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7EDCE5A9">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249E2AC3">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4C42211F">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1F96B0E8">
            <w:pPr>
              <w:widowControl w:val="0"/>
              <w:rPr>
                <w:rFonts w:hint="eastAsia" w:ascii="宋体" w:hAnsi="宋体" w:eastAsia="宋体" w:cs="宋体"/>
                <w:color w:val="auto"/>
                <w:sz w:val="21"/>
                <w:szCs w:val="21"/>
              </w:rPr>
            </w:pPr>
          </w:p>
        </w:tc>
      </w:tr>
      <w:tr w14:paraId="0E58D970">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6286F641">
            <w:pPr>
              <w:pStyle w:val="88"/>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2B06C9A7">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0E90D807">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5FCE2DCE">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632FA213">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031A943E">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683792CD">
            <w:pPr>
              <w:widowControl w:val="0"/>
              <w:rPr>
                <w:rFonts w:hint="eastAsia" w:ascii="宋体" w:hAnsi="宋体" w:eastAsia="宋体" w:cs="宋体"/>
                <w:color w:val="auto"/>
                <w:sz w:val="21"/>
                <w:szCs w:val="21"/>
              </w:rPr>
            </w:pPr>
          </w:p>
        </w:tc>
      </w:tr>
      <w:tr w14:paraId="4DF0DFDA">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5B2B0474">
            <w:pPr>
              <w:pStyle w:val="8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6A257414">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30FE81A4">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7B9B4CF8">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02E7F949">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5418BC69">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696BA33B">
            <w:pPr>
              <w:widowControl w:val="0"/>
              <w:rPr>
                <w:rFonts w:hint="eastAsia" w:ascii="宋体" w:hAnsi="宋体" w:eastAsia="宋体" w:cs="宋体"/>
                <w:color w:val="auto"/>
                <w:sz w:val="21"/>
                <w:szCs w:val="21"/>
              </w:rPr>
            </w:pPr>
          </w:p>
        </w:tc>
      </w:tr>
      <w:tr w14:paraId="46387671">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562B8B39">
            <w:pPr>
              <w:pStyle w:val="88"/>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214E81AF">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27DB434F">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2371B63B">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6C2B7CA4">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02B1B476">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0CB771BD">
            <w:pPr>
              <w:widowControl w:val="0"/>
              <w:rPr>
                <w:rFonts w:hint="eastAsia" w:ascii="宋体" w:hAnsi="宋体" w:eastAsia="宋体" w:cs="宋体"/>
                <w:color w:val="auto"/>
                <w:sz w:val="21"/>
                <w:szCs w:val="21"/>
              </w:rPr>
            </w:pPr>
          </w:p>
        </w:tc>
      </w:tr>
      <w:tr w14:paraId="4FB4CB51">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3DB330CC">
            <w:pPr>
              <w:pStyle w:val="88"/>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2349E666">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15042109">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48C5B016">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6B245BDF">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35E514FD">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47495168">
            <w:pPr>
              <w:widowControl w:val="0"/>
              <w:rPr>
                <w:rFonts w:hint="eastAsia" w:ascii="宋体" w:hAnsi="宋体" w:eastAsia="宋体" w:cs="宋体"/>
                <w:color w:val="auto"/>
                <w:sz w:val="21"/>
                <w:szCs w:val="21"/>
              </w:rPr>
            </w:pPr>
          </w:p>
        </w:tc>
      </w:tr>
      <w:tr w14:paraId="1A9F5E25">
        <w:tblPrEx>
          <w:tblCellMar>
            <w:top w:w="0" w:type="dxa"/>
            <w:left w:w="10" w:type="dxa"/>
            <w:bottom w:w="0" w:type="dxa"/>
            <w:right w:w="10" w:type="dxa"/>
          </w:tblCellMar>
        </w:tblPrEx>
        <w:trPr>
          <w:trHeight w:val="715" w:hRule="atLeast"/>
          <w:jc w:val="center"/>
        </w:trPr>
        <w:tc>
          <w:tcPr>
            <w:tcW w:w="1162" w:type="dxa"/>
            <w:tcBorders>
              <w:top w:val="single" w:color="auto" w:sz="4" w:space="0"/>
              <w:left w:val="single" w:color="auto" w:sz="4" w:space="0"/>
              <w:bottom w:val="single" w:color="auto" w:sz="4" w:space="0"/>
            </w:tcBorders>
            <w:noWrap w:val="0"/>
            <w:vAlign w:val="center"/>
          </w:tcPr>
          <w:p w14:paraId="075947E2">
            <w:pPr>
              <w:pStyle w:val="88"/>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537AFE94">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bottom w:val="single" w:color="auto" w:sz="4" w:space="0"/>
              <w:right w:val="single" w:color="auto" w:sz="4" w:space="0"/>
            </w:tcBorders>
            <w:noWrap w:val="0"/>
            <w:vAlign w:val="top"/>
          </w:tcPr>
          <w:p w14:paraId="060857BE">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C43E3C7">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bottom w:val="single" w:color="auto" w:sz="4" w:space="0"/>
              <w:right w:val="single" w:color="auto" w:sz="4" w:space="0"/>
            </w:tcBorders>
            <w:noWrap w:val="0"/>
            <w:vAlign w:val="top"/>
          </w:tcPr>
          <w:p w14:paraId="61FBEDD7">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46BE9FF3">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bottom w:val="single" w:color="auto" w:sz="4" w:space="0"/>
              <w:right w:val="single" w:color="auto" w:sz="4" w:space="0"/>
            </w:tcBorders>
            <w:noWrap w:val="0"/>
            <w:vAlign w:val="top"/>
          </w:tcPr>
          <w:p w14:paraId="71F9A98A">
            <w:pPr>
              <w:widowControl w:val="0"/>
              <w:rPr>
                <w:rFonts w:hint="eastAsia" w:ascii="宋体" w:hAnsi="宋体" w:eastAsia="宋体" w:cs="宋体"/>
                <w:color w:val="auto"/>
                <w:sz w:val="21"/>
                <w:szCs w:val="21"/>
              </w:rPr>
            </w:pPr>
          </w:p>
        </w:tc>
      </w:tr>
      <w:bookmarkEnd w:id="88"/>
      <w:bookmarkEnd w:id="89"/>
      <w:bookmarkEnd w:id="90"/>
      <w:bookmarkEnd w:id="91"/>
      <w:bookmarkEnd w:id="92"/>
      <w:bookmarkEnd w:id="93"/>
      <w:bookmarkEnd w:id="94"/>
    </w:tbl>
    <w:p w14:paraId="22C57404">
      <w:pPr>
        <w:pStyle w:val="14"/>
        <w:shd w:val="clear" w:color="auto" w:fill="auto"/>
        <w:tabs>
          <w:tab w:val="left" w:pos="5580"/>
        </w:tabs>
        <w:spacing w:line="240" w:lineRule="atLeast"/>
        <w:rPr>
          <w:rFonts w:hint="eastAsia" w:ascii="宋体" w:hAnsi="宋体" w:eastAsia="宋体" w:cs="宋体"/>
          <w:color w:val="auto"/>
          <w:highlight w:val="none"/>
        </w:rPr>
      </w:pPr>
    </w:p>
    <w:p w14:paraId="775B6B9C">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4CB40B8D">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5970BC7D">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453654B6">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4CB72673">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1BF278A9">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74A250EC">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2CA2ECE4">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23D7FED8">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0A91D950">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725D4735">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5C9E38A1">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60F48028">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2E177A5D">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70FF153B">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1ACED75F">
      <w:pPr>
        <w:pStyle w:val="91"/>
        <w:spacing w:before="220" w:beforeLines="0" w:afterLines="0" w:line="304" w:lineRule="auto"/>
        <w:ind w:right="8"/>
        <w:jc w:val="both"/>
        <w:rPr>
          <w:rFonts w:hint="eastAsia" w:ascii="宋体" w:hAnsi="宋体" w:eastAsia="宋体" w:cs="宋体"/>
          <w:spacing w:val="3"/>
          <w:sz w:val="18"/>
          <w:szCs w:val="18"/>
        </w:rPr>
      </w:pPr>
    </w:p>
    <w:p w14:paraId="5B181822">
      <w:pPr>
        <w:pStyle w:val="14"/>
        <w:shd w:val="clear" w:color="auto" w:fill="auto"/>
        <w:tabs>
          <w:tab w:val="left" w:pos="5580"/>
        </w:tabs>
        <w:spacing w:line="240" w:lineRule="atLeast"/>
        <w:ind w:left="1942" w:leftChars="912" w:firstLine="0" w:firstLineChars="0"/>
        <w:rPr>
          <w:rFonts w:hint="eastAsia"/>
          <w:color w:val="auto"/>
          <w:highlight w:val="none"/>
        </w:rPr>
      </w:pPr>
    </w:p>
    <w:p w14:paraId="2709AA7B">
      <w:pPr>
        <w:pStyle w:val="14"/>
        <w:shd w:val="clear" w:color="auto" w:fill="auto"/>
        <w:tabs>
          <w:tab w:val="left" w:pos="5580"/>
        </w:tabs>
        <w:spacing w:line="240" w:lineRule="atLeast"/>
        <w:rPr>
          <w:rFonts w:hint="eastAsia" w:asciiTheme="majorEastAsia" w:hAnsiTheme="majorEastAsia" w:eastAsiaTheme="majorEastAsia" w:cstheme="majorEastAsia"/>
          <w:color w:val="auto"/>
          <w:highlight w:val="none"/>
        </w:rPr>
      </w:pPr>
    </w:p>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Perpetua">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3E68">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3FE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63FE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FAFF">
    <w:pPr>
      <w:pStyle w:val="15"/>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B0436">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B0436">
                    <w:pPr>
                      <w:pStyle w:val="15"/>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color w:val="800000"/>
        <w:sz w:val="16"/>
        <w:szCs w:val="20"/>
        <w:lang w:val="en-US" w:eastAsia="zh-CN"/>
      </w:rPr>
      <w:t xml:space="preserve">        </w:t>
    </w:r>
  </w:p>
  <w:p w14:paraId="7849E320">
    <w:pPr>
      <w:pStyle w:val="15"/>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34ECDB1A">
    <w:pPr>
      <w:pStyle w:val="15"/>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DB92">
    <w:pPr>
      <w:pStyle w:val="16"/>
      <w:pBdr>
        <w:bottom w:val="single" w:color="auto" w:sz="4" w:space="0"/>
      </w:pBdr>
      <w:jc w:val="both"/>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 xml:space="preserve">                                             </w:t>
    </w:r>
  </w:p>
  <w:p w14:paraId="4447B0AA">
    <w:pPr>
      <w:pStyle w:val="16"/>
      <w:pBdr>
        <w:bottom w:val="single" w:color="auto" w:sz="4" w:space="0"/>
      </w:pBdr>
      <w:jc w:val="left"/>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D70F3"/>
    <w:multiLevelType w:val="singleLevel"/>
    <w:tmpl w:val="800D70F3"/>
    <w:lvl w:ilvl="0" w:tentative="0">
      <w:start w:val="1"/>
      <w:numFmt w:val="decimal"/>
      <w:suff w:val="nothing"/>
      <w:lvlText w:val="%1、"/>
      <w:lvlJc w:val="left"/>
    </w:lvl>
  </w:abstractNum>
  <w:abstractNum w:abstractNumId="1">
    <w:nsid w:val="AC469FD4"/>
    <w:multiLevelType w:val="singleLevel"/>
    <w:tmpl w:val="AC469FD4"/>
    <w:lvl w:ilvl="0" w:tentative="0">
      <w:start w:val="1"/>
      <w:numFmt w:val="decimal"/>
      <w:suff w:val="nothing"/>
      <w:lvlText w:val="%1、"/>
      <w:lvlJc w:val="left"/>
    </w:lvl>
  </w:abstractNum>
  <w:abstractNum w:abstractNumId="2">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CF5EF3D"/>
    <w:multiLevelType w:val="singleLevel"/>
    <w:tmpl w:val="ECF5EF3D"/>
    <w:lvl w:ilvl="0" w:tentative="0">
      <w:start w:val="1"/>
      <w:numFmt w:val="chineseCounting"/>
      <w:suff w:val="nothing"/>
      <w:lvlText w:val="（%1）"/>
      <w:lvlJc w:val="left"/>
      <w:rPr>
        <w:rFonts w:hint="eastAsia"/>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singleLevel"/>
    <w:tmpl w:val="00000001"/>
    <w:lvl w:ilvl="0" w:tentative="0">
      <w:start w:val="1"/>
      <w:numFmt w:val="decimal"/>
      <w:lvlText w:val="%1."/>
      <w:lvlJc w:val="left"/>
      <w:pPr>
        <w:tabs>
          <w:tab w:val="left" w:pos="312"/>
        </w:tabs>
      </w:pPr>
    </w:lvl>
  </w:abstractNum>
  <w:abstractNum w:abstractNumId="1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2">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13">
    <w:nsid w:val="11BA06CF"/>
    <w:multiLevelType w:val="singleLevel"/>
    <w:tmpl w:val="11BA06CF"/>
    <w:lvl w:ilvl="0" w:tentative="0">
      <w:start w:val="11"/>
      <w:numFmt w:val="chineseCounting"/>
      <w:suff w:val="nothing"/>
      <w:lvlText w:val="（%1）"/>
      <w:lvlJc w:val="left"/>
      <w:rPr>
        <w:rFonts w:hint="eastAsia"/>
      </w:rPr>
    </w:lvl>
  </w:abstractNum>
  <w:abstractNum w:abstractNumId="14">
    <w:nsid w:val="267DBE64"/>
    <w:multiLevelType w:val="singleLevel"/>
    <w:tmpl w:val="267DBE64"/>
    <w:lvl w:ilvl="0" w:tentative="0">
      <w:start w:val="1"/>
      <w:numFmt w:val="decimal"/>
      <w:lvlText w:val="%1."/>
      <w:lvlJc w:val="left"/>
      <w:pPr>
        <w:tabs>
          <w:tab w:val="left" w:pos="312"/>
        </w:tabs>
      </w:pPr>
    </w:lvl>
  </w:abstractNum>
  <w:abstractNum w:abstractNumId="1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55CD4C99"/>
    <w:multiLevelType w:val="singleLevel"/>
    <w:tmpl w:val="55CD4C99"/>
    <w:lvl w:ilvl="0" w:tentative="0">
      <w:start w:val="1"/>
      <w:numFmt w:val="chineseCounting"/>
      <w:suff w:val="nothing"/>
      <w:lvlText w:val="%1、"/>
      <w:lvlJc w:val="left"/>
    </w:lvl>
  </w:abstractNum>
  <w:abstractNum w:abstractNumId="18">
    <w:nsid w:val="6EC8727B"/>
    <w:multiLevelType w:val="singleLevel"/>
    <w:tmpl w:val="6EC8727B"/>
    <w:lvl w:ilvl="0" w:tentative="0">
      <w:start w:val="1"/>
      <w:numFmt w:val="decimal"/>
      <w:suff w:val="nothing"/>
      <w:lvlText w:val="%1、"/>
      <w:lvlJc w:val="left"/>
    </w:lvl>
  </w:abstractNum>
  <w:abstractNum w:abstractNumId="1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0">
    <w:nsid w:val="7A0F6431"/>
    <w:multiLevelType w:val="singleLevel"/>
    <w:tmpl w:val="7A0F6431"/>
    <w:lvl w:ilvl="0" w:tentative="0">
      <w:start w:val="1"/>
      <w:numFmt w:val="decimal"/>
      <w:suff w:val="space"/>
      <w:lvlText w:val="%1."/>
      <w:lvlJc w:val="left"/>
    </w:lvl>
  </w:abstractNum>
  <w:num w:numId="1">
    <w:abstractNumId w:val="15"/>
  </w:num>
  <w:num w:numId="2">
    <w:abstractNumId w:val="16"/>
  </w:num>
  <w:num w:numId="3">
    <w:abstractNumId w:val="2"/>
  </w:num>
  <w:num w:numId="4">
    <w:abstractNumId w:val="12"/>
  </w:num>
  <w:num w:numId="5">
    <w:abstractNumId w:val="1"/>
  </w:num>
  <w:num w:numId="6">
    <w:abstractNumId w:val="10"/>
  </w:num>
  <w:num w:numId="7">
    <w:abstractNumId w:val="18"/>
  </w:num>
  <w:num w:numId="8">
    <w:abstractNumId w:val="17"/>
  </w:num>
  <w:num w:numId="9">
    <w:abstractNumId w:val="11"/>
  </w:num>
  <w:num w:numId="10">
    <w:abstractNumId w:val="19"/>
  </w:num>
  <w:num w:numId="11">
    <w:abstractNumId w:val="0"/>
  </w:num>
  <w:num w:numId="12">
    <w:abstractNumId w:val="14"/>
  </w:num>
  <w:num w:numId="13">
    <w:abstractNumId w:val="20"/>
  </w:num>
  <w:num w:numId="14">
    <w:abstractNumId w:val="4"/>
  </w:num>
  <w:num w:numId="15">
    <w:abstractNumId w:val="9"/>
  </w:num>
  <w:num w:numId="16">
    <w:abstractNumId w:val="6"/>
  </w:num>
  <w:num w:numId="17">
    <w:abstractNumId w:val="5"/>
  </w:num>
  <w:num w:numId="18">
    <w:abstractNumId w:val="3"/>
  </w:num>
  <w:num w:numId="19">
    <w:abstractNumId w:val="7"/>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ZjhlNWM2NTk4MmU0NWYxM2M4Y2RjMGY5YWUyZmUifQ=="/>
    <w:docVar w:name="KSO_WPS_MARK_KEY" w:val="ff543f3e-fe51-4785-9101-7742f663f052"/>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3B5"/>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221"/>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724C2C"/>
    <w:rsid w:val="01920401"/>
    <w:rsid w:val="0195644C"/>
    <w:rsid w:val="019E4202"/>
    <w:rsid w:val="01B87B26"/>
    <w:rsid w:val="01C072D1"/>
    <w:rsid w:val="01C62F65"/>
    <w:rsid w:val="01E4322D"/>
    <w:rsid w:val="0255198A"/>
    <w:rsid w:val="027423B3"/>
    <w:rsid w:val="028E7BDF"/>
    <w:rsid w:val="02B472A9"/>
    <w:rsid w:val="02C95469"/>
    <w:rsid w:val="02D34744"/>
    <w:rsid w:val="02D61B95"/>
    <w:rsid w:val="02DA63DE"/>
    <w:rsid w:val="03101E00"/>
    <w:rsid w:val="032D5B2F"/>
    <w:rsid w:val="03915CBB"/>
    <w:rsid w:val="03E11484"/>
    <w:rsid w:val="03E73F6F"/>
    <w:rsid w:val="04463D2B"/>
    <w:rsid w:val="04552530"/>
    <w:rsid w:val="04585927"/>
    <w:rsid w:val="0465519A"/>
    <w:rsid w:val="0496681F"/>
    <w:rsid w:val="04A10F62"/>
    <w:rsid w:val="04B05277"/>
    <w:rsid w:val="04B14A54"/>
    <w:rsid w:val="04E33A5F"/>
    <w:rsid w:val="04F14B3B"/>
    <w:rsid w:val="04FF212C"/>
    <w:rsid w:val="05087233"/>
    <w:rsid w:val="050D4295"/>
    <w:rsid w:val="05371AF0"/>
    <w:rsid w:val="0548574A"/>
    <w:rsid w:val="05544350"/>
    <w:rsid w:val="05D02834"/>
    <w:rsid w:val="05E64C20"/>
    <w:rsid w:val="05ED6429"/>
    <w:rsid w:val="064A0705"/>
    <w:rsid w:val="06897EFF"/>
    <w:rsid w:val="06A04F45"/>
    <w:rsid w:val="06AF7AFE"/>
    <w:rsid w:val="06B04F83"/>
    <w:rsid w:val="06D500D3"/>
    <w:rsid w:val="06E20753"/>
    <w:rsid w:val="06E864EF"/>
    <w:rsid w:val="074143D2"/>
    <w:rsid w:val="07443158"/>
    <w:rsid w:val="074A36D8"/>
    <w:rsid w:val="074E6108"/>
    <w:rsid w:val="076B3AA9"/>
    <w:rsid w:val="07D41F0B"/>
    <w:rsid w:val="07EF451C"/>
    <w:rsid w:val="080A62FE"/>
    <w:rsid w:val="082779D0"/>
    <w:rsid w:val="08305869"/>
    <w:rsid w:val="086607BD"/>
    <w:rsid w:val="088F1F3E"/>
    <w:rsid w:val="089E6217"/>
    <w:rsid w:val="08B2007D"/>
    <w:rsid w:val="08C96CD9"/>
    <w:rsid w:val="08D82CBE"/>
    <w:rsid w:val="08DF2475"/>
    <w:rsid w:val="08E421C5"/>
    <w:rsid w:val="08F63846"/>
    <w:rsid w:val="08F830FA"/>
    <w:rsid w:val="091F4B4B"/>
    <w:rsid w:val="092A4459"/>
    <w:rsid w:val="09F101AC"/>
    <w:rsid w:val="09F547F1"/>
    <w:rsid w:val="0A02043C"/>
    <w:rsid w:val="0A1641A0"/>
    <w:rsid w:val="0A206DCD"/>
    <w:rsid w:val="0A374116"/>
    <w:rsid w:val="0A425D09"/>
    <w:rsid w:val="0A615213"/>
    <w:rsid w:val="0A77066E"/>
    <w:rsid w:val="0AD361DF"/>
    <w:rsid w:val="0AF139A7"/>
    <w:rsid w:val="0B660A46"/>
    <w:rsid w:val="0B6D172F"/>
    <w:rsid w:val="0B98378C"/>
    <w:rsid w:val="0BAF7383"/>
    <w:rsid w:val="0BB97AC8"/>
    <w:rsid w:val="0BCE4606"/>
    <w:rsid w:val="0BCF5D24"/>
    <w:rsid w:val="0C174BC2"/>
    <w:rsid w:val="0C175FAD"/>
    <w:rsid w:val="0C1A784C"/>
    <w:rsid w:val="0C7D722D"/>
    <w:rsid w:val="0CB97FA9"/>
    <w:rsid w:val="0CCB1770"/>
    <w:rsid w:val="0CCE5B94"/>
    <w:rsid w:val="0CF06F2A"/>
    <w:rsid w:val="0CFF1A4A"/>
    <w:rsid w:val="0D173FCE"/>
    <w:rsid w:val="0D3F1B32"/>
    <w:rsid w:val="0D5F286E"/>
    <w:rsid w:val="0D7540BF"/>
    <w:rsid w:val="0DD025A3"/>
    <w:rsid w:val="0DEB14A0"/>
    <w:rsid w:val="0DEB54DD"/>
    <w:rsid w:val="0E096438"/>
    <w:rsid w:val="0E33119A"/>
    <w:rsid w:val="0E484B44"/>
    <w:rsid w:val="0EEF05BA"/>
    <w:rsid w:val="0F0F11BE"/>
    <w:rsid w:val="0F2203CF"/>
    <w:rsid w:val="0F272863"/>
    <w:rsid w:val="0F2C78B5"/>
    <w:rsid w:val="0F49256A"/>
    <w:rsid w:val="0F4D3FA3"/>
    <w:rsid w:val="0F6256F4"/>
    <w:rsid w:val="0F674CBA"/>
    <w:rsid w:val="0F9446C6"/>
    <w:rsid w:val="0F9D2C6D"/>
    <w:rsid w:val="0FAC2639"/>
    <w:rsid w:val="0FB2671F"/>
    <w:rsid w:val="0FBF4B97"/>
    <w:rsid w:val="10130368"/>
    <w:rsid w:val="102E514F"/>
    <w:rsid w:val="104C77C0"/>
    <w:rsid w:val="1061783B"/>
    <w:rsid w:val="108375A0"/>
    <w:rsid w:val="10A9252D"/>
    <w:rsid w:val="10BF71E9"/>
    <w:rsid w:val="10D241D0"/>
    <w:rsid w:val="10E35D14"/>
    <w:rsid w:val="11105DEF"/>
    <w:rsid w:val="111123A7"/>
    <w:rsid w:val="11252143"/>
    <w:rsid w:val="1132247A"/>
    <w:rsid w:val="114D73C4"/>
    <w:rsid w:val="11511AAD"/>
    <w:rsid w:val="11552A4A"/>
    <w:rsid w:val="11714438"/>
    <w:rsid w:val="117B2B3A"/>
    <w:rsid w:val="117C475F"/>
    <w:rsid w:val="119D24C1"/>
    <w:rsid w:val="11D10160"/>
    <w:rsid w:val="1204469C"/>
    <w:rsid w:val="121E04E8"/>
    <w:rsid w:val="12200177"/>
    <w:rsid w:val="126E04C4"/>
    <w:rsid w:val="12900868"/>
    <w:rsid w:val="13441AE5"/>
    <w:rsid w:val="134C6DD6"/>
    <w:rsid w:val="136D666B"/>
    <w:rsid w:val="139F799A"/>
    <w:rsid w:val="13B17C71"/>
    <w:rsid w:val="13CE17D5"/>
    <w:rsid w:val="1405689D"/>
    <w:rsid w:val="1425441D"/>
    <w:rsid w:val="14301B0C"/>
    <w:rsid w:val="146E69D8"/>
    <w:rsid w:val="14711FFC"/>
    <w:rsid w:val="147C18B9"/>
    <w:rsid w:val="147E2158"/>
    <w:rsid w:val="14970D4A"/>
    <w:rsid w:val="14AD4DB8"/>
    <w:rsid w:val="14C4258A"/>
    <w:rsid w:val="15026A44"/>
    <w:rsid w:val="153F3BAF"/>
    <w:rsid w:val="15E45152"/>
    <w:rsid w:val="15EC220C"/>
    <w:rsid w:val="15F555B1"/>
    <w:rsid w:val="161E3404"/>
    <w:rsid w:val="169C77DB"/>
    <w:rsid w:val="170A6E3A"/>
    <w:rsid w:val="1720040C"/>
    <w:rsid w:val="175005C5"/>
    <w:rsid w:val="17BA0860"/>
    <w:rsid w:val="17E05DED"/>
    <w:rsid w:val="17FF1CA5"/>
    <w:rsid w:val="186576DB"/>
    <w:rsid w:val="18673E19"/>
    <w:rsid w:val="1870581D"/>
    <w:rsid w:val="18852DC4"/>
    <w:rsid w:val="189F460D"/>
    <w:rsid w:val="18B43EE8"/>
    <w:rsid w:val="18E436BB"/>
    <w:rsid w:val="19940024"/>
    <w:rsid w:val="19B73F44"/>
    <w:rsid w:val="19DF0792"/>
    <w:rsid w:val="1A0149D1"/>
    <w:rsid w:val="1A1C0075"/>
    <w:rsid w:val="1A2235E4"/>
    <w:rsid w:val="1A304E0A"/>
    <w:rsid w:val="1A4C3528"/>
    <w:rsid w:val="1A570ED9"/>
    <w:rsid w:val="1A620D3B"/>
    <w:rsid w:val="1A943AF7"/>
    <w:rsid w:val="1AA43102"/>
    <w:rsid w:val="1AD31C39"/>
    <w:rsid w:val="1ADC3C25"/>
    <w:rsid w:val="1ADD03C2"/>
    <w:rsid w:val="1AE158EF"/>
    <w:rsid w:val="1B237142"/>
    <w:rsid w:val="1B2C68C9"/>
    <w:rsid w:val="1B6A170F"/>
    <w:rsid w:val="1B8A22F8"/>
    <w:rsid w:val="1B987231"/>
    <w:rsid w:val="1BA809D0"/>
    <w:rsid w:val="1BAD4A8B"/>
    <w:rsid w:val="1BC8769B"/>
    <w:rsid w:val="1C041A94"/>
    <w:rsid w:val="1C456AEB"/>
    <w:rsid w:val="1C54620B"/>
    <w:rsid w:val="1C817B9F"/>
    <w:rsid w:val="1C8C41A9"/>
    <w:rsid w:val="1C8E5E18"/>
    <w:rsid w:val="1C913B90"/>
    <w:rsid w:val="1C982E58"/>
    <w:rsid w:val="1CAA2094"/>
    <w:rsid w:val="1CB338B2"/>
    <w:rsid w:val="1CB95FBA"/>
    <w:rsid w:val="1CBC14A8"/>
    <w:rsid w:val="1CF52D14"/>
    <w:rsid w:val="1CF72A71"/>
    <w:rsid w:val="1D076741"/>
    <w:rsid w:val="1D0F3860"/>
    <w:rsid w:val="1D2A5E93"/>
    <w:rsid w:val="1D5C49B8"/>
    <w:rsid w:val="1D6227F8"/>
    <w:rsid w:val="1D644556"/>
    <w:rsid w:val="1DAB7C59"/>
    <w:rsid w:val="1DB00010"/>
    <w:rsid w:val="1DB418AE"/>
    <w:rsid w:val="1DC96A0D"/>
    <w:rsid w:val="1DE1661E"/>
    <w:rsid w:val="1DFE291F"/>
    <w:rsid w:val="1E141822"/>
    <w:rsid w:val="1E28404A"/>
    <w:rsid w:val="1E2D1660"/>
    <w:rsid w:val="1E3649B9"/>
    <w:rsid w:val="1E374DF7"/>
    <w:rsid w:val="1E385966"/>
    <w:rsid w:val="1E7D1FC4"/>
    <w:rsid w:val="1E990AA4"/>
    <w:rsid w:val="1ED56267"/>
    <w:rsid w:val="1EE42889"/>
    <w:rsid w:val="1F0B19A2"/>
    <w:rsid w:val="1F262338"/>
    <w:rsid w:val="1F4C5B16"/>
    <w:rsid w:val="1F57762E"/>
    <w:rsid w:val="1F852551"/>
    <w:rsid w:val="1F8B6652"/>
    <w:rsid w:val="1FA73631"/>
    <w:rsid w:val="1FBB64FE"/>
    <w:rsid w:val="1FC009DE"/>
    <w:rsid w:val="1FC35DD8"/>
    <w:rsid w:val="1FF90AD1"/>
    <w:rsid w:val="20112FE8"/>
    <w:rsid w:val="201448F3"/>
    <w:rsid w:val="2056004D"/>
    <w:rsid w:val="205F5715"/>
    <w:rsid w:val="20616C82"/>
    <w:rsid w:val="206B2007"/>
    <w:rsid w:val="207B4905"/>
    <w:rsid w:val="20A04297"/>
    <w:rsid w:val="20C20C31"/>
    <w:rsid w:val="20C84D12"/>
    <w:rsid w:val="210F6386"/>
    <w:rsid w:val="21543824"/>
    <w:rsid w:val="2197751D"/>
    <w:rsid w:val="219910AC"/>
    <w:rsid w:val="21A6126D"/>
    <w:rsid w:val="21BA77C5"/>
    <w:rsid w:val="21CD2F3E"/>
    <w:rsid w:val="21E40288"/>
    <w:rsid w:val="220F1E76"/>
    <w:rsid w:val="221430F4"/>
    <w:rsid w:val="223C6316"/>
    <w:rsid w:val="224F3E0C"/>
    <w:rsid w:val="225D0766"/>
    <w:rsid w:val="22721D38"/>
    <w:rsid w:val="227578EC"/>
    <w:rsid w:val="227F3C44"/>
    <w:rsid w:val="22813E3B"/>
    <w:rsid w:val="22907A60"/>
    <w:rsid w:val="22D14F53"/>
    <w:rsid w:val="22F4274D"/>
    <w:rsid w:val="23447230"/>
    <w:rsid w:val="23563407"/>
    <w:rsid w:val="23804366"/>
    <w:rsid w:val="238D7FC6"/>
    <w:rsid w:val="23A936B3"/>
    <w:rsid w:val="23DB0465"/>
    <w:rsid w:val="2409047A"/>
    <w:rsid w:val="240E27FB"/>
    <w:rsid w:val="2460453E"/>
    <w:rsid w:val="24613453"/>
    <w:rsid w:val="24C82820"/>
    <w:rsid w:val="24D16C22"/>
    <w:rsid w:val="24D740D4"/>
    <w:rsid w:val="24FE5B05"/>
    <w:rsid w:val="25011339"/>
    <w:rsid w:val="250749B9"/>
    <w:rsid w:val="254E4396"/>
    <w:rsid w:val="255F02C6"/>
    <w:rsid w:val="256E3D48"/>
    <w:rsid w:val="25BD2BB9"/>
    <w:rsid w:val="25F50CB6"/>
    <w:rsid w:val="26163EB5"/>
    <w:rsid w:val="26321F0A"/>
    <w:rsid w:val="26805550"/>
    <w:rsid w:val="26C568DA"/>
    <w:rsid w:val="26D905D7"/>
    <w:rsid w:val="26DB60FD"/>
    <w:rsid w:val="26EA6665"/>
    <w:rsid w:val="2746688A"/>
    <w:rsid w:val="276B6060"/>
    <w:rsid w:val="27822A1D"/>
    <w:rsid w:val="278F23C0"/>
    <w:rsid w:val="27B2145C"/>
    <w:rsid w:val="27F21951"/>
    <w:rsid w:val="27FA7131"/>
    <w:rsid w:val="281A0EA7"/>
    <w:rsid w:val="282D6669"/>
    <w:rsid w:val="28435545"/>
    <w:rsid w:val="287C121A"/>
    <w:rsid w:val="289229E4"/>
    <w:rsid w:val="28962D82"/>
    <w:rsid w:val="28AC6901"/>
    <w:rsid w:val="28BC30CB"/>
    <w:rsid w:val="28C22024"/>
    <w:rsid w:val="28F141AE"/>
    <w:rsid w:val="28F4605A"/>
    <w:rsid w:val="28FB2A87"/>
    <w:rsid w:val="290129D3"/>
    <w:rsid w:val="29BA46F0"/>
    <w:rsid w:val="29C722AC"/>
    <w:rsid w:val="29F56D48"/>
    <w:rsid w:val="2A0D0CC4"/>
    <w:rsid w:val="2A1B2201"/>
    <w:rsid w:val="2A420242"/>
    <w:rsid w:val="2A613DAE"/>
    <w:rsid w:val="2AC8240E"/>
    <w:rsid w:val="2ADE6591"/>
    <w:rsid w:val="2AE474F4"/>
    <w:rsid w:val="2AE91610"/>
    <w:rsid w:val="2AF23A16"/>
    <w:rsid w:val="2B2D0EF2"/>
    <w:rsid w:val="2B69661F"/>
    <w:rsid w:val="2BA271EA"/>
    <w:rsid w:val="2BAE7D76"/>
    <w:rsid w:val="2BCD7395"/>
    <w:rsid w:val="2BCE4856"/>
    <w:rsid w:val="2BEC2B5B"/>
    <w:rsid w:val="2C087578"/>
    <w:rsid w:val="2C0B1EB7"/>
    <w:rsid w:val="2C3708A1"/>
    <w:rsid w:val="2C740C6A"/>
    <w:rsid w:val="2C8F5842"/>
    <w:rsid w:val="2CBA5B43"/>
    <w:rsid w:val="2CF92365"/>
    <w:rsid w:val="2CFE750E"/>
    <w:rsid w:val="2D05394C"/>
    <w:rsid w:val="2D0F7889"/>
    <w:rsid w:val="2D5279D2"/>
    <w:rsid w:val="2D5779CF"/>
    <w:rsid w:val="2D660D84"/>
    <w:rsid w:val="2D874C30"/>
    <w:rsid w:val="2DF42E5B"/>
    <w:rsid w:val="2E0D4939"/>
    <w:rsid w:val="2E2837C2"/>
    <w:rsid w:val="2E5A659D"/>
    <w:rsid w:val="2E6C5C5A"/>
    <w:rsid w:val="2E734E6D"/>
    <w:rsid w:val="2EE46E89"/>
    <w:rsid w:val="2F234AE5"/>
    <w:rsid w:val="2F3C2100"/>
    <w:rsid w:val="2F3E7857"/>
    <w:rsid w:val="2F5E167A"/>
    <w:rsid w:val="2F624773"/>
    <w:rsid w:val="2F7B047E"/>
    <w:rsid w:val="2F9060E8"/>
    <w:rsid w:val="2FA31782"/>
    <w:rsid w:val="2FB23303"/>
    <w:rsid w:val="2FE00F3D"/>
    <w:rsid w:val="2FEC4067"/>
    <w:rsid w:val="2FF02C24"/>
    <w:rsid w:val="2FF40230"/>
    <w:rsid w:val="30246A80"/>
    <w:rsid w:val="305C0CAD"/>
    <w:rsid w:val="307325D9"/>
    <w:rsid w:val="30B11ABF"/>
    <w:rsid w:val="30C51EF2"/>
    <w:rsid w:val="30E84514"/>
    <w:rsid w:val="30F027A5"/>
    <w:rsid w:val="31181CFC"/>
    <w:rsid w:val="318750EF"/>
    <w:rsid w:val="318C73AC"/>
    <w:rsid w:val="31E71DFA"/>
    <w:rsid w:val="31F2015C"/>
    <w:rsid w:val="31F67EDC"/>
    <w:rsid w:val="325D5CAE"/>
    <w:rsid w:val="327F717E"/>
    <w:rsid w:val="32A221C5"/>
    <w:rsid w:val="32BC4C6F"/>
    <w:rsid w:val="32E53E60"/>
    <w:rsid w:val="32F1121C"/>
    <w:rsid w:val="331575E0"/>
    <w:rsid w:val="333E257D"/>
    <w:rsid w:val="337C0898"/>
    <w:rsid w:val="33E54D41"/>
    <w:rsid w:val="33F16F60"/>
    <w:rsid w:val="33F22CD8"/>
    <w:rsid w:val="340145E2"/>
    <w:rsid w:val="3404022F"/>
    <w:rsid w:val="341774EA"/>
    <w:rsid w:val="343C6007"/>
    <w:rsid w:val="3474525E"/>
    <w:rsid w:val="348231C8"/>
    <w:rsid w:val="349756CD"/>
    <w:rsid w:val="34BB1D0D"/>
    <w:rsid w:val="34DB703E"/>
    <w:rsid w:val="352B6080"/>
    <w:rsid w:val="352E7A4E"/>
    <w:rsid w:val="355D1BDD"/>
    <w:rsid w:val="358636D8"/>
    <w:rsid w:val="35BC3ECF"/>
    <w:rsid w:val="35EF127D"/>
    <w:rsid w:val="35F273D0"/>
    <w:rsid w:val="35FF1075"/>
    <w:rsid w:val="36312BA6"/>
    <w:rsid w:val="363E3E80"/>
    <w:rsid w:val="364147F8"/>
    <w:rsid w:val="368C1FDB"/>
    <w:rsid w:val="36AB0D07"/>
    <w:rsid w:val="36F44901"/>
    <w:rsid w:val="371216F3"/>
    <w:rsid w:val="371562DB"/>
    <w:rsid w:val="37256F21"/>
    <w:rsid w:val="37555A58"/>
    <w:rsid w:val="37895702"/>
    <w:rsid w:val="37B26BC7"/>
    <w:rsid w:val="37BA272F"/>
    <w:rsid w:val="37C00961"/>
    <w:rsid w:val="37DF7667"/>
    <w:rsid w:val="37F91B59"/>
    <w:rsid w:val="3810197F"/>
    <w:rsid w:val="382A2A41"/>
    <w:rsid w:val="382F7F59"/>
    <w:rsid w:val="384358B1"/>
    <w:rsid w:val="3898459D"/>
    <w:rsid w:val="389C08AF"/>
    <w:rsid w:val="38B4677D"/>
    <w:rsid w:val="38D65532"/>
    <w:rsid w:val="39474803"/>
    <w:rsid w:val="39585248"/>
    <w:rsid w:val="39682C9F"/>
    <w:rsid w:val="396C7089"/>
    <w:rsid w:val="39C0030D"/>
    <w:rsid w:val="39E159DF"/>
    <w:rsid w:val="39EE7A9E"/>
    <w:rsid w:val="3A530EB7"/>
    <w:rsid w:val="3A9B45AD"/>
    <w:rsid w:val="3AF96F3C"/>
    <w:rsid w:val="3AFF6407"/>
    <w:rsid w:val="3B4E1274"/>
    <w:rsid w:val="3B641013"/>
    <w:rsid w:val="3B6A75F8"/>
    <w:rsid w:val="3B8A2759"/>
    <w:rsid w:val="3BA20BFD"/>
    <w:rsid w:val="3BA42B0A"/>
    <w:rsid w:val="3BC40B50"/>
    <w:rsid w:val="3C003D8D"/>
    <w:rsid w:val="3C3917A1"/>
    <w:rsid w:val="3C3B785C"/>
    <w:rsid w:val="3C491007"/>
    <w:rsid w:val="3C5C2847"/>
    <w:rsid w:val="3C775A3F"/>
    <w:rsid w:val="3C925059"/>
    <w:rsid w:val="3CB23005"/>
    <w:rsid w:val="3CB5559F"/>
    <w:rsid w:val="3CB57633"/>
    <w:rsid w:val="3CBC2B52"/>
    <w:rsid w:val="3CDB69FF"/>
    <w:rsid w:val="3CE753A4"/>
    <w:rsid w:val="3D0F0D6D"/>
    <w:rsid w:val="3D1F312E"/>
    <w:rsid w:val="3D2C1009"/>
    <w:rsid w:val="3D6A7724"/>
    <w:rsid w:val="3DDC1163"/>
    <w:rsid w:val="3E3711E2"/>
    <w:rsid w:val="3E421533"/>
    <w:rsid w:val="3E4E44C1"/>
    <w:rsid w:val="3E6F5651"/>
    <w:rsid w:val="3E8D5E6B"/>
    <w:rsid w:val="3ED01430"/>
    <w:rsid w:val="3EDC25BB"/>
    <w:rsid w:val="3F3E5024"/>
    <w:rsid w:val="3F66594E"/>
    <w:rsid w:val="3F796D91"/>
    <w:rsid w:val="3F9733C2"/>
    <w:rsid w:val="3FA30497"/>
    <w:rsid w:val="3FD247CD"/>
    <w:rsid w:val="3FD414E4"/>
    <w:rsid w:val="40153FD6"/>
    <w:rsid w:val="406E7B8B"/>
    <w:rsid w:val="40BC0987"/>
    <w:rsid w:val="40D45C40"/>
    <w:rsid w:val="40DB5220"/>
    <w:rsid w:val="40E81C84"/>
    <w:rsid w:val="40F94293"/>
    <w:rsid w:val="4157061F"/>
    <w:rsid w:val="41662610"/>
    <w:rsid w:val="41921B27"/>
    <w:rsid w:val="41D75722"/>
    <w:rsid w:val="41F320F5"/>
    <w:rsid w:val="41FA72AF"/>
    <w:rsid w:val="421F113C"/>
    <w:rsid w:val="42711E84"/>
    <w:rsid w:val="429E34F1"/>
    <w:rsid w:val="42AA6865"/>
    <w:rsid w:val="42C57F36"/>
    <w:rsid w:val="42D27F5D"/>
    <w:rsid w:val="42EA6221"/>
    <w:rsid w:val="43170066"/>
    <w:rsid w:val="431F4DAC"/>
    <w:rsid w:val="432307B8"/>
    <w:rsid w:val="433511B2"/>
    <w:rsid w:val="434A46EC"/>
    <w:rsid w:val="435C7A89"/>
    <w:rsid w:val="4392187A"/>
    <w:rsid w:val="43941B2C"/>
    <w:rsid w:val="43CB2F74"/>
    <w:rsid w:val="444A568D"/>
    <w:rsid w:val="444C4C47"/>
    <w:rsid w:val="44590819"/>
    <w:rsid w:val="445B488C"/>
    <w:rsid w:val="446E48E9"/>
    <w:rsid w:val="44784B34"/>
    <w:rsid w:val="447B1C4D"/>
    <w:rsid w:val="44CF6D64"/>
    <w:rsid w:val="450F3328"/>
    <w:rsid w:val="451E1FAA"/>
    <w:rsid w:val="453252CE"/>
    <w:rsid w:val="453A4CCF"/>
    <w:rsid w:val="45597105"/>
    <w:rsid w:val="455E0086"/>
    <w:rsid w:val="45640302"/>
    <w:rsid w:val="456C63D5"/>
    <w:rsid w:val="45763405"/>
    <w:rsid w:val="45A10357"/>
    <w:rsid w:val="46293689"/>
    <w:rsid w:val="465A35BD"/>
    <w:rsid w:val="465D0485"/>
    <w:rsid w:val="465F0134"/>
    <w:rsid w:val="469B0FAE"/>
    <w:rsid w:val="46CC1167"/>
    <w:rsid w:val="46D93AEF"/>
    <w:rsid w:val="46E44703"/>
    <w:rsid w:val="46FD10BA"/>
    <w:rsid w:val="46FF6CC1"/>
    <w:rsid w:val="47113641"/>
    <w:rsid w:val="4742292E"/>
    <w:rsid w:val="474D4154"/>
    <w:rsid w:val="475E2568"/>
    <w:rsid w:val="47842674"/>
    <w:rsid w:val="4795427E"/>
    <w:rsid w:val="479F32A6"/>
    <w:rsid w:val="47B9126E"/>
    <w:rsid w:val="47E250E6"/>
    <w:rsid w:val="481E599D"/>
    <w:rsid w:val="48322A33"/>
    <w:rsid w:val="4866371A"/>
    <w:rsid w:val="487D6BBD"/>
    <w:rsid w:val="48A95C04"/>
    <w:rsid w:val="48BC3ABC"/>
    <w:rsid w:val="48CE652C"/>
    <w:rsid w:val="48D91605"/>
    <w:rsid w:val="48F97216"/>
    <w:rsid w:val="492275A4"/>
    <w:rsid w:val="493D6ACC"/>
    <w:rsid w:val="49446E29"/>
    <w:rsid w:val="49C56192"/>
    <w:rsid w:val="49C9699B"/>
    <w:rsid w:val="49DD50AA"/>
    <w:rsid w:val="4A046D8C"/>
    <w:rsid w:val="4A241BB8"/>
    <w:rsid w:val="4A496086"/>
    <w:rsid w:val="4A6C513B"/>
    <w:rsid w:val="4A74295D"/>
    <w:rsid w:val="4A8A736F"/>
    <w:rsid w:val="4AB8212E"/>
    <w:rsid w:val="4AC11C68"/>
    <w:rsid w:val="4ACE1952"/>
    <w:rsid w:val="4AEF15D8"/>
    <w:rsid w:val="4B005883"/>
    <w:rsid w:val="4B036369"/>
    <w:rsid w:val="4B254D20"/>
    <w:rsid w:val="4B61791F"/>
    <w:rsid w:val="4B666C2E"/>
    <w:rsid w:val="4B7A0F54"/>
    <w:rsid w:val="4BD034A7"/>
    <w:rsid w:val="4BE40D01"/>
    <w:rsid w:val="4BE7296C"/>
    <w:rsid w:val="4BF16132"/>
    <w:rsid w:val="4C0C7656"/>
    <w:rsid w:val="4C147838"/>
    <w:rsid w:val="4C3334E4"/>
    <w:rsid w:val="4C4C09CF"/>
    <w:rsid w:val="4C4D6CFC"/>
    <w:rsid w:val="4C87307B"/>
    <w:rsid w:val="4C8970D3"/>
    <w:rsid w:val="4CA02851"/>
    <w:rsid w:val="4CF2476C"/>
    <w:rsid w:val="4D141FE0"/>
    <w:rsid w:val="4D646B23"/>
    <w:rsid w:val="4D7F3CDB"/>
    <w:rsid w:val="4D8313CB"/>
    <w:rsid w:val="4DAC05E6"/>
    <w:rsid w:val="4DC236BE"/>
    <w:rsid w:val="4DF87158"/>
    <w:rsid w:val="4E0524B6"/>
    <w:rsid w:val="4E0E5897"/>
    <w:rsid w:val="4E4242CC"/>
    <w:rsid w:val="4E5F5F0E"/>
    <w:rsid w:val="4E677615"/>
    <w:rsid w:val="4E772300"/>
    <w:rsid w:val="4E796078"/>
    <w:rsid w:val="4ED079B5"/>
    <w:rsid w:val="4ED127FF"/>
    <w:rsid w:val="4ED96A7E"/>
    <w:rsid w:val="4F495A4B"/>
    <w:rsid w:val="4F52070A"/>
    <w:rsid w:val="4F540514"/>
    <w:rsid w:val="4F6666E3"/>
    <w:rsid w:val="4F9C22EA"/>
    <w:rsid w:val="4FA72771"/>
    <w:rsid w:val="4FB22195"/>
    <w:rsid w:val="4FFE3062"/>
    <w:rsid w:val="500372D1"/>
    <w:rsid w:val="50C01628"/>
    <w:rsid w:val="50C65FDD"/>
    <w:rsid w:val="50C77758"/>
    <w:rsid w:val="50E028B4"/>
    <w:rsid w:val="50E80B86"/>
    <w:rsid w:val="5119769F"/>
    <w:rsid w:val="511C4164"/>
    <w:rsid w:val="512027DB"/>
    <w:rsid w:val="51271000"/>
    <w:rsid w:val="514C1822"/>
    <w:rsid w:val="515A3F3F"/>
    <w:rsid w:val="51695940"/>
    <w:rsid w:val="517D674F"/>
    <w:rsid w:val="51B11960"/>
    <w:rsid w:val="51CB26F0"/>
    <w:rsid w:val="5200468D"/>
    <w:rsid w:val="52064EAD"/>
    <w:rsid w:val="520B5239"/>
    <w:rsid w:val="520B596A"/>
    <w:rsid w:val="5226253D"/>
    <w:rsid w:val="52393F66"/>
    <w:rsid w:val="526D37FE"/>
    <w:rsid w:val="52C5363A"/>
    <w:rsid w:val="52C728C5"/>
    <w:rsid w:val="52E57E15"/>
    <w:rsid w:val="52EB0BC7"/>
    <w:rsid w:val="52FD43C9"/>
    <w:rsid w:val="5305612D"/>
    <w:rsid w:val="531B187C"/>
    <w:rsid w:val="533C110A"/>
    <w:rsid w:val="536A3A27"/>
    <w:rsid w:val="53737AE7"/>
    <w:rsid w:val="538D0591"/>
    <w:rsid w:val="53AA394F"/>
    <w:rsid w:val="53DE35D5"/>
    <w:rsid w:val="5403105C"/>
    <w:rsid w:val="543E122D"/>
    <w:rsid w:val="544544DB"/>
    <w:rsid w:val="54454A38"/>
    <w:rsid w:val="54603722"/>
    <w:rsid w:val="5460414F"/>
    <w:rsid w:val="546E385E"/>
    <w:rsid w:val="546E6143"/>
    <w:rsid w:val="547F1F0F"/>
    <w:rsid w:val="54994D7E"/>
    <w:rsid w:val="54B76D9A"/>
    <w:rsid w:val="54C44B46"/>
    <w:rsid w:val="54CA07C9"/>
    <w:rsid w:val="54D34337"/>
    <w:rsid w:val="54DA5D8D"/>
    <w:rsid w:val="54E16725"/>
    <w:rsid w:val="54ED35AA"/>
    <w:rsid w:val="551D40DC"/>
    <w:rsid w:val="55A46EBE"/>
    <w:rsid w:val="55B921AE"/>
    <w:rsid w:val="55C217A6"/>
    <w:rsid w:val="55F964C0"/>
    <w:rsid w:val="565A665B"/>
    <w:rsid w:val="566B44F9"/>
    <w:rsid w:val="568000FE"/>
    <w:rsid w:val="56CE1E48"/>
    <w:rsid w:val="56E85B49"/>
    <w:rsid w:val="5705621C"/>
    <w:rsid w:val="572648C3"/>
    <w:rsid w:val="57441971"/>
    <w:rsid w:val="5781344E"/>
    <w:rsid w:val="578923D3"/>
    <w:rsid w:val="57C837F3"/>
    <w:rsid w:val="57CF0C77"/>
    <w:rsid w:val="57D27E9C"/>
    <w:rsid w:val="58002426"/>
    <w:rsid w:val="5810485C"/>
    <w:rsid w:val="58150567"/>
    <w:rsid w:val="5817739E"/>
    <w:rsid w:val="581B3CFC"/>
    <w:rsid w:val="58240761"/>
    <w:rsid w:val="58256929"/>
    <w:rsid w:val="584E6149"/>
    <w:rsid w:val="585A65D3"/>
    <w:rsid w:val="587873A1"/>
    <w:rsid w:val="587C29ED"/>
    <w:rsid w:val="587D598D"/>
    <w:rsid w:val="589F3852"/>
    <w:rsid w:val="58BB798B"/>
    <w:rsid w:val="58E77E9A"/>
    <w:rsid w:val="59154646"/>
    <w:rsid w:val="5935428B"/>
    <w:rsid w:val="59537423"/>
    <w:rsid w:val="59695434"/>
    <w:rsid w:val="59B30690"/>
    <w:rsid w:val="59CA7788"/>
    <w:rsid w:val="59D06384"/>
    <w:rsid w:val="59EB363D"/>
    <w:rsid w:val="59F359C5"/>
    <w:rsid w:val="5A6E2A15"/>
    <w:rsid w:val="5AF54CD9"/>
    <w:rsid w:val="5B0433D8"/>
    <w:rsid w:val="5B105132"/>
    <w:rsid w:val="5B314FB8"/>
    <w:rsid w:val="5B395408"/>
    <w:rsid w:val="5B5136E8"/>
    <w:rsid w:val="5B67678A"/>
    <w:rsid w:val="5B8542BD"/>
    <w:rsid w:val="5BB22788"/>
    <w:rsid w:val="5BEF0AD5"/>
    <w:rsid w:val="5C0E64BD"/>
    <w:rsid w:val="5C0F3B78"/>
    <w:rsid w:val="5C36729C"/>
    <w:rsid w:val="5C520E7C"/>
    <w:rsid w:val="5C5611D3"/>
    <w:rsid w:val="5C6E5A67"/>
    <w:rsid w:val="5C8A1451"/>
    <w:rsid w:val="5CC055C4"/>
    <w:rsid w:val="5CC07DD9"/>
    <w:rsid w:val="5CC36B8D"/>
    <w:rsid w:val="5CFE2D22"/>
    <w:rsid w:val="5D0D35F8"/>
    <w:rsid w:val="5D123E93"/>
    <w:rsid w:val="5D1C654D"/>
    <w:rsid w:val="5D2017FC"/>
    <w:rsid w:val="5D5061F6"/>
    <w:rsid w:val="5DAB78D0"/>
    <w:rsid w:val="5DC23869"/>
    <w:rsid w:val="5DF71782"/>
    <w:rsid w:val="5E6D4E5F"/>
    <w:rsid w:val="5E8343A9"/>
    <w:rsid w:val="5E930A90"/>
    <w:rsid w:val="5ECF7C24"/>
    <w:rsid w:val="5ED70C07"/>
    <w:rsid w:val="5ED94A51"/>
    <w:rsid w:val="5EED19E5"/>
    <w:rsid w:val="5EFA2F5D"/>
    <w:rsid w:val="5F0E6877"/>
    <w:rsid w:val="5F1405A9"/>
    <w:rsid w:val="5F4026C0"/>
    <w:rsid w:val="5F4E2C09"/>
    <w:rsid w:val="5F7C47FC"/>
    <w:rsid w:val="5F952A26"/>
    <w:rsid w:val="5FB4164A"/>
    <w:rsid w:val="5FF41E65"/>
    <w:rsid w:val="60113788"/>
    <w:rsid w:val="603B13E0"/>
    <w:rsid w:val="60675D31"/>
    <w:rsid w:val="606E61E9"/>
    <w:rsid w:val="608F5287"/>
    <w:rsid w:val="60D17C50"/>
    <w:rsid w:val="61152866"/>
    <w:rsid w:val="619443DB"/>
    <w:rsid w:val="61CE7FA1"/>
    <w:rsid w:val="621A5025"/>
    <w:rsid w:val="622017F1"/>
    <w:rsid w:val="62DD1EB5"/>
    <w:rsid w:val="62EC69C1"/>
    <w:rsid w:val="63154001"/>
    <w:rsid w:val="63346B19"/>
    <w:rsid w:val="633D39F4"/>
    <w:rsid w:val="63D0339F"/>
    <w:rsid w:val="6413263F"/>
    <w:rsid w:val="643A6EDC"/>
    <w:rsid w:val="646F1B20"/>
    <w:rsid w:val="64B27796"/>
    <w:rsid w:val="64CA1A25"/>
    <w:rsid w:val="64E83DE8"/>
    <w:rsid w:val="64EC3D37"/>
    <w:rsid w:val="64EE1A97"/>
    <w:rsid w:val="65810E59"/>
    <w:rsid w:val="65817895"/>
    <w:rsid w:val="658E039D"/>
    <w:rsid w:val="65924CA9"/>
    <w:rsid w:val="65B46B2F"/>
    <w:rsid w:val="65C26A8E"/>
    <w:rsid w:val="65D35C16"/>
    <w:rsid w:val="65E51C8D"/>
    <w:rsid w:val="65FF6E40"/>
    <w:rsid w:val="660608AC"/>
    <w:rsid w:val="660D2ED6"/>
    <w:rsid w:val="6612135A"/>
    <w:rsid w:val="663F505A"/>
    <w:rsid w:val="6659207B"/>
    <w:rsid w:val="667E0188"/>
    <w:rsid w:val="66807B4C"/>
    <w:rsid w:val="668D1B06"/>
    <w:rsid w:val="66AE7DC2"/>
    <w:rsid w:val="66D6776C"/>
    <w:rsid w:val="66FC052E"/>
    <w:rsid w:val="672A3F5C"/>
    <w:rsid w:val="672C66EE"/>
    <w:rsid w:val="674D4335"/>
    <w:rsid w:val="67726657"/>
    <w:rsid w:val="678A4ED6"/>
    <w:rsid w:val="67BB05DB"/>
    <w:rsid w:val="68120612"/>
    <w:rsid w:val="68120C78"/>
    <w:rsid w:val="686052AA"/>
    <w:rsid w:val="68744C4B"/>
    <w:rsid w:val="688A35DC"/>
    <w:rsid w:val="6896352A"/>
    <w:rsid w:val="68D51FF8"/>
    <w:rsid w:val="68F41093"/>
    <w:rsid w:val="691D1325"/>
    <w:rsid w:val="69232A11"/>
    <w:rsid w:val="693E784B"/>
    <w:rsid w:val="694F6758"/>
    <w:rsid w:val="69507896"/>
    <w:rsid w:val="695E2B47"/>
    <w:rsid w:val="696A6892"/>
    <w:rsid w:val="69721525"/>
    <w:rsid w:val="69874162"/>
    <w:rsid w:val="69886D18"/>
    <w:rsid w:val="699C0B46"/>
    <w:rsid w:val="699E6EDB"/>
    <w:rsid w:val="69BF098B"/>
    <w:rsid w:val="69CE75CD"/>
    <w:rsid w:val="6A0C5CC5"/>
    <w:rsid w:val="6A0D4726"/>
    <w:rsid w:val="6A1011E7"/>
    <w:rsid w:val="6A5C61DA"/>
    <w:rsid w:val="6A7D7D3F"/>
    <w:rsid w:val="6A90057A"/>
    <w:rsid w:val="6A9C5931"/>
    <w:rsid w:val="6AC51738"/>
    <w:rsid w:val="6AF6662F"/>
    <w:rsid w:val="6B327947"/>
    <w:rsid w:val="6B8F438D"/>
    <w:rsid w:val="6BC27574"/>
    <w:rsid w:val="6BC92D5B"/>
    <w:rsid w:val="6BD20370"/>
    <w:rsid w:val="6BDC2A11"/>
    <w:rsid w:val="6BE85984"/>
    <w:rsid w:val="6BF81938"/>
    <w:rsid w:val="6C300F30"/>
    <w:rsid w:val="6C4179F9"/>
    <w:rsid w:val="6CCA7D73"/>
    <w:rsid w:val="6CE25661"/>
    <w:rsid w:val="6D140FEE"/>
    <w:rsid w:val="6D2356D5"/>
    <w:rsid w:val="6D374CDD"/>
    <w:rsid w:val="6D7A376E"/>
    <w:rsid w:val="6D924ED4"/>
    <w:rsid w:val="6D94212F"/>
    <w:rsid w:val="6D985DF0"/>
    <w:rsid w:val="6DA40BC9"/>
    <w:rsid w:val="6DEB79B2"/>
    <w:rsid w:val="6E1F559C"/>
    <w:rsid w:val="6E74415F"/>
    <w:rsid w:val="6EC425A0"/>
    <w:rsid w:val="6EFE1F56"/>
    <w:rsid w:val="6F155591"/>
    <w:rsid w:val="6F4436E1"/>
    <w:rsid w:val="6F564781"/>
    <w:rsid w:val="6F60051B"/>
    <w:rsid w:val="6F944336"/>
    <w:rsid w:val="6FA110A6"/>
    <w:rsid w:val="6FAD4F96"/>
    <w:rsid w:val="6FC64B3E"/>
    <w:rsid w:val="6FFB6495"/>
    <w:rsid w:val="700A0487"/>
    <w:rsid w:val="70393F60"/>
    <w:rsid w:val="706E6C67"/>
    <w:rsid w:val="706F7C6A"/>
    <w:rsid w:val="70A408DB"/>
    <w:rsid w:val="70D34E08"/>
    <w:rsid w:val="70EF5AB4"/>
    <w:rsid w:val="710E6933"/>
    <w:rsid w:val="712C3D7F"/>
    <w:rsid w:val="71411CC9"/>
    <w:rsid w:val="71502811"/>
    <w:rsid w:val="717E4766"/>
    <w:rsid w:val="71C10F2E"/>
    <w:rsid w:val="71C87C41"/>
    <w:rsid w:val="71C93E5C"/>
    <w:rsid w:val="71DC40A5"/>
    <w:rsid w:val="721022C6"/>
    <w:rsid w:val="722453CB"/>
    <w:rsid w:val="72365B57"/>
    <w:rsid w:val="725B146D"/>
    <w:rsid w:val="72611287"/>
    <w:rsid w:val="72BB5F8B"/>
    <w:rsid w:val="72BB6655"/>
    <w:rsid w:val="72C712E1"/>
    <w:rsid w:val="72FA1A10"/>
    <w:rsid w:val="732A78A1"/>
    <w:rsid w:val="73322ECF"/>
    <w:rsid w:val="73414AE1"/>
    <w:rsid w:val="73662167"/>
    <w:rsid w:val="738B7B30"/>
    <w:rsid w:val="73952CB3"/>
    <w:rsid w:val="73BA21C4"/>
    <w:rsid w:val="73C55FFA"/>
    <w:rsid w:val="74257426"/>
    <w:rsid w:val="743E1047"/>
    <w:rsid w:val="74416441"/>
    <w:rsid w:val="7487654A"/>
    <w:rsid w:val="74A94712"/>
    <w:rsid w:val="751C6001"/>
    <w:rsid w:val="752C54C6"/>
    <w:rsid w:val="755E6CA6"/>
    <w:rsid w:val="75686957"/>
    <w:rsid w:val="75A40B9D"/>
    <w:rsid w:val="761A4816"/>
    <w:rsid w:val="76643CA8"/>
    <w:rsid w:val="76772852"/>
    <w:rsid w:val="768A2321"/>
    <w:rsid w:val="769D3F76"/>
    <w:rsid w:val="76A63B31"/>
    <w:rsid w:val="76BB489F"/>
    <w:rsid w:val="76D36956"/>
    <w:rsid w:val="770B16B4"/>
    <w:rsid w:val="771D3195"/>
    <w:rsid w:val="7758241F"/>
    <w:rsid w:val="77707769"/>
    <w:rsid w:val="779A6594"/>
    <w:rsid w:val="77A23B7E"/>
    <w:rsid w:val="77CE2B0A"/>
    <w:rsid w:val="77F838AE"/>
    <w:rsid w:val="780B1F70"/>
    <w:rsid w:val="780E7E28"/>
    <w:rsid w:val="781B0555"/>
    <w:rsid w:val="78414E04"/>
    <w:rsid w:val="784E07A8"/>
    <w:rsid w:val="78533409"/>
    <w:rsid w:val="785739FC"/>
    <w:rsid w:val="78705799"/>
    <w:rsid w:val="78774B27"/>
    <w:rsid w:val="787765F1"/>
    <w:rsid w:val="78A02FA0"/>
    <w:rsid w:val="78AA1D1F"/>
    <w:rsid w:val="78D26A7E"/>
    <w:rsid w:val="78E133E1"/>
    <w:rsid w:val="78F9553C"/>
    <w:rsid w:val="79384422"/>
    <w:rsid w:val="79940026"/>
    <w:rsid w:val="79E41B7A"/>
    <w:rsid w:val="7A162C99"/>
    <w:rsid w:val="7A173ECC"/>
    <w:rsid w:val="7A72753A"/>
    <w:rsid w:val="7A8656D5"/>
    <w:rsid w:val="7A997061"/>
    <w:rsid w:val="7AF13DB6"/>
    <w:rsid w:val="7AF47429"/>
    <w:rsid w:val="7B0862D8"/>
    <w:rsid w:val="7B130B37"/>
    <w:rsid w:val="7B3F7B7E"/>
    <w:rsid w:val="7B406A51"/>
    <w:rsid w:val="7B6B4CD9"/>
    <w:rsid w:val="7B902651"/>
    <w:rsid w:val="7B9B00FB"/>
    <w:rsid w:val="7BBF3D8E"/>
    <w:rsid w:val="7BC2574F"/>
    <w:rsid w:val="7BF7374C"/>
    <w:rsid w:val="7C01654E"/>
    <w:rsid w:val="7C09018C"/>
    <w:rsid w:val="7C127147"/>
    <w:rsid w:val="7C3A2988"/>
    <w:rsid w:val="7C420122"/>
    <w:rsid w:val="7C541224"/>
    <w:rsid w:val="7C675C0A"/>
    <w:rsid w:val="7C727ADF"/>
    <w:rsid w:val="7CC145C3"/>
    <w:rsid w:val="7CF02627"/>
    <w:rsid w:val="7D087779"/>
    <w:rsid w:val="7D114D01"/>
    <w:rsid w:val="7D4274B2"/>
    <w:rsid w:val="7D6E2861"/>
    <w:rsid w:val="7D741635"/>
    <w:rsid w:val="7D9F61D8"/>
    <w:rsid w:val="7DC91981"/>
    <w:rsid w:val="7DDC6E34"/>
    <w:rsid w:val="7E0E4EF5"/>
    <w:rsid w:val="7E205AED"/>
    <w:rsid w:val="7E23216E"/>
    <w:rsid w:val="7E366327"/>
    <w:rsid w:val="7E5356EF"/>
    <w:rsid w:val="7E751182"/>
    <w:rsid w:val="7E8E57B1"/>
    <w:rsid w:val="7EA41695"/>
    <w:rsid w:val="7EAC1347"/>
    <w:rsid w:val="7ED96E19"/>
    <w:rsid w:val="7F245858"/>
    <w:rsid w:val="7F4D5629"/>
    <w:rsid w:val="7F5D6825"/>
    <w:rsid w:val="7F9A1827"/>
    <w:rsid w:val="7FA22F78"/>
    <w:rsid w:val="7FA27CF2"/>
    <w:rsid w:val="7FAF4BA7"/>
    <w:rsid w:val="7FB201B2"/>
    <w:rsid w:val="7FB3011B"/>
    <w:rsid w:val="7FBA3291"/>
    <w:rsid w:val="7FC46F0D"/>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qFormat/>
    <w:uiPriority w:val="1"/>
    <w:pPr>
      <w:ind w:left="652"/>
      <w:outlineLvl w:val="3"/>
    </w:pPr>
    <w:rPr>
      <w:b/>
      <w:bCs/>
      <w:sz w:val="30"/>
      <w:szCs w:val="3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1"/>
    <w:link w:val="46"/>
    <w:qFormat/>
    <w:uiPriority w:val="0"/>
    <w:pPr>
      <w:spacing w:after="120"/>
    </w:pPr>
  </w:style>
  <w:style w:type="paragraph" w:styleId="11">
    <w:name w:val="Date"/>
    <w:basedOn w:val="1"/>
    <w:next w:val="1"/>
    <w:link w:val="48"/>
    <w:qFormat/>
    <w:uiPriority w:val="0"/>
    <w:rPr>
      <w:rFonts w:ascii="Arial" w:hAnsi="Arial" w:eastAsia="仿宋_GB2312"/>
      <w:color w:val="000000"/>
      <w:sz w:val="32"/>
      <w:szCs w:val="20"/>
      <w:u w:val="none" w:color="000000"/>
    </w:rPr>
  </w:style>
  <w:style w:type="paragraph" w:styleId="12">
    <w:name w:val="Body Text Indent"/>
    <w:basedOn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link w:val="47"/>
    <w:qFormat/>
    <w:uiPriority w:val="0"/>
    <w:rPr>
      <w:rFonts w:ascii="宋体"/>
      <w:color w:val="000000"/>
      <w:szCs w:val="20"/>
      <w:u w:val="none" w:color="000000"/>
    </w:rPr>
  </w:style>
  <w:style w:type="paragraph" w:styleId="15">
    <w:name w:val="footer"/>
    <w:basedOn w:val="1"/>
    <w:link w:val="49"/>
    <w:qFormat/>
    <w:uiPriority w:val="0"/>
    <w:pPr>
      <w:tabs>
        <w:tab w:val="center" w:pos="4153"/>
        <w:tab w:val="right" w:pos="8306"/>
      </w:tabs>
      <w:snapToGrid w:val="0"/>
      <w:jc w:val="left"/>
    </w:pPr>
    <w:rPr>
      <w:sz w:val="18"/>
      <w:szCs w:val="18"/>
    </w:rPr>
  </w:style>
  <w:style w:type="paragraph" w:styleId="16">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19">
    <w:name w:val="footnote text"/>
    <w:basedOn w:val="1"/>
    <w:qFormat/>
    <w:uiPriority w:val="0"/>
    <w:pPr>
      <w:snapToGrid w:val="0"/>
      <w:jc w:val="left"/>
    </w:pPr>
    <w:rPr>
      <w:rFonts w:ascii="Times New Roman" w:hAnsi="Times New Roman" w:eastAsia="宋体" w:cs="Times New Roman"/>
      <w:sz w:val="18"/>
    </w:rPr>
  </w:style>
  <w:style w:type="paragraph" w:styleId="20">
    <w:name w:val="index 7"/>
    <w:basedOn w:val="1"/>
    <w:next w:val="1"/>
    <w:qFormat/>
    <w:uiPriority w:val="0"/>
    <w:pPr>
      <w:autoSpaceDE/>
      <w:autoSpaceDN/>
      <w:adjustRightInd/>
      <w:ind w:left="1200" w:leftChars="1200"/>
    </w:pPr>
    <w:rPr>
      <w:color w:val="auto"/>
      <w:kern w:val="2"/>
      <w:szCs w:val="24"/>
    </w:rPr>
  </w:style>
  <w:style w:type="paragraph" w:styleId="21">
    <w:name w:val="toc 2"/>
    <w:basedOn w:val="1"/>
    <w:next w:val="1"/>
    <w:qFormat/>
    <w:uiPriority w:val="39"/>
    <w:pPr>
      <w:ind w:left="200" w:leftChars="200"/>
    </w:pPr>
  </w:style>
  <w:style w:type="paragraph" w:styleId="22">
    <w:name w:val="Body Text 2"/>
    <w:basedOn w:val="1"/>
    <w:qFormat/>
    <w:uiPriority w:val="0"/>
    <w:pPr>
      <w:tabs>
        <w:tab w:val="left" w:pos="0"/>
      </w:tabs>
      <w:spacing w:line="400" w:lineRule="atLeast"/>
    </w:pPr>
    <w:rPr>
      <w:rFonts w:ascii="Arial" w:hAnsi="Arial"/>
      <w:color w:val="00000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79"/>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6">
    <w:name w:val="Body Text First Indent 2"/>
    <w:basedOn w:val="12"/>
    <w:unhideWhenUsed/>
    <w:qFormat/>
    <w:uiPriority w:val="99"/>
    <w:pPr>
      <w:spacing w:after="120" w:line="240" w:lineRule="auto"/>
      <w:ind w:left="420" w:leftChars="200" w:firstLine="420"/>
    </w:pPr>
    <w:rPr>
      <w:rFonts w:cs="宋体"/>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HTML Definition"/>
    <w:basedOn w:val="29"/>
    <w:qFormat/>
    <w:uiPriority w:val="0"/>
  </w:style>
  <w:style w:type="character" w:styleId="34">
    <w:name w:val="HTML Typewriter"/>
    <w:basedOn w:val="29"/>
    <w:qFormat/>
    <w:uiPriority w:val="0"/>
    <w:rPr>
      <w:rFonts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99"/>
    <w:rPr>
      <w:color w:val="0000FF"/>
      <w:u w:val="single"/>
    </w:rPr>
  </w:style>
  <w:style w:type="character" w:styleId="38">
    <w:name w:val="HTML Code"/>
    <w:basedOn w:val="29"/>
    <w:qFormat/>
    <w:uiPriority w:val="0"/>
    <w:rPr>
      <w:rFonts w:hint="default" w:ascii="monospace" w:hAnsi="monospace" w:eastAsia="monospace" w:cs="monospace"/>
      <w:sz w:val="20"/>
    </w:rPr>
  </w:style>
  <w:style w:type="character" w:styleId="39">
    <w:name w:val="HTML Cite"/>
    <w:basedOn w:val="29"/>
    <w:qFormat/>
    <w:uiPriority w:val="0"/>
  </w:style>
  <w:style w:type="character" w:styleId="40">
    <w:name w:val="footnote reference"/>
    <w:basedOn w:val="29"/>
    <w:semiHidden/>
    <w:unhideWhenUsed/>
    <w:qFormat/>
    <w:uiPriority w:val="99"/>
    <w:rPr>
      <w:vertAlign w:val="superscript"/>
    </w:rPr>
  </w:style>
  <w:style w:type="character" w:styleId="41">
    <w:name w:val="HTML Keyboard"/>
    <w:basedOn w:val="29"/>
    <w:qFormat/>
    <w:uiPriority w:val="0"/>
    <w:rPr>
      <w:rFonts w:hint="default" w:ascii="monospace" w:hAnsi="monospace" w:eastAsia="monospace" w:cs="monospace"/>
      <w:sz w:val="20"/>
    </w:rPr>
  </w:style>
  <w:style w:type="character" w:styleId="42">
    <w:name w:val="HTML Sample"/>
    <w:basedOn w:val="29"/>
    <w:qFormat/>
    <w:uiPriority w:val="0"/>
    <w:rPr>
      <w:rFonts w:hint="default" w:ascii="monospace" w:hAnsi="monospace" w:eastAsia="monospace" w:cs="monospace"/>
    </w:rPr>
  </w:style>
  <w:style w:type="paragraph" w:customStyle="1" w:styleId="43">
    <w:name w:val="No Spacing"/>
    <w:basedOn w:val="1"/>
    <w:qFormat/>
    <w:uiPriority w:val="1"/>
    <w:pPr>
      <w:jc w:val="center"/>
    </w:pPr>
    <w:rPr>
      <w:rFonts w:eastAsia="黑体"/>
      <w:sz w:val="30"/>
    </w:rPr>
  </w:style>
  <w:style w:type="paragraph" w:customStyle="1" w:styleId="44">
    <w:name w:val="_Style 2"/>
    <w:basedOn w:val="1"/>
    <w:next w:val="1"/>
    <w:qFormat/>
    <w:uiPriority w:val="0"/>
    <w:pPr>
      <w:ind w:firstLine="200" w:firstLineChars="200"/>
    </w:pPr>
    <w:rPr>
      <w:rFonts w:ascii="Calibri" w:hAnsi="Calibri"/>
      <w:sz w:val="28"/>
      <w:szCs w:val="22"/>
    </w:rPr>
  </w:style>
  <w:style w:type="paragraph" w:customStyle="1" w:styleId="45">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46">
    <w:name w:val="正文文本 Char"/>
    <w:link w:val="10"/>
    <w:semiHidden/>
    <w:qFormat/>
    <w:locked/>
    <w:uiPriority w:val="0"/>
    <w:rPr>
      <w:rFonts w:eastAsia="宋体"/>
      <w:kern w:val="2"/>
      <w:sz w:val="21"/>
      <w:szCs w:val="24"/>
      <w:lang w:val="en-US" w:eastAsia="zh-CN" w:bidi="ar-SA"/>
    </w:rPr>
  </w:style>
  <w:style w:type="character" w:customStyle="1" w:styleId="47">
    <w:name w:val="纯文本 Char"/>
    <w:link w:val="14"/>
    <w:qFormat/>
    <w:uiPriority w:val="0"/>
    <w:rPr>
      <w:rFonts w:ascii="宋体"/>
      <w:color w:val="000000"/>
      <w:kern w:val="2"/>
      <w:sz w:val="21"/>
      <w:u w:val="none" w:color="000000"/>
    </w:rPr>
  </w:style>
  <w:style w:type="character" w:customStyle="1" w:styleId="48">
    <w:name w:val="日期 Char"/>
    <w:link w:val="11"/>
    <w:qFormat/>
    <w:uiPriority w:val="0"/>
    <w:rPr>
      <w:rFonts w:ascii="Arial" w:hAnsi="Arial" w:eastAsia="仿宋_GB2312"/>
      <w:color w:val="000000"/>
      <w:kern w:val="2"/>
      <w:sz w:val="32"/>
      <w:u w:val="none" w:color="000000"/>
      <w:lang w:val="en-US" w:eastAsia="zh-CN" w:bidi="ar-SA"/>
    </w:rPr>
  </w:style>
  <w:style w:type="character" w:customStyle="1" w:styleId="49">
    <w:name w:val="页脚 Char"/>
    <w:link w:val="15"/>
    <w:qFormat/>
    <w:locked/>
    <w:uiPriority w:val="0"/>
    <w:rPr>
      <w:rFonts w:eastAsia="宋体"/>
      <w:kern w:val="2"/>
      <w:sz w:val="18"/>
      <w:szCs w:val="18"/>
      <w:lang w:val="en-US" w:eastAsia="zh-CN" w:bidi="ar-SA"/>
    </w:rPr>
  </w:style>
  <w:style w:type="character" w:customStyle="1" w:styleId="50">
    <w:name w:val="页眉 Char"/>
    <w:link w:val="16"/>
    <w:qFormat/>
    <w:locked/>
    <w:uiPriority w:val="0"/>
    <w:rPr>
      <w:rFonts w:eastAsia="宋体"/>
      <w:kern w:val="2"/>
      <w:sz w:val="18"/>
      <w:szCs w:val="18"/>
      <w:lang w:val="en-US" w:eastAsia="zh-CN" w:bidi="ar-SA"/>
    </w:rPr>
  </w:style>
  <w:style w:type="paragraph" w:customStyle="1" w:styleId="51">
    <w:name w:val="正文缩进1"/>
    <w:basedOn w:val="1"/>
    <w:qFormat/>
    <w:uiPriority w:val="0"/>
    <w:pPr>
      <w:ind w:firstLine="420" w:firstLineChars="200"/>
    </w:pPr>
  </w:style>
  <w:style w:type="character" w:customStyle="1" w:styleId="52">
    <w:name w:val="font01"/>
    <w:basedOn w:val="29"/>
    <w:qFormat/>
    <w:uiPriority w:val="0"/>
    <w:rPr>
      <w:rFonts w:hint="eastAsia" w:ascii="宋体" w:hAnsi="宋体" w:eastAsia="宋体" w:cs="宋体"/>
      <w:color w:val="000000"/>
      <w:sz w:val="22"/>
      <w:szCs w:val="22"/>
      <w:u w:val="none"/>
    </w:rPr>
  </w:style>
  <w:style w:type="character" w:customStyle="1" w:styleId="53">
    <w:name w:val="font111"/>
    <w:basedOn w:val="29"/>
    <w:qFormat/>
    <w:uiPriority w:val="0"/>
    <w:rPr>
      <w:rFonts w:ascii="Arial" w:hAnsi="Arial" w:cs="Arial"/>
      <w:color w:val="000000"/>
      <w:sz w:val="18"/>
      <w:szCs w:val="18"/>
      <w:u w:val="none"/>
    </w:rPr>
  </w:style>
  <w:style w:type="character" w:customStyle="1" w:styleId="54">
    <w:name w:val="Body Text Char"/>
    <w:qFormat/>
    <w:locked/>
    <w:uiPriority w:val="0"/>
    <w:rPr>
      <w:rFonts w:ascii="宋体" w:hAnsi="Arial"/>
      <w:sz w:val="28"/>
    </w:rPr>
  </w:style>
  <w:style w:type="paragraph" w:customStyle="1" w:styleId="55">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6">
    <w:name w:val="Table Paragraph"/>
    <w:basedOn w:val="1"/>
    <w:qFormat/>
    <w:uiPriority w:val="1"/>
  </w:style>
  <w:style w:type="paragraph" w:customStyle="1" w:styleId="57">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9">
    <w:name w:val="Char"/>
    <w:basedOn w:val="1"/>
    <w:next w:val="1"/>
    <w:qFormat/>
    <w:uiPriority w:val="0"/>
    <w:pPr>
      <w:widowControl/>
      <w:spacing w:line="360" w:lineRule="auto"/>
      <w:jc w:val="left"/>
    </w:pPr>
    <w:rPr>
      <w:kern w:val="0"/>
      <w:szCs w:val="20"/>
      <w:lang w:eastAsia="en-US"/>
    </w:rPr>
  </w:style>
  <w:style w:type="paragraph" w:customStyle="1" w:styleId="6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1">
    <w:name w:val="p0"/>
    <w:basedOn w:val="1"/>
    <w:qFormat/>
    <w:uiPriority w:val="0"/>
    <w:pPr>
      <w:widowControl/>
      <w:jc w:val="left"/>
    </w:pPr>
    <w:rPr>
      <w:rFonts w:ascii="宋体" w:hAnsi="宋体" w:cs="宋体"/>
      <w:kern w:val="0"/>
      <w:sz w:val="18"/>
      <w:szCs w:val="18"/>
    </w:rPr>
  </w:style>
  <w:style w:type="paragraph" w:customStyle="1" w:styleId="62">
    <w:name w:val="WPS Plain"/>
    <w:qFormat/>
    <w:uiPriority w:val="0"/>
    <w:rPr>
      <w:rFonts w:ascii="Times New Roman" w:hAnsi="Times New Roman" w:eastAsia="宋体" w:cs="Times New Roman"/>
      <w:lang w:val="en-US" w:eastAsia="zh-CN" w:bidi="ar-SA"/>
    </w:rPr>
  </w:style>
  <w:style w:type="paragraph" w:customStyle="1" w:styleId="63">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4">
    <w:name w:val="List Paragraph"/>
    <w:basedOn w:val="1"/>
    <w:qFormat/>
    <w:uiPriority w:val="0"/>
    <w:pPr>
      <w:spacing w:line="360" w:lineRule="auto"/>
      <w:ind w:firstLine="420" w:firstLineChars="200"/>
    </w:pPr>
    <w:rPr>
      <w:rFonts w:ascii="宋体" w:hAnsi="宋体" w:cs="宋体"/>
      <w:sz w:val="24"/>
    </w:rPr>
  </w:style>
  <w:style w:type="paragraph" w:customStyle="1" w:styleId="65">
    <w:name w:val="样式 左侧:  0 厘米 悬挂缩进: 2.5 字符"/>
    <w:basedOn w:val="1"/>
    <w:qFormat/>
    <w:uiPriority w:val="0"/>
    <w:pPr>
      <w:ind w:left="525" w:hanging="525" w:hangingChars="250"/>
    </w:pPr>
    <w:rPr>
      <w:szCs w:val="20"/>
    </w:rPr>
  </w:style>
  <w:style w:type="paragraph" w:customStyle="1" w:styleId="66">
    <w:name w:val="标题 5（有编号）（绿盟科技）"/>
    <w:basedOn w:val="1"/>
    <w:next w:val="58"/>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图例"/>
    <w:basedOn w:val="1"/>
    <w:qFormat/>
    <w:uiPriority w:val="0"/>
    <w:pPr>
      <w:spacing w:before="120" w:beforeLines="0" w:after="120" w:afterLines="0" w:line="360" w:lineRule="auto"/>
      <w:jc w:val="center"/>
    </w:pPr>
    <w:rPr>
      <w:rFonts w:eastAsia="仿宋_GB2312"/>
      <w:b/>
      <w:sz w:val="24"/>
    </w:rPr>
  </w:style>
  <w:style w:type="character" w:customStyle="1" w:styleId="69">
    <w:name w:val="font71"/>
    <w:basedOn w:val="29"/>
    <w:qFormat/>
    <w:uiPriority w:val="0"/>
    <w:rPr>
      <w:rFonts w:hint="default" w:ascii="Calibri" w:hAnsi="Calibri" w:cs="Calibri"/>
      <w:b/>
      <w:bCs/>
      <w:color w:val="000000"/>
      <w:sz w:val="21"/>
      <w:szCs w:val="21"/>
      <w:u w:val="none"/>
    </w:rPr>
  </w:style>
  <w:style w:type="character" w:customStyle="1" w:styleId="70">
    <w:name w:val="font61"/>
    <w:basedOn w:val="29"/>
    <w:qFormat/>
    <w:uiPriority w:val="0"/>
    <w:rPr>
      <w:rFonts w:hint="eastAsia" w:ascii="华文仿宋" w:hAnsi="华文仿宋" w:eastAsia="华文仿宋" w:cs="华文仿宋"/>
      <w:color w:val="000000"/>
      <w:sz w:val="21"/>
      <w:szCs w:val="21"/>
      <w:u w:val="none"/>
    </w:rPr>
  </w:style>
  <w:style w:type="character" w:customStyle="1" w:styleId="71">
    <w:name w:val="font91"/>
    <w:basedOn w:val="29"/>
    <w:qFormat/>
    <w:uiPriority w:val="0"/>
    <w:rPr>
      <w:rFonts w:hint="default" w:ascii="Calibri" w:hAnsi="Calibri" w:cs="Calibri"/>
      <w:b/>
      <w:bCs/>
      <w:color w:val="FF0000"/>
      <w:sz w:val="21"/>
      <w:szCs w:val="21"/>
      <w:u w:val="none"/>
    </w:rPr>
  </w:style>
  <w:style w:type="character" w:customStyle="1" w:styleId="72">
    <w:name w:val="font101"/>
    <w:basedOn w:val="29"/>
    <w:qFormat/>
    <w:uiPriority w:val="0"/>
    <w:rPr>
      <w:rFonts w:hint="eastAsia" w:ascii="宋体" w:hAnsi="宋体" w:eastAsia="宋体" w:cs="宋体"/>
      <w:color w:val="000000"/>
      <w:sz w:val="21"/>
      <w:szCs w:val="21"/>
      <w:u w:val="none"/>
    </w:rPr>
  </w:style>
  <w:style w:type="character" w:customStyle="1" w:styleId="73">
    <w:name w:val="font81"/>
    <w:basedOn w:val="29"/>
    <w:qFormat/>
    <w:uiPriority w:val="0"/>
    <w:rPr>
      <w:rFonts w:hint="default" w:ascii="Calibri" w:hAnsi="Calibri" w:cs="Calibri"/>
      <w:color w:val="000000"/>
      <w:sz w:val="21"/>
      <w:szCs w:val="21"/>
      <w:u w:val="none"/>
    </w:rPr>
  </w:style>
  <w:style w:type="character" w:customStyle="1" w:styleId="74">
    <w:name w:val="first-child"/>
    <w:basedOn w:val="29"/>
    <w:qFormat/>
    <w:uiPriority w:val="0"/>
  </w:style>
  <w:style w:type="character" w:customStyle="1" w:styleId="75">
    <w:name w:val="layui-layer-tabnow"/>
    <w:basedOn w:val="29"/>
    <w:qFormat/>
    <w:uiPriority w:val="0"/>
    <w:rPr>
      <w:bdr w:val="single" w:color="CCCCCC" w:sz="6" w:space="0"/>
      <w:shd w:val="clear" w:fill="FFFFFF"/>
    </w:rPr>
  </w:style>
  <w:style w:type="paragraph" w:customStyle="1" w:styleId="7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7">
    <w:name w:val="答复表头"/>
    <w:basedOn w:val="78"/>
    <w:next w:val="1"/>
    <w:qFormat/>
    <w:uiPriority w:val="0"/>
    <w:pPr>
      <w:tabs>
        <w:tab w:val="left" w:pos="480"/>
      </w:tabs>
    </w:pPr>
    <w:rPr>
      <w:b/>
    </w:rPr>
  </w:style>
  <w:style w:type="paragraph" w:customStyle="1" w:styleId="7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9">
    <w:name w:val="标题 字符"/>
    <w:link w:val="24"/>
    <w:qFormat/>
    <w:uiPriority w:val="0"/>
    <w:rPr>
      <w:rFonts w:ascii="Arial" w:hAnsi="Arial" w:cs="Arial"/>
      <w:b/>
      <w:bCs/>
      <w:sz w:val="32"/>
      <w:szCs w:val="32"/>
    </w:rPr>
  </w:style>
  <w:style w:type="character" w:customStyle="1" w:styleId="80">
    <w:name w:val="font112"/>
    <w:basedOn w:val="29"/>
    <w:qFormat/>
    <w:uiPriority w:val="0"/>
    <w:rPr>
      <w:rFonts w:hint="eastAsia" w:ascii="黑体" w:hAnsi="宋体" w:eastAsia="黑体" w:cs="黑体"/>
      <w:b/>
      <w:bCs/>
      <w:color w:val="000000"/>
      <w:sz w:val="22"/>
      <w:szCs w:val="22"/>
      <w:u w:val="none"/>
    </w:rPr>
  </w:style>
  <w:style w:type="character" w:customStyle="1" w:styleId="81">
    <w:name w:val="font41"/>
    <w:basedOn w:val="29"/>
    <w:qFormat/>
    <w:uiPriority w:val="0"/>
    <w:rPr>
      <w:rFonts w:hint="eastAsia" w:ascii="仿宋" w:hAnsi="仿宋" w:eastAsia="仿宋" w:cs="仿宋"/>
      <w:b/>
      <w:bCs/>
      <w:color w:val="000000"/>
      <w:sz w:val="21"/>
      <w:szCs w:val="21"/>
      <w:u w:val="none"/>
    </w:rPr>
  </w:style>
  <w:style w:type="character" w:customStyle="1" w:styleId="82">
    <w:name w:val="font51"/>
    <w:basedOn w:val="29"/>
    <w:qFormat/>
    <w:uiPriority w:val="0"/>
    <w:rPr>
      <w:rFonts w:hint="eastAsia" w:ascii="宋体" w:hAnsi="宋体" w:eastAsia="宋体" w:cs="宋体"/>
      <w:color w:val="000000"/>
      <w:sz w:val="22"/>
      <w:szCs w:val="22"/>
      <w:u w:val="none"/>
    </w:rPr>
  </w:style>
  <w:style w:type="character" w:customStyle="1" w:styleId="83">
    <w:name w:val="font121"/>
    <w:basedOn w:val="29"/>
    <w:qFormat/>
    <w:uiPriority w:val="0"/>
    <w:rPr>
      <w:rFonts w:hint="eastAsia" w:ascii="宋体" w:hAnsi="宋体" w:eastAsia="宋体" w:cs="宋体"/>
      <w:color w:val="000000"/>
      <w:sz w:val="24"/>
      <w:szCs w:val="24"/>
      <w:u w:val="none"/>
    </w:rPr>
  </w:style>
  <w:style w:type="character" w:customStyle="1" w:styleId="84">
    <w:name w:val="font131"/>
    <w:basedOn w:val="29"/>
    <w:qFormat/>
    <w:uiPriority w:val="0"/>
    <w:rPr>
      <w:rFonts w:hint="eastAsia" w:ascii="仿宋" w:hAnsi="仿宋" w:eastAsia="仿宋" w:cs="仿宋"/>
      <w:color w:val="000000"/>
      <w:sz w:val="24"/>
      <w:szCs w:val="24"/>
      <w:u w:val="none"/>
    </w:rPr>
  </w:style>
  <w:style w:type="character" w:customStyle="1" w:styleId="85">
    <w:name w:val="font141"/>
    <w:basedOn w:val="29"/>
    <w:qFormat/>
    <w:uiPriority w:val="0"/>
    <w:rPr>
      <w:rFonts w:hint="eastAsia" w:ascii="宋体" w:hAnsi="宋体" w:eastAsia="宋体" w:cs="宋体"/>
      <w:color w:val="FF0000"/>
      <w:sz w:val="22"/>
      <w:szCs w:val="22"/>
      <w:u w:val="none"/>
    </w:rPr>
  </w:style>
  <w:style w:type="paragraph" w:customStyle="1" w:styleId="86">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7">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8">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0">
    <w:name w:val="列出段落1"/>
    <w:basedOn w:val="1"/>
    <w:qFormat/>
    <w:uiPriority w:val="0"/>
    <w:pPr>
      <w:widowControl/>
      <w:spacing w:line="276" w:lineRule="auto"/>
      <w:ind w:firstLine="420" w:firstLineChars="200"/>
      <w:jc w:val="left"/>
    </w:pPr>
    <w:rPr>
      <w:rFonts w:ascii="Perpetua" w:hAnsi="Perpetua" w:eastAsia="宋体" w:cs="Times New Roman"/>
      <w:color w:val="000000"/>
      <w:kern w:val="0"/>
      <w:sz w:val="22"/>
      <w:szCs w:val="24"/>
    </w:rPr>
  </w:style>
  <w:style w:type="paragraph" w:customStyle="1" w:styleId="91">
    <w:name w:val="Table Text"/>
    <w:basedOn w:val="1"/>
    <w:semiHidden/>
    <w:qFormat/>
    <w:uiPriority w:val="0"/>
    <w:rPr>
      <w:rFonts w:ascii="宋体" w:hAnsi="宋体" w:eastAsia="宋体" w:cs="宋体"/>
      <w:sz w:val="24"/>
      <w:szCs w:val="24"/>
      <w:lang w:val="en-US" w:eastAsia="en-US" w:bidi="ar-SA"/>
    </w:rPr>
  </w:style>
  <w:style w:type="character" w:customStyle="1" w:styleId="92">
    <w:name w:val="font31"/>
    <w:basedOn w:val="29"/>
    <w:qFormat/>
    <w:uiPriority w:val="0"/>
    <w:rPr>
      <w:rFonts w:hint="eastAsia" w:ascii="宋体" w:hAnsi="宋体" w:eastAsia="宋体" w:cs="宋体"/>
      <w:b/>
      <w:bCs/>
      <w:color w:val="000000"/>
      <w:sz w:val="22"/>
      <w:szCs w:val="22"/>
      <w:u w:val="none"/>
    </w:rPr>
  </w:style>
  <w:style w:type="character" w:customStyle="1" w:styleId="93">
    <w:name w:val="font11"/>
    <w:basedOn w:val="29"/>
    <w:qFormat/>
    <w:uiPriority w:val="0"/>
    <w:rPr>
      <w:rFonts w:hint="eastAsia" w:ascii="宋体" w:hAnsi="宋体" w:eastAsia="宋体" w:cs="宋体"/>
      <w:color w:val="000000"/>
      <w:sz w:val="22"/>
      <w:szCs w:val="22"/>
      <w:u w:val="none"/>
    </w:rPr>
  </w:style>
  <w:style w:type="character" w:customStyle="1" w:styleId="94">
    <w:name w:val="font21"/>
    <w:basedOn w:val="2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85</Pages>
  <Words>49927</Words>
  <Characters>53944</Characters>
  <Lines>310</Lines>
  <Paragraphs>87</Paragraphs>
  <TotalTime>4</TotalTime>
  <ScaleCrop>false</ScaleCrop>
  <LinksUpToDate>false</LinksUpToDate>
  <CharactersWithSpaces>59353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你的背包</cp:lastModifiedBy>
  <cp:lastPrinted>2025-06-24T12:17:00Z</cp:lastPrinted>
  <dcterms:modified xsi:type="dcterms:W3CDTF">2025-06-25T07:56:50Z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CFE863F3D723442E8EFB618462AFEA1D_13</vt:lpwstr>
  </property>
  <property fmtid="{D5CDD505-2E9C-101B-9397-08002B2CF9AE}" pid="4" name="KSOTemplateDocerSaveRecord">
    <vt:lpwstr>eyJoZGlkIjoiODA2NWQ4OTlmZTk4NjM4OWQ0NmMyOTg4OGIwYzI5NzEiLCJ1c2VySWQiOiI1MjkwMjEzODQifQ==</vt:lpwstr>
  </property>
</Properties>
</file>