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项目名称：墨玉县城乡村学校教育教学能力提升项目（</w:t>
      </w:r>
      <w:r>
        <w:rPr>
          <w:rFonts w:hint="eastAsia" w:cs="宋体" w:asciiTheme="majorEastAsia" w:hAnsiTheme="majorEastAsia" w:eastAsiaTheme="majorEastAsia"/>
          <w:bCs/>
          <w:color w:val="000000" w:themeColor="text1"/>
          <w:sz w:val="24"/>
          <w:highlight w:val="none"/>
          <w:lang w:val="zh-CN"/>
        </w:rPr>
        <w:t>包二：智慧课堂（小学）</w:t>
      </w:r>
      <w:r>
        <w:rPr>
          <w:rFonts w:hint="eastAsia" w:cs="宋体" w:asciiTheme="majorEastAsia" w:hAnsiTheme="majorEastAsia" w:eastAsiaTheme="majorEastAsia"/>
          <w:bCs/>
          <w:color w:val="000000" w:themeColor="text1"/>
          <w:sz w:val="24"/>
          <w:lang w:val="zh-CN"/>
        </w:rPr>
        <w:t>）</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2</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本文件已报备</w:t>
            </w: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项目名称：</w:t>
            </w:r>
            <w:r>
              <w:rPr>
                <w:rFonts w:hint="eastAsia" w:cs="宋体" w:asciiTheme="majorEastAsia" w:hAnsiTheme="majorEastAsia" w:eastAsiaTheme="majorEastAsia"/>
                <w:bCs/>
                <w:color w:val="000000" w:themeColor="text1"/>
                <w:sz w:val="24"/>
                <w:lang w:val="zh-CN"/>
              </w:rPr>
              <w:t>墨玉县城乡村学校教育教学能力提升项目（</w:t>
            </w:r>
            <w:r>
              <w:rPr>
                <w:rFonts w:hint="eastAsia" w:cs="宋体" w:asciiTheme="majorEastAsia" w:hAnsiTheme="majorEastAsia" w:eastAsiaTheme="majorEastAsia"/>
                <w:bCs/>
                <w:color w:val="000000" w:themeColor="text1"/>
                <w:sz w:val="24"/>
                <w:highlight w:val="none"/>
                <w:lang w:val="zh-CN"/>
              </w:rPr>
              <w:t>包二：智慧课堂（小学）</w:t>
            </w:r>
            <w:r>
              <w:rPr>
                <w:rFonts w:hint="eastAsia" w:cs="宋体" w:asciiTheme="majorEastAsia" w:hAnsiTheme="majorEastAsia" w:eastAsiaTheme="majorEastAsia"/>
                <w:bCs/>
                <w:color w:val="000000" w:themeColor="text1"/>
                <w:sz w:val="24"/>
                <w:lang w:val="zh-CN"/>
              </w:rPr>
              <w:t>）</w:t>
            </w:r>
          </w:p>
          <w:p>
            <w:pPr>
              <w:rPr>
                <w:rFonts w:cs="宋体" w:asciiTheme="majorEastAsia" w:hAnsiTheme="majorEastAsia" w:eastAsiaTheme="majorEastAsia"/>
                <w:bCs/>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3" w:name="_GoBack"/>
      <w:bookmarkEnd w:id="63"/>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25203"/>
      <w:bookmarkStart w:id="2" w:name="_Toc30006"/>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lang w:eastAsia="zh-CN"/>
              </w:rPr>
            </w:pPr>
            <w:r>
              <w:rPr>
                <w:rFonts w:hint="eastAsia" w:cs="仿宋" w:asciiTheme="majorEastAsia" w:hAnsiTheme="majorEastAsia" w:eastAsiaTheme="majorEastAsia"/>
                <w:color w:val="000000" w:themeColor="text1"/>
                <w:szCs w:val="21"/>
                <w:lang w:eastAsia="zh-CN"/>
              </w:rPr>
              <w:t>墨玉县城乡村学校教育教学能力提升项目（包二：智慧课堂（小学））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134.40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墨玉县城乡村学校教育教学能力提升项目（包二：智慧课堂（小学））</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1.满足《中华人民共和国政府采购法》第二十二条规定；</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2.落实政府采购政策需满足的资格要求：标项</w:t>
            </w:r>
            <w:r>
              <w:rPr>
                <w:rFonts w:hint="eastAsia" w:asciiTheme="majorEastAsia" w:hAnsiTheme="majorEastAsia" w:eastAsiaTheme="majorEastAsia"/>
                <w:color w:val="000000" w:themeColor="text1"/>
                <w:lang w:val="en-US" w:eastAsia="zh-CN"/>
              </w:rPr>
              <w:t>2</w:t>
            </w:r>
            <w:r>
              <w:rPr>
                <w:rFonts w:hint="eastAsia" w:asciiTheme="majorEastAsia" w:hAnsiTheme="majorEastAsia" w:eastAsiaTheme="majorEastAsia"/>
                <w:color w:val="000000" w:themeColor="text1"/>
              </w:rPr>
              <w:t>：供应商为中小企业/小微企业,供应商应为监狱企业,供应商应为残疾人福利企业 。</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3.本项目的特定资格要求：标项 </w:t>
            </w:r>
            <w:r>
              <w:rPr>
                <w:rFonts w:hint="eastAsia" w:asciiTheme="majorEastAsia" w:hAnsiTheme="majorEastAsia" w:eastAsiaTheme="majorEastAsia"/>
                <w:color w:val="000000" w:themeColor="text1"/>
                <w:lang w:val="en-US" w:eastAsia="zh-CN"/>
              </w:rPr>
              <w:t>2</w:t>
            </w:r>
            <w:r>
              <w:rPr>
                <w:rFonts w:hint="eastAsia" w:asciiTheme="majorEastAsia" w:hAnsiTheme="majorEastAsia" w:eastAsiaTheme="majorEastAsia"/>
                <w:color w:val="000000" w:themeColor="text1"/>
              </w:rPr>
              <w:t>：</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134.40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7151"/>
      <w:bookmarkStart w:id="15" w:name="_Toc176257397"/>
      <w:bookmarkStart w:id="16" w:name="_Toc182891057"/>
      <w:bookmarkStart w:id="17" w:name="_Toc247815569"/>
      <w:bookmarkStart w:id="18" w:name="_Toc13805"/>
      <w:bookmarkStart w:id="19" w:name="_Toc176257387"/>
      <w:bookmarkStart w:id="20" w:name="_Toc247815566"/>
      <w:bookmarkStart w:id="21" w:name="_Toc225356383"/>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6327"/>
      <w:bookmarkStart w:id="24" w:name="_Toc17604"/>
      <w:bookmarkStart w:id="25" w:name="_Toc72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5664"/>
      <w:bookmarkStart w:id="27" w:name="_Toc2732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22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3"/>
        <w:gridCol w:w="1224"/>
        <w:gridCol w:w="654"/>
        <w:gridCol w:w="687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jc w:val="center"/>
        </w:trPr>
        <w:tc>
          <w:tcPr>
            <w:tcW w:w="463" w:type="dxa"/>
            <w:vAlign w:val="center"/>
          </w:tcPr>
          <w:p>
            <w:pPr>
              <w:widowControl/>
              <w:spacing w:line="360" w:lineRule="auto"/>
              <w:jc w:val="center"/>
              <w:rPr>
                <w:rFonts w:ascii="宋体" w:hAnsi="宋体"/>
                <w:kern w:val="0"/>
                <w:szCs w:val="21"/>
              </w:rPr>
            </w:pPr>
            <w:bookmarkStart w:id="28" w:name="_Toc5344"/>
            <w:bookmarkStart w:id="29" w:name="_Toc3859"/>
            <w:r>
              <w:rPr>
                <w:rFonts w:hint="eastAsia" w:ascii="宋体" w:hAnsi="宋体"/>
                <w:kern w:val="0"/>
                <w:szCs w:val="21"/>
              </w:rPr>
              <w:t>序号</w:t>
            </w:r>
          </w:p>
        </w:tc>
        <w:tc>
          <w:tcPr>
            <w:tcW w:w="1224" w:type="dxa"/>
            <w:vAlign w:val="center"/>
          </w:tcPr>
          <w:p>
            <w:pPr>
              <w:widowControl/>
              <w:spacing w:line="360" w:lineRule="auto"/>
              <w:jc w:val="center"/>
              <w:rPr>
                <w:rFonts w:ascii="宋体" w:hAnsi="宋体"/>
                <w:kern w:val="0"/>
                <w:szCs w:val="21"/>
              </w:rPr>
            </w:pPr>
            <w:r>
              <w:rPr>
                <w:rFonts w:hint="eastAsia" w:ascii="宋体" w:hAnsi="宋体"/>
                <w:kern w:val="0"/>
                <w:szCs w:val="21"/>
              </w:rPr>
              <w:t>评审项目</w:t>
            </w:r>
          </w:p>
        </w:tc>
        <w:tc>
          <w:tcPr>
            <w:tcW w:w="654" w:type="dxa"/>
            <w:vAlign w:val="center"/>
          </w:tcPr>
          <w:p>
            <w:pPr>
              <w:widowControl/>
              <w:spacing w:line="360" w:lineRule="auto"/>
              <w:jc w:val="center"/>
              <w:rPr>
                <w:rFonts w:ascii="宋体" w:hAnsi="宋体"/>
                <w:kern w:val="0"/>
                <w:szCs w:val="21"/>
              </w:rPr>
            </w:pPr>
            <w:r>
              <w:rPr>
                <w:rFonts w:hint="eastAsia" w:ascii="宋体" w:hAnsi="宋体"/>
                <w:kern w:val="0"/>
                <w:szCs w:val="21"/>
              </w:rPr>
              <w:t>分值</w:t>
            </w:r>
          </w:p>
        </w:tc>
        <w:tc>
          <w:tcPr>
            <w:tcW w:w="6879" w:type="dxa"/>
            <w:vAlign w:val="center"/>
          </w:tcPr>
          <w:p>
            <w:pPr>
              <w:spacing w:line="360" w:lineRule="auto"/>
              <w:jc w:val="center"/>
              <w:rPr>
                <w:rFonts w:ascii="宋体" w:hAnsi="宋体" w:cs="宋体"/>
                <w:szCs w:val="21"/>
              </w:rPr>
            </w:pPr>
            <w:r>
              <w:rPr>
                <w:rFonts w:hint="eastAsia" w:ascii="宋体" w:hAnsi="宋体" w:cs="宋体"/>
                <w:szCs w:val="21"/>
              </w:rPr>
              <w:t>评分范围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2" w:hRule="atLeast"/>
          <w:jc w:val="center"/>
        </w:trPr>
        <w:tc>
          <w:tcPr>
            <w:tcW w:w="463" w:type="dxa"/>
            <w:vAlign w:val="center"/>
          </w:tcPr>
          <w:p>
            <w:pPr>
              <w:widowControl/>
              <w:tabs>
                <w:tab w:val="left" w:pos="142"/>
              </w:tabs>
              <w:spacing w:line="360" w:lineRule="auto"/>
              <w:jc w:val="center"/>
              <w:rPr>
                <w:rFonts w:ascii="宋体" w:hAnsi="宋体"/>
                <w:kern w:val="0"/>
                <w:szCs w:val="21"/>
              </w:rPr>
            </w:pPr>
            <w:r>
              <w:rPr>
                <w:rFonts w:hint="eastAsia" w:ascii="宋体" w:hAnsi="宋体"/>
                <w:kern w:val="0"/>
                <w:szCs w:val="21"/>
              </w:rPr>
              <w:t>1</w:t>
            </w:r>
          </w:p>
        </w:tc>
        <w:tc>
          <w:tcPr>
            <w:tcW w:w="1224" w:type="dxa"/>
            <w:vAlign w:val="center"/>
          </w:tcPr>
          <w:p>
            <w:pPr>
              <w:widowControl/>
              <w:spacing w:line="360" w:lineRule="auto"/>
              <w:jc w:val="center"/>
              <w:rPr>
                <w:rFonts w:ascii="宋体" w:hAnsi="宋体"/>
                <w:kern w:val="0"/>
                <w:szCs w:val="21"/>
              </w:rPr>
            </w:pPr>
            <w:r>
              <w:rPr>
                <w:rFonts w:hint="eastAsia" w:ascii="宋体" w:hAnsi="宋体"/>
                <w:kern w:val="0"/>
                <w:szCs w:val="21"/>
              </w:rPr>
              <w:t>价格部分</w:t>
            </w:r>
          </w:p>
        </w:tc>
        <w:tc>
          <w:tcPr>
            <w:tcW w:w="654" w:type="dxa"/>
            <w:vAlign w:val="center"/>
          </w:tcPr>
          <w:p>
            <w:pPr>
              <w:widowControl/>
              <w:spacing w:line="360" w:lineRule="auto"/>
              <w:jc w:val="center"/>
              <w:rPr>
                <w:rFonts w:ascii="宋体" w:hAnsi="宋体"/>
                <w:kern w:val="0"/>
                <w:szCs w:val="21"/>
              </w:rPr>
            </w:pPr>
            <w:r>
              <w:rPr>
                <w:rFonts w:hint="eastAsia" w:ascii="宋体" w:hAnsi="宋体"/>
                <w:kern w:val="0"/>
                <w:szCs w:val="21"/>
              </w:rPr>
              <w:t>4</w:t>
            </w:r>
            <w:r>
              <w:rPr>
                <w:rFonts w:ascii="宋体" w:hAnsi="宋体"/>
                <w:kern w:val="0"/>
                <w:szCs w:val="21"/>
              </w:rPr>
              <w:t>0</w:t>
            </w:r>
            <w:r>
              <w:rPr>
                <w:rFonts w:hint="eastAsia" w:ascii="宋体" w:hAnsi="宋体"/>
                <w:kern w:val="0"/>
                <w:szCs w:val="21"/>
              </w:rPr>
              <w:t>分</w:t>
            </w:r>
          </w:p>
        </w:tc>
        <w:tc>
          <w:tcPr>
            <w:tcW w:w="6879" w:type="dxa"/>
            <w:vAlign w:val="center"/>
          </w:tcPr>
          <w:p>
            <w:pPr>
              <w:spacing w:line="360" w:lineRule="auto"/>
              <w:jc w:val="left"/>
              <w:rPr>
                <w:rFonts w:ascii="宋体" w:hAnsi="宋体" w:cs="宋体"/>
                <w:szCs w:val="21"/>
              </w:rPr>
            </w:pPr>
            <w:r>
              <w:rPr>
                <w:rFonts w:hint="eastAsia" w:ascii="宋体" w:hAnsi="宋体"/>
                <w:kern w:val="0"/>
                <w:szCs w:val="21"/>
              </w:rPr>
              <w:t>报价得分＝（所有有效投标供应商的平均报价</w:t>
            </w:r>
            <w:r>
              <w:rPr>
                <w:rFonts w:ascii="宋体" w:hAnsi="宋体"/>
                <w:kern w:val="0"/>
                <w:szCs w:val="21"/>
              </w:rPr>
              <w:t>/</w:t>
            </w:r>
            <w:r>
              <w:rPr>
                <w:rFonts w:hint="eastAsia" w:ascii="宋体" w:hAnsi="宋体"/>
                <w:kern w:val="0"/>
                <w:szCs w:val="21"/>
              </w:rPr>
              <w:t>投标供应商的报价）×价格权重（4</w:t>
            </w:r>
            <w:r>
              <w:rPr>
                <w:rFonts w:ascii="宋体" w:hAnsi="宋体"/>
                <w:kern w:val="0"/>
                <w:szCs w:val="21"/>
              </w:rPr>
              <w:t>0%</w:t>
            </w:r>
            <w:r>
              <w:rPr>
                <w:rFonts w:hint="eastAsia" w:ascii="宋体" w:hAnsi="宋体"/>
                <w:kern w:val="0"/>
                <w:szCs w:val="21"/>
              </w:rPr>
              <w:t>）</w:t>
            </w:r>
            <w:r>
              <w:rPr>
                <w:rFonts w:ascii="宋体" w:hAnsi="宋体"/>
                <w:kern w:val="0"/>
                <w:szCs w:val="21"/>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61" w:hRule="atLeast"/>
          <w:jc w:val="center"/>
        </w:trPr>
        <w:tc>
          <w:tcPr>
            <w:tcW w:w="463" w:type="dxa"/>
            <w:vAlign w:val="center"/>
          </w:tcPr>
          <w:p>
            <w:pPr>
              <w:widowControl/>
              <w:tabs>
                <w:tab w:val="left" w:pos="142"/>
              </w:tabs>
              <w:spacing w:line="360" w:lineRule="auto"/>
              <w:jc w:val="center"/>
              <w:rPr>
                <w:rFonts w:ascii="宋体" w:hAnsi="宋体"/>
                <w:kern w:val="0"/>
                <w:szCs w:val="21"/>
              </w:rPr>
            </w:pPr>
            <w:bookmarkStart w:id="30" w:name="_Hlk297631601"/>
            <w:r>
              <w:rPr>
                <w:rFonts w:hint="eastAsia" w:ascii="宋体" w:hAnsi="宋体"/>
                <w:kern w:val="0"/>
                <w:szCs w:val="21"/>
              </w:rPr>
              <w:t>2</w:t>
            </w:r>
          </w:p>
        </w:tc>
        <w:tc>
          <w:tcPr>
            <w:tcW w:w="1224" w:type="dxa"/>
            <w:vAlign w:val="center"/>
          </w:tcPr>
          <w:p>
            <w:pPr>
              <w:widowControl/>
              <w:spacing w:line="360" w:lineRule="auto"/>
              <w:jc w:val="center"/>
              <w:rPr>
                <w:rFonts w:ascii="宋体" w:hAnsi="宋体"/>
                <w:kern w:val="0"/>
                <w:szCs w:val="21"/>
              </w:rPr>
            </w:pPr>
            <w:r>
              <w:rPr>
                <w:rFonts w:hint="eastAsia" w:ascii="宋体" w:hAnsi="宋体"/>
                <w:kern w:val="0"/>
                <w:szCs w:val="21"/>
              </w:rPr>
              <w:t>技术响应</w:t>
            </w:r>
          </w:p>
        </w:tc>
        <w:tc>
          <w:tcPr>
            <w:tcW w:w="654" w:type="dxa"/>
            <w:vAlign w:val="center"/>
          </w:tcPr>
          <w:p>
            <w:pPr>
              <w:widowControl/>
              <w:spacing w:line="360" w:lineRule="auto"/>
              <w:jc w:val="center"/>
              <w:rPr>
                <w:rFonts w:ascii="宋体" w:hAnsi="宋体"/>
                <w:kern w:val="0"/>
                <w:szCs w:val="21"/>
              </w:rPr>
            </w:pPr>
            <w:r>
              <w:rPr>
                <w:rFonts w:hint="eastAsia" w:ascii="宋体" w:hAnsi="宋体"/>
                <w:kern w:val="0"/>
                <w:szCs w:val="21"/>
              </w:rPr>
              <w:t>15分</w:t>
            </w:r>
          </w:p>
        </w:tc>
        <w:tc>
          <w:tcPr>
            <w:tcW w:w="6879" w:type="dxa"/>
            <w:vAlign w:val="center"/>
          </w:tcPr>
          <w:p>
            <w:pPr>
              <w:spacing w:line="360" w:lineRule="auto"/>
              <w:jc w:val="left"/>
              <w:rPr>
                <w:rFonts w:ascii="宋体" w:hAnsi="宋体" w:cs="宋体"/>
                <w:szCs w:val="21"/>
              </w:rPr>
            </w:pPr>
            <w:r>
              <w:rPr>
                <w:rFonts w:ascii="宋体" w:hAnsi="宋体" w:cs="宋体"/>
                <w:szCs w:val="21"/>
              </w:rPr>
              <w:t>全部满足采购需求中的各项条款要求得15分；一般性条款的缺漏或负偏离达到15条,包含15条以内,每有一条一般性条款缺漏或负偏离扣1分，超过15条，本项不得分</w:t>
            </w:r>
            <w:r>
              <w:rPr>
                <w:rFonts w:hint="eastAsia" w:ascii="宋体" w:hAnsi="宋体" w:cs="宋体"/>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69" w:hRule="atLeast"/>
          <w:jc w:val="center"/>
        </w:trPr>
        <w:tc>
          <w:tcPr>
            <w:tcW w:w="463" w:type="dxa"/>
            <w:vAlign w:val="center"/>
          </w:tcPr>
          <w:p>
            <w:pPr>
              <w:widowControl/>
              <w:tabs>
                <w:tab w:val="left" w:pos="142"/>
              </w:tabs>
              <w:spacing w:line="360" w:lineRule="auto"/>
              <w:jc w:val="center"/>
              <w:rPr>
                <w:rFonts w:ascii="宋体" w:hAnsi="宋体"/>
                <w:kern w:val="0"/>
                <w:szCs w:val="21"/>
              </w:rPr>
            </w:pPr>
            <w:r>
              <w:rPr>
                <w:rFonts w:hint="eastAsia" w:ascii="宋体" w:hAnsi="宋体"/>
                <w:kern w:val="0"/>
                <w:szCs w:val="21"/>
              </w:rPr>
              <w:t>3</w:t>
            </w:r>
          </w:p>
        </w:tc>
        <w:tc>
          <w:tcPr>
            <w:tcW w:w="1224" w:type="dxa"/>
            <w:vAlign w:val="center"/>
          </w:tcPr>
          <w:p>
            <w:pPr>
              <w:widowControl/>
              <w:spacing w:line="360" w:lineRule="auto"/>
              <w:rPr>
                <w:rFonts w:ascii="宋体" w:hAnsi="宋体"/>
                <w:kern w:val="0"/>
                <w:szCs w:val="21"/>
              </w:rPr>
            </w:pPr>
            <w:r>
              <w:rPr>
                <w:rFonts w:hint="eastAsia" w:ascii="宋体" w:hAnsi="宋体"/>
                <w:kern w:val="0"/>
                <w:szCs w:val="21"/>
              </w:rPr>
              <w:t>核心功能</w:t>
            </w:r>
          </w:p>
        </w:tc>
        <w:tc>
          <w:tcPr>
            <w:tcW w:w="654" w:type="dxa"/>
            <w:vAlign w:val="center"/>
          </w:tcPr>
          <w:p>
            <w:pPr>
              <w:widowControl/>
              <w:spacing w:line="360" w:lineRule="auto"/>
              <w:jc w:val="left"/>
            </w:pPr>
            <w:r>
              <w:t>30</w:t>
            </w:r>
            <w:r>
              <w:rPr>
                <w:rFonts w:hint="eastAsia"/>
              </w:rPr>
              <w:t>分</w:t>
            </w:r>
          </w:p>
        </w:tc>
        <w:tc>
          <w:tcPr>
            <w:tcW w:w="6879" w:type="dxa"/>
            <w:vAlign w:val="center"/>
          </w:tcPr>
          <w:p>
            <w:pPr>
              <w:widowControl/>
              <w:spacing w:line="360" w:lineRule="auto"/>
              <w:jc w:val="left"/>
            </w:pPr>
            <w:r>
              <w:rPr>
                <w:rFonts w:hint="eastAsia"/>
              </w:rPr>
              <w:t>对下述智慧课堂核心功能需逐项提供截图等详细材料证明（包括但不限于测试报告、官网和功能截图等）并加盖</w:t>
            </w:r>
            <w:r>
              <w:rPr>
                <w:rFonts w:hint="eastAsia"/>
                <w:lang w:eastAsia="zh-CN"/>
              </w:rPr>
              <w:t>厂家鲜章</w:t>
            </w:r>
            <w:r>
              <w:rPr>
                <w:rFonts w:hint="eastAsia"/>
              </w:rPr>
              <w:t>，评委根据要求逐点赋分，未提供证明材料或证明材料不全的不得分。</w:t>
            </w:r>
          </w:p>
          <w:p>
            <w:pPr>
              <w:widowControl/>
              <w:numPr>
                <w:ilvl w:val="0"/>
                <w:numId w:val="3"/>
              </w:numPr>
              <w:spacing w:line="360" w:lineRule="auto"/>
              <w:ind w:left="0" w:firstLine="0"/>
              <w:jc w:val="left"/>
            </w:pPr>
            <w:r>
              <w:rPr>
                <w:rFonts w:hint="eastAsia"/>
              </w:rPr>
              <w:t>为满足小班授课、大班授课等多种教学场景的应用，可以教师共享操作，教师可以通过教师屏幕共享把教师端的屏幕共享给学生，以此让更多的学生能清晰观看到教师屏幕，为达到更好的上课效果，屏幕共享需满足同时共享给80台以上的学生终端，无线同屏传输的画面需要支持1080P@30FPS动态画面，并且延迟不超过1.5秒。</w:t>
            </w:r>
            <w:r>
              <w:rPr>
                <w:rFonts w:hint="eastAsia"/>
                <w:b/>
              </w:rPr>
              <w:t>(</w:t>
            </w:r>
            <w:r>
              <w:rPr>
                <w:b/>
              </w:rPr>
              <w:t>2</w:t>
            </w:r>
            <w:r>
              <w:rPr>
                <w:rFonts w:hint="eastAsia"/>
                <w:b/>
              </w:rPr>
              <w:t>分)</w:t>
            </w:r>
            <w:r>
              <w:rPr>
                <w:rFonts w:hint="eastAsia"/>
              </w:rPr>
              <w:t xml:space="preserve"> </w:t>
            </w:r>
          </w:p>
          <w:p>
            <w:pPr>
              <w:widowControl/>
              <w:numPr>
                <w:ilvl w:val="0"/>
                <w:numId w:val="3"/>
              </w:numPr>
              <w:spacing w:line="360" w:lineRule="auto"/>
              <w:ind w:left="0" w:firstLine="0"/>
              <w:jc w:val="left"/>
            </w:pPr>
            <w:r>
              <w:rPr>
                <w:rFonts w:hint="eastAsia"/>
              </w:rPr>
              <w:t>提供智能选题功能。系统可根据教师所选的教材、章节和知识点范围，以及各个题型的不同难易度题目数量智能选择试题加入组卷。</w:t>
            </w:r>
            <w:r>
              <w:rPr>
                <w:rFonts w:hint="eastAsia"/>
                <w:b/>
              </w:rPr>
              <w:t>(</w:t>
            </w:r>
            <w:r>
              <w:rPr>
                <w:b/>
              </w:rPr>
              <w:t>1</w:t>
            </w:r>
            <w:r>
              <w:rPr>
                <w:rFonts w:hint="eastAsia"/>
                <w:b/>
              </w:rPr>
              <w:t>分)</w:t>
            </w:r>
          </w:p>
          <w:p>
            <w:pPr>
              <w:widowControl/>
              <w:numPr>
                <w:ilvl w:val="0"/>
                <w:numId w:val="3"/>
              </w:numPr>
              <w:spacing w:line="360" w:lineRule="auto"/>
              <w:ind w:left="0" w:firstLine="0"/>
              <w:jc w:val="left"/>
            </w:pPr>
            <w:r>
              <w:rPr>
                <w:rFonts w:hint="eastAsia"/>
              </w:rPr>
              <w:t>提供板书教学功能。实现教师进行板书、自由批注、擦除、撤销、恢复、清除等功能。同时，在板书的过程中，即可进行随机出题且通过截屏提问的方式进行出题。</w:t>
            </w:r>
            <w:r>
              <w:rPr>
                <w:rFonts w:hint="eastAsia"/>
                <w:b/>
              </w:rPr>
              <w:t>(</w:t>
            </w:r>
            <w:r>
              <w:rPr>
                <w:b/>
              </w:rPr>
              <w:t>1</w:t>
            </w:r>
            <w:r>
              <w:rPr>
                <w:rFonts w:hint="eastAsia"/>
                <w:b/>
              </w:rPr>
              <w:t>分)</w:t>
            </w:r>
          </w:p>
          <w:p>
            <w:pPr>
              <w:widowControl/>
              <w:numPr>
                <w:ilvl w:val="0"/>
                <w:numId w:val="3"/>
              </w:numPr>
              <w:spacing w:line="360" w:lineRule="auto"/>
              <w:ind w:left="0" w:firstLine="0"/>
              <w:jc w:val="left"/>
            </w:pPr>
            <w:r>
              <w:rPr>
                <w:rFonts w:hint="eastAsia"/>
              </w:rPr>
              <w:t>提供截屏测试功能。支持教师截取课件、画笔和板书的内容作为题目进行课堂测试。提供测试互动功能。支持全班作答、分组作答等方式的课堂测试互动活动。支持单选、多选、判断、解答等四种常用题型，并支持设置答题时间，教师也可以根据学生的答题情况随时终止或者延长答题。</w:t>
            </w:r>
            <w:r>
              <w:rPr>
                <w:rFonts w:hint="eastAsia"/>
                <w:b/>
              </w:rPr>
              <w:t>（</w:t>
            </w:r>
            <w:r>
              <w:rPr>
                <w:b/>
              </w:rPr>
              <w:t>2</w:t>
            </w:r>
            <w:r>
              <w:rPr>
                <w:rFonts w:hint="eastAsia"/>
                <w:b/>
              </w:rPr>
              <w:t>分)</w:t>
            </w:r>
          </w:p>
          <w:p>
            <w:pPr>
              <w:widowControl/>
              <w:numPr>
                <w:ilvl w:val="0"/>
                <w:numId w:val="3"/>
              </w:numPr>
              <w:spacing w:line="360" w:lineRule="auto"/>
              <w:ind w:left="0" w:firstLine="0"/>
              <w:jc w:val="left"/>
            </w:pPr>
            <w:r>
              <w:rPr>
                <w:rFonts w:hint="eastAsia"/>
              </w:rPr>
              <w:t>提供任务讲评功能。教师在课堂可调取课外任务进行讲评，支持查看每题的答题情况，客观题以图表方式展示统计结果，主观题以缩略图方式展示答案。支持学生答案的批注、对比讲评，也支持对典型答题进行展示、推送。</w:t>
            </w:r>
            <w:r>
              <w:rPr>
                <w:rFonts w:hint="eastAsia"/>
                <w:b/>
              </w:rPr>
              <w:t>(</w:t>
            </w:r>
            <w:r>
              <w:rPr>
                <w:b/>
              </w:rPr>
              <w:t>1</w:t>
            </w:r>
            <w:r>
              <w:rPr>
                <w:rFonts w:hint="eastAsia"/>
                <w:b/>
              </w:rPr>
              <w:t>分)</w:t>
            </w:r>
          </w:p>
          <w:p>
            <w:pPr>
              <w:widowControl/>
              <w:numPr>
                <w:ilvl w:val="0"/>
                <w:numId w:val="3"/>
              </w:numPr>
              <w:spacing w:line="360" w:lineRule="auto"/>
              <w:ind w:left="0" w:firstLine="0"/>
              <w:jc w:val="left"/>
            </w:pPr>
            <w:r>
              <w:rPr>
                <w:rFonts w:hint="eastAsia"/>
              </w:rPr>
              <w:t>提供中英文朗读作业布置功能。学生完成后，支持教师查看已完成和未完成的详细名单，并支持查看已完成学生的得分情况，包括总分、完整度、流畅度、声韵分、声调分等。</w:t>
            </w:r>
            <w:r>
              <w:rPr>
                <w:rFonts w:hint="eastAsia"/>
                <w:b/>
              </w:rPr>
              <w:t>(</w:t>
            </w:r>
            <w:r>
              <w:rPr>
                <w:b/>
              </w:rPr>
              <w:t>2</w:t>
            </w:r>
            <w:r>
              <w:rPr>
                <w:rFonts w:hint="eastAsia"/>
                <w:b/>
              </w:rPr>
              <w:t>分)</w:t>
            </w:r>
          </w:p>
          <w:p>
            <w:pPr>
              <w:widowControl/>
              <w:numPr>
                <w:ilvl w:val="0"/>
                <w:numId w:val="3"/>
              </w:numPr>
              <w:spacing w:line="360" w:lineRule="auto"/>
              <w:ind w:left="0" w:firstLine="0"/>
              <w:jc w:val="left"/>
              <w:rPr>
                <w:b/>
              </w:rPr>
            </w:pPr>
            <w:r>
              <w:rPr>
                <w:rFonts w:hint="eastAsia"/>
              </w:rPr>
              <w:t>提供课堂数据分析功能。支持对课堂教学进行全程记录和分析，内容按时序结构化进行呈现，便于教师课后快速定位查找，完成课后反思教研；并提供课堂的签到率、作答正确率、课堂活跃度、点赞、知识点掌握情况和学生做题分析等分析数据。</w:t>
            </w:r>
            <w:r>
              <w:rPr>
                <w:rFonts w:hint="eastAsia"/>
                <w:b/>
              </w:rPr>
              <w:t>(</w:t>
            </w:r>
            <w:r>
              <w:rPr>
                <w:b/>
              </w:rPr>
              <w:t>1</w:t>
            </w:r>
            <w:r>
              <w:rPr>
                <w:rFonts w:hint="eastAsia"/>
                <w:b/>
              </w:rPr>
              <w:t>分)</w:t>
            </w:r>
          </w:p>
          <w:p>
            <w:pPr>
              <w:widowControl/>
              <w:numPr>
                <w:ilvl w:val="0"/>
                <w:numId w:val="3"/>
              </w:numPr>
              <w:spacing w:line="360" w:lineRule="auto"/>
              <w:ind w:left="0" w:firstLine="0"/>
              <w:jc w:val="left"/>
            </w:pPr>
            <w:r>
              <w:rPr>
                <w:rFonts w:hint="eastAsia"/>
              </w:rPr>
              <w:t>提供作业作答详情，在学生完成作业并提交后，可自动生成作业详情，客观题可自动批改，主观题由教师批改；支持查看学生个人作业等级、正确率、作业用时和教师评语，以及每道题的正确答案、解析和教师的批注内容。（</w:t>
            </w:r>
            <w:r>
              <w:t>5</w:t>
            </w:r>
            <w:r>
              <w:rPr>
                <w:rFonts w:hint="eastAsia"/>
              </w:rPr>
              <w:t>分 ）</w:t>
            </w:r>
          </w:p>
          <w:p>
            <w:pPr>
              <w:widowControl/>
              <w:numPr>
                <w:ilvl w:val="0"/>
                <w:numId w:val="3"/>
              </w:numPr>
              <w:spacing w:line="360" w:lineRule="auto"/>
              <w:ind w:left="0" w:firstLine="0"/>
              <w:jc w:val="left"/>
            </w:pPr>
            <w:r>
              <w:rPr>
                <w:rFonts w:hint="eastAsia"/>
              </w:rPr>
              <w:t>提供错题数据分析功能。支持按时段、班级汇总所有错题，包括错题的错误率、所关联的知识点和错误的学生名单等数据；教师可通过错误率、错题来源进行筛选查找，也可根据需要导出错题集。(</w:t>
            </w:r>
            <w:r>
              <w:t>4</w:t>
            </w:r>
            <w:r>
              <w:rPr>
                <w:rFonts w:hint="eastAsia"/>
              </w:rPr>
              <w:t>分)</w:t>
            </w:r>
          </w:p>
          <w:p>
            <w:pPr>
              <w:widowControl/>
              <w:numPr>
                <w:ilvl w:val="0"/>
                <w:numId w:val="3"/>
              </w:numPr>
              <w:spacing w:line="360" w:lineRule="auto"/>
              <w:ind w:left="0" w:firstLine="0"/>
              <w:jc w:val="left"/>
            </w:pPr>
            <w:r>
              <w:rPr>
                <w:rFonts w:hint="eastAsia"/>
              </w:rPr>
              <w:t>提供学生课后练习自动采集功能。学生通过纸笔书写的方式，自动将书写答案和笔迹等数据同步至学生终端app上（</w:t>
            </w:r>
            <w:r>
              <w:t>APP</w:t>
            </w:r>
            <w:r>
              <w:rPr>
                <w:rFonts w:hint="eastAsia"/>
              </w:rPr>
              <w:t>需于教学系统教学主机为同一品牌），并实现客观题手写答案的自动识别和批改。（</w:t>
            </w:r>
            <w:r>
              <w:t>5</w:t>
            </w:r>
            <w:r>
              <w:rPr>
                <w:rFonts w:hint="eastAsia"/>
              </w:rPr>
              <w:t>分）</w:t>
            </w:r>
          </w:p>
          <w:p>
            <w:pPr>
              <w:widowControl/>
              <w:numPr>
                <w:ilvl w:val="0"/>
                <w:numId w:val="3"/>
              </w:numPr>
              <w:spacing w:line="360" w:lineRule="auto"/>
              <w:ind w:left="0" w:firstLine="0"/>
              <w:jc w:val="left"/>
            </w:pPr>
            <w:r>
              <w:rPr>
                <w:rFonts w:hint="eastAsia"/>
              </w:rPr>
              <w:t>提供学生个人错题本，包含但不限于各学科作业的错题数、总题数、错误率、错题知识点分布、错题题型分布等，以及每道错题的班级正确率和年级正确率对比情况（</w:t>
            </w:r>
            <w:r>
              <w:t>3</w:t>
            </w:r>
            <w:r>
              <w:rPr>
                <w:rFonts w:hint="eastAsia"/>
              </w:rPr>
              <w:t>分）。</w:t>
            </w:r>
          </w:p>
          <w:p>
            <w:pPr>
              <w:widowControl/>
              <w:numPr>
                <w:ilvl w:val="0"/>
                <w:numId w:val="3"/>
              </w:numPr>
              <w:spacing w:line="360" w:lineRule="auto"/>
              <w:ind w:left="0" w:firstLine="0"/>
              <w:jc w:val="left"/>
            </w:pPr>
            <w:r>
              <w:rPr>
                <w:rFonts w:hint="eastAsia"/>
              </w:rPr>
              <w:t>提供错题微课功能，学生可查看教师推送的错题微课视频进行学习和巩固（</w:t>
            </w:r>
            <w:r>
              <w:t>3</w:t>
            </w:r>
            <w:r>
              <w:rPr>
                <w:rFonts w:hint="eastAsia"/>
              </w:rPr>
              <w:t>分）。</w:t>
            </w:r>
          </w:p>
        </w:tc>
      </w:tr>
      <w:bookmarkEnd w:id="30"/>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74" w:hRule="atLeast"/>
          <w:jc w:val="center"/>
        </w:trPr>
        <w:tc>
          <w:tcPr>
            <w:tcW w:w="463" w:type="dxa"/>
            <w:vAlign w:val="center"/>
          </w:tcPr>
          <w:p>
            <w:pPr>
              <w:widowControl/>
              <w:tabs>
                <w:tab w:val="left" w:pos="142"/>
              </w:tabs>
              <w:spacing w:line="360" w:lineRule="auto"/>
              <w:jc w:val="center"/>
              <w:rPr>
                <w:rFonts w:ascii="宋体" w:hAnsi="宋体"/>
                <w:kern w:val="0"/>
                <w:szCs w:val="21"/>
              </w:rPr>
            </w:pPr>
            <w:r>
              <w:rPr>
                <w:rFonts w:hint="eastAsia" w:ascii="宋体" w:hAnsi="宋体"/>
                <w:kern w:val="0"/>
                <w:szCs w:val="21"/>
              </w:rPr>
              <w:t>4</w:t>
            </w:r>
          </w:p>
        </w:tc>
        <w:tc>
          <w:tcPr>
            <w:tcW w:w="1224" w:type="dxa"/>
            <w:vAlign w:val="center"/>
          </w:tcPr>
          <w:p>
            <w:pPr>
              <w:widowControl/>
              <w:spacing w:line="360" w:lineRule="auto"/>
              <w:jc w:val="center"/>
              <w:rPr>
                <w:rFonts w:ascii="宋体" w:hAnsi="宋体"/>
                <w:kern w:val="0"/>
                <w:szCs w:val="21"/>
              </w:rPr>
            </w:pPr>
            <w:r>
              <w:rPr>
                <w:rFonts w:hint="eastAsia" w:ascii="宋体" w:hAnsi="宋体"/>
                <w:kern w:val="0"/>
                <w:szCs w:val="21"/>
              </w:rPr>
              <w:t>商务</w:t>
            </w:r>
          </w:p>
        </w:tc>
        <w:tc>
          <w:tcPr>
            <w:tcW w:w="654" w:type="dxa"/>
            <w:vAlign w:val="center"/>
          </w:tcPr>
          <w:p>
            <w:pPr>
              <w:widowControl/>
              <w:spacing w:line="360" w:lineRule="auto"/>
              <w:jc w:val="center"/>
              <w:rPr>
                <w:rFonts w:ascii="宋体" w:hAnsi="宋体"/>
                <w:kern w:val="0"/>
                <w:szCs w:val="21"/>
              </w:rPr>
            </w:pPr>
            <w:r>
              <w:rPr>
                <w:rFonts w:ascii="宋体" w:hAnsi="宋体"/>
                <w:kern w:val="0"/>
                <w:szCs w:val="21"/>
              </w:rPr>
              <w:t>10</w:t>
            </w:r>
            <w:r>
              <w:rPr>
                <w:rFonts w:hint="eastAsia" w:ascii="宋体" w:hAnsi="宋体"/>
                <w:kern w:val="0"/>
                <w:szCs w:val="21"/>
              </w:rPr>
              <w:t>分</w:t>
            </w:r>
          </w:p>
        </w:tc>
        <w:tc>
          <w:tcPr>
            <w:tcW w:w="6879" w:type="dxa"/>
            <w:vAlign w:val="center"/>
          </w:tcPr>
          <w:p>
            <w:pPr>
              <w:tabs>
                <w:tab w:val="left" w:pos="312"/>
              </w:tabs>
              <w:spacing w:line="360"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提供核心设备厂家的自20</w:t>
            </w:r>
            <w:r>
              <w:rPr>
                <w:rFonts w:ascii="宋体" w:hAnsi="宋体"/>
                <w:szCs w:val="21"/>
              </w:rPr>
              <w:t>20</w:t>
            </w:r>
            <w:r>
              <w:rPr>
                <w:rFonts w:hint="eastAsia" w:ascii="宋体" w:hAnsi="宋体"/>
                <w:szCs w:val="21"/>
              </w:rPr>
              <w:t>年至今的智慧课堂项目案例，每提供1项新疆地区相关智慧教室案例得1分，满分</w:t>
            </w:r>
            <w:r>
              <w:rPr>
                <w:rFonts w:ascii="宋体" w:hAnsi="宋体"/>
                <w:szCs w:val="21"/>
              </w:rPr>
              <w:t>6</w:t>
            </w:r>
            <w:r>
              <w:rPr>
                <w:rFonts w:hint="eastAsia" w:ascii="宋体" w:hAnsi="宋体"/>
                <w:szCs w:val="21"/>
              </w:rPr>
              <w:t>分。以投标人提供的相关案例证明资料如合同书或中标（成交）通知书复印件为准，未提供证明资料的，不得分。</w:t>
            </w:r>
          </w:p>
          <w:p>
            <w:pPr>
              <w:tabs>
                <w:tab w:val="left" w:pos="312"/>
              </w:tabs>
              <w:spacing w:line="360" w:lineRule="auto"/>
            </w:pPr>
            <w:r>
              <w:rPr>
                <w:rFonts w:hint="eastAsia" w:ascii="宋体" w:hAnsi="宋体"/>
                <w:szCs w:val="21"/>
              </w:rPr>
              <w:t>2</w:t>
            </w:r>
            <w:r>
              <w:rPr>
                <w:rFonts w:ascii="宋体" w:hAnsi="宋体"/>
                <w:szCs w:val="21"/>
              </w:rPr>
              <w:t>.</w:t>
            </w:r>
            <w:r>
              <w:rPr>
                <w:rFonts w:hint="eastAsia" w:ascii="宋体" w:hAnsi="宋体"/>
                <w:szCs w:val="21"/>
              </w:rPr>
              <w:t>提供所投产品的信息系统安全等级保护备案证明（第三级）、通用软硬件适配认证中心联合认证证书、无线电发射设备型号核准证及中国教育装备行业协会会员证书（2022），提供复印件加盖公章或投标专用章得</w:t>
            </w:r>
            <w:r>
              <w:rPr>
                <w:rFonts w:ascii="宋体" w:hAnsi="宋体"/>
                <w:szCs w:val="21"/>
              </w:rPr>
              <w:t>4</w:t>
            </w:r>
            <w:r>
              <w:rPr>
                <w:rFonts w:hint="eastAsia" w:ascii="宋体" w:hAnsi="宋体"/>
                <w:szCs w:val="21"/>
              </w:rPr>
              <w:t>分，不提供或少提供不得分；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84" w:hRule="atLeast"/>
          <w:jc w:val="center"/>
        </w:trPr>
        <w:tc>
          <w:tcPr>
            <w:tcW w:w="463" w:type="dxa"/>
            <w:vAlign w:val="center"/>
          </w:tcPr>
          <w:p>
            <w:pPr>
              <w:widowControl/>
              <w:tabs>
                <w:tab w:val="left" w:pos="142"/>
              </w:tabs>
              <w:spacing w:line="360" w:lineRule="auto"/>
              <w:jc w:val="center"/>
              <w:rPr>
                <w:rFonts w:ascii="宋体" w:hAnsi="宋体"/>
                <w:kern w:val="0"/>
                <w:szCs w:val="21"/>
              </w:rPr>
            </w:pPr>
            <w:r>
              <w:rPr>
                <w:rFonts w:hint="eastAsia" w:ascii="宋体" w:hAnsi="宋体"/>
                <w:kern w:val="0"/>
                <w:szCs w:val="21"/>
              </w:rPr>
              <w:t>5</w:t>
            </w:r>
          </w:p>
        </w:tc>
        <w:tc>
          <w:tcPr>
            <w:tcW w:w="1224" w:type="dxa"/>
            <w:vAlign w:val="center"/>
          </w:tcPr>
          <w:p>
            <w:pPr>
              <w:spacing w:line="360" w:lineRule="auto"/>
              <w:jc w:val="center"/>
              <w:rPr>
                <w:rFonts w:ascii="宋体" w:hAnsi="宋体" w:cs="宋体"/>
                <w:szCs w:val="21"/>
              </w:rPr>
            </w:pPr>
            <w:r>
              <w:rPr>
                <w:rFonts w:hint="eastAsia" w:ascii="宋体" w:hAnsi="宋体"/>
                <w:szCs w:val="21"/>
              </w:rPr>
              <w:t>实施能力及保障</w:t>
            </w:r>
          </w:p>
        </w:tc>
        <w:tc>
          <w:tcPr>
            <w:tcW w:w="654" w:type="dxa"/>
            <w:vAlign w:val="center"/>
          </w:tcPr>
          <w:p>
            <w:pPr>
              <w:spacing w:line="360" w:lineRule="auto"/>
              <w:jc w:val="center"/>
              <w:rPr>
                <w:rFonts w:ascii="宋体" w:hAnsi="宋体" w:cs="宋体"/>
                <w:szCs w:val="21"/>
              </w:rPr>
            </w:pPr>
            <w:r>
              <w:rPr>
                <w:rFonts w:ascii="宋体" w:hAnsi="宋体" w:cs="宋体"/>
                <w:szCs w:val="21"/>
              </w:rPr>
              <w:t>3</w:t>
            </w:r>
            <w:r>
              <w:rPr>
                <w:rFonts w:hint="eastAsia" w:ascii="宋体" w:hAnsi="宋体" w:cs="宋体"/>
                <w:szCs w:val="21"/>
              </w:rPr>
              <w:t>分</w:t>
            </w:r>
          </w:p>
        </w:tc>
        <w:tc>
          <w:tcPr>
            <w:tcW w:w="6879" w:type="dxa"/>
            <w:vAlign w:val="center"/>
          </w:tcPr>
          <w:p>
            <w:pPr>
              <w:tabs>
                <w:tab w:val="left" w:pos="312"/>
              </w:tabs>
              <w:spacing w:line="360" w:lineRule="auto"/>
              <w:rPr>
                <w:rFonts w:ascii="宋体" w:hAnsi="宋体"/>
                <w:szCs w:val="21"/>
              </w:rPr>
            </w:pPr>
            <w:r>
              <w:rPr>
                <w:rFonts w:ascii="宋体" w:hAnsi="宋体"/>
                <w:szCs w:val="21"/>
              </w:rPr>
              <w:t>1.</w:t>
            </w:r>
            <w:r>
              <w:rPr>
                <w:rFonts w:hint="eastAsia" w:ascii="宋体" w:hAnsi="宋体"/>
                <w:szCs w:val="21"/>
              </w:rPr>
              <w:t>技术设计方案根据产品选型合理性、方案完整性、配置齐全性，是否符合用户实际情况等情况进行综合比较，好得</w:t>
            </w:r>
            <w:r>
              <w:rPr>
                <w:rFonts w:ascii="宋体" w:hAnsi="宋体"/>
                <w:szCs w:val="21"/>
              </w:rPr>
              <w:t xml:space="preserve"> 2</w:t>
            </w:r>
            <w:r>
              <w:rPr>
                <w:rFonts w:hint="eastAsia" w:ascii="宋体" w:hAnsi="宋体"/>
                <w:szCs w:val="21"/>
              </w:rPr>
              <w:t>分，一般得</w:t>
            </w:r>
            <w:r>
              <w:rPr>
                <w:rFonts w:ascii="宋体" w:hAnsi="宋体"/>
                <w:szCs w:val="21"/>
              </w:rPr>
              <w:t>1</w:t>
            </w:r>
            <w:r>
              <w:rPr>
                <w:rFonts w:hint="eastAsia" w:ascii="宋体" w:hAnsi="宋体"/>
                <w:szCs w:val="21"/>
              </w:rPr>
              <w:t>分，较差不得分。评标专家对投标文件进行横向比较，根据情况酌情给分。</w:t>
            </w:r>
          </w:p>
          <w:p>
            <w:pPr>
              <w:tabs>
                <w:tab w:val="left" w:pos="312"/>
              </w:tabs>
              <w:spacing w:line="360" w:lineRule="auto"/>
              <w:rPr>
                <w:rFonts w:ascii="宋体" w:hAnsi="宋体"/>
                <w:szCs w:val="21"/>
              </w:rPr>
            </w:pPr>
            <w:r>
              <w:rPr>
                <w:rFonts w:ascii="宋体" w:hAnsi="宋体"/>
                <w:szCs w:val="21"/>
              </w:rPr>
              <w:t>2.</w:t>
            </w:r>
            <w:r>
              <w:rPr>
                <w:rFonts w:hint="eastAsia" w:ascii="宋体" w:hAnsi="宋体"/>
                <w:szCs w:val="21"/>
              </w:rPr>
              <w:t>组织实施方案根据实施方案的合理性、可行性、是否严密周到等情况进行综合比较，较好得</w:t>
            </w:r>
            <w:r>
              <w:rPr>
                <w:rFonts w:ascii="宋体" w:hAnsi="宋体"/>
                <w:szCs w:val="21"/>
              </w:rPr>
              <w:t xml:space="preserve"> 1</w:t>
            </w:r>
            <w:r>
              <w:rPr>
                <w:rFonts w:hint="eastAsia" w:ascii="宋体" w:hAnsi="宋体"/>
                <w:szCs w:val="21"/>
              </w:rPr>
              <w:t>分，较差不得分。评标专家对投标文件进行横向比较，根据情况酌情给分。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463" w:type="dxa"/>
            <w:vAlign w:val="center"/>
          </w:tcPr>
          <w:p>
            <w:pPr>
              <w:widowControl/>
              <w:tabs>
                <w:tab w:val="left" w:pos="142"/>
              </w:tabs>
              <w:spacing w:line="360" w:lineRule="auto"/>
              <w:jc w:val="center"/>
              <w:rPr>
                <w:rFonts w:ascii="宋体" w:hAnsi="宋体"/>
                <w:kern w:val="0"/>
                <w:szCs w:val="21"/>
              </w:rPr>
            </w:pPr>
            <w:r>
              <w:rPr>
                <w:rFonts w:hint="eastAsia" w:ascii="宋体" w:hAnsi="宋体"/>
                <w:kern w:val="0"/>
                <w:szCs w:val="21"/>
              </w:rPr>
              <w:t>6</w:t>
            </w:r>
          </w:p>
        </w:tc>
        <w:tc>
          <w:tcPr>
            <w:tcW w:w="1224" w:type="dxa"/>
            <w:vAlign w:val="center"/>
          </w:tcPr>
          <w:p>
            <w:pPr>
              <w:widowControl/>
              <w:spacing w:line="360" w:lineRule="auto"/>
              <w:jc w:val="center"/>
              <w:rPr>
                <w:rFonts w:ascii="宋体" w:hAnsi="宋体"/>
                <w:kern w:val="0"/>
                <w:szCs w:val="21"/>
              </w:rPr>
            </w:pPr>
            <w:r>
              <w:rPr>
                <w:rFonts w:hint="eastAsia" w:ascii="宋体" w:hAnsi="宋体"/>
                <w:kern w:val="0"/>
                <w:szCs w:val="21"/>
              </w:rPr>
              <w:t>售后能力及保障</w:t>
            </w:r>
          </w:p>
        </w:tc>
        <w:tc>
          <w:tcPr>
            <w:tcW w:w="654" w:type="dxa"/>
            <w:vAlign w:val="center"/>
          </w:tcPr>
          <w:p>
            <w:pPr>
              <w:widowControl/>
              <w:spacing w:line="360" w:lineRule="auto"/>
              <w:jc w:val="center"/>
              <w:rPr>
                <w:rFonts w:ascii="宋体" w:hAnsi="宋体"/>
                <w:kern w:val="0"/>
                <w:szCs w:val="21"/>
              </w:rPr>
            </w:pPr>
            <w:r>
              <w:rPr>
                <w:rFonts w:ascii="宋体" w:hAnsi="宋体"/>
                <w:kern w:val="0"/>
                <w:szCs w:val="21"/>
              </w:rPr>
              <w:t>2</w:t>
            </w:r>
            <w:r>
              <w:rPr>
                <w:rFonts w:hint="eastAsia" w:ascii="宋体" w:hAnsi="宋体"/>
                <w:kern w:val="0"/>
                <w:szCs w:val="21"/>
              </w:rPr>
              <w:t>分</w:t>
            </w:r>
          </w:p>
        </w:tc>
        <w:tc>
          <w:tcPr>
            <w:tcW w:w="6879" w:type="dxa"/>
            <w:vAlign w:val="center"/>
          </w:tcPr>
          <w:p>
            <w:pPr>
              <w:pStyle w:val="117"/>
              <w:numPr>
                <w:ilvl w:val="0"/>
                <w:numId w:val="4"/>
              </w:numPr>
              <w:spacing w:line="360" w:lineRule="auto"/>
              <w:ind w:left="0" w:firstLine="0" w:firstLineChars="0"/>
              <w:jc w:val="left"/>
              <w:rPr>
                <w:rFonts w:ascii="宋体" w:hAnsi="宋体"/>
                <w:kern w:val="0"/>
                <w:szCs w:val="21"/>
              </w:rPr>
            </w:pPr>
            <w:r>
              <w:rPr>
                <w:rFonts w:ascii="宋体" w:hAnsi="宋体"/>
                <w:kern w:val="0"/>
                <w:szCs w:val="21"/>
              </w:rPr>
              <w:t>依据供应商针对本项目提供的售后服务方案进行综合分析评分，内容包含但不限于售后服务质保制度、售后服务范围、使用人员的培训</w:t>
            </w:r>
            <w:r>
              <w:rPr>
                <w:rFonts w:hint="eastAsia" w:ascii="宋体" w:hAnsi="宋体"/>
                <w:kern w:val="0"/>
                <w:szCs w:val="21"/>
              </w:rPr>
              <w:t>方案</w:t>
            </w:r>
            <w:r>
              <w:rPr>
                <w:rFonts w:ascii="宋体" w:hAnsi="宋体"/>
                <w:kern w:val="0"/>
                <w:szCs w:val="21"/>
              </w:rPr>
              <w:t>、</w:t>
            </w:r>
            <w:r>
              <w:rPr>
                <w:rFonts w:hint="eastAsia" w:ascii="宋体" w:hAnsi="宋体"/>
                <w:kern w:val="0"/>
                <w:szCs w:val="21"/>
              </w:rPr>
              <w:t>巡检维保服务方案、</w:t>
            </w:r>
            <w:r>
              <w:rPr>
                <w:rFonts w:ascii="宋体" w:hAnsi="宋体"/>
                <w:kern w:val="0"/>
                <w:szCs w:val="21"/>
              </w:rPr>
              <w:t>设有备品备件库</w:t>
            </w:r>
            <w:r>
              <w:rPr>
                <w:rFonts w:hint="eastAsia" w:ascii="宋体" w:hAnsi="宋体"/>
                <w:kern w:val="0"/>
                <w:szCs w:val="21"/>
              </w:rPr>
              <w:t>、故障修复时间</w:t>
            </w:r>
            <w:r>
              <w:rPr>
                <w:rFonts w:ascii="宋体" w:hAnsi="宋体"/>
                <w:kern w:val="0"/>
                <w:szCs w:val="21"/>
              </w:rPr>
              <w:t>等内容</w:t>
            </w:r>
            <w:r>
              <w:rPr>
                <w:rFonts w:hint="eastAsia" w:ascii="宋体" w:hAnsi="宋体"/>
                <w:kern w:val="0"/>
                <w:szCs w:val="21"/>
              </w:rPr>
              <w:t>，全部满足</w:t>
            </w:r>
            <w:r>
              <w:rPr>
                <w:rFonts w:ascii="宋体" w:hAnsi="宋体"/>
                <w:kern w:val="0"/>
                <w:szCs w:val="21"/>
              </w:rPr>
              <w:t>得2分，以上方面每有一处存在缺陷（缺陷为与项目实际情况不符、不满足项目需求</w:t>
            </w:r>
            <w:r>
              <w:rPr>
                <w:rFonts w:hint="eastAsia" w:ascii="宋体" w:hAnsi="宋体"/>
                <w:kern w:val="0"/>
                <w:szCs w:val="21"/>
              </w:rPr>
              <w:t>）扣1分，扣完为止。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1687" w:type="dxa"/>
            <w:gridSpan w:val="2"/>
            <w:vAlign w:val="center"/>
          </w:tcPr>
          <w:p>
            <w:pPr>
              <w:widowControl/>
              <w:spacing w:line="360" w:lineRule="auto"/>
              <w:jc w:val="center"/>
              <w:rPr>
                <w:rFonts w:ascii="宋体" w:hAnsi="宋体"/>
                <w:kern w:val="0"/>
                <w:szCs w:val="21"/>
              </w:rPr>
            </w:pPr>
            <w:r>
              <w:rPr>
                <w:rFonts w:hint="eastAsia" w:ascii="宋体" w:hAnsi="宋体"/>
                <w:kern w:val="0"/>
                <w:szCs w:val="21"/>
              </w:rPr>
              <w:t>合计</w:t>
            </w:r>
          </w:p>
        </w:tc>
        <w:tc>
          <w:tcPr>
            <w:tcW w:w="7533" w:type="dxa"/>
            <w:gridSpan w:val="2"/>
            <w:vAlign w:val="center"/>
          </w:tcPr>
          <w:p>
            <w:pPr>
              <w:widowControl/>
              <w:spacing w:line="360" w:lineRule="auto"/>
              <w:jc w:val="center"/>
              <w:rPr>
                <w:rFonts w:ascii="宋体" w:hAnsi="宋体"/>
                <w:kern w:val="0"/>
                <w:szCs w:val="21"/>
              </w:rPr>
            </w:pPr>
            <w:r>
              <w:rPr>
                <w:rFonts w:ascii="宋体" w:hAnsi="宋体"/>
                <w:kern w:val="0"/>
                <w:szCs w:val="21"/>
              </w:rPr>
              <w:t>100</w:t>
            </w:r>
            <w:r>
              <w:rPr>
                <w:rFonts w:hint="eastAsia" w:ascii="宋体" w:hAnsi="宋体"/>
                <w:kern w:val="0"/>
                <w:szCs w:val="21"/>
              </w:rPr>
              <w:t>分</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1" w:name="_Toc23656"/>
      <w:bookmarkStart w:id="32" w:name="_Toc29752"/>
      <w:bookmarkStart w:id="33" w:name="_Toc21374"/>
      <w:bookmarkStart w:id="34" w:name="_Toc14133"/>
      <w:r>
        <w:rPr>
          <w:rFonts w:hint="eastAsia" w:cs="宋体" w:asciiTheme="majorEastAsia" w:hAnsiTheme="majorEastAsia" w:eastAsiaTheme="majorEastAsia"/>
          <w:color w:val="000000" w:themeColor="text1"/>
        </w:rPr>
        <w:t>2. 评审标准</w:t>
      </w:r>
      <w:bookmarkEnd w:id="31"/>
      <w:bookmarkEnd w:id="32"/>
      <w:bookmarkEnd w:id="33"/>
      <w:bookmarkEnd w:id="34"/>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5" w:name="_Toc7632"/>
      <w:bookmarkStart w:id="36" w:name="_Toc8777"/>
      <w:bookmarkStart w:id="37" w:name="_Toc18463"/>
      <w:bookmarkStart w:id="38" w:name="_Toc14035"/>
      <w:r>
        <w:rPr>
          <w:rFonts w:hint="eastAsia" w:cs="宋体" w:asciiTheme="majorEastAsia" w:hAnsiTheme="majorEastAsia" w:eastAsiaTheme="majorEastAsia"/>
          <w:color w:val="000000" w:themeColor="text1"/>
        </w:rPr>
        <w:t>3. 评标程序</w:t>
      </w:r>
      <w:bookmarkEnd w:id="35"/>
      <w:bookmarkEnd w:id="36"/>
      <w:bookmarkEnd w:id="37"/>
      <w:bookmarkEnd w:id="38"/>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9" w:name="_Toc23721"/>
      <w:bookmarkStart w:id="40" w:name="_Toc4197"/>
      <w:r>
        <w:rPr>
          <w:rFonts w:hint="eastAsia" w:cs="仿宋" w:asciiTheme="majorEastAsia" w:hAnsiTheme="majorEastAsia" w:eastAsiaTheme="majorEastAsia"/>
          <w:b w:val="0"/>
          <w:color w:val="000000" w:themeColor="text1"/>
          <w:sz w:val="36"/>
          <w:szCs w:val="36"/>
        </w:rPr>
        <w:t>第四章  合同条款及格式</w:t>
      </w:r>
      <w:bookmarkEnd w:id="39"/>
      <w:bookmarkEnd w:id="40"/>
      <w:bookmarkStart w:id="41" w:name="_Toc434784403"/>
      <w:bookmarkStart w:id="42" w:name="_Toc433363808"/>
      <w:bookmarkStart w:id="43" w:name="_Toc434784363"/>
    </w:p>
    <w:bookmarkEnd w:id="41"/>
    <w:bookmarkEnd w:id="42"/>
    <w:bookmarkEnd w:id="43"/>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5"/>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6"/>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7"/>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8"/>
        </w:numPr>
        <w:jc w:val="center"/>
        <w:rPr>
          <w:rFonts w:cs="仿宋" w:asciiTheme="majorEastAsia" w:hAnsiTheme="majorEastAsia" w:eastAsiaTheme="majorEastAsia"/>
          <w:b w:val="0"/>
          <w:color w:val="000000" w:themeColor="text1"/>
          <w:sz w:val="36"/>
          <w:szCs w:val="36"/>
        </w:rPr>
      </w:pPr>
      <w:bookmarkStart w:id="44" w:name="_Toc27835"/>
      <w:bookmarkStart w:id="45" w:name="_Toc452306038"/>
      <w:bookmarkStart w:id="46" w:name="_Toc10291"/>
      <w:r>
        <w:rPr>
          <w:rFonts w:hint="eastAsia" w:cs="仿宋" w:asciiTheme="majorEastAsia" w:hAnsiTheme="majorEastAsia" w:eastAsiaTheme="majorEastAsia"/>
          <w:b w:val="0"/>
          <w:color w:val="000000" w:themeColor="text1"/>
          <w:sz w:val="36"/>
          <w:szCs w:val="36"/>
        </w:rPr>
        <w:t>项目内容、服务标准和要求</w:t>
      </w:r>
      <w:bookmarkEnd w:id="44"/>
      <w:bookmarkEnd w:id="45"/>
      <w:bookmarkEnd w:id="46"/>
      <w:bookmarkStart w:id="47" w:name="_Toc452306039"/>
    </w:p>
    <w:p>
      <w:pPr>
        <w:rPr>
          <w:color w:val="000000" w:themeColor="text1"/>
        </w:rPr>
      </w:pPr>
    </w:p>
    <w:tbl>
      <w:tblPr>
        <w:tblStyle w:val="39"/>
        <w:tblW w:w="136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9"/>
        <w:gridCol w:w="1410"/>
        <w:gridCol w:w="9456"/>
        <w:gridCol w:w="1137"/>
        <w:gridCol w:w="11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13660"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小学智慧课堂技术参数(4间)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功能模块</w:t>
            </w:r>
          </w:p>
        </w:tc>
        <w:tc>
          <w:tcPr>
            <w:tcW w:w="9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3"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课程资源系统</w:t>
            </w:r>
          </w:p>
        </w:tc>
        <w:tc>
          <w:tcPr>
            <w:tcW w:w="9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 资源服务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★1、教材电子化：需支持小学学段语文统编纸质教材电子化，需提供语文学科学习资源支持点读功能；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2、同步教学资源：需支持以电子化教材为载体按照章节目录提供配套同步教学资源；配套资源类型包括课件、文本、图片、音频、视频、动画。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二、校本资源库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1、资源储存：校本资源库为学校提供对本校教学资源的存储，包括学校使用的与国家课程同步的教学资源、学校自定义校本课程资源、教师个人的优质教学资源；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2、资源使用：需支持按目录检索条件、资源筛选排序，并支持校本资源的预览、下载、存到个人资源库功能；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3、资源分享：需支持本校教师将个人的优质教育教学资源分享校本资源库存储，支持校本课程资源的分享、获取和使用。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三、个人资源库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1、个人资源库：需支持教师对个人的资源进行上传、存储和管理，需支持教师在个人资源库新建文件夹储存资源，支持将云端资源、校本资源收藏至网盘；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2、个人资源使用：支持单个资源或文件夹整体导出至本地电脑。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四、中华民族共同体意识专题资源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需支持中华民族共同体意识教育专题资源功能，需依托统编教材和教学进度相同步，专题资源具备丰富多样的呈现方式，需要为班级、社团、学校开展民族团结主题教育活动提供资源服务。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五、古诗词诵读资源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需支持古诗词朗诵，支持标准音播放带读带学，支持朗读测评，并基于测评给出班级、学校和区域得分排名。</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34"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智能教学系统</w:t>
            </w:r>
          </w:p>
        </w:tc>
        <w:tc>
          <w:tcPr>
            <w:tcW w:w="9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一、备课应用及服务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1、备授课同步：支持通过云端将备课的资源同步至电子化教材对应章节目录，无需拷贝；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2、备课资源：需支持从云端、校本资源库、个人资源库多途径获取资源；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3、添加本地资源：支持教师备课过程中从本地添加教学资源；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4、备课资源管理：需支持对备课资源进行导出、保存至个人资料库、分享至校本、删除操作。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二、授课应用及服务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1、支持多种授课形式：需支持电子化教材、课件、电子白板多种授课形式，满足教学新授课、复习课的多样化需求；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★2、电子化教材教学：需支持电子化教材授课时一键获取备课资源，并下载至课本中辅助教师上课。需支持对电子化教材的标注、聚焦、翻页操作；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★3、课件教学：需支持ppt、word文档的原生态播放，播放过程中文档不乱码、不重叠、不错位；需支持教师教学过程中对ppt文档进行标注、聚焦等操作；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4、电子白板教学：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需支持电子白板书写，支持更换笔迹粗细和颜色，需支持板擦、撤销、聚焦等操作；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5、互动教学：需支持教师发起随机选人、屏幕推送等方式的课堂互动形式；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6、课堂管控：需支持教师针对所有加入的学生进行锁屏和解锁控制，需支持教师在线巡视学生屏幕，保障课堂教学秩序；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7、学生评价：需支持教师在课堂上对学生表现进行点评，包括点赞学生；。</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98"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语言训练与自主学习系统</w:t>
            </w:r>
          </w:p>
        </w:tc>
        <w:tc>
          <w:tcPr>
            <w:tcW w:w="945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一、语言训练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1、需支持同步训练任务答题功能。提供紧扣教材内容的听说训练、同步训练以及写作训练三种类型。教师根据教学进度和教学需要自由选择类型。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2、需支持综合测试任务答题功能。围绕教材各单元知识点和教材字词大纲范围，支持单元测试和综合测试功能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二、自主学习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1、需支持基于低年级同步教材的课程同步游戏，支持通过连线、选择等游戏互动方式进行游戏化学习，每个游戏达到指定分数，可以开启更多的游戏，需支持在排行榜中查看该游戏在区域和学校中的排名。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2、需支持基于同步教材的配音秀活动，支持通过视频学习、视频配音、配音评测等功能，进行语言的自主学习。</w:t>
            </w:r>
          </w:p>
        </w:tc>
        <w:tc>
          <w:tcPr>
            <w:tcW w:w="11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7"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教室智能平台套装（教室版软件）</w:t>
            </w:r>
          </w:p>
        </w:tc>
        <w:tc>
          <w:tcPr>
            <w:tcW w:w="94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一、课堂远程控制系统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采用自研技术和投屏软件，能够在不采用第三方Miracast或AirPlay投屏器设备或者第三方投屏软件的条件下，无需任何设置和切换，实现主流的智能设备跨平台屏幕投射；实现板书书写、课件讲解、图片批注教学内容的投屏展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2、需实现投屏自愈功能，实现由于网络故障而导致的投屏问题在网络恢复后自动恢复投屏；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3、需支持根据教师需求调整投屏的清晰度和声音播放（支持音响和平板的播放切换）；支持教师教学内容全屏幕的展现，并实现投屏的即时暂停与恢复；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4、需支持以教室为单元的高密度无线环境快速部署，实现有线网络、无线网络的兼容；支持2.4GHz、5GHz射频，实现多个教室设备的集中管理功能；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5、需支持对多个无线SSID（网络名称）、信道的自定义功能，实现安全密码管理、加密和移动设备MAC地址的绑定功能；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6、需支持管控教室网络的互联网接入及流量控制；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7、需支持教室在无互联网、无校园网的情况下，有效保证教师正常教学活动不受影响：课件的正常播放、任意书写、白板讲解、图片批注，师生互动，保证无线投屏正常应用；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8、需支持对教学过程中产生的数据进行存储、定时清理，并且能够联网上传，保证教学数据不丢失，支持客户端静默升级；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9、需支持设备远程集中管控，可实现设备远程和定时开关机、支持网络安全管理，实现网络白名单设置和网络访问日志查看、支持设备智能故障告警、设备状态监测、软件运行控制。</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1"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教室智能平台套装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（智慧课堂教学主机）</w:t>
            </w:r>
          </w:p>
        </w:tc>
        <w:tc>
          <w:tcPr>
            <w:tcW w:w="94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1、CPU：双核处理器，主频≥3.2GHz；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2、运行内存≥4G DDR4；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存储容量≥64G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4、分辨率支持：需最小支持HDMI：3840*2160；VGA:1920×1080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5、工作频段：需支持2.4GHz和5GHz频段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6、射频数量：需支持双射频，一路2.4GHz和一路5GHz；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7、无线速率：需支持802.11ac Wave 2标准，整机速率不小于1200Mbps；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8、终端连接：需支持不少于60个终端同时接入使用；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9、接口要求：HDMI不少于1个、VGA不少于1个、MIC-IN &amp; AUDIO OUT不少于1个、USB 2.0不少于2个 、USB3.0不少于2个、RJ45不少于1个。</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98"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教师智能终端套装（听说读写教学软件）</w:t>
            </w:r>
          </w:p>
        </w:tc>
        <w:tc>
          <w:tcPr>
            <w:tcW w:w="9456" w:type="dxa"/>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1.需支持备课服务，需支持通过云端将备课的资源同步至电子化教材对应章节目录，需支持备课资源管理。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2.需支持多种授课形式：需支持电子化教材、课件、电子白板多种授课形式，满足教学新授课、复习课的多样化需求；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3.需支持同步训练任务答题功能。系统根据课程学习进度，需提供紧扣教材内容的听说训练、随堂巩固以及作文拓展三种类型训练；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4.需支持综合测试任务答题功能。针对学生国家通用语言文字学习和中华民族共同体意识学习，需支持单元测试、普通话测试和素养关考试功能；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5.需支持通过单元测试定期检验学生阶段性提升成果，了解学生知识点掌握情况；需支持班级套卷下发-作答，实现客观题自主评测，主观题教师通过APP手动批改；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6.需支持模拟普通话考试流程，通过模拟测试结果，帮助教师针对性教学；</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4"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教师智能终端套装（教师智能终端）</w:t>
            </w:r>
          </w:p>
        </w:tc>
        <w:tc>
          <w:tcPr>
            <w:tcW w:w="94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1、CPU：四核心CPU，主频≥1.6 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2、运行内存≥3GB；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3、存储容量≥32GB，支持Micro SD（TF）卡扩展，最小支持32GB；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4、屏幕尺寸≥10英寸，屏幕分辨率≥1920*1200；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5、操作系统：Android 8．0及以上；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6、摄像头：双摄像头，前置≥200万，后置≥500万；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7、网络支持：支持WiFi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功能支持：Bluetooth 4．0及以上；电池容量≥4000mAh锂聚合物电池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9、标配皮套与手写笔。</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6"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学生终端套装（听说读写学习软件）</w:t>
            </w:r>
          </w:p>
        </w:tc>
        <w:tc>
          <w:tcPr>
            <w:tcW w:w="9456" w:type="dxa"/>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1.需支持同步训练任务答题功能。根据课程学习进度，随堂需支持听说训练、随堂巩固以及作文拓展训练；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2.需支持综合测试任务答题功能。针对学生国家通用语言文字学习和中华民族共同体意识学习，需支持进行单元测试、普通话测试和素养关考试功能；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3.需支持基于1-3年级同步教材的课程同步游戏，需支持通过连线、选择、拖拽等游戏互动方式进行游戏化学习；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4.需支持基于同步教材的配音秀活动，需支持通过视频学习、视频配音、配音评测等功能，需支持语言的自主学习。</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4"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学生终端套装（学生智能终端）</w:t>
            </w:r>
          </w:p>
        </w:tc>
        <w:tc>
          <w:tcPr>
            <w:tcW w:w="94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1、CPU：四核处理器，主频 ≥1.6 GHz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2、存储： 运行内存≥3G RAM；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3、机身内存（ROM）：≥32G ROM；支持扩展存储卡microSD，支持存储卡容量：≥ 64GB；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4、屏幕尺寸：≥ 9.6英寸；分辨率： ≥1280×800 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5、操作系统：Android 7.0 操作系统及以上；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6、摄像头：前置 200万像素，后置 500万像素；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7、网络支持：支持WiFi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8、功能支持：≥Bluetooth 4.0及以上；电池容量≥3000mAh锂聚合物电池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9、附件：标配皮套、触屏手写笔</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7"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语言测评专用耳麦</w:t>
            </w:r>
          </w:p>
        </w:tc>
        <w:tc>
          <w:tcPr>
            <w:tcW w:w="9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头戴式耳麦，小巧轻便，适合课堂教学佩戴；柔软海绵套，长时间佩戴不闷热，不疲劳；与教学平板电脑适配的接口，即插即用；单指向性麦克风，提升录音质量；麦克风频响：300Hz -8kHz；直径：25mm以上高保真单元；阻抗：32Ω；频响：20Hz - 20kHz；功率：10mW以上。</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移动充电车</w:t>
            </w:r>
          </w:p>
        </w:tc>
        <w:tc>
          <w:tcPr>
            <w:tcW w:w="945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1、需支持≥60台移动终端同时充电；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2、材质：需采用钢板材质，全封闭，安全防盗；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3、安全要求：电源开关需设有高压强电保护、漏电保护、过载保护；智能温控散热排风；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4、需具有超静音减震万向轮及刹车轮，方便柜体移动。</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耳麦柜</w:t>
            </w:r>
          </w:p>
        </w:tc>
        <w:tc>
          <w:tcPr>
            <w:tcW w:w="945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1、需最大支持60台以上移动终端同时存放；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2、材质要求：需采用钢板材质，全封闭，安全防盗。</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6"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笔记本电脑</w:t>
            </w:r>
          </w:p>
        </w:tc>
        <w:tc>
          <w:tcPr>
            <w:tcW w:w="945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国产大陆自主品牌，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处理器：CPU ≥八核，主频≥3.6GHz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内存：8GB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硬盘：512GB SSD/32G Optane傲腾/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显卡：AMD Radeon 630  2G独显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显示器：15.6" FHD IPS LED背光屏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其他要求：配蓝牙/摄像头/背光键盘/45Wh锂聚合物3芯电池/Win10 home，数字小键盘</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136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合计（4间）：</w:t>
            </w:r>
          </w:p>
        </w:tc>
      </w:tr>
    </w:tbl>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8" w:name="_Toc4008"/>
      <w:bookmarkStart w:id="49" w:name="_Toc7651"/>
    </w:p>
    <w:p>
      <w:pPr>
        <w:pStyle w:val="3"/>
        <w:jc w:val="center"/>
        <w:rPr>
          <w:rFonts w:cs="仿宋" w:asciiTheme="majorEastAsia" w:hAnsiTheme="majorEastAsia" w:eastAsiaTheme="majorEastAsia"/>
          <w:b w:val="0"/>
          <w:color w:val="000000" w:themeColor="text1"/>
          <w:sz w:val="36"/>
          <w:szCs w:val="36"/>
        </w:rPr>
      </w:pPr>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7"/>
      <w:bookmarkEnd w:id="48"/>
      <w:bookmarkEnd w:id="49"/>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50" w:name="_Toc21985"/>
      <w:r>
        <w:rPr>
          <w:rFonts w:hint="eastAsia" w:cs="仿宋" w:asciiTheme="majorEastAsia" w:hAnsiTheme="majorEastAsia" w:eastAsiaTheme="majorEastAsia"/>
          <w:b/>
          <w:bCs/>
          <w:color w:val="000000" w:themeColor="text1"/>
          <w:spacing w:val="2"/>
          <w:sz w:val="44"/>
          <w:szCs w:val="44"/>
        </w:rPr>
        <w:t>投标文件</w:t>
      </w:r>
      <w:bookmarkEnd w:id="50"/>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1" w:name="_Toc30099"/>
      <w:r>
        <w:rPr>
          <w:rFonts w:hint="eastAsia" w:cs="仿宋" w:asciiTheme="majorEastAsia" w:hAnsiTheme="majorEastAsia" w:eastAsiaTheme="majorEastAsia"/>
          <w:color w:val="000000" w:themeColor="text1"/>
          <w:sz w:val="30"/>
          <w:szCs w:val="30"/>
        </w:rPr>
        <w:t>项目编号：</w:t>
      </w:r>
      <w:bookmarkEnd w:id="51"/>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2"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2"/>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3" w:name="_Toc15971"/>
      <w:r>
        <w:rPr>
          <w:rFonts w:hint="eastAsia" w:asciiTheme="majorEastAsia" w:hAnsiTheme="majorEastAsia" w:eastAsiaTheme="majorEastAsia"/>
          <w:b/>
          <w:bCs/>
          <w:color w:val="000000" w:themeColor="text1"/>
          <w:sz w:val="36"/>
          <w:szCs w:val="36"/>
        </w:rPr>
        <w:t>五、投标报价单</w:t>
      </w:r>
      <w:bookmarkEnd w:id="53"/>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9"/>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9"/>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4" w:name="_Toc30280"/>
      <w:r>
        <w:rPr>
          <w:rFonts w:hint="eastAsia" w:asciiTheme="majorEastAsia" w:hAnsiTheme="majorEastAsia" w:eastAsiaTheme="majorEastAsia"/>
          <w:b/>
          <w:bCs/>
          <w:color w:val="000000" w:themeColor="text1"/>
          <w:sz w:val="36"/>
          <w:szCs w:val="36"/>
        </w:rPr>
        <w:t>六、投标报价汇总表</w:t>
      </w:r>
      <w:bookmarkEnd w:id="54"/>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5" w:name="_Toc4431"/>
      <w:r>
        <w:rPr>
          <w:rFonts w:hint="eastAsia" w:asciiTheme="majorEastAsia" w:hAnsiTheme="majorEastAsia" w:eastAsiaTheme="majorEastAsia"/>
          <w:b/>
          <w:bCs/>
          <w:color w:val="000000" w:themeColor="text1"/>
          <w:sz w:val="36"/>
          <w:szCs w:val="36"/>
        </w:rPr>
        <w:t>七、供应商基本情况</w:t>
      </w:r>
      <w:bookmarkEnd w:id="55"/>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6" w:name="_Toc31879"/>
      <w:r>
        <w:rPr>
          <w:rFonts w:hint="eastAsia" w:asciiTheme="majorEastAsia" w:hAnsiTheme="majorEastAsia" w:eastAsiaTheme="majorEastAsia"/>
          <w:b/>
          <w:bCs/>
          <w:color w:val="000000" w:themeColor="text1"/>
          <w:sz w:val="36"/>
          <w:szCs w:val="36"/>
        </w:rPr>
        <w:t>八、一般商务条款偏离表</w:t>
      </w:r>
      <w:bookmarkEnd w:id="56"/>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7" w:name="_Toc14504"/>
      <w:r>
        <w:rPr>
          <w:rFonts w:hint="eastAsia" w:asciiTheme="majorEastAsia" w:hAnsiTheme="majorEastAsia" w:eastAsiaTheme="majorEastAsia"/>
          <w:b/>
          <w:bCs/>
          <w:color w:val="000000" w:themeColor="text1"/>
          <w:sz w:val="36"/>
          <w:szCs w:val="36"/>
        </w:rPr>
        <w:t>九、同类项目业绩介绍</w:t>
      </w:r>
      <w:bookmarkEnd w:id="57"/>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8" w:name="_Toc13017"/>
      <w:r>
        <w:rPr>
          <w:rFonts w:hint="eastAsia" w:asciiTheme="majorEastAsia" w:hAnsiTheme="majorEastAsia" w:eastAsiaTheme="majorEastAsia"/>
          <w:b/>
          <w:bCs/>
          <w:color w:val="000000" w:themeColor="text1"/>
          <w:sz w:val="36"/>
          <w:szCs w:val="36"/>
        </w:rPr>
        <w:t>十、</w:t>
      </w:r>
      <w:bookmarkEnd w:id="58"/>
      <w:bookmarkStart w:id="59" w:name="_Toc25402"/>
      <w:r>
        <w:rPr>
          <w:rFonts w:hint="eastAsia" w:asciiTheme="majorEastAsia" w:hAnsiTheme="majorEastAsia" w:eastAsiaTheme="majorEastAsia"/>
          <w:b/>
          <w:bCs/>
          <w:color w:val="000000" w:themeColor="text1"/>
          <w:sz w:val="36"/>
          <w:szCs w:val="36"/>
        </w:rPr>
        <w:t>其他商务资格证明资料</w:t>
      </w:r>
      <w:bookmarkEnd w:id="59"/>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60" w:name="_Toc24004"/>
      <w:r>
        <w:rPr>
          <w:rFonts w:hint="eastAsia" w:asciiTheme="majorEastAsia" w:hAnsiTheme="majorEastAsia" w:eastAsiaTheme="majorEastAsia"/>
          <w:b/>
          <w:bCs/>
          <w:color w:val="000000" w:themeColor="text1"/>
          <w:sz w:val="36"/>
          <w:szCs w:val="36"/>
        </w:rPr>
        <w:t>十一、项目实施方案</w:t>
      </w:r>
      <w:bookmarkEnd w:id="60"/>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1"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1"/>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2"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2"/>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10"/>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r>
      <w:rPr>
        <w:rFonts w:hint="eastAsia" w:ascii="仿宋" w:hAnsi="仿宋" w:eastAsia="仿宋" w:cs="仿宋"/>
        <w:sz w:val="21"/>
        <w:szCs w:val="21"/>
      </w:rPr>
      <w:t>法正项目管理集团有限公司</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112024DF"/>
    <w:multiLevelType w:val="multilevel"/>
    <w:tmpl w:val="112024DF"/>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5AD722D"/>
    <w:multiLevelType w:val="multilevel"/>
    <w:tmpl w:val="35AD722D"/>
    <w:lvl w:ilvl="0" w:tentative="0">
      <w:start w:val="1"/>
      <w:numFmt w:val="decimal"/>
      <w:lvlText w:val="%1."/>
      <w:lvlJc w:val="left"/>
      <w:pPr>
        <w:ind w:left="420" w:hanging="420"/>
      </w:pPr>
      <w:rPr>
        <w:rFonts w:cs="Times New Roman"/>
        <w:color w:val="auto"/>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A3CD190"/>
    <w:multiLevelType w:val="singleLevel"/>
    <w:tmpl w:val="5A3CD190"/>
    <w:lvl w:ilvl="0" w:tentative="0">
      <w:start w:val="1"/>
      <w:numFmt w:val="decimal"/>
      <w:suff w:val="nothing"/>
      <w:lvlText w:val="（%1）"/>
      <w:lvlJc w:val="left"/>
      <w:rPr>
        <w:rFonts w:cs="Times New Roman"/>
      </w:rPr>
    </w:lvl>
  </w:abstractNum>
  <w:abstractNum w:abstractNumId="6">
    <w:nsid w:val="5A460490"/>
    <w:multiLevelType w:val="singleLevel"/>
    <w:tmpl w:val="5A460490"/>
    <w:lvl w:ilvl="0" w:tentative="0">
      <w:start w:val="1"/>
      <w:numFmt w:val="decimal"/>
      <w:suff w:val="nothing"/>
      <w:lvlText w:val="（%1）"/>
      <w:lvlJc w:val="left"/>
      <w:rPr>
        <w:rFonts w:cs="Times New Roman"/>
      </w:rPr>
    </w:lvl>
  </w:abstractNum>
  <w:abstractNum w:abstractNumId="7">
    <w:nsid w:val="5A4604BA"/>
    <w:multiLevelType w:val="singleLevel"/>
    <w:tmpl w:val="5A4604BA"/>
    <w:lvl w:ilvl="0" w:tentative="0">
      <w:start w:val="1"/>
      <w:numFmt w:val="decimal"/>
      <w:suff w:val="nothing"/>
      <w:lvlText w:val="（%1）"/>
      <w:lvlJc w:val="left"/>
      <w:rPr>
        <w:rFonts w:cs="Times New Roman"/>
      </w:rPr>
    </w:lvl>
  </w:abstractNum>
  <w:abstractNum w:abstractNumId="8">
    <w:nsid w:val="6496F1CA"/>
    <w:multiLevelType w:val="singleLevel"/>
    <w:tmpl w:val="6496F1CA"/>
    <w:lvl w:ilvl="0" w:tentative="0">
      <w:start w:val="1"/>
      <w:numFmt w:val="decimal"/>
      <w:suff w:val="nothing"/>
      <w:lvlText w:val="%1、"/>
      <w:lvlJc w:val="left"/>
    </w:lvl>
  </w:abstractNum>
  <w:abstractNum w:abstractNumId="9">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8"/>
  </w:num>
  <w:num w:numId="3">
    <w:abstractNumId w:val="3"/>
  </w:num>
  <w:num w:numId="4">
    <w:abstractNumId w:val="4"/>
  </w:num>
  <w:num w:numId="5">
    <w:abstractNumId w:val="6"/>
  </w:num>
  <w:num w:numId="6">
    <w:abstractNumId w:val="7"/>
  </w:num>
  <w:num w:numId="7">
    <w:abstractNumId w:val="5"/>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3D314D"/>
    <w:rsid w:val="028932E6"/>
    <w:rsid w:val="029562D6"/>
    <w:rsid w:val="02F12424"/>
    <w:rsid w:val="03757B28"/>
    <w:rsid w:val="0492678A"/>
    <w:rsid w:val="04C00E57"/>
    <w:rsid w:val="053F115C"/>
    <w:rsid w:val="058B7FC0"/>
    <w:rsid w:val="05DF2704"/>
    <w:rsid w:val="061612F9"/>
    <w:rsid w:val="066A31AA"/>
    <w:rsid w:val="066E7569"/>
    <w:rsid w:val="069359C9"/>
    <w:rsid w:val="06CF792D"/>
    <w:rsid w:val="06DA69AD"/>
    <w:rsid w:val="07081279"/>
    <w:rsid w:val="070C2321"/>
    <w:rsid w:val="07302A71"/>
    <w:rsid w:val="07B45450"/>
    <w:rsid w:val="07E61E68"/>
    <w:rsid w:val="07F52DCB"/>
    <w:rsid w:val="08034C92"/>
    <w:rsid w:val="08766BA9"/>
    <w:rsid w:val="087B5F6E"/>
    <w:rsid w:val="088F48F8"/>
    <w:rsid w:val="08F442E1"/>
    <w:rsid w:val="0A263E36"/>
    <w:rsid w:val="0A683E22"/>
    <w:rsid w:val="0A904119"/>
    <w:rsid w:val="0AD14CDF"/>
    <w:rsid w:val="0B1E2CF3"/>
    <w:rsid w:val="0B786794"/>
    <w:rsid w:val="0BE97EFE"/>
    <w:rsid w:val="0BFD77A1"/>
    <w:rsid w:val="0C3044C8"/>
    <w:rsid w:val="0C38346D"/>
    <w:rsid w:val="0C7E1DDA"/>
    <w:rsid w:val="0C8F33B1"/>
    <w:rsid w:val="0C91130F"/>
    <w:rsid w:val="0CA60EC1"/>
    <w:rsid w:val="0CEA39DE"/>
    <w:rsid w:val="0D152555"/>
    <w:rsid w:val="0D7C6A10"/>
    <w:rsid w:val="0D8B6C53"/>
    <w:rsid w:val="0DAB4740"/>
    <w:rsid w:val="0DAE227A"/>
    <w:rsid w:val="0DD84F05"/>
    <w:rsid w:val="0DE87C01"/>
    <w:rsid w:val="0E0F7AD2"/>
    <w:rsid w:val="0E7375EB"/>
    <w:rsid w:val="0E9B355D"/>
    <w:rsid w:val="0EB85EFA"/>
    <w:rsid w:val="0EEE10AD"/>
    <w:rsid w:val="0F1E1CB3"/>
    <w:rsid w:val="0F5952BC"/>
    <w:rsid w:val="0F60098A"/>
    <w:rsid w:val="0F7A6A9A"/>
    <w:rsid w:val="0FF454B9"/>
    <w:rsid w:val="10185326"/>
    <w:rsid w:val="105C48D7"/>
    <w:rsid w:val="106C0466"/>
    <w:rsid w:val="10BA6B6F"/>
    <w:rsid w:val="10FC366A"/>
    <w:rsid w:val="11896C4C"/>
    <w:rsid w:val="11CD14AD"/>
    <w:rsid w:val="12045226"/>
    <w:rsid w:val="120C530F"/>
    <w:rsid w:val="127312A0"/>
    <w:rsid w:val="129A0019"/>
    <w:rsid w:val="12FC7352"/>
    <w:rsid w:val="13434F3B"/>
    <w:rsid w:val="13613FFE"/>
    <w:rsid w:val="13937976"/>
    <w:rsid w:val="13A66595"/>
    <w:rsid w:val="14604860"/>
    <w:rsid w:val="14BD7762"/>
    <w:rsid w:val="14C57C8A"/>
    <w:rsid w:val="14E42C49"/>
    <w:rsid w:val="14FA380C"/>
    <w:rsid w:val="151E65FF"/>
    <w:rsid w:val="157E0E30"/>
    <w:rsid w:val="15D77B51"/>
    <w:rsid w:val="15E75341"/>
    <w:rsid w:val="16550C64"/>
    <w:rsid w:val="16BD7C0A"/>
    <w:rsid w:val="17557A23"/>
    <w:rsid w:val="179C5730"/>
    <w:rsid w:val="181E567F"/>
    <w:rsid w:val="18534811"/>
    <w:rsid w:val="189866C8"/>
    <w:rsid w:val="18A0301B"/>
    <w:rsid w:val="18BC6FD1"/>
    <w:rsid w:val="19010A92"/>
    <w:rsid w:val="19831126"/>
    <w:rsid w:val="199547AC"/>
    <w:rsid w:val="19F640AC"/>
    <w:rsid w:val="19FD3D59"/>
    <w:rsid w:val="1A820EFB"/>
    <w:rsid w:val="1A86062E"/>
    <w:rsid w:val="1AC74B2A"/>
    <w:rsid w:val="1AF2535D"/>
    <w:rsid w:val="1B183AE5"/>
    <w:rsid w:val="1B1D5A0F"/>
    <w:rsid w:val="1B6A434C"/>
    <w:rsid w:val="1BB36E69"/>
    <w:rsid w:val="1BBD7433"/>
    <w:rsid w:val="1BE64CD0"/>
    <w:rsid w:val="1C0F4794"/>
    <w:rsid w:val="1C3D240A"/>
    <w:rsid w:val="1C531BBE"/>
    <w:rsid w:val="1C7D4290"/>
    <w:rsid w:val="1D7C0366"/>
    <w:rsid w:val="1DAF3415"/>
    <w:rsid w:val="1DB16262"/>
    <w:rsid w:val="1DCF07B0"/>
    <w:rsid w:val="1E572BD7"/>
    <w:rsid w:val="1E794B6C"/>
    <w:rsid w:val="1F374BDB"/>
    <w:rsid w:val="1F5F1CED"/>
    <w:rsid w:val="1F676B2A"/>
    <w:rsid w:val="1F6B31DF"/>
    <w:rsid w:val="1F7F5EEC"/>
    <w:rsid w:val="1F9074D7"/>
    <w:rsid w:val="210B18C1"/>
    <w:rsid w:val="2114370F"/>
    <w:rsid w:val="21313124"/>
    <w:rsid w:val="21362D32"/>
    <w:rsid w:val="213A7228"/>
    <w:rsid w:val="217A4E7B"/>
    <w:rsid w:val="2180452F"/>
    <w:rsid w:val="218E27EC"/>
    <w:rsid w:val="223F09B3"/>
    <w:rsid w:val="22BD2FB3"/>
    <w:rsid w:val="22E633A0"/>
    <w:rsid w:val="23A90EBD"/>
    <w:rsid w:val="23B87B80"/>
    <w:rsid w:val="24C2033C"/>
    <w:rsid w:val="252C0395"/>
    <w:rsid w:val="2570196D"/>
    <w:rsid w:val="258B4B50"/>
    <w:rsid w:val="25C03D0B"/>
    <w:rsid w:val="25CF6646"/>
    <w:rsid w:val="268B15D0"/>
    <w:rsid w:val="278C389C"/>
    <w:rsid w:val="27B84691"/>
    <w:rsid w:val="27E91B4B"/>
    <w:rsid w:val="288A1B89"/>
    <w:rsid w:val="28CF5223"/>
    <w:rsid w:val="29237E32"/>
    <w:rsid w:val="2960418F"/>
    <w:rsid w:val="2A067935"/>
    <w:rsid w:val="2A1E7E5E"/>
    <w:rsid w:val="2AAD1B5F"/>
    <w:rsid w:val="2AC901ED"/>
    <w:rsid w:val="2ADE6F1A"/>
    <w:rsid w:val="2B807273"/>
    <w:rsid w:val="2BCB4A81"/>
    <w:rsid w:val="2C017A6E"/>
    <w:rsid w:val="2C066EFA"/>
    <w:rsid w:val="2C432458"/>
    <w:rsid w:val="2C675738"/>
    <w:rsid w:val="2C72343C"/>
    <w:rsid w:val="2CA41AD3"/>
    <w:rsid w:val="2CE26BE9"/>
    <w:rsid w:val="2D717B76"/>
    <w:rsid w:val="2DFC55A1"/>
    <w:rsid w:val="2E3D769E"/>
    <w:rsid w:val="2E86223B"/>
    <w:rsid w:val="2EAA2A37"/>
    <w:rsid w:val="2EAC071C"/>
    <w:rsid w:val="30043E92"/>
    <w:rsid w:val="30324C0F"/>
    <w:rsid w:val="309C411D"/>
    <w:rsid w:val="314F57A5"/>
    <w:rsid w:val="317A3F87"/>
    <w:rsid w:val="33064502"/>
    <w:rsid w:val="330D758E"/>
    <w:rsid w:val="333B73E0"/>
    <w:rsid w:val="33881640"/>
    <w:rsid w:val="33E44B64"/>
    <w:rsid w:val="340A4173"/>
    <w:rsid w:val="34160633"/>
    <w:rsid w:val="344717C2"/>
    <w:rsid w:val="346A28BB"/>
    <w:rsid w:val="357D388C"/>
    <w:rsid w:val="357E6376"/>
    <w:rsid w:val="357F059C"/>
    <w:rsid w:val="35CE71FD"/>
    <w:rsid w:val="362505B4"/>
    <w:rsid w:val="36D17804"/>
    <w:rsid w:val="37421C09"/>
    <w:rsid w:val="3821593A"/>
    <w:rsid w:val="38220352"/>
    <w:rsid w:val="388B1675"/>
    <w:rsid w:val="38F802A1"/>
    <w:rsid w:val="393B0F3D"/>
    <w:rsid w:val="397321C6"/>
    <w:rsid w:val="39764E9F"/>
    <w:rsid w:val="39DD0704"/>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2D66DC"/>
    <w:rsid w:val="3EFE00C0"/>
    <w:rsid w:val="3F820BDF"/>
    <w:rsid w:val="3FF12E03"/>
    <w:rsid w:val="3FF516F1"/>
    <w:rsid w:val="40594B80"/>
    <w:rsid w:val="40AA4AE5"/>
    <w:rsid w:val="414854D9"/>
    <w:rsid w:val="41A46E67"/>
    <w:rsid w:val="41C053DF"/>
    <w:rsid w:val="422B54E7"/>
    <w:rsid w:val="42D26954"/>
    <w:rsid w:val="42E95D61"/>
    <w:rsid w:val="43427AEA"/>
    <w:rsid w:val="43635AE7"/>
    <w:rsid w:val="439060FA"/>
    <w:rsid w:val="4398724F"/>
    <w:rsid w:val="43F959BD"/>
    <w:rsid w:val="440F51E1"/>
    <w:rsid w:val="44246A0A"/>
    <w:rsid w:val="443609BF"/>
    <w:rsid w:val="454811F9"/>
    <w:rsid w:val="455917AC"/>
    <w:rsid w:val="456C4C82"/>
    <w:rsid w:val="457830F8"/>
    <w:rsid w:val="459344EF"/>
    <w:rsid w:val="45E67D5B"/>
    <w:rsid w:val="45F8417E"/>
    <w:rsid w:val="460A2104"/>
    <w:rsid w:val="461125FB"/>
    <w:rsid w:val="47013507"/>
    <w:rsid w:val="47272960"/>
    <w:rsid w:val="47A51EEF"/>
    <w:rsid w:val="47A66A72"/>
    <w:rsid w:val="47BF537F"/>
    <w:rsid w:val="47C86417"/>
    <w:rsid w:val="48324D26"/>
    <w:rsid w:val="48C05E50"/>
    <w:rsid w:val="498E6BA8"/>
    <w:rsid w:val="499E328F"/>
    <w:rsid w:val="49C04A33"/>
    <w:rsid w:val="4AD036B3"/>
    <w:rsid w:val="4AD256CE"/>
    <w:rsid w:val="4B0215FB"/>
    <w:rsid w:val="4B6B71A0"/>
    <w:rsid w:val="4B83303B"/>
    <w:rsid w:val="4C203837"/>
    <w:rsid w:val="4CAA6B2F"/>
    <w:rsid w:val="4CDF7E46"/>
    <w:rsid w:val="4CF10148"/>
    <w:rsid w:val="4CF3569F"/>
    <w:rsid w:val="4CFF2151"/>
    <w:rsid w:val="4D3D7474"/>
    <w:rsid w:val="4D6F17F8"/>
    <w:rsid w:val="4DC23D08"/>
    <w:rsid w:val="4E0B07A7"/>
    <w:rsid w:val="4E555EE6"/>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B7F81"/>
    <w:rsid w:val="529F5982"/>
    <w:rsid w:val="52D40D60"/>
    <w:rsid w:val="52ED12D8"/>
    <w:rsid w:val="54134879"/>
    <w:rsid w:val="545E380D"/>
    <w:rsid w:val="549C03CB"/>
    <w:rsid w:val="54E34CD9"/>
    <w:rsid w:val="551758B9"/>
    <w:rsid w:val="557F62AC"/>
    <w:rsid w:val="55CC6BA1"/>
    <w:rsid w:val="56105BB5"/>
    <w:rsid w:val="56386FBA"/>
    <w:rsid w:val="565A1112"/>
    <w:rsid w:val="56B443C7"/>
    <w:rsid w:val="56F40992"/>
    <w:rsid w:val="571B6DE8"/>
    <w:rsid w:val="572528F9"/>
    <w:rsid w:val="57520916"/>
    <w:rsid w:val="590429E2"/>
    <w:rsid w:val="591B31A9"/>
    <w:rsid w:val="592A2449"/>
    <w:rsid w:val="594159E5"/>
    <w:rsid w:val="598B16E8"/>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E57428"/>
    <w:rsid w:val="5BF82EE6"/>
    <w:rsid w:val="5BF907F8"/>
    <w:rsid w:val="5C0C052C"/>
    <w:rsid w:val="5C2E7375"/>
    <w:rsid w:val="5C381321"/>
    <w:rsid w:val="5C5E5DE0"/>
    <w:rsid w:val="5C881635"/>
    <w:rsid w:val="5CA76D5C"/>
    <w:rsid w:val="5CBD35D4"/>
    <w:rsid w:val="5CF6176C"/>
    <w:rsid w:val="5D0C4001"/>
    <w:rsid w:val="5D187F14"/>
    <w:rsid w:val="5DFE20F6"/>
    <w:rsid w:val="5E744166"/>
    <w:rsid w:val="5E7B0CE3"/>
    <w:rsid w:val="5E98619E"/>
    <w:rsid w:val="5F4624A1"/>
    <w:rsid w:val="5FFA28BF"/>
    <w:rsid w:val="6000759F"/>
    <w:rsid w:val="60065292"/>
    <w:rsid w:val="601C0788"/>
    <w:rsid w:val="602476D2"/>
    <w:rsid w:val="602E272E"/>
    <w:rsid w:val="60503789"/>
    <w:rsid w:val="60D6516A"/>
    <w:rsid w:val="60E64762"/>
    <w:rsid w:val="60FA4DF7"/>
    <w:rsid w:val="60FD0443"/>
    <w:rsid w:val="611C3F8A"/>
    <w:rsid w:val="615A682D"/>
    <w:rsid w:val="61605CC6"/>
    <w:rsid w:val="61A10295"/>
    <w:rsid w:val="61E82610"/>
    <w:rsid w:val="62313A1F"/>
    <w:rsid w:val="62626B68"/>
    <w:rsid w:val="6298557B"/>
    <w:rsid w:val="62C83817"/>
    <w:rsid w:val="62DE4ACD"/>
    <w:rsid w:val="630D2BC2"/>
    <w:rsid w:val="635B1B17"/>
    <w:rsid w:val="63974B7F"/>
    <w:rsid w:val="63A474DA"/>
    <w:rsid w:val="63C97026"/>
    <w:rsid w:val="642F050F"/>
    <w:rsid w:val="64500E7E"/>
    <w:rsid w:val="64B477ED"/>
    <w:rsid w:val="654079E2"/>
    <w:rsid w:val="6556467B"/>
    <w:rsid w:val="655E2192"/>
    <w:rsid w:val="656A58D1"/>
    <w:rsid w:val="65C63494"/>
    <w:rsid w:val="65F17BF7"/>
    <w:rsid w:val="660404C6"/>
    <w:rsid w:val="6623304D"/>
    <w:rsid w:val="667874ED"/>
    <w:rsid w:val="668441ED"/>
    <w:rsid w:val="669D07DA"/>
    <w:rsid w:val="67DA3DD1"/>
    <w:rsid w:val="67EF4C2B"/>
    <w:rsid w:val="681E586F"/>
    <w:rsid w:val="68492920"/>
    <w:rsid w:val="684A7E00"/>
    <w:rsid w:val="684D34AC"/>
    <w:rsid w:val="69036414"/>
    <w:rsid w:val="6951249E"/>
    <w:rsid w:val="69926B5F"/>
    <w:rsid w:val="69952440"/>
    <w:rsid w:val="69CB5226"/>
    <w:rsid w:val="69CD7A52"/>
    <w:rsid w:val="6A064015"/>
    <w:rsid w:val="6A2D7FEB"/>
    <w:rsid w:val="6A4279C0"/>
    <w:rsid w:val="6A7D6C0C"/>
    <w:rsid w:val="6ADA3D5A"/>
    <w:rsid w:val="6AFA4AF2"/>
    <w:rsid w:val="6B7B2FD8"/>
    <w:rsid w:val="6B9916F8"/>
    <w:rsid w:val="6B9F7B64"/>
    <w:rsid w:val="6C6172CD"/>
    <w:rsid w:val="6CEE00EB"/>
    <w:rsid w:val="6D2417F1"/>
    <w:rsid w:val="6DA1021D"/>
    <w:rsid w:val="6DF2753D"/>
    <w:rsid w:val="6E533EFF"/>
    <w:rsid w:val="6E5955B2"/>
    <w:rsid w:val="6E8E090D"/>
    <w:rsid w:val="6EA14B04"/>
    <w:rsid w:val="6F0137F4"/>
    <w:rsid w:val="6F6D2C38"/>
    <w:rsid w:val="6FD42CB7"/>
    <w:rsid w:val="6FFF6D4A"/>
    <w:rsid w:val="7026388B"/>
    <w:rsid w:val="70812E3F"/>
    <w:rsid w:val="70893AA1"/>
    <w:rsid w:val="710870BC"/>
    <w:rsid w:val="71724535"/>
    <w:rsid w:val="719C5105"/>
    <w:rsid w:val="71D52C52"/>
    <w:rsid w:val="71EE2ABC"/>
    <w:rsid w:val="71F37A26"/>
    <w:rsid w:val="71FB277D"/>
    <w:rsid w:val="720D24B0"/>
    <w:rsid w:val="723B3DAE"/>
    <w:rsid w:val="726173AB"/>
    <w:rsid w:val="727A5D97"/>
    <w:rsid w:val="736F2E62"/>
    <w:rsid w:val="73E8121C"/>
    <w:rsid w:val="741A0B00"/>
    <w:rsid w:val="74F87447"/>
    <w:rsid w:val="74FE5CD5"/>
    <w:rsid w:val="750535BB"/>
    <w:rsid w:val="751B684F"/>
    <w:rsid w:val="752D219E"/>
    <w:rsid w:val="75BD2DF1"/>
    <w:rsid w:val="75CD1474"/>
    <w:rsid w:val="76AC0BD3"/>
    <w:rsid w:val="76B4174A"/>
    <w:rsid w:val="76F22DA3"/>
    <w:rsid w:val="7770353A"/>
    <w:rsid w:val="777A2396"/>
    <w:rsid w:val="778F1B31"/>
    <w:rsid w:val="77974CF6"/>
    <w:rsid w:val="789E78B0"/>
    <w:rsid w:val="78B36B05"/>
    <w:rsid w:val="790C032D"/>
    <w:rsid w:val="792F052B"/>
    <w:rsid w:val="79C66218"/>
    <w:rsid w:val="79DA6908"/>
    <w:rsid w:val="7A1A5B7A"/>
    <w:rsid w:val="7A382603"/>
    <w:rsid w:val="7A9B65C4"/>
    <w:rsid w:val="7AC62DB2"/>
    <w:rsid w:val="7AD64090"/>
    <w:rsid w:val="7AD71133"/>
    <w:rsid w:val="7AFB3EE8"/>
    <w:rsid w:val="7B4B4DB2"/>
    <w:rsid w:val="7BC84294"/>
    <w:rsid w:val="7C195116"/>
    <w:rsid w:val="7C42092C"/>
    <w:rsid w:val="7C5816EB"/>
    <w:rsid w:val="7C5A11B2"/>
    <w:rsid w:val="7C5A7B44"/>
    <w:rsid w:val="7CCF1551"/>
    <w:rsid w:val="7CDE4CF6"/>
    <w:rsid w:val="7CE107C1"/>
    <w:rsid w:val="7CE8603D"/>
    <w:rsid w:val="7D3C6D48"/>
    <w:rsid w:val="7DCA6AAE"/>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F17F6-B15B-4480-9A12-772800343D15}">
  <ds:schemaRefs/>
</ds:datastoreItem>
</file>

<file path=customXml/itemProps3.xml><?xml version="1.0" encoding="utf-8"?>
<ds:datastoreItem xmlns:ds="http://schemas.openxmlformats.org/officeDocument/2006/customXml" ds:itemID="{4DB491A7-7699-43B8-82DF-7546360513B4}">
  <ds:schemaRefs/>
</ds:datastoreItem>
</file>

<file path=customXml/itemProps4.xml><?xml version="1.0" encoding="utf-8"?>
<ds:datastoreItem xmlns:ds="http://schemas.openxmlformats.org/officeDocument/2006/customXml" ds:itemID="{DEE1A29E-5C08-472F-83EE-D61B966668B9}">
  <ds:schemaRefs/>
</ds:datastoreItem>
</file>

<file path=customXml/itemProps5.xml><?xml version="1.0" encoding="utf-8"?>
<ds:datastoreItem xmlns:ds="http://schemas.openxmlformats.org/officeDocument/2006/customXml" ds:itemID="{F6B0FB0F-16E8-44FE-A10E-1F120B106E58}">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87</Pages>
  <Words>48792</Words>
  <Characters>52116</Characters>
  <Lines>613</Lines>
  <Paragraphs>172</Paragraphs>
  <TotalTime>0</TotalTime>
  <ScaleCrop>false</ScaleCrop>
  <LinksUpToDate>false</LinksUpToDate>
  <CharactersWithSpaces>53246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2022-06-16T12:58:56Z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