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lang w:val="zh-CN"/>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48"/>
        <w:rPr>
          <w:rFonts w:asciiTheme="majorEastAsia" w:hAnsiTheme="majorEastAsia" w:eastAsiaTheme="majorEastAsia"/>
          <w:color w:val="000000" w:themeColor="text1"/>
          <w:highlight w:val="none"/>
          <w:lang w:val="zh-CN"/>
        </w:rPr>
      </w:pPr>
    </w:p>
    <w:p>
      <w:pPr>
        <w:spacing w:line="360" w:lineRule="exact"/>
        <w:rPr>
          <w:rFonts w:hint="eastAsia" w:cs="宋体" w:asciiTheme="majorEastAsia" w:hAnsiTheme="majorEastAsia" w:eastAsiaTheme="majorEastAsia"/>
          <w:bCs/>
          <w:color w:val="000000" w:themeColor="text1"/>
          <w:sz w:val="24"/>
          <w:highlight w:val="none"/>
          <w:lang w:val="zh-CN" w:eastAsia="zh-CN"/>
        </w:rPr>
      </w:pPr>
      <w:r>
        <w:rPr>
          <w:rFonts w:hint="eastAsia" w:cs="宋体" w:asciiTheme="majorEastAsia" w:hAnsiTheme="majorEastAsia" w:eastAsiaTheme="majorEastAsia"/>
          <w:bCs/>
          <w:color w:val="000000" w:themeColor="text1"/>
          <w:sz w:val="24"/>
          <w:highlight w:val="none"/>
          <w:lang w:val="zh-CN"/>
        </w:rPr>
        <w:t>项目编号：XJJJN-HTCG-2022-029/0</w:t>
      </w:r>
      <w:r>
        <w:rPr>
          <w:rFonts w:hint="eastAsia" w:cs="宋体" w:asciiTheme="majorEastAsia" w:hAnsiTheme="majorEastAsia" w:eastAsiaTheme="majorEastAsia"/>
          <w:bCs/>
          <w:color w:val="000000" w:themeColor="text1"/>
          <w:sz w:val="24"/>
          <w:highlight w:val="none"/>
          <w:lang w:val="en-US" w:eastAsia="zh-CN"/>
        </w:rPr>
        <w:t>3</w:t>
      </w:r>
    </w:p>
    <w:p>
      <w:pPr>
        <w:spacing w:line="360" w:lineRule="exact"/>
        <w:rPr>
          <w:rFonts w:cs="宋体" w:asciiTheme="majorEastAsia" w:hAnsiTheme="majorEastAsia" w:eastAsiaTheme="majorEastAsia"/>
          <w:bCs/>
          <w:color w:val="000000" w:themeColor="text1"/>
          <w:sz w:val="24"/>
          <w:highlight w:val="none"/>
          <w:lang w:val="zh-CN"/>
        </w:rPr>
      </w:pPr>
    </w:p>
    <w:p>
      <w:pPr>
        <w:spacing w:line="360" w:lineRule="exact"/>
        <w:rPr>
          <w:rFonts w:hint="eastAsia"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highlight w:val="none"/>
          <w:lang w:val="zh-CN"/>
        </w:rPr>
        <w:t>招标人（盖章）：</w:t>
      </w:r>
      <w:r>
        <w:rPr>
          <w:rFonts w:hint="eastAsia" w:cs="宋体" w:asciiTheme="majorEastAsia" w:hAnsiTheme="majorEastAsia" w:eastAsiaTheme="majorEastAsia"/>
          <w:bCs/>
          <w:color w:val="000000" w:themeColor="text1"/>
          <w:sz w:val="24"/>
          <w:highlight w:val="none"/>
        </w:rPr>
        <w:t>墨玉</w:t>
      </w:r>
      <w:r>
        <w:rPr>
          <w:rFonts w:hint="eastAsia" w:cs="宋体" w:asciiTheme="majorEastAsia" w:hAnsiTheme="majorEastAsia" w:eastAsiaTheme="majorEastAsia"/>
          <w:bCs/>
          <w:color w:val="000000" w:themeColor="text1"/>
          <w:sz w:val="24"/>
          <w:highlight w:val="none"/>
          <w:lang w:val="zh-CN"/>
        </w:rPr>
        <w:t>县教育局</w:t>
      </w:r>
    </w:p>
    <w:p>
      <w:pPr>
        <w:spacing w:line="800" w:lineRule="exact"/>
        <w:rPr>
          <w:rFonts w:hint="eastAsia"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highlight w:val="none"/>
          <w:lang w:val="zh-CN"/>
        </w:rPr>
        <w:t>联 系 人：徐杰</w:t>
      </w:r>
    </w:p>
    <w:p>
      <w:pPr>
        <w:spacing w:line="800" w:lineRule="exact"/>
        <w:rPr>
          <w:rFonts w:hint="default"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highlight w:val="none"/>
          <w:lang w:val="zh-CN"/>
        </w:rPr>
        <w:t>电    话： 0903-</w:t>
      </w:r>
      <w:r>
        <w:rPr>
          <w:rFonts w:hint="eastAsia" w:cs="宋体" w:asciiTheme="majorEastAsia" w:hAnsiTheme="majorEastAsia" w:eastAsiaTheme="majorEastAsia"/>
          <w:bCs/>
          <w:color w:val="000000" w:themeColor="text1"/>
          <w:sz w:val="24"/>
          <w:highlight w:val="none"/>
          <w:lang w:val="en-US" w:eastAsia="zh-CN"/>
        </w:rPr>
        <w:t>6514235</w:t>
      </w:r>
    </w:p>
    <w:p>
      <w:pPr>
        <w:spacing w:line="800" w:lineRule="exact"/>
        <w:rPr>
          <w:rFonts w:cs="宋体" w:asciiTheme="majorEastAsia" w:hAnsiTheme="majorEastAsia" w:eastAsiaTheme="majorEastAsia"/>
          <w:bCs/>
          <w:color w:val="000000" w:themeColor="text1"/>
          <w:sz w:val="24"/>
          <w:highlight w:val="none"/>
          <w:lang w:val="zh-CN"/>
        </w:rPr>
      </w:pPr>
      <w:r>
        <w:rPr>
          <w:rFonts w:hint="eastAsia" w:cs="宋体" w:asciiTheme="majorEastAsia" w:hAnsiTheme="majorEastAsia" w:eastAsiaTheme="majorEastAsia"/>
          <w:bCs/>
          <w:color w:val="000000" w:themeColor="text1"/>
          <w:sz w:val="24"/>
          <w:highlight w:val="none"/>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highlight w:val="none"/>
          <w:lang w:val="zh-CN"/>
        </w:rPr>
      </w:pPr>
    </w:p>
    <w:p>
      <w:pPr>
        <w:autoSpaceDE w:val="0"/>
        <w:autoSpaceDN w:val="0"/>
        <w:adjustRightInd w:val="0"/>
        <w:rPr>
          <w:rFonts w:cs="宋体" w:asciiTheme="majorEastAsia" w:hAnsiTheme="majorEastAsia" w:eastAsiaTheme="majorEastAsia"/>
          <w:bCs/>
          <w:color w:val="000000" w:themeColor="text1"/>
          <w:sz w:val="30"/>
          <w:szCs w:val="30"/>
          <w:highlight w:val="none"/>
          <w:u w:val="thick"/>
          <w:lang w:val="zh-CN"/>
        </w:rPr>
      </w:pPr>
      <w:r>
        <w:rPr>
          <w:rFonts w:hint="eastAsia" w:cs="宋体" w:asciiTheme="majorEastAsia" w:hAnsiTheme="majorEastAsia" w:eastAsiaTheme="majorEastAsia"/>
          <w:bCs/>
          <w:color w:val="000000" w:themeColor="text1"/>
          <w:sz w:val="30"/>
          <w:szCs w:val="30"/>
          <w:highlight w:val="none"/>
          <w:u w:val="thick"/>
        </w:rPr>
        <w:t>-------------------------------------------------------</w:t>
      </w:r>
    </w:p>
    <w:p>
      <w:pPr>
        <w:autoSpaceDE w:val="0"/>
        <w:autoSpaceDN w:val="0"/>
        <w:adjustRightInd w:val="0"/>
        <w:rPr>
          <w:rFonts w:cs="宋体" w:asciiTheme="majorEastAsia" w:hAnsiTheme="majorEastAsia" w:eastAsiaTheme="majorEastAsia"/>
          <w:bCs/>
          <w:color w:val="000000" w:themeColor="text1"/>
          <w:sz w:val="28"/>
          <w:szCs w:val="28"/>
          <w:highlight w:val="none"/>
        </w:rPr>
      </w:pPr>
    </w:p>
    <w:p>
      <w:pPr>
        <w:autoSpaceDE w:val="0"/>
        <w:autoSpaceDN w:val="0"/>
        <w:adjustRightInd w:val="0"/>
        <w:rPr>
          <w:rFonts w:hint="eastAsia" w:cs="宋体" w:asciiTheme="majorEastAsia" w:hAnsiTheme="majorEastAsia" w:eastAsiaTheme="majorEastAsia"/>
          <w:bCs/>
          <w:color w:val="000000" w:themeColor="text1"/>
          <w:sz w:val="24"/>
          <w:highlight w:val="none"/>
          <w:lang w:val="zh-CN"/>
        </w:rPr>
      </w:pPr>
      <w:r>
        <w:rPr>
          <w:rFonts w:hint="eastAsia" w:cs="宋体" w:asciiTheme="majorEastAsia" w:hAnsiTheme="majorEastAsia" w:eastAsiaTheme="majorEastAsia"/>
          <w:bCs/>
          <w:color w:val="000000" w:themeColor="text1"/>
          <w:sz w:val="24"/>
          <w:highlight w:val="none"/>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highlight w:val="none"/>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highlight w:val="none"/>
        </w:rPr>
      </w:pPr>
      <w:r>
        <w:rPr>
          <w:rFonts w:hint="eastAsia" w:cs="宋体" w:asciiTheme="majorEastAsia" w:hAnsiTheme="majorEastAsia" w:eastAsiaTheme="majorEastAsia"/>
          <w:bCs/>
          <w:color w:val="000000" w:themeColor="text1"/>
          <w:sz w:val="24"/>
          <w:highlight w:val="none"/>
          <w:lang w:val="zh-CN"/>
        </w:rPr>
        <w:t>联 系 人：彭云雷</w:t>
      </w:r>
      <w:r>
        <w:rPr>
          <w:rFonts w:hint="eastAsia" w:cs="宋体" w:asciiTheme="majorEastAsia" w:hAnsiTheme="majorEastAsia" w:eastAsiaTheme="majorEastAsia"/>
          <w:bCs/>
          <w:color w:val="000000" w:themeColor="text1"/>
          <w:sz w:val="24"/>
          <w:highlight w:val="none"/>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highlight w:val="none"/>
          <w:lang w:val="zh-CN"/>
        </w:rPr>
        <w:t>电    话：</w:t>
      </w:r>
      <w:r>
        <w:rPr>
          <w:rFonts w:hint="eastAsia" w:cs="宋体" w:asciiTheme="majorEastAsia" w:hAnsiTheme="majorEastAsia" w:eastAsiaTheme="majorEastAsia"/>
          <w:bCs/>
          <w:color w:val="000000" w:themeColor="text1"/>
          <w:sz w:val="24"/>
          <w:highlight w:val="none"/>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highlight w:val="none"/>
        </w:rPr>
      </w:pPr>
      <w:r>
        <w:rPr>
          <w:rFonts w:hint="eastAsia" w:cs="宋体" w:asciiTheme="majorEastAsia" w:hAnsiTheme="majorEastAsia" w:eastAsiaTheme="majorEastAsia"/>
          <w:bCs/>
          <w:color w:val="000000" w:themeColor="text1"/>
          <w:sz w:val="24"/>
          <w:highlight w:val="none"/>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highlight w:val="none"/>
        </w:rPr>
      </w:pPr>
    </w:p>
    <w:p>
      <w:pPr>
        <w:pStyle w:val="48"/>
        <w:rPr>
          <w:highlight w:val="none"/>
        </w:rPr>
      </w:pPr>
    </w:p>
    <w:p>
      <w:pPr>
        <w:spacing w:line="360" w:lineRule="auto"/>
        <w:ind w:firstLine="551" w:firstLineChars="196"/>
        <w:rPr>
          <w:rFonts w:hint="eastAsia" w:cs="宋体" w:asciiTheme="majorEastAsia" w:hAnsiTheme="majorEastAsia" w:eastAsiaTheme="majorEastAsia"/>
          <w:b/>
          <w:color w:val="000000" w:themeColor="text1"/>
          <w:sz w:val="28"/>
          <w:szCs w:val="28"/>
          <w:highlight w:val="none"/>
        </w:rPr>
      </w:pPr>
    </w:p>
    <w:p>
      <w:pPr>
        <w:spacing w:line="360" w:lineRule="auto"/>
        <w:ind w:firstLine="551" w:firstLineChars="196"/>
        <w:rPr>
          <w:rFonts w:cs="宋体" w:asciiTheme="majorEastAsia" w:hAnsiTheme="majorEastAsia" w:eastAsiaTheme="majorEastAsia"/>
          <w:b/>
          <w:color w:val="000000" w:themeColor="text1"/>
          <w:sz w:val="28"/>
          <w:szCs w:val="28"/>
          <w:highlight w:val="none"/>
        </w:rPr>
      </w:pPr>
      <w:r>
        <w:rPr>
          <w:rFonts w:hint="eastAsia" w:cs="宋体" w:asciiTheme="majorEastAsia" w:hAnsiTheme="majorEastAsia" w:eastAsiaTheme="majorEastAsia"/>
          <w:b/>
          <w:color w:val="000000" w:themeColor="text1"/>
          <w:sz w:val="28"/>
          <w:szCs w:val="28"/>
          <w:highlight w:val="none"/>
        </w:rPr>
        <w:t>政府采购管理机构备案登记栏：</w:t>
      </w:r>
    </w:p>
    <w:p>
      <w:pPr>
        <w:spacing w:line="360" w:lineRule="auto"/>
        <w:rPr>
          <w:rFonts w:cs="宋体" w:asciiTheme="majorEastAsia" w:hAnsiTheme="majorEastAsia" w:eastAsiaTheme="majorEastAsia"/>
          <w:b/>
          <w:color w:val="000000" w:themeColor="text1"/>
          <w:sz w:val="28"/>
          <w:szCs w:val="28"/>
          <w:highlight w:val="none"/>
        </w:rPr>
      </w:pPr>
    </w:p>
    <w:tbl>
      <w:tblPr>
        <w:tblStyle w:val="39"/>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本文件已报备</w:t>
            </w: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rPr>
                <w:rFonts w:cs="宋体" w:asciiTheme="majorEastAsia" w:hAnsiTheme="majorEastAsia" w:eastAsiaTheme="majorEastAsia"/>
                <w:bCs/>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48"/>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一、项目基本情况</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5"/>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5"/>
        <w:spacing w:beforeAutospacing="0" w:afterAutospacing="0" w:line="380" w:lineRule="exact"/>
        <w:ind w:firstLine="420"/>
        <w:rPr>
          <w:rFonts w:hint="eastAsia" w:asciiTheme="majorEastAsia" w:hAnsiTheme="majorEastAsia" w:eastAsiaTheme="majorEastAsia"/>
          <w:color w:val="000000" w:themeColor="text1"/>
        </w:rPr>
      </w:pPr>
    </w:p>
    <w:p>
      <w:pPr>
        <w:pStyle w:val="35"/>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5"/>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5"/>
        <w:spacing w:beforeAutospacing="0" w:afterAutospacing="0" w:line="380" w:lineRule="exact"/>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2" w:name="_GoBack"/>
      <w:bookmarkEnd w:id="62"/>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2"/>
          <w:rFonts w:cs="宋体" w:asciiTheme="majorEastAsia" w:hAnsiTheme="majorEastAsia" w:eastAsiaTheme="majorEastAsia"/>
          <w:color w:val="000000" w:themeColor="text1"/>
          <w:kern w:val="0"/>
          <w:sz w:val="24"/>
        </w:rPr>
      </w:pPr>
      <w:r>
        <w:rPr>
          <w:rStyle w:val="42"/>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48"/>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5"/>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5"/>
        <w:spacing w:beforeAutospacing="0" w:afterAutospacing="0" w:line="380" w:lineRule="exact"/>
        <w:jc w:val="both"/>
        <w:rPr>
          <w:rFonts w:asciiTheme="majorEastAsia" w:hAnsiTheme="majorEastAsia" w:eastAsiaTheme="majorEastAsia"/>
          <w:color w:val="000000" w:themeColor="text1"/>
          <w:highlight w:val="none"/>
        </w:rPr>
      </w:pPr>
      <w:r>
        <w:rPr>
          <w:rStyle w:val="42"/>
          <w:rFonts w:hint="eastAsia" w:asciiTheme="majorEastAsia" w:hAnsiTheme="majorEastAsia" w:eastAsiaTheme="majorEastAsia"/>
          <w:color w:val="000000" w:themeColor="text1"/>
          <w:highlight w:val="none"/>
        </w:rPr>
        <w:t>五、公告期限</w:t>
      </w:r>
    </w:p>
    <w:p>
      <w:pPr>
        <w:pStyle w:val="35"/>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六、其他补充事宜</w:t>
      </w:r>
    </w:p>
    <w:p>
      <w:pPr>
        <w:pStyle w:val="35"/>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5"/>
        <w:spacing w:beforeAutospacing="0" w:afterAutospacing="0" w:line="380" w:lineRule="exact"/>
        <w:jc w:val="both"/>
        <w:rPr>
          <w:rFonts w:asciiTheme="majorEastAsia" w:hAnsiTheme="majorEastAsia" w:eastAsiaTheme="majorEastAsia"/>
          <w:color w:val="000000" w:themeColor="text1"/>
        </w:rPr>
      </w:pPr>
      <w:r>
        <w:rPr>
          <w:rStyle w:val="42"/>
          <w:rFonts w:hint="eastAsia" w:asciiTheme="majorEastAsia" w:hAnsiTheme="majorEastAsia" w:eastAsiaTheme="majorEastAsia"/>
          <w:color w:val="000000" w:themeColor="text1"/>
        </w:rPr>
        <w:t>七、对本次采购提出询问，请按以下方式联系</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5"/>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5"/>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5"/>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5"/>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5"/>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hint="eastAsia"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p>
    <w:p>
      <w:pPr>
        <w:pStyle w:val="35"/>
        <w:spacing w:before="0" w:beforeAutospacing="0" w:after="0" w:afterAutospacing="0" w:line="420" w:lineRule="exact"/>
        <w:jc w:val="right"/>
        <w:rPr>
          <w:rFonts w:hint="eastAsia"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right"/>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5"/>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25203"/>
      <w:bookmarkStart w:id="2" w:name="_Toc30006"/>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highlight w:val="none"/>
        </w:rPr>
      </w:pPr>
      <w:r>
        <w:rPr>
          <w:rFonts w:hint="eastAsia" w:cs="仿宋" w:asciiTheme="majorEastAsia" w:hAnsiTheme="majorEastAsia" w:eastAsiaTheme="majorEastAsia"/>
          <w:b w:val="0"/>
          <w:color w:val="000000" w:themeColor="text1"/>
          <w:sz w:val="28"/>
          <w:szCs w:val="28"/>
        </w:rPr>
        <w:t>投标人须</w:t>
      </w:r>
      <w:r>
        <w:rPr>
          <w:rFonts w:hint="eastAsia" w:cs="仿宋" w:asciiTheme="majorEastAsia" w:hAnsiTheme="majorEastAsia" w:eastAsiaTheme="majorEastAsia"/>
          <w:b w:val="0"/>
          <w:color w:val="000000" w:themeColor="text1"/>
          <w:sz w:val="28"/>
          <w:szCs w:val="28"/>
          <w:highlight w:val="none"/>
        </w:rPr>
        <w:t>知前附表</w:t>
      </w:r>
    </w:p>
    <w:tbl>
      <w:tblPr>
        <w:tblStyle w:val="39"/>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highlight w:val="none"/>
              </w:rPr>
            </w:pPr>
            <w:bookmarkStart w:id="3" w:name="_Toc440183407"/>
            <w:bookmarkStart w:id="4" w:name="_Toc15098"/>
            <w:bookmarkStart w:id="5" w:name="_Toc18884"/>
            <w:r>
              <w:rPr>
                <w:rFonts w:hint="eastAsia" w:cs="仿宋" w:asciiTheme="majorEastAsia" w:hAnsiTheme="majorEastAsia" w:eastAsiaTheme="majorEastAsia"/>
                <w:color w:val="000000" w:themeColor="text1"/>
                <w:szCs w:val="21"/>
                <w:highlight w:val="none"/>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lang w:eastAsia="zh-CN"/>
              </w:rPr>
              <w:t>墨玉县城乡村学校教育教学能力提升项目（包三：数字化语音教室）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w:t>
            </w:r>
            <w:r>
              <w:rPr>
                <w:rFonts w:hint="eastAsia" w:cs="仿宋" w:asciiTheme="majorEastAsia" w:hAnsiTheme="majorEastAsia" w:eastAsiaTheme="majorEastAsia"/>
                <w:color w:val="000000" w:themeColor="text1"/>
                <w:szCs w:val="21"/>
                <w:highlight w:val="none"/>
                <w:lang w:val="en-US" w:eastAsia="zh-CN"/>
              </w:rPr>
              <w:t>120.00</w:t>
            </w:r>
            <w:r>
              <w:rPr>
                <w:rFonts w:hint="eastAsia" w:cs="仿宋" w:asciiTheme="majorEastAsia" w:hAnsiTheme="majorEastAsia" w:eastAsiaTheme="majorEastAsia"/>
                <w:color w:val="000000" w:themeColor="text1"/>
                <w:szCs w:val="21"/>
                <w:highlight w:val="none"/>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highlight w:val="none"/>
              </w:rPr>
            </w:pPr>
            <w:r>
              <w:rPr>
                <w:rFonts w:hint="eastAsia" w:cs="仿宋" w:asciiTheme="majorEastAsia" w:hAnsiTheme="majorEastAsia" w:eastAsiaTheme="majorEastAsia"/>
                <w:bCs/>
                <w:color w:val="000000" w:themeColor="text1"/>
                <w:kern w:val="0"/>
                <w:szCs w:val="21"/>
                <w:highlight w:val="none"/>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highlight w:val="none"/>
              </w:rPr>
            </w:pPr>
            <w:r>
              <w:rPr>
                <w:rFonts w:hint="eastAsia" w:cs="仿宋" w:asciiTheme="majorEastAsia" w:hAnsiTheme="majorEastAsia" w:eastAsiaTheme="majorEastAsia"/>
                <w:color w:val="000000" w:themeColor="text1"/>
                <w:szCs w:val="21"/>
                <w:highlight w:val="none"/>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highlight w:val="none"/>
              </w:rPr>
            </w:pPr>
            <w:r>
              <w:rPr>
                <w:rFonts w:hint="eastAsia" w:cs="仿宋" w:asciiTheme="majorEastAsia" w:hAnsiTheme="majorEastAsia" w:eastAsiaTheme="majorEastAsia"/>
                <w:color w:val="000000" w:themeColor="text1"/>
                <w:szCs w:val="21"/>
                <w:highlight w:val="none"/>
                <w:lang w:eastAsia="zh-CN"/>
              </w:rPr>
              <w:t>墨玉县城乡村学校教育教学能力提升项目（包三：数字化语音教室）</w:t>
            </w:r>
            <w:r>
              <w:rPr>
                <w:rFonts w:hint="eastAsia" w:asciiTheme="majorEastAsia" w:hAnsiTheme="majorEastAsia" w:eastAsiaTheme="majorEastAsia"/>
                <w:bCs/>
                <w:color w:val="000000" w:themeColor="text1"/>
                <w:szCs w:val="21"/>
                <w:highlight w:val="none"/>
              </w:rPr>
              <w:t>所需设备</w:t>
            </w:r>
            <w:r>
              <w:rPr>
                <w:rFonts w:hint="eastAsia" w:asciiTheme="majorEastAsia" w:hAnsiTheme="majorEastAsia" w:eastAsiaTheme="majorEastAsia"/>
                <w:bCs/>
                <w:color w:val="000000" w:themeColor="text1"/>
                <w:szCs w:val="21"/>
                <w:highlight w:val="none"/>
                <w:lang w:eastAsia="zh-CN"/>
              </w:rPr>
              <w:t>的</w:t>
            </w:r>
            <w:r>
              <w:rPr>
                <w:rFonts w:hint="eastAsia" w:asciiTheme="majorEastAsia" w:hAnsiTheme="majorEastAsia" w:eastAsiaTheme="majorEastAsia"/>
                <w:bCs/>
                <w:color w:val="000000" w:themeColor="text1"/>
                <w:szCs w:val="21"/>
                <w:highlight w:val="none"/>
              </w:rPr>
              <w:t>采购或</w:t>
            </w:r>
            <w:r>
              <w:rPr>
                <w:rFonts w:asciiTheme="majorEastAsia" w:hAnsiTheme="majorEastAsia" w:eastAsiaTheme="majorEastAsia"/>
                <w:bCs/>
                <w:color w:val="000000" w:themeColor="text1"/>
                <w:szCs w:val="21"/>
                <w:highlight w:val="none"/>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highlight w:val="none"/>
              </w:rPr>
              <w:t>（具体参数详见本招标文件第</w:t>
            </w:r>
            <w:r>
              <w:rPr>
                <w:rFonts w:hint="eastAsia" w:asciiTheme="majorEastAsia" w:hAnsiTheme="majorEastAsia" w:eastAsiaTheme="majorEastAsia"/>
                <w:bCs/>
                <w:color w:val="000000" w:themeColor="text1"/>
                <w:szCs w:val="21"/>
                <w:highlight w:val="none"/>
                <w:lang w:eastAsia="zh-CN"/>
              </w:rPr>
              <w:t>五</w:t>
            </w:r>
            <w:r>
              <w:rPr>
                <w:rFonts w:hint="eastAsia" w:asciiTheme="majorEastAsia" w:hAnsiTheme="majorEastAsia" w:eastAsiaTheme="majorEastAsia"/>
                <w:bCs/>
                <w:color w:val="000000" w:themeColor="text1"/>
                <w:szCs w:val="21"/>
                <w:highlight w:val="none"/>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highlight w:val="none"/>
              </w:rPr>
            </w:pPr>
            <w:r>
              <w:rPr>
                <w:rFonts w:hint="eastAsia"/>
                <w:highlight w:val="none"/>
              </w:rPr>
              <w:t>交货时间：合同签订后</w:t>
            </w:r>
            <w:r>
              <w:rPr>
                <w:rFonts w:hint="eastAsia"/>
                <w:highlight w:val="none"/>
                <w:lang w:val="en-US" w:eastAsia="zh-CN"/>
              </w:rPr>
              <w:t>30</w:t>
            </w:r>
            <w:r>
              <w:rPr>
                <w:rFonts w:hint="eastAsia"/>
                <w:highlight w:val="none"/>
              </w:rPr>
              <w:t>天内完成，其余事项以合同约定为准。</w:t>
            </w:r>
          </w:p>
          <w:p>
            <w:pPr>
              <w:jc w:val="left"/>
              <w:rPr>
                <w:highlight w:val="none"/>
              </w:rPr>
            </w:pPr>
            <w:r>
              <w:rPr>
                <w:rFonts w:hint="eastAsia"/>
                <w:highlight w:val="none"/>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48"/>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48"/>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highlight w:val="none"/>
                <w:lang w:val="zh-CN"/>
              </w:rPr>
            </w:pPr>
            <w:r>
              <w:rPr>
                <w:rFonts w:hint="eastAsia" w:cs="仿宋" w:asciiTheme="majorEastAsia" w:hAnsiTheme="majorEastAsia" w:eastAsiaTheme="majorEastAsia"/>
                <w:bCs/>
                <w:color w:val="000000" w:themeColor="text1"/>
                <w:kern w:val="0"/>
                <w:szCs w:val="21"/>
                <w:lang w:val="zh-CN"/>
              </w:rPr>
              <w:t>资格条件：</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1.满足《中华人民共和国政府采购法》第二十二条规定；</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2.落实政府采购政策需满足的资格要求：标项</w:t>
            </w:r>
            <w:r>
              <w:rPr>
                <w:rFonts w:hint="eastAsia" w:asciiTheme="majorEastAsia" w:hAnsiTheme="majorEastAsia" w:eastAsiaTheme="majorEastAsia"/>
                <w:color w:val="000000" w:themeColor="text1"/>
                <w:highlight w:val="none"/>
                <w:lang w:val="en-US" w:eastAsia="zh-CN"/>
              </w:rPr>
              <w:t>3</w:t>
            </w:r>
            <w:r>
              <w:rPr>
                <w:rFonts w:hint="eastAsia" w:asciiTheme="majorEastAsia" w:hAnsiTheme="majorEastAsia" w:eastAsiaTheme="majorEastAsia"/>
                <w:color w:val="000000" w:themeColor="text1"/>
                <w:highlight w:val="none"/>
              </w:rPr>
              <w:t>：供应商为中小企业/小微企业,供应商应为监狱企业,供应商应为残疾人福利企业 。</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3.本项目的特定资格要求：标项</w:t>
            </w:r>
            <w:r>
              <w:rPr>
                <w:rFonts w:hint="eastAsia" w:asciiTheme="majorEastAsia" w:hAnsiTheme="majorEastAsia" w:eastAsiaTheme="majorEastAsia"/>
                <w:color w:val="000000" w:themeColor="text1"/>
                <w:highlight w:val="none"/>
                <w:lang w:val="en-US" w:eastAsia="zh-CN"/>
              </w:rPr>
              <w:t>3</w:t>
            </w:r>
            <w:r>
              <w:rPr>
                <w:rFonts w:hint="eastAsia" w:asciiTheme="majorEastAsia" w:hAnsiTheme="majorEastAsia" w:eastAsiaTheme="majorEastAsia"/>
                <w:color w:val="000000" w:themeColor="text1"/>
                <w:highlight w:val="none"/>
              </w:rPr>
              <w:t>：</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1、经年审合格三证合一的营业执照；</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highlight w:val="none"/>
              </w:rPr>
              <w:t>2、法人到场参与投标的需提供身份证明书（原件）及身份证原件，提供近六个月由本</w:t>
            </w:r>
            <w:r>
              <w:rPr>
                <w:rFonts w:hint="eastAsia" w:asciiTheme="majorEastAsia" w:hAnsiTheme="majorEastAsia" w:eastAsiaTheme="majorEastAsia"/>
                <w:color w:val="000000" w:themeColor="text1"/>
              </w:rPr>
              <w:t>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3、具有良好的商业信誉和健全的财务会计制度及完税证明（需提供会计事务所出具2020年度财务审计报告及税务申报资料或税务部门出具的近半年的完税证明，2021年新成立的公司可不提供）；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5、单位负责人为同一人或者存在直接控股、管理关系的不同供应商，不得参加同一合同项下的政府采购活动。</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6、本项目不接受联合体投标；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48"/>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48"/>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（1）投标报价（不接受多个报价）。</w:t>
            </w:r>
            <w:r>
              <w:rPr>
                <w:rFonts w:hint="eastAsia" w:cs="仿宋" w:asciiTheme="majorEastAsia" w:hAnsiTheme="majorEastAsia" w:eastAsiaTheme="majorEastAsia"/>
                <w:b/>
                <w:bCs/>
                <w:color w:val="000000" w:themeColor="text1"/>
                <w:kern w:val="0"/>
                <w:szCs w:val="21"/>
                <w:highlight w:val="none"/>
              </w:rPr>
              <w:t>投标报价</w:t>
            </w:r>
            <w:r>
              <w:rPr>
                <w:rFonts w:hint="eastAsia" w:cs="仿宋" w:asciiTheme="majorEastAsia" w:hAnsiTheme="majorEastAsia" w:eastAsiaTheme="majorEastAsia"/>
                <w:bCs/>
                <w:color w:val="000000" w:themeColor="text1"/>
                <w:kern w:val="0"/>
                <w:szCs w:val="21"/>
                <w:highlight w:val="none"/>
              </w:rPr>
              <w:t>为本次招标的设备，从采购、运输、卸货至指定地点、安装、验收合格、交付使用及1年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（2）投标人应充分考虑本项目可能出现的任何报价风险，并承担由此造成的报价风险后果。</w:t>
            </w:r>
          </w:p>
          <w:p>
            <w:pPr>
              <w:spacing w:line="360" w:lineRule="exact"/>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（3）本项目最高限价：</w:t>
            </w:r>
            <w:r>
              <w:rPr>
                <w:rFonts w:hint="eastAsia" w:cs="仿宋" w:asciiTheme="majorEastAsia" w:hAnsiTheme="majorEastAsia" w:eastAsiaTheme="majorEastAsia"/>
                <w:color w:val="000000" w:themeColor="text1"/>
                <w:szCs w:val="21"/>
                <w:highlight w:val="none"/>
                <w:lang w:val="en-US" w:eastAsia="zh-CN"/>
              </w:rPr>
              <w:t>120.00</w:t>
            </w:r>
            <w:r>
              <w:rPr>
                <w:rFonts w:hint="eastAsia" w:cs="仿宋" w:asciiTheme="majorEastAsia" w:hAnsiTheme="majorEastAsia" w:eastAsiaTheme="majorEastAsia"/>
                <w:bCs/>
                <w:color w:val="000000" w:themeColor="text1"/>
                <w:kern w:val="0"/>
                <w:szCs w:val="21"/>
                <w:highlight w:val="none"/>
                <w:lang w:val="en-US" w:eastAsia="zh-CN"/>
              </w:rPr>
              <w:t xml:space="preserve"> </w:t>
            </w:r>
            <w:r>
              <w:rPr>
                <w:rFonts w:hint="eastAsia" w:cs="仿宋" w:asciiTheme="majorEastAsia" w:hAnsiTheme="majorEastAsia" w:eastAsiaTheme="majorEastAsia"/>
                <w:bCs/>
                <w:color w:val="000000" w:themeColor="text1"/>
                <w:kern w:val="0"/>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48"/>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48"/>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 w:val="0"/>
                <w:bCs w:val="0"/>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2"/>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5"/>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5"/>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5"/>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7"/>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pStyle w:val="4"/>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rPr>
      </w:pPr>
    </w:p>
    <w:p>
      <w:pPr>
        <w:pStyle w:val="4"/>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38"/>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38"/>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247815569"/>
      <w:bookmarkStart w:id="15" w:name="_Toc13805"/>
      <w:bookmarkStart w:id="16" w:name="_Toc176257397"/>
      <w:bookmarkStart w:id="17" w:name="_Toc182891057"/>
      <w:bookmarkStart w:id="18" w:name="_Toc7151"/>
      <w:bookmarkStart w:id="19" w:name="_Toc247815566"/>
      <w:bookmarkStart w:id="20" w:name="_Toc225356383"/>
      <w:bookmarkStart w:id="21" w:name="_Toc176257387"/>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26365"/>
      <w:bookmarkStart w:id="23" w:name="_Toc725"/>
      <w:bookmarkStart w:id="24" w:name="_Toc6327"/>
      <w:bookmarkStart w:id="25" w:name="_Toc17604"/>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5664"/>
      <w:bookmarkStart w:id="27" w:name="_Toc27324"/>
      <w:r>
        <w:rPr>
          <w:rFonts w:hint="eastAsia" w:cs="宋体" w:asciiTheme="majorEastAsia" w:hAnsiTheme="majorEastAsia" w:eastAsiaTheme="majorEastAsia"/>
          <w:color w:val="000000" w:themeColor="text1"/>
          <w:sz w:val="28"/>
          <w:szCs w:val="32"/>
        </w:rPr>
        <w:t>初步评审—资格性审查表</w:t>
      </w:r>
    </w:p>
    <w:tbl>
      <w:tblPr>
        <w:tblStyle w:val="39"/>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39"/>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firstLine="482"/>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pStyle w:val="2"/>
        <w:ind w:firstLine="482"/>
        <w:rPr>
          <w:rFonts w:cs="宋体" w:asciiTheme="majorEastAsia" w:hAnsiTheme="majorEastAsia" w:eastAsiaTheme="majorEastAsia"/>
          <w:b/>
          <w:bCs/>
          <w:color w:val="000000" w:themeColor="text1"/>
          <w:sz w:val="24"/>
        </w:rPr>
      </w:pPr>
    </w:p>
    <w:tbl>
      <w:tblPr>
        <w:tblStyle w:val="39"/>
        <w:tblW w:w="9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6"/>
        <w:gridCol w:w="1170"/>
        <w:gridCol w:w="6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616" w:type="dxa"/>
            <w:noWrap w:val="0"/>
            <w:vAlign w:val="center"/>
          </w:tcPr>
          <w:p>
            <w:pPr>
              <w:snapToGrid w:val="0"/>
              <w:ind w:left="0" w:leftChars="0" w:firstLine="0" w:firstLineChars="0"/>
              <w:jc w:val="left"/>
              <w:rPr>
                <w:rFonts w:ascii="宋体" w:hAnsi="宋体"/>
                <w:sz w:val="24"/>
                <w:highlight w:val="none"/>
                <w:u w:val="none"/>
              </w:rPr>
            </w:pPr>
            <w:bookmarkStart w:id="28" w:name="_Toc5344"/>
            <w:bookmarkStart w:id="29" w:name="_Toc3859"/>
            <w:r>
              <w:rPr>
                <w:rFonts w:hint="eastAsia" w:ascii="宋体" w:hAnsi="宋体"/>
                <w:sz w:val="24"/>
                <w:highlight w:val="none"/>
                <w:u w:val="none"/>
              </w:rPr>
              <w:t>评审项目</w:t>
            </w:r>
          </w:p>
        </w:tc>
        <w:tc>
          <w:tcPr>
            <w:tcW w:w="1170" w:type="dxa"/>
            <w:noWrap w:val="0"/>
            <w:vAlign w:val="center"/>
          </w:tcPr>
          <w:p>
            <w:pPr>
              <w:snapToGrid w:val="0"/>
              <w:jc w:val="left"/>
              <w:rPr>
                <w:rFonts w:ascii="宋体" w:hAnsi="宋体"/>
                <w:sz w:val="24"/>
                <w:highlight w:val="none"/>
                <w:u w:val="none"/>
              </w:rPr>
            </w:pPr>
          </w:p>
        </w:tc>
        <w:tc>
          <w:tcPr>
            <w:tcW w:w="6851" w:type="dxa"/>
            <w:noWrap w:val="0"/>
            <w:vAlign w:val="center"/>
          </w:tcPr>
          <w:p>
            <w:pPr>
              <w:snapToGrid w:val="0"/>
              <w:jc w:val="left"/>
              <w:rPr>
                <w:rFonts w:ascii="宋体" w:hAnsi="宋体"/>
                <w:sz w:val="24"/>
                <w:highlight w:val="none"/>
                <w:u w:val="none"/>
              </w:rPr>
            </w:pPr>
            <w:r>
              <w:rPr>
                <w:rFonts w:hint="eastAsia" w:ascii="宋体" w:hAnsi="宋体"/>
                <w:sz w:val="24"/>
                <w:highlight w:val="none"/>
                <w:u w:val="none"/>
              </w:rPr>
              <w:t>评分标准说明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jc w:val="center"/>
        </w:trPr>
        <w:tc>
          <w:tcPr>
            <w:tcW w:w="9637" w:type="dxa"/>
            <w:gridSpan w:val="3"/>
            <w:noWrap w:val="0"/>
            <w:vAlign w:val="center"/>
          </w:tcPr>
          <w:p>
            <w:pPr>
              <w:snapToGrid w:val="0"/>
              <w:jc w:val="left"/>
              <w:rPr>
                <w:rFonts w:ascii="宋体" w:hAnsi="宋体"/>
                <w:sz w:val="24"/>
                <w:highlight w:val="none"/>
                <w:u w:val="none"/>
              </w:rPr>
            </w:pPr>
            <w:r>
              <w:rPr>
                <w:rFonts w:hint="eastAsia" w:ascii="宋体" w:hAnsi="宋体"/>
                <w:sz w:val="24"/>
                <w:highlight w:val="none"/>
                <w:u w:val="none"/>
              </w:rPr>
              <w:t>一、价格部分</w:t>
            </w:r>
            <w:r>
              <w:rPr>
                <w:rFonts w:hint="eastAsia" w:ascii="宋体" w:hAnsi="宋体"/>
                <w:sz w:val="24"/>
                <w:highlight w:val="none"/>
                <w:u w:val="none"/>
                <w:lang w:val="en-US" w:eastAsia="zh-CN"/>
              </w:rPr>
              <w:t>4</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jc w:val="center"/>
        </w:trPr>
        <w:tc>
          <w:tcPr>
            <w:tcW w:w="1616" w:type="dxa"/>
            <w:noWrap w:val="0"/>
            <w:vAlign w:val="center"/>
          </w:tcPr>
          <w:p>
            <w:pPr>
              <w:widowControl/>
              <w:snapToGrid w:val="0"/>
              <w:ind w:left="720" w:hanging="720" w:hangingChars="300"/>
              <w:jc w:val="left"/>
              <w:rPr>
                <w:rFonts w:ascii="宋体" w:hAnsi="宋体" w:cs="宋体"/>
                <w:sz w:val="24"/>
                <w:highlight w:val="none"/>
                <w:u w:val="none"/>
              </w:rPr>
            </w:pPr>
            <w:r>
              <w:rPr>
                <w:rFonts w:hint="eastAsia" w:ascii="宋体" w:hAnsi="宋体" w:cs="宋体"/>
                <w:sz w:val="24"/>
                <w:highlight w:val="none"/>
                <w:u w:val="none"/>
              </w:rPr>
              <w:t>价格</w:t>
            </w:r>
          </w:p>
        </w:tc>
        <w:tc>
          <w:tcPr>
            <w:tcW w:w="1170" w:type="dxa"/>
            <w:noWrap w:val="0"/>
            <w:vAlign w:val="center"/>
          </w:tcPr>
          <w:p>
            <w:pPr>
              <w:snapToGrid w:val="0"/>
              <w:ind w:left="0" w:leftChars="0" w:firstLine="0" w:firstLineChars="0"/>
              <w:jc w:val="left"/>
              <w:rPr>
                <w:rFonts w:ascii="宋体" w:hAnsi="宋体" w:cs="宋体"/>
                <w:sz w:val="24"/>
                <w:highlight w:val="none"/>
                <w:u w:val="none"/>
              </w:rPr>
            </w:pPr>
            <w:r>
              <w:rPr>
                <w:rFonts w:hint="eastAsia" w:ascii="宋体" w:hAnsi="宋体" w:cs="宋体"/>
                <w:sz w:val="24"/>
                <w:highlight w:val="none"/>
                <w:u w:val="none"/>
                <w:lang w:val="en-US" w:eastAsia="zh-CN"/>
              </w:rPr>
              <w:t>4</w:t>
            </w:r>
            <w:r>
              <w:rPr>
                <w:rFonts w:hint="eastAsia" w:ascii="宋体" w:hAnsi="宋体" w:cs="宋体"/>
                <w:sz w:val="24"/>
                <w:highlight w:val="none"/>
                <w:u w:val="none"/>
              </w:rPr>
              <w:t>0分</w:t>
            </w:r>
          </w:p>
        </w:tc>
        <w:tc>
          <w:tcPr>
            <w:tcW w:w="6851" w:type="dxa"/>
            <w:noWrap w:val="0"/>
            <w:vAlign w:val="center"/>
          </w:tcPr>
          <w:p>
            <w:pPr>
              <w:snapToGrid w:val="0"/>
              <w:ind w:left="0" w:leftChars="0" w:firstLine="0" w:firstLineChars="0"/>
              <w:jc w:val="left"/>
              <w:rPr>
                <w:rFonts w:ascii="宋体" w:hAnsi="宋体" w:cs="宋体"/>
                <w:sz w:val="24"/>
                <w:highlight w:val="none"/>
                <w:u w:val="none"/>
              </w:rPr>
            </w:pPr>
            <w:r>
              <w:rPr>
                <w:rFonts w:ascii="宋体" w:hAnsi="宋体" w:cs="宋体"/>
                <w:sz w:val="24"/>
                <w:highlight w:val="none"/>
                <w:u w:val="none"/>
              </w:rPr>
              <w:t>采用低价优先法计算，即满足</w:t>
            </w:r>
            <w:r>
              <w:rPr>
                <w:rFonts w:hint="eastAsia" w:ascii="宋体" w:hAnsi="宋体" w:cs="宋体"/>
                <w:sz w:val="24"/>
                <w:highlight w:val="none"/>
                <w:u w:val="none"/>
              </w:rPr>
              <w:t>招标</w:t>
            </w:r>
            <w:r>
              <w:rPr>
                <w:rFonts w:ascii="宋体" w:hAnsi="宋体" w:cs="宋体"/>
                <w:sz w:val="24"/>
                <w:highlight w:val="none"/>
                <w:u w:val="none"/>
              </w:rPr>
              <w:t>文件要求且投标价格最低的投标报价为评标基准价，其</w:t>
            </w:r>
            <w:r>
              <w:rPr>
                <w:rFonts w:hint="eastAsia" w:ascii="宋体" w:hAnsi="宋体" w:cs="宋体"/>
                <w:sz w:val="24"/>
                <w:highlight w:val="none"/>
                <w:u w:val="none"/>
              </w:rPr>
              <w:t>价格</w:t>
            </w:r>
            <w:r>
              <w:rPr>
                <w:rFonts w:ascii="宋体" w:hAnsi="宋体" w:cs="宋体"/>
                <w:sz w:val="24"/>
                <w:highlight w:val="none"/>
                <w:u w:val="none"/>
              </w:rPr>
              <w:t>得分为满分。其他投标人的</w:t>
            </w:r>
            <w:r>
              <w:rPr>
                <w:rFonts w:hint="eastAsia" w:ascii="宋体" w:hAnsi="宋体" w:cs="宋体"/>
                <w:sz w:val="24"/>
                <w:highlight w:val="none"/>
                <w:u w:val="none"/>
              </w:rPr>
              <w:t>价格</w:t>
            </w:r>
            <w:r>
              <w:rPr>
                <w:rFonts w:ascii="宋体" w:hAnsi="宋体" w:cs="宋体"/>
                <w:sz w:val="24"/>
                <w:highlight w:val="none"/>
                <w:u w:val="none"/>
              </w:rPr>
              <w:t>得分统一按照下列公式计算：</w:t>
            </w:r>
            <w:r>
              <w:rPr>
                <w:rFonts w:hint="eastAsia" w:ascii="宋体" w:hAnsi="宋体" w:cs="宋体"/>
                <w:sz w:val="24"/>
                <w:highlight w:val="none"/>
                <w:u w:val="none"/>
              </w:rPr>
              <w:t>价格</w:t>
            </w:r>
            <w:r>
              <w:rPr>
                <w:rFonts w:ascii="宋体" w:hAnsi="宋体" w:cs="宋体"/>
                <w:sz w:val="24"/>
                <w:highlight w:val="none"/>
                <w:u w:val="none"/>
              </w:rPr>
              <w:t>得分=（评标基准价/投标报价）×</w:t>
            </w:r>
            <w:r>
              <w:rPr>
                <w:rFonts w:hint="eastAsia" w:ascii="宋体" w:hAnsi="宋体" w:cs="宋体"/>
                <w:sz w:val="24"/>
                <w:highlight w:val="none"/>
                <w:u w:val="none"/>
                <w:lang w:val="en-US" w:eastAsia="zh-CN"/>
              </w:rPr>
              <w:t>4</w:t>
            </w:r>
            <w:r>
              <w:rPr>
                <w:rFonts w:hint="eastAsia" w:ascii="宋体" w:hAnsi="宋体" w:cs="宋体"/>
                <w:sz w:val="24"/>
                <w:highlight w:val="none"/>
                <w:u w:val="none"/>
              </w:rPr>
              <w:t>0%</w:t>
            </w:r>
            <w:r>
              <w:rPr>
                <w:rFonts w:ascii="宋体" w:hAnsi="宋体" w:cs="宋体"/>
                <w:sz w:val="24"/>
                <w:highlight w:val="none"/>
                <w:u w:val="none"/>
              </w:rPr>
              <w:t>×100，如此类推，算出所有投标商的</w:t>
            </w:r>
            <w:r>
              <w:rPr>
                <w:rFonts w:hint="eastAsia" w:ascii="宋体" w:hAnsi="宋体" w:cs="宋体"/>
                <w:sz w:val="24"/>
                <w:highlight w:val="none"/>
                <w:u w:val="none"/>
              </w:rPr>
              <w:t>价格</w:t>
            </w:r>
            <w:r>
              <w:rPr>
                <w:rFonts w:ascii="宋体" w:hAnsi="宋体" w:cs="宋体"/>
                <w:sz w:val="24"/>
                <w:highlight w:val="none"/>
                <w:u w:val="none"/>
              </w:rPr>
              <w:t>得分</w:t>
            </w:r>
            <w:r>
              <w:rPr>
                <w:rFonts w:hint="eastAsia" w:ascii="宋体" w:hAnsi="宋体" w:cs="宋体"/>
                <w:sz w:val="24"/>
                <w:highlight w:val="none"/>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637" w:type="dxa"/>
            <w:gridSpan w:val="3"/>
            <w:tcBorders>
              <w:top w:val="single" w:color="auto" w:sz="4" w:space="0"/>
              <w:left w:val="single" w:color="auto" w:sz="4" w:space="0"/>
              <w:bottom w:val="single" w:color="auto" w:sz="4" w:space="0"/>
              <w:right w:val="single" w:color="auto" w:sz="4" w:space="0"/>
            </w:tcBorders>
            <w:noWrap w:val="0"/>
            <w:vAlign w:val="center"/>
          </w:tcPr>
          <w:p>
            <w:pPr>
              <w:widowControl/>
              <w:snapToGrid w:val="0"/>
              <w:jc w:val="left"/>
              <w:rPr>
                <w:rFonts w:ascii="宋体" w:hAnsi="宋体"/>
                <w:sz w:val="24"/>
                <w:highlight w:val="none"/>
                <w:u w:val="none"/>
              </w:rPr>
            </w:pPr>
            <w:r>
              <w:rPr>
                <w:rFonts w:hint="eastAsia" w:ascii="宋体" w:hAnsi="宋体"/>
                <w:sz w:val="24"/>
                <w:highlight w:val="none"/>
                <w:u w:val="none"/>
              </w:rPr>
              <w:t>二、商务、技术部分</w:t>
            </w:r>
            <w:r>
              <w:rPr>
                <w:rFonts w:hint="eastAsia" w:ascii="宋体" w:hAnsi="宋体"/>
                <w:sz w:val="24"/>
                <w:highlight w:val="none"/>
                <w:u w:val="none"/>
                <w:lang w:val="en-US" w:eastAsia="zh-CN"/>
              </w:rPr>
              <w:t>6</w:t>
            </w:r>
            <w:r>
              <w:rPr>
                <w:rFonts w:hint="eastAsia" w:ascii="宋体" w:hAnsi="宋体"/>
                <w:sz w:val="24"/>
                <w:highlight w:val="none"/>
                <w:u w:val="none"/>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widowControl/>
              <w:spacing w:line="360" w:lineRule="exact"/>
              <w:ind w:left="0" w:leftChars="0" w:firstLine="0" w:firstLineChars="0"/>
              <w:jc w:val="center"/>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rPr>
              <w:t>投标人的资信及其他</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kern w:val="2"/>
                <w:sz w:val="24"/>
                <w:szCs w:val="24"/>
                <w:highlight w:val="none"/>
                <w:u w:val="none"/>
                <w:lang w:val="en-US" w:eastAsia="zh-CN" w:bidi="ar-SA"/>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kern w:val="2"/>
                <w:sz w:val="24"/>
                <w:szCs w:val="24"/>
                <w:highlight w:val="none"/>
                <w:u w:val="none"/>
                <w:lang w:val="en-US" w:eastAsia="zh-CN" w:bidi="ar-SA"/>
              </w:rPr>
            </w:pPr>
            <w:r>
              <w:rPr>
                <w:rFonts w:hint="eastAsia" w:ascii="宋体" w:hAnsi="宋体" w:cs="宋体"/>
                <w:color w:val="auto"/>
                <w:sz w:val="24"/>
                <w:szCs w:val="24"/>
                <w:highlight w:val="none"/>
                <w:u w:val="none"/>
              </w:rPr>
              <w:t>投标人的</w:t>
            </w:r>
            <w:r>
              <w:rPr>
                <w:rFonts w:hint="eastAsia" w:ascii="宋体" w:hAnsi="宋体" w:eastAsia="宋体" w:cs="宋体"/>
                <w:kern w:val="0"/>
                <w:sz w:val="24"/>
                <w:szCs w:val="24"/>
                <w:lang w:val="en-US" w:eastAsia="zh-CN"/>
              </w:rPr>
              <w:t>财务状况</w:t>
            </w:r>
            <w:r>
              <w:rPr>
                <w:rFonts w:hint="eastAsia" w:ascii="宋体" w:hAnsi="宋体" w:cs="宋体"/>
                <w:color w:val="auto"/>
                <w:sz w:val="24"/>
                <w:szCs w:val="24"/>
                <w:highlight w:val="none"/>
                <w:u w:val="none"/>
              </w:rPr>
              <w:t>：</w:t>
            </w:r>
            <w:r>
              <w:rPr>
                <w:rFonts w:hint="eastAsia" w:ascii="宋体" w:hAnsi="宋体" w:eastAsia="宋体" w:cs="宋体"/>
                <w:color w:val="auto"/>
                <w:sz w:val="24"/>
                <w:szCs w:val="24"/>
                <w:highlight w:val="none"/>
              </w:rPr>
              <w:t>以投标人近三年的财务报表进行评价，财务状况良好的得</w:t>
            </w:r>
            <w:r>
              <w:rPr>
                <w:rFonts w:hint="eastAsia" w:ascii="宋体" w:hAnsi="宋体" w:cs="宋体"/>
                <w:color w:val="auto"/>
                <w:sz w:val="24"/>
                <w:szCs w:val="24"/>
                <w:highlight w:val="none"/>
                <w:lang w:val="en-US" w:eastAsia="zh-CN"/>
              </w:rPr>
              <w:t>2</w:t>
            </w:r>
            <w:r>
              <w:rPr>
                <w:rFonts w:hint="eastAsia" w:ascii="宋体" w:hAnsi="宋体" w:eastAsia="宋体" w:cs="宋体"/>
                <w:color w:val="auto"/>
                <w:sz w:val="24"/>
                <w:szCs w:val="24"/>
                <w:highlight w:val="none"/>
              </w:rPr>
              <w:t>分，一般的得</w:t>
            </w: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分，较差的得</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 w:hRule="atLeast"/>
          <w:jc w:val="center"/>
        </w:trPr>
        <w:tc>
          <w:tcPr>
            <w:tcW w:w="1616" w:type="dxa"/>
            <w:vMerge w:val="continue"/>
            <w:tcBorders>
              <w:left w:val="single" w:color="auto" w:sz="4" w:space="0"/>
              <w:right w:val="single" w:color="auto" w:sz="4" w:space="0"/>
            </w:tcBorders>
            <w:noWrap w:val="0"/>
            <w:vAlign w:val="center"/>
          </w:tcPr>
          <w:p>
            <w:pPr>
              <w:widowControl/>
              <w:spacing w:line="360" w:lineRule="exact"/>
              <w:jc w:val="left"/>
              <w:rPr>
                <w:rFonts w:hint="eastAsia" w:ascii="宋体" w:hAnsi="宋体" w:cs="宋体"/>
                <w:sz w:val="24"/>
                <w:szCs w:val="24"/>
                <w:highlight w:val="none"/>
                <w:u w:val="none"/>
                <w:lang w:eastAsia="zh-CN"/>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cs="宋体"/>
                <w:sz w:val="24"/>
                <w:szCs w:val="24"/>
                <w:highlight w:val="none"/>
                <w:u w:val="none"/>
                <w:lang w:val="en-US" w:eastAsia="zh-CN"/>
              </w:rPr>
            </w:pPr>
            <w:r>
              <w:rPr>
                <w:rFonts w:hint="eastAsia" w:ascii="宋体" w:hAnsi="宋体" w:cs="宋体"/>
                <w:color w:val="auto"/>
                <w:sz w:val="24"/>
                <w:szCs w:val="24"/>
                <w:u w:val="none"/>
                <w:lang w:val="en-US" w:eastAsia="zh-CN"/>
              </w:rPr>
              <w:t>2</w:t>
            </w:r>
            <w:r>
              <w:rPr>
                <w:rFonts w:hint="eastAsia" w:ascii="宋体" w:hAnsi="宋体" w:cs="宋体"/>
                <w:color w:val="auto"/>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sz w:val="24"/>
                <w:szCs w:val="24"/>
                <w:highlight w:val="none"/>
                <w:u w:val="none"/>
                <w:lang w:eastAsia="zh-CN"/>
              </w:rPr>
            </w:pPr>
            <w:r>
              <w:rPr>
                <w:rFonts w:hint="eastAsia" w:ascii="宋体" w:hAnsi="宋体" w:cs="宋体"/>
                <w:color w:val="auto"/>
                <w:sz w:val="24"/>
                <w:szCs w:val="24"/>
                <w:highlight w:val="none"/>
                <w:u w:val="none"/>
              </w:rPr>
              <w:t>投标文件制作：投标文件内容编制完整、格式规范、排列顺序准确，装订整齐、美观，完全符合招标文件要求</w:t>
            </w:r>
            <w:r>
              <w:rPr>
                <w:rFonts w:hint="eastAsia" w:ascii="宋体" w:hAnsi="宋体" w:cs="宋体"/>
                <w:color w:val="auto"/>
                <w:sz w:val="24"/>
                <w:szCs w:val="24"/>
                <w:highlight w:val="none"/>
                <w:u w:val="none"/>
                <w:lang w:eastAsia="zh-CN"/>
              </w:rPr>
              <w:t>的得</w:t>
            </w:r>
            <w:r>
              <w:rPr>
                <w:rFonts w:hint="eastAsia" w:ascii="宋体" w:hAnsi="宋体" w:cs="宋体"/>
                <w:color w:val="auto"/>
                <w:sz w:val="24"/>
                <w:szCs w:val="24"/>
                <w:highlight w:val="none"/>
                <w:u w:val="none"/>
                <w:lang w:val="en-US" w:eastAsia="zh-CN"/>
              </w:rPr>
              <w:t>2分</w:t>
            </w:r>
            <w:r>
              <w:rPr>
                <w:rFonts w:hint="eastAsia" w:ascii="宋体" w:hAnsi="宋体" w:cs="宋体"/>
                <w:color w:val="auto"/>
                <w:sz w:val="24"/>
                <w:szCs w:val="24"/>
                <w:highlight w:val="none"/>
                <w:u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6" w:hRule="atLeast"/>
          <w:jc w:val="center"/>
        </w:trPr>
        <w:tc>
          <w:tcPr>
            <w:tcW w:w="1616"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center"/>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设备的选型</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lang w:val="en-US"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ind w:left="0" w:leftChars="0" w:firstLine="0" w:firstLineChars="0"/>
              <w:jc w:val="left"/>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rPr>
              <w:t>所投产品设备选型、型号、品牌先进的、前沿性等综合评比优异得</w:t>
            </w:r>
            <w:r>
              <w:rPr>
                <w:rFonts w:hint="eastAsia" w:ascii="宋体" w:hAnsi="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none"/>
              </w:rPr>
              <w:t>分，一般</w:t>
            </w:r>
            <w:r>
              <w:rPr>
                <w:rFonts w:hint="eastAsia" w:ascii="宋体" w:hAnsi="宋体" w:eastAsia="宋体" w:cs="宋体"/>
                <w:color w:val="auto"/>
                <w:sz w:val="24"/>
                <w:szCs w:val="24"/>
                <w:highlight w:val="none"/>
                <w:u w:val="none"/>
                <w:lang w:val="en-US" w:eastAsia="zh-CN"/>
              </w:rPr>
              <w:t>1</w:t>
            </w:r>
            <w:r>
              <w:rPr>
                <w:rFonts w:hint="eastAsia" w:ascii="宋体" w:hAnsi="宋体" w:eastAsia="宋体" w:cs="宋体"/>
                <w:color w:val="auto"/>
                <w:sz w:val="24"/>
                <w:szCs w:val="24"/>
                <w:highlight w:val="none"/>
                <w:u w:val="none"/>
              </w:rPr>
              <w:t>分，差不得分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restart"/>
            <w:tcBorders>
              <w:top w:val="single" w:color="auto" w:sz="4" w:space="0"/>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center"/>
              <w:textAlignment w:val="auto"/>
              <w:rPr>
                <w:rFonts w:hint="eastAsia" w:ascii="宋体" w:hAnsi="宋体" w:cs="宋体"/>
                <w:sz w:val="24"/>
                <w:szCs w:val="24"/>
                <w:highlight w:val="yellow"/>
                <w:u w:val="none"/>
              </w:rPr>
            </w:pPr>
            <w:r>
              <w:rPr>
                <w:rFonts w:hint="eastAsia" w:ascii="宋体" w:hAnsi="宋体" w:cs="宋体"/>
                <w:color w:val="auto"/>
                <w:sz w:val="24"/>
                <w:szCs w:val="24"/>
                <w:u w:val="none"/>
              </w:rPr>
              <w:t>性能及技术参数</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sz w:val="24"/>
                <w:szCs w:val="24"/>
                <w:highlight w:val="none"/>
                <w:u w:val="none"/>
                <w:lang w:eastAsia="zh-CN"/>
              </w:rPr>
            </w:pPr>
            <w:r>
              <w:rPr>
                <w:rFonts w:hint="eastAsia" w:ascii="宋体" w:hAnsi="宋体" w:cs="仿宋"/>
                <w:kern w:val="0"/>
                <w:sz w:val="24"/>
                <w:szCs w:val="24"/>
                <w:u w:val="none"/>
                <w:lang w:val="en-US" w:eastAsia="zh-CN"/>
              </w:rPr>
              <w:t>15</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cs="宋体"/>
                <w:color w:val="auto"/>
                <w:sz w:val="24"/>
                <w:szCs w:val="24"/>
                <w:highlight w:val="none"/>
                <w:u w:val="none"/>
              </w:rPr>
            </w:pPr>
            <w:r>
              <w:rPr>
                <w:rFonts w:hint="eastAsia" w:ascii="宋体" w:hAnsi="宋体" w:cs="宋体"/>
                <w:color w:val="auto"/>
                <w:sz w:val="24"/>
                <w:szCs w:val="24"/>
                <w:highlight w:val="none"/>
                <w:u w:val="none"/>
              </w:rPr>
              <w:t>产品质量性能（15分）：</w:t>
            </w:r>
          </w:p>
          <w:p>
            <w:pPr>
              <w:spacing w:line="320" w:lineRule="exact"/>
              <w:ind w:left="0" w:leftChars="0" w:firstLine="0" w:firstLineChars="0"/>
              <w:jc w:val="left"/>
              <w:rPr>
                <w:rFonts w:hint="eastAsia" w:ascii="宋体" w:hAnsi="宋体" w:cs="宋体"/>
                <w:sz w:val="24"/>
                <w:szCs w:val="24"/>
                <w:highlight w:val="none"/>
                <w:u w:val="none"/>
              </w:rPr>
            </w:pPr>
            <w:r>
              <w:rPr>
                <w:rFonts w:hint="eastAsia" w:ascii="宋体" w:hAnsi="宋体" w:cs="宋体"/>
                <w:sz w:val="24"/>
                <w:szCs w:val="24"/>
                <w:highlight w:val="none"/>
                <w:u w:val="none"/>
              </w:rPr>
              <w:t>产品质量、性能满足设计及采购文件要求，产品性价比高，技术应答无偏离，返修率低，得10-15分；产品质量、性能基本满足设计及采购文件要求，产品性价比一般，技术应答基本无偏离，返修率低，得5-10分；产品质量、性能差,产品性价比差，技术应答无偏离,但返修率高，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default"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15</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eastAsia="zh-CN"/>
              </w:rPr>
              <w:t>技术方案和实施方案的合理性（15分）</w:t>
            </w:r>
            <w:r>
              <w:rPr>
                <w:rFonts w:hint="eastAsia" w:ascii="宋体" w:hAnsi="宋体" w:eastAsia="宋体" w:cs="宋体"/>
                <w:sz w:val="24"/>
                <w:szCs w:val="24"/>
                <w:highlight w:val="none"/>
                <w:u w:val="none"/>
                <w:lang w:val="en-US" w:eastAsia="zh-CN"/>
              </w:rPr>
              <w:t>:</w:t>
            </w:r>
          </w:p>
          <w:p>
            <w:pPr>
              <w:spacing w:line="320" w:lineRule="exact"/>
              <w:ind w:left="0" w:leftChars="0" w:firstLine="0" w:firstLineChars="0"/>
              <w:jc w:val="left"/>
              <w:rPr>
                <w:rFonts w:hint="default"/>
                <w:lang w:val="en-US" w:eastAsia="zh-CN"/>
              </w:rPr>
            </w:pPr>
            <w:r>
              <w:rPr>
                <w:rFonts w:hint="default" w:ascii="宋体" w:hAnsi="宋体" w:eastAsia="宋体" w:cs="宋体"/>
                <w:sz w:val="24"/>
                <w:szCs w:val="24"/>
                <w:highlight w:val="none"/>
                <w:u w:val="none"/>
                <w:lang w:val="en-US" w:eastAsia="zh-CN"/>
              </w:rPr>
              <w:t>技术方案内容完整，有详尽的实施方案，方案先进合理，对招标文件的响应程度高，得10-15分；技术方案内容一般，对招标文件响应程度一般的，得5-10分；技术方案粗糙，对招标文件无实质性响应的得0-5分；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1616" w:type="dxa"/>
            <w:vMerge w:val="continue"/>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auto"/>
                <w:sz w:val="24"/>
                <w:szCs w:val="24"/>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仿宋"/>
                <w:kern w:val="0"/>
                <w:sz w:val="24"/>
                <w:szCs w:val="24"/>
                <w:u w:val="none"/>
                <w:lang w:val="en-US" w:eastAsia="zh-CN"/>
              </w:rPr>
            </w:pPr>
            <w:r>
              <w:rPr>
                <w:rFonts w:hint="eastAsia" w:ascii="宋体" w:hAnsi="宋体" w:cs="仿宋"/>
                <w:kern w:val="0"/>
                <w:sz w:val="24"/>
                <w:szCs w:val="24"/>
                <w:u w:val="none"/>
                <w:lang w:val="en-US" w:eastAsia="zh-CN"/>
              </w:rPr>
              <w:t>10分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spacing w:line="320" w:lineRule="exact"/>
              <w:ind w:left="0" w:leftChars="0" w:firstLine="0" w:firstLineChars="0"/>
              <w:jc w:val="left"/>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产品资质响应情况（10分）:</w:t>
            </w:r>
          </w:p>
          <w:p>
            <w:pPr>
              <w:spacing w:line="320" w:lineRule="exact"/>
              <w:ind w:left="0" w:leftChars="0" w:firstLine="0" w:firstLineChars="0"/>
              <w:jc w:val="left"/>
              <w:rPr>
                <w:rFonts w:hint="eastAsia"/>
                <w:lang w:val="en-US" w:eastAsia="zh-CN"/>
              </w:rPr>
            </w:pPr>
            <w:r>
              <w:rPr>
                <w:rFonts w:hint="eastAsia" w:ascii="宋体" w:hAnsi="宋体" w:eastAsia="宋体" w:cs="宋体"/>
                <w:sz w:val="24"/>
                <w:szCs w:val="24"/>
                <w:highlight w:val="none"/>
                <w:u w:val="none"/>
                <w:lang w:val="en-US" w:eastAsia="zh-CN"/>
              </w:rPr>
              <w:t>为保障产品质量，投标人须满足投标技术参数中要求的相关重要参数资质文件，完全满足得10分，对于不满足项，每缺少一项扣2分，扣完为止。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cs="仿宋"/>
                <w:kern w:val="0"/>
                <w:sz w:val="24"/>
                <w:szCs w:val="24"/>
                <w:u w:val="none"/>
              </w:rPr>
            </w:pPr>
            <w:r>
              <w:rPr>
                <w:rFonts w:ascii="宋体" w:hAnsi="宋体" w:cs="仿宋"/>
                <w:kern w:val="0"/>
                <w:sz w:val="24"/>
                <w:szCs w:val="24"/>
                <w:u w:val="none"/>
              </w:rPr>
              <w:t>质量保证方案及措施</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宋体"/>
                <w:color w:val="000000"/>
                <w:kern w:val="0"/>
                <w:sz w:val="24"/>
                <w:szCs w:val="24"/>
                <w:highlight w:val="none"/>
                <w:u w:val="none"/>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ascii="宋体" w:hAnsi="宋体" w:eastAsia="宋体" w:cs="宋体"/>
                <w:color w:val="000000"/>
                <w:kern w:val="0"/>
                <w:sz w:val="24"/>
                <w:szCs w:val="24"/>
                <w:highlight w:val="none"/>
                <w:u w:val="none"/>
                <w:lang w:eastAsia="zh-CN"/>
              </w:rPr>
            </w:pPr>
            <w:r>
              <w:rPr>
                <w:rFonts w:hint="eastAsia" w:ascii="宋体" w:hAnsi="宋体" w:cs="仿宋"/>
                <w:kern w:val="0"/>
                <w:sz w:val="24"/>
                <w:szCs w:val="24"/>
                <w:u w:val="none"/>
                <w:lang w:val="en-US" w:eastAsia="zh-CN"/>
              </w:rPr>
              <w:t>6</w:t>
            </w:r>
            <w:r>
              <w:rPr>
                <w:rFonts w:hint="eastAsia" w:ascii="宋体" w:hAnsi="宋体" w:cs="仿宋"/>
                <w:kern w:val="0"/>
                <w:sz w:val="24"/>
                <w:szCs w:val="24"/>
                <w:u w:val="none"/>
                <w:lang w:eastAsia="zh-CN"/>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质量保证方案及措施详细，实施计划、组织方案等方面均合理可行，方案总体相对优秀的，得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6</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ascii="宋体" w:hAnsi="宋体" w:cs="仿宋"/>
                <w:kern w:val="0"/>
                <w:sz w:val="24"/>
                <w:szCs w:val="24"/>
                <w:u w:val="none"/>
              </w:rPr>
            </w:pPr>
            <w:r>
              <w:rPr>
                <w:rFonts w:hint="eastAsia" w:ascii="宋体" w:hAnsi="宋体" w:cs="仿宋"/>
                <w:kern w:val="0"/>
                <w:sz w:val="24"/>
                <w:szCs w:val="24"/>
                <w:u w:val="none"/>
              </w:rPr>
              <w:t>质量保证方案及措施较详细，有实施计划组织方案等方面的描述，方案总体相对较好的，得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jc w:val="left"/>
              <w:textAlignment w:val="auto"/>
              <w:rPr>
                <w:rFonts w:hint="eastAsia"/>
                <w:u w:val="none"/>
              </w:rPr>
            </w:pPr>
            <w:r>
              <w:rPr>
                <w:rFonts w:hint="eastAsia" w:ascii="宋体" w:hAnsi="宋体" w:cs="仿宋"/>
                <w:kern w:val="0"/>
                <w:sz w:val="24"/>
                <w:szCs w:val="24"/>
                <w:u w:val="none"/>
              </w:rPr>
              <w:t>提供了项目质量保证方案及措施，方案总体相对一般的，得0-</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sz w:val="24"/>
                <w:highlight w:val="none"/>
                <w:u w:val="none"/>
              </w:rPr>
            </w:pPr>
            <w:r>
              <w:rPr>
                <w:rFonts w:hint="eastAsia" w:ascii="宋体" w:hAnsi="宋体" w:cs="仿宋"/>
                <w:kern w:val="0"/>
                <w:sz w:val="24"/>
                <w:szCs w:val="24"/>
                <w:u w:val="none"/>
              </w:rPr>
              <w:t>售后服务</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hint="eastAsia" w:eastAsia="宋体"/>
                <w:highlight w:val="none"/>
                <w:u w:val="none"/>
                <w:lang w:eastAsia="zh-CN"/>
              </w:rPr>
            </w:pPr>
            <w:r>
              <w:rPr>
                <w:rFonts w:hint="eastAsia" w:ascii="宋体" w:hAnsi="宋体" w:cs="仿宋"/>
                <w:kern w:val="0"/>
                <w:sz w:val="24"/>
                <w:szCs w:val="24"/>
                <w:highlight w:val="none"/>
                <w:u w:val="none"/>
                <w:lang w:val="en-US" w:eastAsia="zh-CN"/>
              </w:rPr>
              <w:t>4分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left"/>
              <w:textAlignment w:val="auto"/>
              <w:rPr>
                <w:rFonts w:ascii="宋体" w:hAnsi="宋体" w:cs="仿宋"/>
                <w:kern w:val="0"/>
                <w:sz w:val="24"/>
                <w:szCs w:val="24"/>
                <w:u w:val="none"/>
              </w:rPr>
            </w:pPr>
            <w:r>
              <w:rPr>
                <w:rFonts w:hint="eastAsia" w:ascii="宋体" w:hAnsi="宋体" w:cs="仿宋"/>
                <w:kern w:val="0"/>
                <w:sz w:val="24"/>
                <w:szCs w:val="24"/>
                <w:u w:val="none"/>
              </w:rPr>
              <w:t>售后服务及优惠条件（</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（1）具有本地化的售后服务（投标人在</w:t>
            </w:r>
            <w:r>
              <w:rPr>
                <w:rFonts w:hint="eastAsia" w:ascii="宋体" w:hAnsi="宋体" w:cs="仿宋"/>
                <w:kern w:val="0"/>
                <w:sz w:val="24"/>
                <w:szCs w:val="24"/>
                <w:u w:val="none"/>
                <w:lang w:eastAsia="zh-CN"/>
              </w:rPr>
              <w:t>和田地区</w:t>
            </w:r>
            <w:r>
              <w:rPr>
                <w:rFonts w:hint="eastAsia" w:ascii="宋体" w:hAnsi="宋体" w:cs="仿宋"/>
                <w:kern w:val="0"/>
                <w:sz w:val="24"/>
                <w:szCs w:val="24"/>
                <w:u w:val="none"/>
              </w:rPr>
              <w:t>但有本地化的售后服务机构的得</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分，没有本地化售后服务机构的得0分）。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ascii="宋体" w:hAnsi="宋体" w:cs="仿宋"/>
                <w:kern w:val="0"/>
                <w:sz w:val="24"/>
                <w:szCs w:val="24"/>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2</w:t>
            </w:r>
            <w:r>
              <w:rPr>
                <w:rFonts w:hint="eastAsia" w:ascii="宋体" w:hAnsi="宋体" w:cs="仿宋"/>
                <w:kern w:val="0"/>
                <w:sz w:val="24"/>
                <w:szCs w:val="24"/>
                <w:u w:val="none"/>
              </w:rPr>
              <w:t>）人员培训承诺（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val="en-US" w:eastAsia="zh-CN"/>
              </w:rPr>
              <w:t>，</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宋体"/>
                <w:color w:val="000000"/>
                <w:kern w:val="0"/>
                <w:sz w:val="24"/>
                <w:szCs w:val="24"/>
                <w:highlight w:val="none"/>
                <w:u w:val="none"/>
              </w:rPr>
            </w:pPr>
            <w:r>
              <w:rPr>
                <w:rFonts w:hint="eastAsia" w:ascii="宋体" w:hAnsi="宋体" w:cs="仿宋"/>
                <w:kern w:val="0"/>
                <w:sz w:val="24"/>
                <w:szCs w:val="24"/>
                <w:u w:val="none"/>
              </w:rPr>
              <w:t>（</w:t>
            </w:r>
            <w:r>
              <w:rPr>
                <w:rFonts w:hint="eastAsia" w:ascii="宋体" w:hAnsi="宋体" w:cs="仿宋"/>
                <w:kern w:val="0"/>
                <w:sz w:val="24"/>
                <w:szCs w:val="24"/>
                <w:u w:val="none"/>
                <w:lang w:val="en-US" w:eastAsia="zh-CN"/>
              </w:rPr>
              <w:t>3</w:t>
            </w:r>
            <w:r>
              <w:rPr>
                <w:rFonts w:hint="eastAsia" w:ascii="宋体" w:hAnsi="宋体" w:cs="仿宋"/>
                <w:kern w:val="0"/>
                <w:sz w:val="24"/>
                <w:szCs w:val="24"/>
                <w:u w:val="none"/>
              </w:rPr>
              <w:t>）服务响应时间承诺（</w:t>
            </w:r>
            <w:r>
              <w:rPr>
                <w:rFonts w:hint="eastAsia" w:ascii="宋体" w:hAnsi="宋体" w:cs="仿宋"/>
                <w:kern w:val="0"/>
                <w:sz w:val="24"/>
                <w:szCs w:val="24"/>
                <w:u w:val="none"/>
                <w:lang w:eastAsia="zh-CN"/>
              </w:rPr>
              <w:t>优</w:t>
            </w:r>
            <w:r>
              <w:rPr>
                <w:rFonts w:hint="eastAsia" w:ascii="宋体" w:hAnsi="宋体" w:cs="仿宋"/>
                <w:kern w:val="0"/>
                <w:sz w:val="24"/>
                <w:szCs w:val="24"/>
                <w:u w:val="none"/>
              </w:rPr>
              <w:t>的得</w:t>
            </w:r>
            <w:r>
              <w:rPr>
                <w:rFonts w:hint="eastAsia" w:ascii="宋体" w:hAnsi="宋体" w:cs="仿宋"/>
                <w:kern w:val="0"/>
                <w:sz w:val="24"/>
                <w:szCs w:val="24"/>
                <w:u w:val="none"/>
                <w:lang w:val="en-US" w:eastAsia="zh-CN"/>
              </w:rPr>
              <w:t>1</w:t>
            </w:r>
            <w:r>
              <w:rPr>
                <w:rFonts w:hint="eastAsia" w:ascii="宋体" w:hAnsi="宋体" w:cs="仿宋"/>
                <w:kern w:val="0"/>
                <w:sz w:val="24"/>
                <w:szCs w:val="24"/>
                <w:u w:val="none"/>
              </w:rPr>
              <w:t>分</w:t>
            </w:r>
            <w:r>
              <w:rPr>
                <w:rFonts w:hint="eastAsia" w:ascii="宋体" w:hAnsi="宋体" w:cs="仿宋"/>
                <w:kern w:val="0"/>
                <w:sz w:val="24"/>
                <w:szCs w:val="24"/>
                <w:u w:val="none"/>
                <w:lang w:val="en-US" w:eastAsia="zh-CN"/>
              </w:rPr>
              <w:t>，</w:t>
            </w:r>
            <w:r>
              <w:rPr>
                <w:rFonts w:hint="eastAsia" w:ascii="宋体" w:hAnsi="宋体" w:cs="仿宋"/>
                <w:kern w:val="0"/>
                <w:sz w:val="24"/>
                <w:szCs w:val="24"/>
                <w:u w:val="none"/>
                <w:lang w:eastAsia="zh-CN"/>
              </w:rPr>
              <w:t>差的得</w:t>
            </w:r>
            <w:r>
              <w:rPr>
                <w:rFonts w:hint="eastAsia" w:ascii="宋体" w:hAnsi="宋体" w:cs="仿宋"/>
                <w:kern w:val="0"/>
                <w:sz w:val="24"/>
                <w:szCs w:val="24"/>
                <w:u w:val="none"/>
                <w:lang w:val="en-US" w:eastAsia="zh-CN"/>
              </w:rPr>
              <w:t>0</w:t>
            </w:r>
            <w:r>
              <w:rPr>
                <w:rFonts w:hint="eastAsia" w:ascii="宋体" w:hAnsi="宋体" w:cs="仿宋"/>
                <w:kern w:val="0"/>
                <w:sz w:val="24"/>
                <w:szCs w:val="24"/>
                <w:u w:val="none"/>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1616" w:type="dxa"/>
            <w:tcBorders>
              <w:left w:val="single" w:color="auto" w:sz="4" w:space="0"/>
              <w:right w:val="single" w:color="auto" w:sz="4" w:space="0"/>
            </w:tcBorders>
            <w:noWrap w:val="0"/>
            <w:vAlign w:val="center"/>
          </w:tcPr>
          <w:p>
            <w:pPr>
              <w:widowControl/>
              <w:spacing w:line="360" w:lineRule="exact"/>
              <w:ind w:left="0" w:leftChars="0" w:firstLine="0" w:firstLineChars="0"/>
              <w:jc w:val="left"/>
              <w:rPr>
                <w:rFonts w:hint="eastAsia" w:ascii="宋体" w:hAnsi="宋体" w:cs="宋体"/>
                <w:sz w:val="24"/>
                <w:szCs w:val="24"/>
                <w:highlight w:val="none"/>
                <w:u w:val="none"/>
              </w:rPr>
            </w:pPr>
            <w:r>
              <w:rPr>
                <w:sz w:val="24"/>
                <w:highlight w:val="none"/>
                <w:u w:val="none"/>
              </w:rPr>
              <w:t>应急服务方案</w:t>
            </w:r>
          </w:p>
        </w:tc>
        <w:tc>
          <w:tcPr>
            <w:tcW w:w="11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w:t>
            </w:r>
          </w:p>
        </w:tc>
        <w:tc>
          <w:tcPr>
            <w:tcW w:w="68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spacing w:line="360" w:lineRule="exact"/>
              <w:ind w:left="0" w:leftChars="0" w:firstLine="0" w:firstLineChars="0"/>
              <w:jc w:val="both"/>
              <w:textAlignment w:val="auto"/>
              <w:rPr>
                <w:rFonts w:hint="eastAsia" w:ascii="宋体" w:hAnsi="宋体" w:cs="仿宋"/>
                <w:kern w:val="0"/>
                <w:sz w:val="24"/>
                <w:szCs w:val="24"/>
                <w:u w:val="none"/>
              </w:rPr>
            </w:pPr>
            <w:r>
              <w:rPr>
                <w:rFonts w:hint="eastAsia" w:ascii="宋体" w:hAnsi="宋体" w:cs="仿宋"/>
                <w:kern w:val="0"/>
                <w:sz w:val="24"/>
                <w:szCs w:val="24"/>
                <w:u w:val="none"/>
              </w:rPr>
              <w:t>根据供应商提供的应急服务方案的详尽程度、科学性、合理性进行评审，优得</w:t>
            </w:r>
            <w:r>
              <w:rPr>
                <w:rFonts w:hint="eastAsia" w:ascii="宋体" w:hAnsi="宋体" w:cs="仿宋"/>
                <w:kern w:val="0"/>
                <w:sz w:val="24"/>
                <w:szCs w:val="24"/>
                <w:u w:val="none"/>
                <w:lang w:val="en-US" w:eastAsia="zh-CN"/>
              </w:rPr>
              <w:t>4</w:t>
            </w:r>
            <w:r>
              <w:rPr>
                <w:rFonts w:hint="eastAsia" w:ascii="宋体" w:hAnsi="宋体" w:cs="仿宋"/>
                <w:kern w:val="0"/>
                <w:sz w:val="24"/>
                <w:szCs w:val="24"/>
                <w:u w:val="none"/>
              </w:rPr>
              <w:t>分、良3分，一般1分， 差0分。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4" w:hRule="atLeast"/>
          <w:jc w:val="center"/>
        </w:trPr>
        <w:tc>
          <w:tcPr>
            <w:tcW w:w="9637" w:type="dxa"/>
            <w:gridSpan w:val="3"/>
            <w:tcBorders>
              <w:left w:val="single" w:color="auto" w:sz="4" w:space="0"/>
              <w:right w:val="single" w:color="auto" w:sz="4" w:space="0"/>
            </w:tcBorders>
            <w:noWrap w:val="0"/>
            <w:vAlign w:val="center"/>
          </w:tcPr>
          <w:p>
            <w:pPr>
              <w:pStyle w:val="118"/>
              <w:spacing w:before="77" w:line="242" w:lineRule="auto"/>
              <w:ind w:left="75" w:right="57"/>
              <w:rPr>
                <w:sz w:val="24"/>
                <w:highlight w:val="none"/>
                <w:u w:val="none"/>
              </w:rPr>
            </w:pPr>
            <w:r>
              <w:rPr>
                <w:spacing w:val="-3"/>
                <w:sz w:val="24"/>
                <w:highlight w:val="none"/>
                <w:u w:val="none"/>
              </w:rPr>
              <w:t xml:space="preserve">注： </w:t>
            </w:r>
            <w:r>
              <w:rPr>
                <w:sz w:val="24"/>
                <w:highlight w:val="none"/>
                <w:u w:val="none"/>
              </w:rPr>
              <w:t>1</w:t>
            </w:r>
            <w:r>
              <w:rPr>
                <w:spacing w:val="-7"/>
                <w:sz w:val="24"/>
                <w:highlight w:val="none"/>
                <w:u w:val="none"/>
              </w:rPr>
              <w:t xml:space="preserve">、计算过程中，算术平均值保留 </w:t>
            </w:r>
            <w:r>
              <w:rPr>
                <w:sz w:val="24"/>
                <w:highlight w:val="none"/>
                <w:u w:val="none"/>
              </w:rPr>
              <w:t>2</w:t>
            </w:r>
            <w:r>
              <w:rPr>
                <w:spacing w:val="-17"/>
                <w:sz w:val="24"/>
                <w:highlight w:val="none"/>
                <w:u w:val="none"/>
              </w:rPr>
              <w:t xml:space="preserve"> 位小数</w:t>
            </w:r>
            <w:r>
              <w:rPr>
                <w:sz w:val="24"/>
                <w:highlight w:val="none"/>
                <w:u w:val="none"/>
              </w:rPr>
              <w:t>（</w:t>
            </w:r>
            <w:r>
              <w:rPr>
                <w:spacing w:val="-10"/>
                <w:sz w:val="24"/>
                <w:highlight w:val="none"/>
                <w:u w:val="none"/>
              </w:rPr>
              <w:t xml:space="preserve">百分比亦取 </w:t>
            </w:r>
            <w:r>
              <w:rPr>
                <w:sz w:val="24"/>
                <w:highlight w:val="none"/>
                <w:u w:val="none"/>
              </w:rPr>
              <w:t>2</w:t>
            </w:r>
            <w:r>
              <w:rPr>
                <w:spacing w:val="-15"/>
                <w:sz w:val="24"/>
                <w:highlight w:val="none"/>
                <w:u w:val="none"/>
              </w:rPr>
              <w:t xml:space="preserve"> 位小数</w:t>
            </w:r>
            <w:r>
              <w:rPr>
                <w:spacing w:val="-4"/>
                <w:sz w:val="24"/>
                <w:highlight w:val="none"/>
                <w:u w:val="none"/>
              </w:rPr>
              <w:t>），第三位小数</w:t>
            </w:r>
            <w:r>
              <w:rPr>
                <w:sz w:val="24"/>
                <w:highlight w:val="none"/>
                <w:u w:val="none"/>
              </w:rPr>
              <w:t>四舍五入。</w:t>
            </w:r>
          </w:p>
          <w:p>
            <w:pPr>
              <w:widowControl/>
              <w:spacing w:line="360" w:lineRule="exact"/>
              <w:jc w:val="left"/>
              <w:rPr>
                <w:rFonts w:hint="eastAsia" w:ascii="宋体" w:hAnsi="宋体" w:cs="宋体"/>
                <w:color w:val="000000"/>
                <w:kern w:val="0"/>
                <w:sz w:val="24"/>
                <w:szCs w:val="24"/>
                <w:highlight w:val="none"/>
                <w:u w:val="none"/>
              </w:rPr>
            </w:pPr>
            <w:r>
              <w:rPr>
                <w:sz w:val="24"/>
                <w:highlight w:val="none"/>
                <w:u w:val="none"/>
              </w:rPr>
              <w:t>2、供应商的最终得分为：所有评委对其评分的算术平均值。</w:t>
            </w:r>
          </w:p>
        </w:tc>
      </w:tr>
    </w:tbl>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0" w:name="_Toc29752"/>
      <w:bookmarkStart w:id="31" w:name="_Toc21374"/>
      <w:bookmarkStart w:id="32" w:name="_Toc23656"/>
      <w:bookmarkStart w:id="33" w:name="_Toc14133"/>
      <w:r>
        <w:rPr>
          <w:rFonts w:hint="eastAsia" w:cs="宋体" w:asciiTheme="majorEastAsia" w:hAnsiTheme="majorEastAsia" w:eastAsiaTheme="majorEastAsia"/>
          <w:color w:val="000000" w:themeColor="text1"/>
        </w:rPr>
        <w:t>2. 评审标准</w:t>
      </w:r>
      <w:bookmarkEnd w:id="30"/>
      <w:bookmarkEnd w:id="31"/>
      <w:bookmarkEnd w:id="32"/>
      <w:bookmarkEnd w:id="33"/>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u w:val="single"/>
          <w:lang w:val="en-US" w:eastAsia="zh-CN"/>
        </w:rPr>
        <w:t xml:space="preserve"> </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、技术</w:t>
      </w:r>
      <w:r>
        <w:rPr>
          <w:rFonts w:hint="eastAsia" w:cs="宋体" w:asciiTheme="majorEastAsia" w:hAnsiTheme="majorEastAsia" w:eastAsiaTheme="majorEastAsia"/>
          <w:b/>
          <w:bCs/>
          <w:color w:val="000000" w:themeColor="text1"/>
          <w:kern w:val="0"/>
          <w:sz w:val="24"/>
        </w:rPr>
        <w:t>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  </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4" w:name="_Toc8777"/>
      <w:bookmarkStart w:id="35" w:name="_Toc14035"/>
      <w:bookmarkStart w:id="36" w:name="_Toc18463"/>
      <w:bookmarkStart w:id="37" w:name="_Toc7632"/>
      <w:r>
        <w:rPr>
          <w:rFonts w:hint="eastAsia" w:cs="宋体" w:asciiTheme="majorEastAsia" w:hAnsiTheme="majorEastAsia" w:eastAsiaTheme="majorEastAsia"/>
          <w:color w:val="000000" w:themeColor="text1"/>
        </w:rPr>
        <w:t>3. 评标程序</w:t>
      </w:r>
      <w:bookmarkEnd w:id="34"/>
      <w:bookmarkEnd w:id="35"/>
      <w:bookmarkEnd w:id="36"/>
      <w:bookmarkEnd w:id="37"/>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8" w:name="_Toc23721"/>
      <w:bookmarkStart w:id="39" w:name="_Toc4197"/>
      <w:r>
        <w:rPr>
          <w:rFonts w:hint="eastAsia" w:cs="仿宋" w:asciiTheme="majorEastAsia" w:hAnsiTheme="majorEastAsia" w:eastAsiaTheme="majorEastAsia"/>
          <w:b w:val="0"/>
          <w:color w:val="000000" w:themeColor="text1"/>
          <w:sz w:val="36"/>
          <w:szCs w:val="36"/>
        </w:rPr>
        <w:t>第四章  合同条款及格式</w:t>
      </w:r>
      <w:bookmarkEnd w:id="38"/>
      <w:bookmarkEnd w:id="39"/>
      <w:bookmarkStart w:id="40" w:name="_Toc433363808"/>
      <w:bookmarkStart w:id="41" w:name="_Toc434784403"/>
      <w:bookmarkStart w:id="42" w:name="_Toc434784363"/>
    </w:p>
    <w:bookmarkEnd w:id="40"/>
    <w:bookmarkEnd w:id="41"/>
    <w:bookmarkEnd w:id="42"/>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3"/>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4"/>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6"/>
        </w:numPr>
        <w:jc w:val="center"/>
        <w:rPr>
          <w:rFonts w:cs="仿宋" w:asciiTheme="majorEastAsia" w:hAnsiTheme="majorEastAsia" w:eastAsiaTheme="majorEastAsia"/>
          <w:b w:val="0"/>
          <w:color w:val="000000" w:themeColor="text1"/>
          <w:sz w:val="36"/>
          <w:szCs w:val="36"/>
        </w:rPr>
      </w:pPr>
      <w:bookmarkStart w:id="43" w:name="_Toc452306038"/>
      <w:bookmarkStart w:id="44" w:name="_Toc27835"/>
      <w:bookmarkStart w:id="45" w:name="_Toc10291"/>
      <w:r>
        <w:rPr>
          <w:rFonts w:hint="eastAsia" w:cs="仿宋" w:asciiTheme="majorEastAsia" w:hAnsiTheme="majorEastAsia" w:eastAsiaTheme="majorEastAsia"/>
          <w:b w:val="0"/>
          <w:color w:val="000000" w:themeColor="text1"/>
          <w:sz w:val="36"/>
          <w:szCs w:val="36"/>
        </w:rPr>
        <w:t>项目内容、服务标准和要求</w:t>
      </w:r>
      <w:bookmarkEnd w:id="43"/>
      <w:bookmarkEnd w:id="44"/>
      <w:bookmarkEnd w:id="45"/>
      <w:bookmarkStart w:id="46" w:name="_Toc452306039"/>
    </w:p>
    <w:p>
      <w:pPr>
        <w:rPr>
          <w:color w:val="000000" w:themeColor="text1"/>
        </w:rPr>
      </w:pPr>
    </w:p>
    <w:tbl>
      <w:tblPr>
        <w:tblStyle w:val="39"/>
        <w:tblW w:w="139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0"/>
        <w:gridCol w:w="576"/>
        <w:gridCol w:w="10745"/>
        <w:gridCol w:w="1007"/>
        <w:gridCol w:w="10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3911"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智慧云网络语音室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产品名称</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技术参数</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8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云平台</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集中部署：客户机从网络服务器加载镜像，一键安装部署，批量成功。支持在服务器端对认证用户，用户桌面，母盘镜像，物理主机进行统一的管理和维护，更新终端系统；具有自主更新功能，管理员对虚拟系统镜像的变更可先在指定范围内更新，确认无误后再更新到所有终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2.扩容要求：单台服务器可以同时支持64个以上桌面镜像同时使用，系统扩容增加终端数量无需另外购置服务器或增加服务器数量及配置。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3.备援方案： 两套独立模块构成具备冗余能力的运算系统，平时两套主机模块协同并行工作，当某一套故障，另一套系统可以独立支撑整个教室应急运行，在此模式，所有教学功能正常，能正常完成教学任务。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4.灵活还原：支持手工还原、开机还原、快照还原等多种还原策略； 快照还原，可以生成指定场景的私有快照；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5.重运算支持：系统可以支持1080p 视频点播，以及图形图像处理软件(如 photoshop，3Dmax等)的重运算能力；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6.桌面平移：根据不同的教学场景要求，提供丰富的Windows7/10等教学场景支持，批量安装，快速切换；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7.远程维护：远程开关机、远程重启、发送指令与消息、自动时间校对、文件分发、修改机器名等；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8.基于VOI（Virtual OS Infrastructure）架构，充分利用终端硬件计算性能（CPU、GPU、网络），终端能够运用终端本地硬件进行相关的重运算的进行，不需要依托服务器的硬件来进行运算。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快速安装：当系统需要在所有学生端和老师端安装新的应用软件，无需逐一安装.克隆.同传等复杂安装形式，只需要在学生端设置超级用户，然后任一学生端安装应用软件重启设备即可，整个过程只需要几分钟即可完成所有安装，使软件安装更加方便快捷易操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提供所投产品著作权以及国家权威部门出具的云平台检测报告。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▲提供厂商参数确认函原件加盖授权厂家鲜章。</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点</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80" w:hRule="atLeast"/>
        </w:trPr>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云智能语音教学平台</w:t>
            </w:r>
          </w:p>
        </w:tc>
        <w:tc>
          <w:tcPr>
            <w:tcW w:w="107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1.多语种操作界面：系统必须具备多语种操作界面，不关闭软件即可切换各种语言界面。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2.变速不变调播放：区别美式发音和英式发音，支持教师广播音频，学生点播的音频文件进行无级变速不变调播放，语音播放速度范(50%~+200%)调整。（提供原厂商出具的软件功能界面截图材料加盖厂商公章）。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3.外设音量控制：通过语音教学软件即可进行各类外接设备的音量控制以及管理，不需单独操作。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4.实名登录：让学生自己选择实名注册，在教师端的操作界面上即可实时显示学生姓名、学号、性别等信息。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5.电子备课：教师可以调用本地资源库、校园网（包括互联网）及外部设备（包括录像机、影碟机、实物展示台和卡座等）的多媒体资源进行处理，编辑制作成教案或电子试卷，存入本地资源库或校园网资源库。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学生远程监控：教师对学生机进行个别、分组或全体控制，教师可在任意状态下监听和监看学生终端得运行情况和状态。支持文件收集、支持发送文件、支持删除文件、支持运行软件、支持打开网页、支持关闭程序、支持禁止软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7.远程遥控：教师可直接控制、操作学生终端，同时将操作的界面内容广播到其他学生端。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8.系统支持自带英汉互译词典。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9.学生状态管理：黑屏警告、锁定键盘鼠标、全体重启、设定教室布局、设定学生名单、打开/保存教师配置文件、学生上机自主学习，提供记费管理，监听学生、监视学生屏幕。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一键切换：一个学生端WINDOWS运行环境母本确认后，一键切换即可生成全班学生需要的操作系统，且生成系统的同时自动更改计算机名、IP地址等个体信息并立即联网运行。配置好一个学生WINDOWS母本后，一键切换，整个网络30秒立即自动更新并正常联网运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11.广播屏幕:软件界面自带多路径广播，可以广播本地资源，还支持广播笔记本、展台、DVD、外接音视频信号通过以太网以数字方式直传到学生位置，无须多媒体中控台，软件自带多路径选择功能。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12.系统支持学生界面语言设置。（需提供软件界面截图）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13.系统支持实名登录,系统可监测到全班人数,已登录人数跟名单,未登录人数,支持将本节课登录学生情况导出为EXCEL保存。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14.系统支持自主录音功能，录音模式支持MIC、MIC+SPK，回放录音支持全体回放，指定回放。（提供原厂商出具的软件功能界面截图材料加盖厂商公章）。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15.系统支持AB点设置，在听音视频过程中对于疑难的单词或者句子，可以通过设置AB点反复收听。时间节点不受限制，同时配合变速不变调。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人脸识别：系统认证支持人脸识别功能，可采集学生头像进行识别签到，学生头像可显示到教师授课界面中。17.示范：教师可以和学生（一个或多个）对话并同时和学生交互式操作软件，同时这个过程的语音和视频也可以实时示范给全班学生的屏幕和耳麦，被示范的学生有疑问可以电子举手请求发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18.提问：教师可以选择任何一个学生进行课堂的随时提问。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19.广播教学：支持将教师机的桌面广播给学生机，广播无延时、画面清晰流畅；支持Word、PPT等Office软件，DirectDraw、Direct3D、OpenGL、3DMax、AutoCAD、Flash、DVD光驱等为广播内容；或在线播放视频广播给学生；支持屏幕广播同时进行语音广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分组讨论系统：教师可以将学生按每组2～10人分组；小组讨论结束后，可让各小组自听讨论录音，也可让小组间互听讨论录音，教师可任意选择讨论录音，进行示范或讲评。（提供原厂商出具的软件功能界面截图材料加盖厂商公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21.系统支持监听功能，在学生无任何感知情况下，教师可对任意学生启动监听。</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22.支持创建自主讨论，支持学生自由加入，支持教师可以随时查看讨论组学生成员。学生在选择加入讨论组时，可以先浏览谈论组的成员，加入或者退出都不影响讨论组其他成员讨论。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教师演示：教师演示是通过广播屏幕的形式来实现的；教师演示的画面文字清晰、色彩饱满、鼠标移动轨迹实时；教学中演示软件操作、习题解答、观点论述、重点标注过程等需求，都可以通过教师演示功能完成。（需提供软件界面截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24、转播示范：支持将任意学生的屏幕转播到其他学生的屏幕上；适应于多种教学场景，如PPT演示，软件使用，计算机操作，CAD、CorelDRAW、Photoshop制作等等。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25、遥控辅导：在教学过程或者自主学习状态下，教师可以选择一个学生进行在线监控辅导，达到手把手教学的效果，搭配个别通话效果更佳。适应于多种教学场景，如PPT演示，软件使用，计算机操作，CAD、CorelDRAW、Photoshop制作等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支持答题示范：答题示范是指老师指定某个学生操作教师计算机，并广播给其他学生计算机的过程。在此过程中，学生可以控制操作教师电脑，此学生充当“小教师”，其余同学同时同步收看此学生的操作，搭配提问效果更佳。（需提供软件界面截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27.教师端支持在学生无察觉状态下监看学生屏幕，支持将监看的学生屏幕内容实时广播给全班学生。</w:t>
            </w: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755" w:type="dxa"/>
            <w:vMerge w:val="continue"/>
            <w:tcBorders>
              <w:top w:val="single" w:color="000000" w:sz="4" w:space="0"/>
              <w:left w:val="single" w:color="000000" w:sz="4" w:space="0"/>
              <w:bottom w:val="nil"/>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6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听力阅读口语练习平台</w:t>
            </w:r>
          </w:p>
        </w:tc>
        <w:tc>
          <w:tcPr>
            <w:tcW w:w="10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跟读评测：跟读做练习时，跟读的声音与原音在同一界面形成两道波形做对比，可以根据两道波形是否起伏一致或接近，来判断自己口语是否标准。支持回放原音及跟读录音，支持跟读时长、跟读音量、原音音量的设置，在该练习模式下支持与变速不变调功能协同练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2.听写与组句练习：支持添加英文单词文档，软件系统提供单词发音，学生在指定区域拼写，系统支持自动统计正确和错误单词数量；组句练习可以掌握语句的句型，对比在不同语句句型中单词的发音区别。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文本口语练习：口语训练平台可对自行组织的文本进行跟读，从多个角度进行效果评测，系统反应出跟读发音的准确程度，音调、音量的准确程度及跟读的流利程度，系统自带智能识别引擎，练习完成后系统会自动给出总评分成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4.译文同步显示：在语言学习中如果听到声音的同时，能显示出该音频对应的译文，支持译文对比。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5.电影配音：支持角色扮演功能，学生作为媒体资源文件中角色的扮演者进行场景对话训练，模拟场景练习； 支持教师端控制是否播放媒体资源的原声。</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8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口语翻译训练平台</w:t>
            </w:r>
          </w:p>
        </w:tc>
        <w:tc>
          <w:tcPr>
            <w:tcW w:w="10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口译教学功能：系统必须具备同声传译、交替传译、视译训练、影子训练功能，满足口译教学的专业化教学要求；可进行同传教学训练，系统必须收听支持四种收听模式（原语、双耳译语、左源右译、原译混合）。教学背景图片可以根据用户的需要更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1.同声传译（Simultaneous interpretation），简称“同传”，又称“同声翻译”、“同步口译”，是指译员在不打断讲话者讲话的情况下，不间断地将内容口译给听众的一种翻译方式，同声传译员通过专用的设备提供即时的翻译，这种方式适用于大型的研讨会和国际会议，通常由两名到三名译员轮换进行。同声传译效率高，能保证演讲或会议的流畅进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2.交替传译（consecutive interpreting）- 口译员坐在会议室里，一面听源语讲话，一面记笔记。当讲者发言结束或停下来等候传译的时候，口译员用清楚、自然的目的语，准确、完整地重新表达源语发言的全部信息内容，就像自己在演讲一样。会议口译中的交替传译要求口译员能够听取长达五至十分钟连续不断的讲话，并运用良好的演讲技巧，完整、准确地译出其全部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3.视译训练(on-sight interpreting)是指同传译员拿着讲话人的发言稿，边听发言、边看原稿、边进行同声传译。受训人员坐在“箱子”里，能够清晰看到发言人的特写镜头的同时也可以通过显示器看到发言者的文稿。视译时可以用很短时间对原文通读一遍，了解发言人的主要内容并对语言、专业难点做“译前准备”。特点：译员看文本或者视频，听原语，进行同期翻译训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影子练习（shadow-exercise），即跟读训练。这种方法就是用同一种语言几乎同步地跟读原语发言人的讲话，它可以训练听说同步技巧和注意力的分配。刚开始训练时可以和原语同步开始，待操练了一阵子后，可以迟于原语片刻至一句话的时间跟读。跟读时耳朵、嘴巴和大脑要一起派上用场，耳朵听、嘴巴说、脑子记。这是需要精神非常集中的一种练习，也是提高语速、提高理解速度、修改语音语调的最好方法。在高语速条件下，边跟读边完全理解语义是有相当难度的，但这种训练能为口译打下扎实的基础。各种新闻、谈话节目、研讨会、音乐体育节目、演讲等都是上好材料。</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4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云智能口语考试平台</w:t>
            </w:r>
          </w:p>
        </w:tc>
        <w:tc>
          <w:tcPr>
            <w:tcW w:w="10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系统支持自主编辑试卷，支持答案、分值、考试时间编辑，其题型支持单选、多选、判断、填空、写作等题型的标准化考试。支持试卷维护功能，可以把现有试卷做为试卷模板供新建试卷使用，支持试卷中的试题导入题库功能，支持从题库中选择试题加入试卷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考试分析：考试分析可以统计出某一场考试里的，最高分、最低分、平均分；实际人数、及格人数、及格比例、参加比例、应参加人数、缺考人数等；还能对记录最早和最迟交卷的考生；耗时最长和最短的考生做记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3.支持随堂测试跟抢答测试。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4.口语考试系统：支持大学外语四、六级和专业四、八级考试、国家汉语水平考试（HSK）、国家翻译专业资格（水平）考试（CATTI）及更多其它语言类考试，支持手动录音口语考试。</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5.成绩分析：成绩分析功能可以根据用户的定义的分数段，通过图形方式显示出各个分数段考生的百分比。如60～100分的有几个人，占总人数的百分比是多少。</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6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协作式互助教学平台</w:t>
            </w:r>
          </w:p>
        </w:tc>
        <w:tc>
          <w:tcPr>
            <w:tcW w:w="10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教师演示：教师演示是通过广播屏幕的形式来实现的；教师演示的画面文字清晰、色彩饱满、鼠标移动轨迹实时；教学中演示软件操作、习题解答、观点论述、重点标注过程等需求，都可以通过教师演示功能完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转播示范：可以将任意学生的屏幕转播到其他学生的屏幕上，这样可以让一个学生做示范性的演示或讲解。适应于多种教学场景，如PPT演示，软件使用，计算机操作，CAD、CorelDRAW、Photoshop制作等等，尤其是让学生展示自己的作品或电子作业，通过转播示范，学生在自己的座位操作自己的电脑就可以完成展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3、遥控辅导：教师可以随时接管学生的键盘鼠标对学生进行操作辅导，无需走到每个学生的位置去辅导；适应于多种教学场景，如PPT演示，软件使用，计算机操作，CAD、CorelDRAW、Photoshop制作等等。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答题示范：教师可以任意指定一个学生来操作教师计算机进行示范性答题，此学生的答题过程会同步广播到所有学生端。教学中各类软件操作、习题解答等都可以通过答题示范的功能完成。答题示范时被指定的学生只需要在自己座位上操作教师计算机即可，解决了以往演示需要到教师端操作的弊端。答题示范功能操作简单、使用便捷、省时省力、能有效的提高教学质量。</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教师耳机话简组</w:t>
            </w:r>
          </w:p>
        </w:tc>
        <w:tc>
          <w:tcPr>
            <w:tcW w:w="10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双声道、高保真、防磁立体声、内磁式、单指向抗噪声麦克风、平衡传输、RJ11接口抗拉扯、抗扭曲。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1.耳机：频率响应: 125Hz～8000 Hz, ±17 dB（0dB=20uPa）(输入功率=1mW)；电阻抗: 32Ω±20％；灵敏度：≥100dB/1mW (0dB=20uPa)。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2.麦克：频率响应：40－20000HZ；灵敏度: -47±2 dB（0 dB=1V/Pa）。</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教师控制台</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防火板环保材质，25mm面板一次性热弯无缝封边，三舱室分区设计，隐藏式推拉柜门密封防尘、散热孔、无声滑道，键盘托架，防水封边，1800*750*730mm,可定制。</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教师椅</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五轮转椅、可升降、带靠背扶手</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教师显示器</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23寸LCD显示器自带HDMI接口和VGA接口</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双控制备援系统模块</w:t>
            </w:r>
          </w:p>
        </w:tc>
        <w:tc>
          <w:tcPr>
            <w:tcW w:w="10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双控制备援系统的可靠性：系统支持控制备援功能，当控制中心某个模块发生故障不能提供服务时，自动将故障服务器上的桌面迁移到正常的服务器上，学生端完全透明，不影响正常教学，确保整个系统安全高效的运行，避免教学事故的发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2.在双控制备援系统基础上增加双硬盘灾难恢复机制，可以实现系统离线相互备份还原功能，如控制中心主机系统损坏，教师单键操作即可实现离线系统还原，最大限度保障教学系统绝对的稳定性及安全性。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3.双控制备援系统模块具备电容式触摸真彩图形控制面板，真彩液晶尺寸大于等于5.1寸，具备二维码扫描功能，支持通过二维码自动识别教师身份。（提供产品图片的官网截图加盖生产厂家公章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4.提供厂商参数确认函原件加盖授权厂家鲜章。</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云中心控制主机</w:t>
            </w:r>
          </w:p>
        </w:tc>
        <w:tc>
          <w:tcPr>
            <w:tcW w:w="10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1、处理器:两颗双核心CPU内部高速缓≥3MB, 主频≥1.8Ghz，睿频技术≥4.0Ghz两颗；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2、内存：≥32GB DDR3-1600；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3、250G M.2 SSD*2 双硬盘系统可以相互实现系统离线备份还原功能，如系统损坏，教师单键操作即可实现离线系统还原，最大限度保障教学系统稳定性，250GB 固态硬盘*3+2TB SATA机械硬盘；选配外置光驱；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4.接口USB≥9个，HDMI接口≥4,视频输入接口≥4，视频输出接口≥2，音频输入接口≥3，音频输出≥3，RJ11≥1;RJ45外部物理控制面板接口≥64；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5、实时音频传输及混频系统：系统采用高保真网络音频传输技术，支持通过硬件方式并行处理多路音频的传输及混频，解决以太网技术下音频信号并发传输延迟断裂的问题；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6、视频广播系统：要具有高达25.6G b/s的实时数据处理能力，通过FPGA及其他硬件编解码电路实现；全部视频信号硬件实时采集编码，支持1080p视频信号通过千兆以太网 “全千兆POE馈电网络端口 ”实时传输；整个系统全部采用HDMI高清全数字视频接口，完美支持全高清视频信号，实现全数字高清视频实时广播；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7、结合世界先进的半导体嵌入式（DSP）模块化设计技术，使音频信号完全以数字流形式在主控制设备与学生终端之间交换、存储及传输，进而获得专业流畅的音视频效果；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8、采用嵌入式众核并行处理技术，将服务器输出的高清数字DVI信号进行实时采样、实时压缩、实时编码为以太网数据包，通过千M以太网发往学生端。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9、技术指标：系统频率响应：20Hz～20KHz KHZ（±2db）；延迟时间：≤4ms；（提供相关证明文件加盖厂商公章）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10、输出通道配置：≥64个的Rj45输出通道配置，支持POE网络供电、全千兆数据交换、音频信号传输、视频信号传输于一体，学生端无220伏强电接入。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11、主要硬件（中心控制服务器、智能终端一体机）和中心管理平台、教学软件均为同一厂家品牌。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12、教师控制电脑、音视频控制系统、POE网络供电、数据交换系统为一体化设计。</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路由器</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千兆企业级路由器</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网线</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6类网线</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箱</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8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多功能云终端一体机</w:t>
            </w:r>
          </w:p>
        </w:tc>
        <w:tc>
          <w:tcPr>
            <w:tcW w:w="10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1.千兆网络口同时具备POE功能，同时满足学生端供电需要；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2.流畅使用教学大纲要求的各种WINDOWS /7/8/10  32&amp;64bit平台教学软件,无软件兼容性问题，支持3D软件；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3.流畅浏览互联网高清视频节目；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4.流畅点播资源库高清视频节目，支持各种音频视频格式TS/M2TS/MTS/TP/MKV/AVI/WMV/MPG/MOV/VOB/MP4/DVD ISO/BD ISO MP3/WMA/FLAC/APE/OGG等；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5.集成先进的INTEL 64位4核心嵌入式CPU,核心频率2GHZ~2.42GHZ,内存4GB,局域网支持1000M,支持网络存储及本地存储双通道</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6.前置式USB3.0接口，拷贝数据输入输出速率达100MB/S以上。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7.21.5英寸1920*1080真彩液晶面板；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8.耳麦接口：RJ11接口。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10.电源及功耗：无需专用电源（POE技术，网线兼供电）；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9.先进的“零终端”模式，即插即用，零配置(包括无需设置IP地址)，不怕电脑病毒攻击，零软件维护。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10.学生终端连接外部只需要一根通用超六类网线，即可完成千兆数据传输、实时音频数据传输、实时视频数据传输、供电（无需220V强电），真正实现一线通。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11.一体化终端终端采用免配置设计，无需设置IP地址等任何参数，可以直接任意互换，维护傻瓜化，利于保证设备完好率。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非生产厂商需提供制造商授权书复印件及售后服务承诺书，并提供厂商参数确认函原件加盖授权厂家鲜章。</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键盘鼠标</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标准USB光电套装</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学生耳机话简组</w:t>
            </w:r>
          </w:p>
        </w:tc>
        <w:tc>
          <w:tcPr>
            <w:tcW w:w="1075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双声道、高保真、防磁立体声、内磁式、单指向抗噪声麦克风、平衡传输、RJ11接口抗拉扯、抗扭曲。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1.耳机：频率响应: 125Hz～8000 Hz, ±17 dB（0dB=20uPa）(输入功率=1mW)；电阻抗: 32Ω±20％；灵敏度：≥100dB/1mW (0dB=20uPa)。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2.麦克：频率响应：40－20000HZ；灵敏度: -47±2 dB（0 dB=1V/Pa）。</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副</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学生桌</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语音室专用隔断式双联桌，防火板环保材质，箱体设计，走线全封闭， 5mm无色玻璃、专用ABS材质耳机挂钩， 1400*550*700（1010侧立板）mm，可定制。</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张</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学生凳</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钢木方凳：370*270*440mm，凳面采用高密度三聚氰胺防火板贴面， 四周PVC封边。凳架：采用25*25*1.2mm、20*20*1.2mm的高频焊接钢管分别构成凳腿和横梁。脚套采用优质ABS塑料件，静音耐磨防滑，可定制。</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把</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服务器机柜</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22标准服务器机柜</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综合布线、安装</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符合国家和行业网络施工质量标准，布设线槽须强弱电分离，走线合理互不交叉设备连接用AV电缆、材料、附件、接插件一批及安装调试</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1间</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18"/>
                <w:szCs w:val="18"/>
                <w:u w:val="none"/>
              </w:rPr>
            </w:pPr>
          </w:p>
        </w:tc>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07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3间</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bl>
    <w:p>
      <w:pPr>
        <w:pStyle w:val="38"/>
        <w:ind w:firstLine="0" w:firstLineChars="0"/>
        <w:rPr>
          <w:rFonts w:asciiTheme="minorEastAsia" w:hAnsiTheme="minorEastAsia" w:eastAsiaTheme="minorEastAsia"/>
          <w:sz w:val="22"/>
          <w:szCs w:val="22"/>
        </w:rPr>
      </w:pPr>
    </w:p>
    <w:p>
      <w:pPr>
        <w:widowControl/>
        <w:jc w:val="left"/>
        <w:rPr>
          <w:color w:val="000000" w:themeColor="text1"/>
        </w:rPr>
      </w:pPr>
      <w:r>
        <w:rPr>
          <w:rFonts w:asciiTheme="minorEastAsia" w:hAnsiTheme="minorEastAsia" w:eastAsiaTheme="minorEastAsia"/>
          <w:sz w:val="22"/>
          <w:szCs w:val="22"/>
        </w:rPr>
        <w:br w:type="page"/>
      </w:r>
    </w:p>
    <w:p>
      <w:pPr>
        <w:pStyle w:val="38"/>
        <w:ind w:left="0" w:leftChars="0" w:firstLine="0" w:firstLineChars="0"/>
        <w:rPr>
          <w:color w:val="000000" w:themeColor="text1"/>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48"/>
        <w:rPr>
          <w:rFonts w:cs="Arial" w:asciiTheme="majorEastAsia" w:hAnsiTheme="majorEastAsia" w:eastAsiaTheme="majorEastAsia"/>
          <w:color w:val="000000" w:themeColor="text1"/>
          <w:sz w:val="36"/>
          <w:szCs w:val="36"/>
        </w:rPr>
      </w:pPr>
    </w:p>
    <w:p>
      <w:pPr>
        <w:pStyle w:val="48"/>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7" w:name="_Toc7651"/>
      <w:bookmarkStart w:id="48" w:name="_Toc4008"/>
    </w:p>
    <w:p>
      <w:pPr>
        <w:pStyle w:val="3"/>
        <w:jc w:val="center"/>
        <w:rPr>
          <w:rFonts w:cs="仿宋" w:asciiTheme="majorEastAsia" w:hAnsiTheme="majorEastAsia" w:eastAsiaTheme="majorEastAsia"/>
          <w:b w:val="0"/>
          <w:color w:val="000000" w:themeColor="text1"/>
          <w:sz w:val="36"/>
          <w:szCs w:val="36"/>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48"/>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6"/>
      <w:bookmarkEnd w:id="47"/>
      <w:bookmarkEnd w:id="48"/>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49" w:name="_Toc21985"/>
      <w:r>
        <w:rPr>
          <w:rFonts w:hint="eastAsia" w:cs="仿宋" w:asciiTheme="majorEastAsia" w:hAnsiTheme="majorEastAsia" w:eastAsiaTheme="majorEastAsia"/>
          <w:b/>
          <w:bCs/>
          <w:color w:val="000000" w:themeColor="text1"/>
          <w:spacing w:val="2"/>
          <w:sz w:val="44"/>
          <w:szCs w:val="44"/>
        </w:rPr>
        <w:t>投标文件</w:t>
      </w:r>
      <w:bookmarkEnd w:id="49"/>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0" w:name="_Toc30099"/>
      <w:r>
        <w:rPr>
          <w:rFonts w:hint="eastAsia" w:cs="仿宋" w:asciiTheme="majorEastAsia" w:hAnsiTheme="majorEastAsia" w:eastAsiaTheme="majorEastAsia"/>
          <w:color w:val="000000" w:themeColor="text1"/>
          <w:sz w:val="30"/>
          <w:szCs w:val="30"/>
        </w:rPr>
        <w:t>项目编号：</w:t>
      </w:r>
      <w:bookmarkEnd w:id="50"/>
    </w:p>
    <w:p>
      <w:pPr>
        <w:pStyle w:val="121"/>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1"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1"/>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pStyle w:val="122"/>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2" w:name="_Toc15971"/>
      <w:r>
        <w:rPr>
          <w:rFonts w:hint="eastAsia" w:asciiTheme="majorEastAsia" w:hAnsiTheme="majorEastAsia" w:eastAsiaTheme="majorEastAsia"/>
          <w:b/>
          <w:bCs/>
          <w:color w:val="000000" w:themeColor="text1"/>
          <w:sz w:val="36"/>
          <w:szCs w:val="36"/>
        </w:rPr>
        <w:t>五、投标报价单</w:t>
      </w:r>
      <w:bookmarkEnd w:id="52"/>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39"/>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3" w:name="_Toc30280"/>
      <w:r>
        <w:rPr>
          <w:rFonts w:hint="eastAsia" w:asciiTheme="majorEastAsia" w:hAnsiTheme="majorEastAsia" w:eastAsiaTheme="majorEastAsia"/>
          <w:b/>
          <w:bCs/>
          <w:color w:val="000000" w:themeColor="text1"/>
          <w:sz w:val="36"/>
          <w:szCs w:val="36"/>
        </w:rPr>
        <w:t>六、投标报价汇总表</w:t>
      </w:r>
      <w:bookmarkEnd w:id="53"/>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39"/>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0"/>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39"/>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4" w:name="_Toc4431"/>
      <w:r>
        <w:rPr>
          <w:rFonts w:hint="eastAsia" w:asciiTheme="majorEastAsia" w:hAnsiTheme="majorEastAsia" w:eastAsiaTheme="majorEastAsia"/>
          <w:b/>
          <w:bCs/>
          <w:color w:val="000000" w:themeColor="text1"/>
          <w:sz w:val="36"/>
          <w:szCs w:val="36"/>
        </w:rPr>
        <w:t>七、供应商基本情况</w:t>
      </w:r>
      <w:bookmarkEnd w:id="54"/>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39"/>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4"/>
              <w:rPr>
                <w:rFonts w:cs="仿宋" w:asciiTheme="majorEastAsia" w:hAnsiTheme="majorEastAsia" w:eastAsiaTheme="majorEastAsia"/>
                <w:b/>
                <w:bCs/>
                <w:color w:val="000000" w:themeColor="text1"/>
                <w:sz w:val="20"/>
                <w:szCs w:val="20"/>
              </w:rPr>
            </w:pPr>
          </w:p>
          <w:p>
            <w:pPr>
              <w:pStyle w:val="118"/>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18"/>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18"/>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18"/>
              <w:kinsoku w:val="0"/>
              <w:overflowPunct w:val="0"/>
              <w:rPr>
                <w:rFonts w:cs="仿宋" w:asciiTheme="majorEastAsia" w:hAnsiTheme="majorEastAsia" w:eastAsiaTheme="majorEastAsia"/>
                <w:b/>
                <w:bCs/>
                <w:color w:val="000000" w:themeColor="text1"/>
              </w:rPr>
            </w:pPr>
          </w:p>
          <w:p>
            <w:pPr>
              <w:pStyle w:val="118"/>
              <w:kinsoku w:val="0"/>
              <w:overflowPunct w:val="0"/>
              <w:spacing w:before="1"/>
              <w:rPr>
                <w:rFonts w:cs="仿宋" w:asciiTheme="majorEastAsia" w:hAnsiTheme="majorEastAsia" w:eastAsiaTheme="majorEastAsia"/>
                <w:b/>
                <w:bCs/>
                <w:color w:val="000000" w:themeColor="text1"/>
                <w:sz w:val="23"/>
                <w:szCs w:val="23"/>
              </w:rPr>
            </w:pPr>
          </w:p>
          <w:p>
            <w:pPr>
              <w:pStyle w:val="118"/>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5" w:name="_Toc31879"/>
      <w:r>
        <w:rPr>
          <w:rFonts w:hint="eastAsia" w:asciiTheme="majorEastAsia" w:hAnsiTheme="majorEastAsia" w:eastAsiaTheme="majorEastAsia"/>
          <w:b/>
          <w:bCs/>
          <w:color w:val="000000" w:themeColor="text1"/>
          <w:sz w:val="36"/>
          <w:szCs w:val="36"/>
        </w:rPr>
        <w:t>八、一般商务条款偏离表</w:t>
      </w:r>
      <w:bookmarkEnd w:id="55"/>
    </w:p>
    <w:p>
      <w:pPr>
        <w:rPr>
          <w:rFonts w:asciiTheme="majorEastAsia" w:hAnsiTheme="majorEastAsia" w:eastAsiaTheme="majorEastAsia"/>
          <w:color w:val="000000" w:themeColor="text1"/>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6" w:name="_Toc14504"/>
      <w:r>
        <w:rPr>
          <w:rFonts w:hint="eastAsia" w:asciiTheme="majorEastAsia" w:hAnsiTheme="majorEastAsia" w:eastAsiaTheme="majorEastAsia"/>
          <w:b/>
          <w:bCs/>
          <w:color w:val="000000" w:themeColor="text1"/>
          <w:sz w:val="36"/>
          <w:szCs w:val="36"/>
        </w:rPr>
        <w:t>九、同类项目业绩介绍</w:t>
      </w:r>
      <w:bookmarkEnd w:id="56"/>
    </w:p>
    <w:p>
      <w:pPr>
        <w:pStyle w:val="14"/>
        <w:kinsoku w:val="0"/>
        <w:overflowPunct w:val="0"/>
        <w:rPr>
          <w:rFonts w:asciiTheme="majorEastAsia" w:hAnsiTheme="majorEastAsia" w:eastAsiaTheme="majorEastAsia"/>
          <w:b/>
          <w:bCs/>
          <w:color w:val="000000" w:themeColor="text1"/>
          <w:sz w:val="20"/>
          <w:szCs w:val="20"/>
        </w:rPr>
      </w:pP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7" w:name="_Toc13017"/>
      <w:r>
        <w:rPr>
          <w:rFonts w:hint="eastAsia" w:asciiTheme="majorEastAsia" w:hAnsiTheme="majorEastAsia" w:eastAsiaTheme="majorEastAsia"/>
          <w:b/>
          <w:bCs/>
          <w:color w:val="000000" w:themeColor="text1"/>
          <w:sz w:val="36"/>
          <w:szCs w:val="36"/>
        </w:rPr>
        <w:t>十、</w:t>
      </w:r>
      <w:bookmarkEnd w:id="57"/>
      <w:bookmarkStart w:id="58" w:name="_Toc25402"/>
      <w:r>
        <w:rPr>
          <w:rFonts w:hint="eastAsia" w:asciiTheme="majorEastAsia" w:hAnsiTheme="majorEastAsia" w:eastAsiaTheme="majorEastAsia"/>
          <w:b/>
          <w:bCs/>
          <w:color w:val="000000" w:themeColor="text1"/>
          <w:sz w:val="36"/>
          <w:szCs w:val="36"/>
        </w:rPr>
        <w:t>其他商务资格证明资料</w:t>
      </w:r>
      <w:bookmarkEnd w:id="58"/>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59" w:name="_Toc24004"/>
      <w:r>
        <w:rPr>
          <w:rFonts w:hint="eastAsia" w:asciiTheme="majorEastAsia" w:hAnsiTheme="majorEastAsia" w:eastAsiaTheme="majorEastAsia"/>
          <w:b/>
          <w:bCs/>
          <w:color w:val="000000" w:themeColor="text1"/>
          <w:sz w:val="36"/>
          <w:szCs w:val="36"/>
        </w:rPr>
        <w:t>十一、项目实施方案</w:t>
      </w:r>
      <w:bookmarkEnd w:id="59"/>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39"/>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39"/>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0"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0"/>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7"/>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1"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十三、供应商认为需要提交的技术资料</w:t>
      </w:r>
      <w:bookmarkEnd w:id="61"/>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asciiTheme="majorEastAsia" w:hAnsiTheme="majorEastAsia" w:eastAsiaTheme="majorEastAsia"/>
          <w:color w:val="000000" w:themeColor="text1"/>
        </w:rPr>
      </w:pPr>
    </w:p>
    <w:p>
      <w:pPr>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8"/>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15"/>
        <w:rPr>
          <w:rFonts w:hint="default" w:cs="Arial" w:asciiTheme="majorEastAsia" w:hAnsiTheme="majorEastAsia" w:eastAsiaTheme="majorEastAsia"/>
          <w:color w:val="000000" w:themeColor="text1"/>
          <w:sz w:val="15"/>
          <w:szCs w:val="15"/>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5A3CD190"/>
    <w:multiLevelType w:val="singleLevel"/>
    <w:tmpl w:val="5A3CD190"/>
    <w:lvl w:ilvl="0" w:tentative="0">
      <w:start w:val="1"/>
      <w:numFmt w:val="decimal"/>
      <w:suff w:val="nothing"/>
      <w:lvlText w:val="（%1）"/>
      <w:lvlJc w:val="left"/>
      <w:rPr>
        <w:rFonts w:cs="Times New Roman"/>
      </w:rPr>
    </w:lvl>
  </w:abstractNum>
  <w:abstractNum w:abstractNumId="4">
    <w:nsid w:val="5A460490"/>
    <w:multiLevelType w:val="singleLevel"/>
    <w:tmpl w:val="5A460490"/>
    <w:lvl w:ilvl="0" w:tentative="0">
      <w:start w:val="1"/>
      <w:numFmt w:val="decimal"/>
      <w:suff w:val="nothing"/>
      <w:lvlText w:val="（%1）"/>
      <w:lvlJc w:val="left"/>
      <w:rPr>
        <w:rFonts w:cs="Times New Roman"/>
      </w:rPr>
    </w:lvl>
  </w:abstractNum>
  <w:abstractNum w:abstractNumId="5">
    <w:nsid w:val="5A4604BA"/>
    <w:multiLevelType w:val="singleLevel"/>
    <w:tmpl w:val="5A4604BA"/>
    <w:lvl w:ilvl="0" w:tentative="0">
      <w:start w:val="1"/>
      <w:numFmt w:val="decimal"/>
      <w:suff w:val="nothing"/>
      <w:lvlText w:val="（%1）"/>
      <w:lvlJc w:val="left"/>
      <w:rPr>
        <w:rFonts w:cs="Times New Roman"/>
      </w:rPr>
    </w:lvl>
  </w:abstractNum>
  <w:abstractNum w:abstractNumId="6">
    <w:nsid w:val="6496F1CA"/>
    <w:multiLevelType w:val="singleLevel"/>
    <w:tmpl w:val="6496F1CA"/>
    <w:lvl w:ilvl="0" w:tentative="0">
      <w:start w:val="1"/>
      <w:numFmt w:val="decimal"/>
      <w:suff w:val="nothing"/>
      <w:lvlText w:val="%1、"/>
      <w:lvlJc w:val="left"/>
    </w:lvl>
  </w:abstractNum>
  <w:abstractNum w:abstractNumId="7">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93EBC"/>
    <w:rsid w:val="01830E94"/>
    <w:rsid w:val="018464AB"/>
    <w:rsid w:val="021A77D6"/>
    <w:rsid w:val="022E4413"/>
    <w:rsid w:val="028932E6"/>
    <w:rsid w:val="029562D6"/>
    <w:rsid w:val="02F12424"/>
    <w:rsid w:val="03757B28"/>
    <w:rsid w:val="0492678A"/>
    <w:rsid w:val="04C00E57"/>
    <w:rsid w:val="053F115C"/>
    <w:rsid w:val="058B7FC0"/>
    <w:rsid w:val="05DF2704"/>
    <w:rsid w:val="061612F9"/>
    <w:rsid w:val="066A31AA"/>
    <w:rsid w:val="066E7569"/>
    <w:rsid w:val="069359C9"/>
    <w:rsid w:val="06CF792D"/>
    <w:rsid w:val="07081279"/>
    <w:rsid w:val="070C2321"/>
    <w:rsid w:val="07302A71"/>
    <w:rsid w:val="07B45450"/>
    <w:rsid w:val="07E61E68"/>
    <w:rsid w:val="07F52DCB"/>
    <w:rsid w:val="08034C92"/>
    <w:rsid w:val="08766BA9"/>
    <w:rsid w:val="087B5F6E"/>
    <w:rsid w:val="088F48F8"/>
    <w:rsid w:val="08F442E1"/>
    <w:rsid w:val="0A263E36"/>
    <w:rsid w:val="0A904119"/>
    <w:rsid w:val="0AD14CDF"/>
    <w:rsid w:val="0B1E2CF3"/>
    <w:rsid w:val="0BE97EFE"/>
    <w:rsid w:val="0BFD77A1"/>
    <w:rsid w:val="0C3044C8"/>
    <w:rsid w:val="0C38346D"/>
    <w:rsid w:val="0C462FFF"/>
    <w:rsid w:val="0C7E1DDA"/>
    <w:rsid w:val="0C8F33B1"/>
    <w:rsid w:val="0C91130F"/>
    <w:rsid w:val="0CA60EC1"/>
    <w:rsid w:val="0CEA39DE"/>
    <w:rsid w:val="0D7C6A10"/>
    <w:rsid w:val="0DAB4740"/>
    <w:rsid w:val="0DAE227A"/>
    <w:rsid w:val="0DD84F05"/>
    <w:rsid w:val="0E0F7AD2"/>
    <w:rsid w:val="0E7375EB"/>
    <w:rsid w:val="0E9B355D"/>
    <w:rsid w:val="0EB85EFA"/>
    <w:rsid w:val="0EC45F19"/>
    <w:rsid w:val="0F1E1CB3"/>
    <w:rsid w:val="0F60098A"/>
    <w:rsid w:val="0F7A6A9A"/>
    <w:rsid w:val="0FF454B9"/>
    <w:rsid w:val="10185326"/>
    <w:rsid w:val="106C0466"/>
    <w:rsid w:val="10BA6B6F"/>
    <w:rsid w:val="10FC366A"/>
    <w:rsid w:val="11896C4C"/>
    <w:rsid w:val="11CD14AD"/>
    <w:rsid w:val="12045226"/>
    <w:rsid w:val="120C530F"/>
    <w:rsid w:val="12FC7352"/>
    <w:rsid w:val="13434F3B"/>
    <w:rsid w:val="13613FFE"/>
    <w:rsid w:val="13937976"/>
    <w:rsid w:val="14604860"/>
    <w:rsid w:val="14BD7762"/>
    <w:rsid w:val="14C57C8A"/>
    <w:rsid w:val="14E42C49"/>
    <w:rsid w:val="14FA380C"/>
    <w:rsid w:val="157E0E30"/>
    <w:rsid w:val="15D77B51"/>
    <w:rsid w:val="16550C64"/>
    <w:rsid w:val="16BD7C0A"/>
    <w:rsid w:val="16F073B5"/>
    <w:rsid w:val="17557A23"/>
    <w:rsid w:val="179C5730"/>
    <w:rsid w:val="181E567F"/>
    <w:rsid w:val="18534811"/>
    <w:rsid w:val="18A0301B"/>
    <w:rsid w:val="18BC6FD1"/>
    <w:rsid w:val="19010A92"/>
    <w:rsid w:val="19831126"/>
    <w:rsid w:val="199547AC"/>
    <w:rsid w:val="19F640AC"/>
    <w:rsid w:val="19FD3D59"/>
    <w:rsid w:val="1A820EFB"/>
    <w:rsid w:val="1A86062E"/>
    <w:rsid w:val="1AC74B2A"/>
    <w:rsid w:val="1AF2535D"/>
    <w:rsid w:val="1B183AE5"/>
    <w:rsid w:val="1B1D5A0F"/>
    <w:rsid w:val="1BB36E69"/>
    <w:rsid w:val="1BBD7433"/>
    <w:rsid w:val="1BE64CD0"/>
    <w:rsid w:val="1C0F4794"/>
    <w:rsid w:val="1C3D240A"/>
    <w:rsid w:val="1C531BBE"/>
    <w:rsid w:val="1C7D4290"/>
    <w:rsid w:val="1D7C0366"/>
    <w:rsid w:val="1DAF3415"/>
    <w:rsid w:val="1DB16262"/>
    <w:rsid w:val="1DCF07B0"/>
    <w:rsid w:val="1E572BD7"/>
    <w:rsid w:val="1E794B6C"/>
    <w:rsid w:val="1F374BDB"/>
    <w:rsid w:val="1F5F1CED"/>
    <w:rsid w:val="1F676B2A"/>
    <w:rsid w:val="1F6B31DF"/>
    <w:rsid w:val="1F7F5EEC"/>
    <w:rsid w:val="1F9729D8"/>
    <w:rsid w:val="210B18C1"/>
    <w:rsid w:val="2114370F"/>
    <w:rsid w:val="21313124"/>
    <w:rsid w:val="21362D32"/>
    <w:rsid w:val="213A7228"/>
    <w:rsid w:val="217A4E7B"/>
    <w:rsid w:val="2180452F"/>
    <w:rsid w:val="218E27EC"/>
    <w:rsid w:val="223F09B3"/>
    <w:rsid w:val="22BD2FB3"/>
    <w:rsid w:val="22E633A0"/>
    <w:rsid w:val="23A90EBD"/>
    <w:rsid w:val="23B87B80"/>
    <w:rsid w:val="24C2033C"/>
    <w:rsid w:val="252C0395"/>
    <w:rsid w:val="2570196D"/>
    <w:rsid w:val="25C03D0B"/>
    <w:rsid w:val="25CF6646"/>
    <w:rsid w:val="268B15D0"/>
    <w:rsid w:val="278C389C"/>
    <w:rsid w:val="27A569B0"/>
    <w:rsid w:val="27B84691"/>
    <w:rsid w:val="27E91B4B"/>
    <w:rsid w:val="288A1B89"/>
    <w:rsid w:val="28CF5223"/>
    <w:rsid w:val="29237E32"/>
    <w:rsid w:val="2960418F"/>
    <w:rsid w:val="2A067935"/>
    <w:rsid w:val="2A1E7E5E"/>
    <w:rsid w:val="2AAD1B5F"/>
    <w:rsid w:val="2AC901ED"/>
    <w:rsid w:val="2B807273"/>
    <w:rsid w:val="2BCB4A81"/>
    <w:rsid w:val="2C017A6E"/>
    <w:rsid w:val="2C066EFA"/>
    <w:rsid w:val="2C432458"/>
    <w:rsid w:val="2C675738"/>
    <w:rsid w:val="2C72343C"/>
    <w:rsid w:val="2CA41AD3"/>
    <w:rsid w:val="2CE26BE9"/>
    <w:rsid w:val="2D717B76"/>
    <w:rsid w:val="2DFC55A1"/>
    <w:rsid w:val="2E0D46EB"/>
    <w:rsid w:val="2E3D769E"/>
    <w:rsid w:val="2E86223B"/>
    <w:rsid w:val="2EAA2A37"/>
    <w:rsid w:val="2EAC071C"/>
    <w:rsid w:val="2F4A02C4"/>
    <w:rsid w:val="30043E92"/>
    <w:rsid w:val="30324C0F"/>
    <w:rsid w:val="309C411D"/>
    <w:rsid w:val="314F57A5"/>
    <w:rsid w:val="32E20253"/>
    <w:rsid w:val="32E2051D"/>
    <w:rsid w:val="33064502"/>
    <w:rsid w:val="330D758E"/>
    <w:rsid w:val="333B73E0"/>
    <w:rsid w:val="337351A3"/>
    <w:rsid w:val="33881640"/>
    <w:rsid w:val="33E44B64"/>
    <w:rsid w:val="340A4173"/>
    <w:rsid w:val="34160633"/>
    <w:rsid w:val="344717C2"/>
    <w:rsid w:val="346A28BB"/>
    <w:rsid w:val="357D388C"/>
    <w:rsid w:val="357F059C"/>
    <w:rsid w:val="35CE71FD"/>
    <w:rsid w:val="362505B4"/>
    <w:rsid w:val="36D17804"/>
    <w:rsid w:val="37421C09"/>
    <w:rsid w:val="37A4078E"/>
    <w:rsid w:val="3821593A"/>
    <w:rsid w:val="38220352"/>
    <w:rsid w:val="388B1675"/>
    <w:rsid w:val="38F802A1"/>
    <w:rsid w:val="393B0F3D"/>
    <w:rsid w:val="3951559F"/>
    <w:rsid w:val="39764E9F"/>
    <w:rsid w:val="39DD0704"/>
    <w:rsid w:val="3AE64349"/>
    <w:rsid w:val="3AF659F0"/>
    <w:rsid w:val="3B032A93"/>
    <w:rsid w:val="3B2B2D1D"/>
    <w:rsid w:val="3B9C50D5"/>
    <w:rsid w:val="3C017A45"/>
    <w:rsid w:val="3C244557"/>
    <w:rsid w:val="3C363220"/>
    <w:rsid w:val="3C58236E"/>
    <w:rsid w:val="3C941CD7"/>
    <w:rsid w:val="3CEC3949"/>
    <w:rsid w:val="3D2E203E"/>
    <w:rsid w:val="3D423CB5"/>
    <w:rsid w:val="3D51039F"/>
    <w:rsid w:val="3D607E07"/>
    <w:rsid w:val="3DA23404"/>
    <w:rsid w:val="3E012496"/>
    <w:rsid w:val="3E2D66DC"/>
    <w:rsid w:val="3EFE00C0"/>
    <w:rsid w:val="3F820BDF"/>
    <w:rsid w:val="3FF12E03"/>
    <w:rsid w:val="3FF516F1"/>
    <w:rsid w:val="40594B80"/>
    <w:rsid w:val="40AA4AE5"/>
    <w:rsid w:val="414854D9"/>
    <w:rsid w:val="41A46E67"/>
    <w:rsid w:val="41C053DF"/>
    <w:rsid w:val="422B54E7"/>
    <w:rsid w:val="42D26954"/>
    <w:rsid w:val="42E95D61"/>
    <w:rsid w:val="43427AEA"/>
    <w:rsid w:val="43635AE7"/>
    <w:rsid w:val="439060FA"/>
    <w:rsid w:val="4398724F"/>
    <w:rsid w:val="43F959BD"/>
    <w:rsid w:val="440F51E1"/>
    <w:rsid w:val="44246A0A"/>
    <w:rsid w:val="443609BF"/>
    <w:rsid w:val="453A003B"/>
    <w:rsid w:val="454517EB"/>
    <w:rsid w:val="454811F9"/>
    <w:rsid w:val="455917AC"/>
    <w:rsid w:val="456C4C82"/>
    <w:rsid w:val="459344EF"/>
    <w:rsid w:val="45E67D5B"/>
    <w:rsid w:val="45F8417E"/>
    <w:rsid w:val="461125FB"/>
    <w:rsid w:val="47013507"/>
    <w:rsid w:val="47272960"/>
    <w:rsid w:val="47A51EEF"/>
    <w:rsid w:val="47A66A72"/>
    <w:rsid w:val="47BF537F"/>
    <w:rsid w:val="47C86417"/>
    <w:rsid w:val="48324D26"/>
    <w:rsid w:val="48C05E50"/>
    <w:rsid w:val="49C04A33"/>
    <w:rsid w:val="4AD036B3"/>
    <w:rsid w:val="4AD256CE"/>
    <w:rsid w:val="4B0215FB"/>
    <w:rsid w:val="4B83303B"/>
    <w:rsid w:val="4C203837"/>
    <w:rsid w:val="4CAA6B2F"/>
    <w:rsid w:val="4CF10148"/>
    <w:rsid w:val="4CF3569F"/>
    <w:rsid w:val="4CFF2151"/>
    <w:rsid w:val="4D3D7474"/>
    <w:rsid w:val="4D6F17F8"/>
    <w:rsid w:val="4DBF0947"/>
    <w:rsid w:val="4DC23D08"/>
    <w:rsid w:val="4E0B07A7"/>
    <w:rsid w:val="4EB23099"/>
    <w:rsid w:val="4EBE1740"/>
    <w:rsid w:val="4EEA477C"/>
    <w:rsid w:val="4F035910"/>
    <w:rsid w:val="4F1067A1"/>
    <w:rsid w:val="4F323A12"/>
    <w:rsid w:val="4F716D4F"/>
    <w:rsid w:val="4FA86031"/>
    <w:rsid w:val="4FC03A74"/>
    <w:rsid w:val="503D2110"/>
    <w:rsid w:val="50771525"/>
    <w:rsid w:val="510612DE"/>
    <w:rsid w:val="513B0C15"/>
    <w:rsid w:val="51860643"/>
    <w:rsid w:val="518B7F81"/>
    <w:rsid w:val="52ED12D8"/>
    <w:rsid w:val="534831A7"/>
    <w:rsid w:val="545E380D"/>
    <w:rsid w:val="549C03CB"/>
    <w:rsid w:val="54E34CD9"/>
    <w:rsid w:val="551758B9"/>
    <w:rsid w:val="557F62AC"/>
    <w:rsid w:val="55CC6BA1"/>
    <w:rsid w:val="56105BB5"/>
    <w:rsid w:val="56386FBA"/>
    <w:rsid w:val="565A1112"/>
    <w:rsid w:val="56B443C7"/>
    <w:rsid w:val="56F40992"/>
    <w:rsid w:val="571B6DE8"/>
    <w:rsid w:val="57520916"/>
    <w:rsid w:val="58DD5B7C"/>
    <w:rsid w:val="590429E2"/>
    <w:rsid w:val="590B6F2B"/>
    <w:rsid w:val="591B31A9"/>
    <w:rsid w:val="594159E5"/>
    <w:rsid w:val="598B260D"/>
    <w:rsid w:val="59AC3E71"/>
    <w:rsid w:val="59C503C4"/>
    <w:rsid w:val="59FD0867"/>
    <w:rsid w:val="5A192095"/>
    <w:rsid w:val="5A286F70"/>
    <w:rsid w:val="5A366373"/>
    <w:rsid w:val="5A5D6A75"/>
    <w:rsid w:val="5A6E7078"/>
    <w:rsid w:val="5AC60D47"/>
    <w:rsid w:val="5B23194B"/>
    <w:rsid w:val="5B8863D9"/>
    <w:rsid w:val="5B9564E3"/>
    <w:rsid w:val="5B961A8D"/>
    <w:rsid w:val="5BB67455"/>
    <w:rsid w:val="5BE57428"/>
    <w:rsid w:val="5BF82EE6"/>
    <w:rsid w:val="5BF907F8"/>
    <w:rsid w:val="5C0C052C"/>
    <w:rsid w:val="5C2E7375"/>
    <w:rsid w:val="5C381321"/>
    <w:rsid w:val="5C5E5DE0"/>
    <w:rsid w:val="5C881635"/>
    <w:rsid w:val="5CA76D5C"/>
    <w:rsid w:val="5CF6176C"/>
    <w:rsid w:val="5D0C4001"/>
    <w:rsid w:val="5D187F14"/>
    <w:rsid w:val="5E7B0CE3"/>
    <w:rsid w:val="5E98619E"/>
    <w:rsid w:val="5F4624A1"/>
    <w:rsid w:val="5FFA28BF"/>
    <w:rsid w:val="6000759F"/>
    <w:rsid w:val="60065292"/>
    <w:rsid w:val="601C0788"/>
    <w:rsid w:val="602476D2"/>
    <w:rsid w:val="602E272E"/>
    <w:rsid w:val="60503789"/>
    <w:rsid w:val="60D6516A"/>
    <w:rsid w:val="60E64762"/>
    <w:rsid w:val="60FA4DF7"/>
    <w:rsid w:val="611C3F8A"/>
    <w:rsid w:val="612F13B6"/>
    <w:rsid w:val="615A682D"/>
    <w:rsid w:val="61605CC6"/>
    <w:rsid w:val="61E82610"/>
    <w:rsid w:val="62313A1F"/>
    <w:rsid w:val="62626B68"/>
    <w:rsid w:val="627B1F67"/>
    <w:rsid w:val="62C83817"/>
    <w:rsid w:val="62DE4ACD"/>
    <w:rsid w:val="630D2BC2"/>
    <w:rsid w:val="635B1B17"/>
    <w:rsid w:val="63974B7F"/>
    <w:rsid w:val="63A474DA"/>
    <w:rsid w:val="63C97026"/>
    <w:rsid w:val="642F050F"/>
    <w:rsid w:val="64500E7E"/>
    <w:rsid w:val="64B477ED"/>
    <w:rsid w:val="65273CE0"/>
    <w:rsid w:val="654079E2"/>
    <w:rsid w:val="6556467B"/>
    <w:rsid w:val="655E2192"/>
    <w:rsid w:val="656A58D1"/>
    <w:rsid w:val="65C63494"/>
    <w:rsid w:val="65F17BF7"/>
    <w:rsid w:val="660404C6"/>
    <w:rsid w:val="6623304D"/>
    <w:rsid w:val="667874ED"/>
    <w:rsid w:val="668441ED"/>
    <w:rsid w:val="669D07DA"/>
    <w:rsid w:val="67DA3DD1"/>
    <w:rsid w:val="67EF4C2B"/>
    <w:rsid w:val="68492920"/>
    <w:rsid w:val="684A7E00"/>
    <w:rsid w:val="684D34AC"/>
    <w:rsid w:val="68F305EB"/>
    <w:rsid w:val="69036414"/>
    <w:rsid w:val="69256789"/>
    <w:rsid w:val="69926B5F"/>
    <w:rsid w:val="69952440"/>
    <w:rsid w:val="69CB5226"/>
    <w:rsid w:val="69CD7A52"/>
    <w:rsid w:val="6A064015"/>
    <w:rsid w:val="6A2D7FEB"/>
    <w:rsid w:val="6A4279C0"/>
    <w:rsid w:val="6A7D6C0C"/>
    <w:rsid w:val="6ADA3D5A"/>
    <w:rsid w:val="6AFA4AF2"/>
    <w:rsid w:val="6B7B2FD8"/>
    <w:rsid w:val="6B9916F8"/>
    <w:rsid w:val="6B9F7B64"/>
    <w:rsid w:val="6C6172CD"/>
    <w:rsid w:val="6CEE00EB"/>
    <w:rsid w:val="6DA1021D"/>
    <w:rsid w:val="6DF2753D"/>
    <w:rsid w:val="6E533EFF"/>
    <w:rsid w:val="6E5955B2"/>
    <w:rsid w:val="6E8E090D"/>
    <w:rsid w:val="6EA14B04"/>
    <w:rsid w:val="6F0137F4"/>
    <w:rsid w:val="6F6D2C38"/>
    <w:rsid w:val="6FD42CB7"/>
    <w:rsid w:val="6FFF6D4A"/>
    <w:rsid w:val="7026388B"/>
    <w:rsid w:val="70812E3F"/>
    <w:rsid w:val="70893AA1"/>
    <w:rsid w:val="710870BC"/>
    <w:rsid w:val="71724535"/>
    <w:rsid w:val="71D52C52"/>
    <w:rsid w:val="71EE2ABC"/>
    <w:rsid w:val="71FB277D"/>
    <w:rsid w:val="723B3DAE"/>
    <w:rsid w:val="726173AB"/>
    <w:rsid w:val="727A5D97"/>
    <w:rsid w:val="736F2E62"/>
    <w:rsid w:val="739E476C"/>
    <w:rsid w:val="73E8121C"/>
    <w:rsid w:val="741A0B00"/>
    <w:rsid w:val="74F87447"/>
    <w:rsid w:val="74FE5CD5"/>
    <w:rsid w:val="751B684F"/>
    <w:rsid w:val="752D219E"/>
    <w:rsid w:val="75BD2DF1"/>
    <w:rsid w:val="75CD1474"/>
    <w:rsid w:val="76AC0BD3"/>
    <w:rsid w:val="76AC5A30"/>
    <w:rsid w:val="76B4174A"/>
    <w:rsid w:val="76B6074E"/>
    <w:rsid w:val="76F22DA3"/>
    <w:rsid w:val="7770353A"/>
    <w:rsid w:val="777A2396"/>
    <w:rsid w:val="778F1B31"/>
    <w:rsid w:val="789E78B0"/>
    <w:rsid w:val="78B36B05"/>
    <w:rsid w:val="790C032D"/>
    <w:rsid w:val="792F052B"/>
    <w:rsid w:val="79C66218"/>
    <w:rsid w:val="79DA6908"/>
    <w:rsid w:val="7A1A5B7A"/>
    <w:rsid w:val="7A382603"/>
    <w:rsid w:val="7A9B65C4"/>
    <w:rsid w:val="7AC62DB2"/>
    <w:rsid w:val="7AD64090"/>
    <w:rsid w:val="7AD71133"/>
    <w:rsid w:val="7AFB3EE8"/>
    <w:rsid w:val="7B4B4DB2"/>
    <w:rsid w:val="7BC84294"/>
    <w:rsid w:val="7C195116"/>
    <w:rsid w:val="7C42092C"/>
    <w:rsid w:val="7C5A7B44"/>
    <w:rsid w:val="7C5C5D14"/>
    <w:rsid w:val="7CCF1551"/>
    <w:rsid w:val="7CDE4CF6"/>
    <w:rsid w:val="7CE107C1"/>
    <w:rsid w:val="7CE8603D"/>
    <w:rsid w:val="7DCA6AAE"/>
    <w:rsid w:val="7DDF6E92"/>
    <w:rsid w:val="7E3037AE"/>
    <w:rsid w:val="7E82623A"/>
    <w:rsid w:val="7E9116C6"/>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1"/>
    <w:qFormat/>
    <w:uiPriority w:val="9"/>
    <w:pPr>
      <w:keepNext/>
      <w:keepLines/>
      <w:spacing w:line="360" w:lineRule="auto"/>
      <w:outlineLvl w:val="0"/>
    </w:pPr>
    <w:rPr>
      <w:b/>
      <w:bCs/>
      <w:kern w:val="44"/>
      <w:sz w:val="32"/>
      <w:szCs w:val="44"/>
    </w:rPr>
  </w:style>
  <w:style w:type="paragraph" w:styleId="4">
    <w:name w:val="heading 2"/>
    <w:basedOn w:val="1"/>
    <w:next w:val="1"/>
    <w:link w:val="52"/>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3"/>
    <w:qFormat/>
    <w:uiPriority w:val="0"/>
    <w:pPr>
      <w:keepNext/>
      <w:keepLines/>
      <w:spacing w:line="360" w:lineRule="auto"/>
      <w:outlineLvl w:val="2"/>
    </w:pPr>
    <w:rPr>
      <w:b/>
      <w:bCs/>
      <w:sz w:val="24"/>
      <w:szCs w:val="32"/>
    </w:rPr>
  </w:style>
  <w:style w:type="paragraph" w:styleId="6">
    <w:name w:val="heading 4"/>
    <w:basedOn w:val="1"/>
    <w:next w:val="1"/>
    <w:link w:val="54"/>
    <w:qFormat/>
    <w:uiPriority w:val="0"/>
    <w:pPr>
      <w:keepNext/>
      <w:keepLines/>
      <w:spacing w:line="360" w:lineRule="auto"/>
      <w:outlineLvl w:val="3"/>
    </w:pPr>
    <w:rPr>
      <w:rFonts w:ascii="Arial" w:hAnsi="Arial"/>
      <w:b/>
      <w:bCs/>
      <w:szCs w:val="28"/>
    </w:rPr>
  </w:style>
  <w:style w:type="paragraph" w:styleId="7">
    <w:name w:val="heading 6"/>
    <w:basedOn w:val="1"/>
    <w:next w:val="2"/>
    <w:link w:val="55"/>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6"/>
    <w:qFormat/>
    <w:uiPriority w:val="0"/>
    <w:pPr>
      <w:keepNext/>
      <w:keepLines/>
      <w:spacing w:before="240" w:after="64" w:line="320" w:lineRule="auto"/>
      <w:outlineLvl w:val="8"/>
    </w:pPr>
    <w:rPr>
      <w:rFonts w:ascii="Arial" w:hAnsi="Arial" w:eastAsia="黑体"/>
      <w:szCs w:val="21"/>
    </w:rPr>
  </w:style>
  <w:style w:type="character" w:default="1" w:styleId="41">
    <w:name w:val="Default Paragraph Font"/>
    <w:semiHidden/>
    <w:unhideWhenUsed/>
    <w:qFormat/>
    <w:uiPriority w:val="1"/>
  </w:style>
  <w:style w:type="table" w:default="1" w:styleId="3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7"/>
    <w:qFormat/>
    <w:uiPriority w:val="99"/>
    <w:pPr>
      <w:shd w:val="clear" w:color="auto" w:fill="000080"/>
    </w:pPr>
  </w:style>
  <w:style w:type="paragraph" w:styleId="11">
    <w:name w:val="annotation text"/>
    <w:basedOn w:val="1"/>
    <w:link w:val="58"/>
    <w:qFormat/>
    <w:uiPriority w:val="0"/>
    <w:pPr>
      <w:jc w:val="left"/>
    </w:pPr>
  </w:style>
  <w:style w:type="paragraph" w:styleId="12">
    <w:name w:val="Salutation"/>
    <w:basedOn w:val="1"/>
    <w:next w:val="1"/>
    <w:link w:val="59"/>
    <w:qFormat/>
    <w:uiPriority w:val="0"/>
    <w:rPr>
      <w:sz w:val="24"/>
      <w:szCs w:val="20"/>
    </w:rPr>
  </w:style>
  <w:style w:type="paragraph" w:styleId="13">
    <w:name w:val="Body Text 3"/>
    <w:basedOn w:val="1"/>
    <w:link w:val="60"/>
    <w:qFormat/>
    <w:uiPriority w:val="0"/>
    <w:pPr>
      <w:spacing w:after="120"/>
    </w:pPr>
    <w:rPr>
      <w:sz w:val="16"/>
      <w:szCs w:val="20"/>
    </w:rPr>
  </w:style>
  <w:style w:type="paragraph" w:styleId="14">
    <w:name w:val="Body Text"/>
    <w:basedOn w:val="1"/>
    <w:next w:val="15"/>
    <w:link w:val="61"/>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49"/>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2"/>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3"/>
    <w:qFormat/>
    <w:uiPriority w:val="99"/>
    <w:rPr>
      <w:rFonts w:ascii="宋体"/>
      <w:szCs w:val="20"/>
    </w:rPr>
  </w:style>
  <w:style w:type="paragraph" w:styleId="23">
    <w:name w:val="Body Text Indent 2"/>
    <w:basedOn w:val="1"/>
    <w:link w:val="64"/>
    <w:qFormat/>
    <w:uiPriority w:val="0"/>
    <w:pPr>
      <w:spacing w:line="432" w:lineRule="auto"/>
      <w:ind w:left="360"/>
    </w:pPr>
    <w:rPr>
      <w:rFonts w:ascii="宋体" w:hAnsi="华文细黑"/>
      <w:szCs w:val="20"/>
    </w:rPr>
  </w:style>
  <w:style w:type="paragraph" w:styleId="24">
    <w:name w:val="Balloon Text"/>
    <w:basedOn w:val="1"/>
    <w:link w:val="65"/>
    <w:qFormat/>
    <w:uiPriority w:val="99"/>
    <w:rPr>
      <w:sz w:val="18"/>
      <w:szCs w:val="18"/>
    </w:rPr>
  </w:style>
  <w:style w:type="paragraph" w:styleId="25">
    <w:name w:val="footer"/>
    <w:basedOn w:val="1"/>
    <w:link w:val="66"/>
    <w:qFormat/>
    <w:uiPriority w:val="0"/>
    <w:pPr>
      <w:tabs>
        <w:tab w:val="center" w:pos="4153"/>
        <w:tab w:val="right" w:pos="8306"/>
      </w:tabs>
      <w:snapToGrid w:val="0"/>
      <w:jc w:val="left"/>
    </w:pPr>
    <w:rPr>
      <w:sz w:val="18"/>
      <w:szCs w:val="18"/>
    </w:rPr>
  </w:style>
  <w:style w:type="paragraph" w:styleId="26">
    <w:name w:val="header"/>
    <w:basedOn w:val="1"/>
    <w:link w:val="67"/>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68"/>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toc 6"/>
    <w:basedOn w:val="1"/>
    <w:next w:val="1"/>
    <w:qFormat/>
    <w:uiPriority w:val="39"/>
    <w:pPr>
      <w:ind w:left="840"/>
      <w:jc w:val="left"/>
    </w:pPr>
    <w:rPr>
      <w:sz w:val="20"/>
      <w:szCs w:val="20"/>
    </w:rPr>
  </w:style>
  <w:style w:type="paragraph" w:styleId="31">
    <w:name w:val="Body Text Indent 3"/>
    <w:basedOn w:val="1"/>
    <w:link w:val="69"/>
    <w:qFormat/>
    <w:uiPriority w:val="0"/>
    <w:pPr>
      <w:spacing w:after="120"/>
      <w:ind w:left="420" w:leftChars="200"/>
    </w:pPr>
    <w:rPr>
      <w:sz w:val="16"/>
      <w:szCs w:val="20"/>
    </w:rPr>
  </w:style>
  <w:style w:type="paragraph" w:styleId="32">
    <w:name w:val="toc 2"/>
    <w:basedOn w:val="1"/>
    <w:next w:val="1"/>
    <w:qFormat/>
    <w:uiPriority w:val="39"/>
    <w:pPr>
      <w:ind w:left="420" w:leftChars="200"/>
    </w:pPr>
  </w:style>
  <w:style w:type="paragraph" w:styleId="33">
    <w:name w:val="toc 9"/>
    <w:basedOn w:val="1"/>
    <w:next w:val="1"/>
    <w:qFormat/>
    <w:uiPriority w:val="39"/>
    <w:pPr>
      <w:ind w:left="1470"/>
      <w:jc w:val="left"/>
    </w:pPr>
    <w:rPr>
      <w:sz w:val="20"/>
      <w:szCs w:val="20"/>
    </w:rPr>
  </w:style>
  <w:style w:type="paragraph" w:styleId="34">
    <w:name w:val="Body Text 2"/>
    <w:basedOn w:val="1"/>
    <w:link w:val="70"/>
    <w:qFormat/>
    <w:uiPriority w:val="0"/>
    <w:pPr>
      <w:spacing w:after="120" w:line="480" w:lineRule="auto"/>
    </w:pPr>
    <w:rPr>
      <w:szCs w:val="20"/>
    </w:rPr>
  </w:style>
  <w:style w:type="paragraph" w:styleId="3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6">
    <w:name w:val="Title"/>
    <w:basedOn w:val="1"/>
    <w:link w:val="71"/>
    <w:qFormat/>
    <w:uiPriority w:val="10"/>
    <w:pPr>
      <w:spacing w:before="240" w:after="60"/>
      <w:jc w:val="center"/>
      <w:outlineLvl w:val="0"/>
    </w:pPr>
    <w:rPr>
      <w:rFonts w:ascii="Arial" w:hAnsi="Arial"/>
      <w:b/>
      <w:bCs/>
      <w:sz w:val="32"/>
      <w:szCs w:val="32"/>
    </w:rPr>
  </w:style>
  <w:style w:type="paragraph" w:styleId="37">
    <w:name w:val="annotation subject"/>
    <w:basedOn w:val="11"/>
    <w:next w:val="11"/>
    <w:link w:val="72"/>
    <w:qFormat/>
    <w:uiPriority w:val="99"/>
    <w:rPr>
      <w:b/>
      <w:bCs/>
    </w:rPr>
  </w:style>
  <w:style w:type="paragraph" w:styleId="38">
    <w:name w:val="Body Text First Indent 2"/>
    <w:basedOn w:val="16"/>
    <w:link w:val="50"/>
    <w:qFormat/>
    <w:uiPriority w:val="99"/>
    <w:pPr>
      <w:ind w:firstLine="420" w:firstLineChars="200"/>
    </w:pPr>
  </w:style>
  <w:style w:type="table" w:styleId="40">
    <w:name w:val="Table Grid"/>
    <w:basedOn w:val="39"/>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2">
    <w:name w:val="Strong"/>
    <w:basedOn w:val="41"/>
    <w:qFormat/>
    <w:uiPriority w:val="22"/>
    <w:rPr>
      <w:b/>
      <w:bCs/>
    </w:rPr>
  </w:style>
  <w:style w:type="character" w:styleId="43">
    <w:name w:val="page number"/>
    <w:basedOn w:val="41"/>
    <w:qFormat/>
    <w:uiPriority w:val="0"/>
  </w:style>
  <w:style w:type="character" w:styleId="44">
    <w:name w:val="FollowedHyperlink"/>
    <w:qFormat/>
    <w:uiPriority w:val="99"/>
    <w:rPr>
      <w:color w:val="800080"/>
      <w:u w:val="single"/>
    </w:rPr>
  </w:style>
  <w:style w:type="character" w:styleId="45">
    <w:name w:val="Hyperlink"/>
    <w:basedOn w:val="41"/>
    <w:qFormat/>
    <w:uiPriority w:val="99"/>
    <w:rPr>
      <w:color w:val="0000FF"/>
      <w:u w:val="single"/>
    </w:rPr>
  </w:style>
  <w:style w:type="character" w:styleId="46">
    <w:name w:val="annotation reference"/>
    <w:qFormat/>
    <w:uiPriority w:val="0"/>
    <w:rPr>
      <w:sz w:val="21"/>
      <w:szCs w:val="21"/>
    </w:rPr>
  </w:style>
  <w:style w:type="character" w:styleId="47">
    <w:name w:val="HTML Sample"/>
    <w:basedOn w:val="41"/>
    <w:unhideWhenUsed/>
    <w:qFormat/>
    <w:uiPriority w:val="99"/>
    <w:rPr>
      <w:rFonts w:ascii="宋体" w:hAnsi="宋体" w:eastAsia="宋体" w:cs="宋体"/>
    </w:rPr>
  </w:style>
  <w:style w:type="paragraph" w:customStyle="1" w:styleId="48">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49">
    <w:name w:val="正文文本缩进 Char"/>
    <w:link w:val="16"/>
    <w:qFormat/>
    <w:uiPriority w:val="99"/>
    <w:rPr>
      <w:rFonts w:ascii="黑体" w:eastAsia="黑体"/>
    </w:rPr>
  </w:style>
  <w:style w:type="character" w:customStyle="1" w:styleId="50">
    <w:name w:val="正文首行缩进 2 Char"/>
    <w:basedOn w:val="49"/>
    <w:link w:val="38"/>
    <w:qFormat/>
    <w:uiPriority w:val="99"/>
    <w:rPr>
      <w:kern w:val="2"/>
      <w:sz w:val="21"/>
      <w:szCs w:val="24"/>
    </w:rPr>
  </w:style>
  <w:style w:type="character" w:customStyle="1" w:styleId="51">
    <w:name w:val="标题 1 Char"/>
    <w:link w:val="3"/>
    <w:qFormat/>
    <w:uiPriority w:val="9"/>
    <w:rPr>
      <w:b/>
      <w:bCs/>
      <w:kern w:val="44"/>
      <w:sz w:val="32"/>
      <w:szCs w:val="44"/>
    </w:rPr>
  </w:style>
  <w:style w:type="character" w:customStyle="1" w:styleId="52">
    <w:name w:val="标题 2 Char"/>
    <w:link w:val="4"/>
    <w:qFormat/>
    <w:uiPriority w:val="0"/>
    <w:rPr>
      <w:rFonts w:ascii="Cambria" w:hAnsi="Cambria" w:eastAsia="宋体" w:cs="Times New Roman"/>
      <w:b/>
      <w:bCs/>
      <w:kern w:val="2"/>
      <w:sz w:val="32"/>
      <w:szCs w:val="32"/>
    </w:rPr>
  </w:style>
  <w:style w:type="character" w:customStyle="1" w:styleId="53">
    <w:name w:val="标题 3 Char"/>
    <w:link w:val="5"/>
    <w:qFormat/>
    <w:uiPriority w:val="0"/>
    <w:rPr>
      <w:b/>
      <w:bCs/>
      <w:kern w:val="2"/>
      <w:sz w:val="24"/>
      <w:szCs w:val="32"/>
    </w:rPr>
  </w:style>
  <w:style w:type="character" w:customStyle="1" w:styleId="54">
    <w:name w:val="标题 4 Char"/>
    <w:link w:val="6"/>
    <w:qFormat/>
    <w:uiPriority w:val="0"/>
    <w:rPr>
      <w:rFonts w:ascii="Arial" w:hAnsi="Arial"/>
      <w:b/>
      <w:bCs/>
      <w:kern w:val="2"/>
      <w:sz w:val="21"/>
      <w:szCs w:val="28"/>
    </w:rPr>
  </w:style>
  <w:style w:type="character" w:customStyle="1" w:styleId="55">
    <w:name w:val="标题 6 Char"/>
    <w:link w:val="7"/>
    <w:qFormat/>
    <w:uiPriority w:val="0"/>
    <w:rPr>
      <w:kern w:val="2"/>
      <w:sz w:val="28"/>
    </w:rPr>
  </w:style>
  <w:style w:type="character" w:customStyle="1" w:styleId="56">
    <w:name w:val="标题 9 Char"/>
    <w:link w:val="8"/>
    <w:qFormat/>
    <w:uiPriority w:val="0"/>
    <w:rPr>
      <w:rFonts w:ascii="Arial" w:hAnsi="Arial" w:eastAsia="黑体"/>
      <w:kern w:val="2"/>
      <w:sz w:val="21"/>
      <w:szCs w:val="21"/>
    </w:rPr>
  </w:style>
  <w:style w:type="character" w:customStyle="1" w:styleId="57">
    <w:name w:val="文档结构图 Char"/>
    <w:link w:val="10"/>
    <w:qFormat/>
    <w:uiPriority w:val="99"/>
    <w:rPr>
      <w:kern w:val="2"/>
      <w:sz w:val="21"/>
      <w:szCs w:val="24"/>
      <w:shd w:val="clear" w:color="auto" w:fill="000080"/>
    </w:rPr>
  </w:style>
  <w:style w:type="character" w:customStyle="1" w:styleId="58">
    <w:name w:val="批注文字 Char"/>
    <w:link w:val="11"/>
    <w:qFormat/>
    <w:uiPriority w:val="0"/>
    <w:rPr>
      <w:kern w:val="2"/>
      <w:sz w:val="21"/>
      <w:szCs w:val="24"/>
    </w:rPr>
  </w:style>
  <w:style w:type="character" w:customStyle="1" w:styleId="59">
    <w:name w:val="称呼 Char"/>
    <w:link w:val="12"/>
    <w:qFormat/>
    <w:uiPriority w:val="0"/>
    <w:rPr>
      <w:kern w:val="2"/>
      <w:sz w:val="24"/>
    </w:rPr>
  </w:style>
  <w:style w:type="character" w:customStyle="1" w:styleId="60">
    <w:name w:val="正文文本 3 Char"/>
    <w:link w:val="13"/>
    <w:qFormat/>
    <w:uiPriority w:val="0"/>
    <w:rPr>
      <w:kern w:val="2"/>
      <w:sz w:val="16"/>
    </w:rPr>
  </w:style>
  <w:style w:type="character" w:customStyle="1" w:styleId="61">
    <w:name w:val="正文文本 Char"/>
    <w:link w:val="14"/>
    <w:qFormat/>
    <w:uiPriority w:val="0"/>
    <w:rPr>
      <w:rFonts w:ascii="黑体" w:eastAsia="黑体"/>
    </w:rPr>
  </w:style>
  <w:style w:type="character" w:customStyle="1" w:styleId="62">
    <w:name w:val="纯文本 Char"/>
    <w:link w:val="20"/>
    <w:qFormat/>
    <w:uiPriority w:val="0"/>
    <w:rPr>
      <w:rFonts w:ascii="宋体" w:hAnsi="Courier New"/>
      <w:kern w:val="2"/>
      <w:sz w:val="21"/>
    </w:rPr>
  </w:style>
  <w:style w:type="character" w:customStyle="1" w:styleId="63">
    <w:name w:val="日期 Char"/>
    <w:link w:val="22"/>
    <w:qFormat/>
    <w:uiPriority w:val="99"/>
    <w:rPr>
      <w:rFonts w:ascii="宋体"/>
      <w:kern w:val="2"/>
      <w:sz w:val="21"/>
    </w:rPr>
  </w:style>
  <w:style w:type="character" w:customStyle="1" w:styleId="64">
    <w:name w:val="正文文本缩进 2 Char"/>
    <w:link w:val="23"/>
    <w:qFormat/>
    <w:uiPriority w:val="0"/>
    <w:rPr>
      <w:rFonts w:ascii="宋体" w:hAnsi="华文细黑"/>
      <w:kern w:val="2"/>
      <w:sz w:val="21"/>
    </w:rPr>
  </w:style>
  <w:style w:type="character" w:customStyle="1" w:styleId="65">
    <w:name w:val="批注框文本 Char"/>
    <w:link w:val="24"/>
    <w:qFormat/>
    <w:uiPriority w:val="99"/>
    <w:rPr>
      <w:kern w:val="2"/>
      <w:sz w:val="18"/>
      <w:szCs w:val="18"/>
    </w:rPr>
  </w:style>
  <w:style w:type="character" w:customStyle="1" w:styleId="66">
    <w:name w:val="页脚 Char"/>
    <w:link w:val="25"/>
    <w:qFormat/>
    <w:uiPriority w:val="0"/>
    <w:rPr>
      <w:kern w:val="2"/>
      <w:sz w:val="18"/>
      <w:szCs w:val="18"/>
    </w:rPr>
  </w:style>
  <w:style w:type="character" w:customStyle="1" w:styleId="67">
    <w:name w:val="页眉 Char"/>
    <w:link w:val="26"/>
    <w:qFormat/>
    <w:uiPriority w:val="0"/>
    <w:rPr>
      <w:kern w:val="2"/>
      <w:sz w:val="18"/>
      <w:szCs w:val="18"/>
    </w:rPr>
  </w:style>
  <w:style w:type="character" w:customStyle="1" w:styleId="68">
    <w:name w:val="副标题 Char"/>
    <w:link w:val="29"/>
    <w:qFormat/>
    <w:uiPriority w:val="11"/>
    <w:rPr>
      <w:rFonts w:ascii="Calibri Light" w:hAnsi="Calibri Light"/>
      <w:b/>
      <w:bCs/>
      <w:kern w:val="28"/>
      <w:sz w:val="32"/>
      <w:szCs w:val="32"/>
    </w:rPr>
  </w:style>
  <w:style w:type="character" w:customStyle="1" w:styleId="69">
    <w:name w:val="正文文本缩进 3 Char"/>
    <w:link w:val="31"/>
    <w:qFormat/>
    <w:uiPriority w:val="0"/>
    <w:rPr>
      <w:kern w:val="2"/>
      <w:sz w:val="16"/>
    </w:rPr>
  </w:style>
  <w:style w:type="character" w:customStyle="1" w:styleId="70">
    <w:name w:val="正文文本 2 Char"/>
    <w:link w:val="34"/>
    <w:qFormat/>
    <w:uiPriority w:val="0"/>
    <w:rPr>
      <w:kern w:val="2"/>
      <w:sz w:val="21"/>
    </w:rPr>
  </w:style>
  <w:style w:type="character" w:customStyle="1" w:styleId="71">
    <w:name w:val="标题 Char"/>
    <w:link w:val="36"/>
    <w:qFormat/>
    <w:uiPriority w:val="10"/>
    <w:rPr>
      <w:rFonts w:ascii="Arial" w:hAnsi="Arial" w:cs="Arial"/>
      <w:b/>
      <w:bCs/>
      <w:kern w:val="2"/>
      <w:sz w:val="32"/>
      <w:szCs w:val="32"/>
    </w:rPr>
  </w:style>
  <w:style w:type="character" w:customStyle="1" w:styleId="72">
    <w:name w:val="批注主题 Char"/>
    <w:link w:val="37"/>
    <w:qFormat/>
    <w:uiPriority w:val="99"/>
    <w:rPr>
      <w:b/>
      <w:bCs/>
      <w:kern w:val="2"/>
      <w:sz w:val="21"/>
      <w:szCs w:val="24"/>
    </w:rPr>
  </w:style>
  <w:style w:type="character" w:customStyle="1" w:styleId="73">
    <w:name w:val="标题2 Char Char"/>
    <w:qFormat/>
    <w:uiPriority w:val="0"/>
    <w:rPr>
      <w:rFonts w:ascii="宋体" w:hAnsi="宋体" w:eastAsia="宋体" w:cs="Times New Roman"/>
      <w:b/>
      <w:bCs/>
      <w:sz w:val="28"/>
      <w:szCs w:val="28"/>
    </w:rPr>
  </w:style>
  <w:style w:type="character" w:customStyle="1" w:styleId="74">
    <w:name w:val="15"/>
    <w:qFormat/>
    <w:uiPriority w:val="0"/>
    <w:rPr>
      <w:rFonts w:hint="default" w:ascii="Times New Roman" w:hAnsi="Times New Roman" w:cs="Times New Roman"/>
      <w:color w:val="464445"/>
      <w:u w:val="none"/>
    </w:rPr>
  </w:style>
  <w:style w:type="character" w:customStyle="1" w:styleId="75">
    <w:name w:val="标题2 Char"/>
    <w:link w:val="76"/>
    <w:qFormat/>
    <w:uiPriority w:val="0"/>
    <w:rPr>
      <w:rFonts w:ascii="Cambria" w:hAnsi="Cambria"/>
      <w:b/>
      <w:bCs/>
      <w:kern w:val="2"/>
      <w:sz w:val="30"/>
      <w:szCs w:val="24"/>
    </w:rPr>
  </w:style>
  <w:style w:type="paragraph" w:customStyle="1" w:styleId="76">
    <w:name w:val="标题2"/>
    <w:basedOn w:val="36"/>
    <w:link w:val="75"/>
    <w:qFormat/>
    <w:uiPriority w:val="0"/>
    <w:pPr>
      <w:spacing w:after="240"/>
      <w:jc w:val="left"/>
    </w:pPr>
    <w:rPr>
      <w:rFonts w:ascii="Cambria" w:hAnsi="Cambria"/>
      <w:sz w:val="30"/>
      <w:szCs w:val="24"/>
    </w:rPr>
  </w:style>
  <w:style w:type="character" w:customStyle="1" w:styleId="77">
    <w:name w:val="样式 Arial"/>
    <w:qFormat/>
    <w:uiPriority w:val="0"/>
    <w:rPr>
      <w:rFonts w:ascii="Arial" w:hAnsi="Arial" w:eastAsia="宋体"/>
      <w:sz w:val="21"/>
    </w:rPr>
  </w:style>
  <w:style w:type="character" w:customStyle="1" w:styleId="78">
    <w:name w:val="副标题 Char1"/>
    <w:qFormat/>
    <w:uiPriority w:val="0"/>
    <w:rPr>
      <w:rFonts w:ascii="Cambria" w:hAnsi="Cambria" w:cs="Times New Roman"/>
      <w:b/>
      <w:bCs/>
      <w:kern w:val="28"/>
      <w:sz w:val="32"/>
      <w:szCs w:val="32"/>
    </w:rPr>
  </w:style>
  <w:style w:type="character" w:customStyle="1" w:styleId="79">
    <w:name w:val="正文1 Char1"/>
    <w:link w:val="80"/>
    <w:qFormat/>
    <w:uiPriority w:val="0"/>
    <w:rPr>
      <w:rFonts w:cs="宋体"/>
      <w:kern w:val="2"/>
      <w:sz w:val="24"/>
    </w:rPr>
  </w:style>
  <w:style w:type="paragraph" w:customStyle="1" w:styleId="80">
    <w:name w:val="正文1"/>
    <w:basedOn w:val="1"/>
    <w:link w:val="79"/>
    <w:qFormat/>
    <w:uiPriority w:val="0"/>
    <w:pPr>
      <w:spacing w:line="440" w:lineRule="exact"/>
      <w:ind w:firstLine="480" w:firstLineChars="200"/>
    </w:pPr>
    <w:rPr>
      <w:sz w:val="24"/>
      <w:szCs w:val="20"/>
    </w:rPr>
  </w:style>
  <w:style w:type="character" w:customStyle="1" w:styleId="81">
    <w:name w:val="标题3 Char"/>
    <w:link w:val="82"/>
    <w:qFormat/>
    <w:uiPriority w:val="0"/>
    <w:rPr>
      <w:rFonts w:ascii="宋体" w:hAnsi="宋体"/>
      <w:b/>
      <w:bCs/>
      <w:kern w:val="44"/>
      <w:sz w:val="24"/>
      <w:szCs w:val="24"/>
    </w:rPr>
  </w:style>
  <w:style w:type="paragraph" w:customStyle="1" w:styleId="82">
    <w:name w:val="标题3"/>
    <w:basedOn w:val="3"/>
    <w:link w:val="81"/>
    <w:qFormat/>
    <w:uiPriority w:val="0"/>
    <w:pPr>
      <w:spacing w:beforeLines="50" w:afterLines="50" w:line="400" w:lineRule="exact"/>
    </w:pPr>
    <w:rPr>
      <w:rFonts w:ascii="宋体" w:hAnsi="宋体"/>
      <w:sz w:val="24"/>
      <w:szCs w:val="24"/>
    </w:rPr>
  </w:style>
  <w:style w:type="character" w:customStyle="1" w:styleId="83">
    <w:name w:val="105v1"/>
    <w:qFormat/>
    <w:uiPriority w:val="0"/>
    <w:rPr>
      <w:rFonts w:hint="default" w:ascii="ˎ̥" w:hAnsi="ˎ̥"/>
      <w:sz w:val="21"/>
      <w:szCs w:val="21"/>
    </w:rPr>
  </w:style>
  <w:style w:type="paragraph" w:customStyle="1" w:styleId="84">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5">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6">
    <w:name w:val="Definition List"/>
    <w:basedOn w:val="1"/>
    <w:next w:val="87"/>
    <w:qFormat/>
    <w:uiPriority w:val="0"/>
    <w:pPr>
      <w:autoSpaceDE w:val="0"/>
      <w:autoSpaceDN w:val="0"/>
      <w:adjustRightInd w:val="0"/>
      <w:ind w:left="360"/>
      <w:jc w:val="left"/>
    </w:pPr>
    <w:rPr>
      <w:kern w:val="0"/>
      <w:sz w:val="24"/>
      <w:szCs w:val="20"/>
    </w:rPr>
  </w:style>
  <w:style w:type="paragraph" w:customStyle="1" w:styleId="87">
    <w:name w:val="Definition Term"/>
    <w:basedOn w:val="1"/>
    <w:next w:val="86"/>
    <w:qFormat/>
    <w:uiPriority w:val="0"/>
    <w:pPr>
      <w:autoSpaceDE w:val="0"/>
      <w:autoSpaceDN w:val="0"/>
      <w:adjustRightInd w:val="0"/>
      <w:jc w:val="left"/>
    </w:pPr>
    <w:rPr>
      <w:kern w:val="0"/>
      <w:sz w:val="24"/>
      <w:szCs w:val="20"/>
    </w:rPr>
  </w:style>
  <w:style w:type="paragraph" w:customStyle="1" w:styleId="88">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89">
    <w:name w:val="p17"/>
    <w:basedOn w:val="1"/>
    <w:qFormat/>
    <w:uiPriority w:val="0"/>
    <w:pPr>
      <w:widowControl/>
    </w:pPr>
    <w:rPr>
      <w:kern w:val="0"/>
      <w:szCs w:val="21"/>
    </w:rPr>
  </w:style>
  <w:style w:type="paragraph" w:customStyle="1" w:styleId="90">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1">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2">
    <w:name w:val="_Style 16"/>
    <w:basedOn w:val="1"/>
    <w:next w:val="16"/>
    <w:qFormat/>
    <w:uiPriority w:val="0"/>
    <w:pPr>
      <w:ind w:firstLine="540"/>
    </w:pPr>
    <w:rPr>
      <w:sz w:val="28"/>
      <w:szCs w:val="20"/>
    </w:rPr>
  </w:style>
  <w:style w:type="paragraph" w:customStyle="1" w:styleId="93">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4">
    <w:name w:val="默认段落字体 Para Char Char Char Char"/>
    <w:basedOn w:val="1"/>
    <w:qFormat/>
    <w:uiPriority w:val="0"/>
    <w:rPr>
      <w:szCs w:val="20"/>
    </w:rPr>
  </w:style>
  <w:style w:type="paragraph" w:customStyle="1" w:styleId="95">
    <w:name w:val="正文 t"/>
    <w:basedOn w:val="1"/>
    <w:qFormat/>
    <w:uiPriority w:val="0"/>
    <w:pPr>
      <w:spacing w:before="120" w:after="120" w:line="240" w:lineRule="atLeast"/>
    </w:pPr>
    <w:rPr>
      <w:rFonts w:ascii="Arial" w:hAnsi="Arial"/>
      <w:sz w:val="24"/>
      <w:szCs w:val="20"/>
    </w:rPr>
  </w:style>
  <w:style w:type="paragraph" w:customStyle="1" w:styleId="96">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7">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98">
    <w:name w:val="Char1"/>
    <w:basedOn w:val="10"/>
    <w:qFormat/>
    <w:uiPriority w:val="0"/>
    <w:pPr>
      <w:tabs>
        <w:tab w:val="left" w:pos="0"/>
      </w:tabs>
      <w:ind w:firstLine="200" w:firstLineChars="200"/>
    </w:pPr>
    <w:rPr>
      <w:rFonts w:ascii="Tahoma" w:hAnsi="Tahoma"/>
      <w:sz w:val="24"/>
    </w:rPr>
  </w:style>
  <w:style w:type="paragraph" w:customStyle="1" w:styleId="99">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0">
    <w:name w:val="TOC 标题1"/>
    <w:basedOn w:val="3"/>
    <w:next w:val="1"/>
    <w:qFormat/>
    <w:uiPriority w:val="0"/>
    <w:pPr>
      <w:spacing w:before="340" w:after="330" w:line="578" w:lineRule="auto"/>
      <w:outlineLvl w:val="9"/>
    </w:pPr>
    <w:rPr>
      <w:sz w:val="44"/>
    </w:rPr>
  </w:style>
  <w:style w:type="paragraph" w:customStyle="1" w:styleId="101">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2">
    <w:name w:val="_Style 15"/>
    <w:basedOn w:val="1"/>
    <w:next w:val="16"/>
    <w:qFormat/>
    <w:uiPriority w:val="0"/>
    <w:pPr>
      <w:ind w:firstLine="540"/>
    </w:pPr>
    <w:rPr>
      <w:sz w:val="28"/>
      <w:szCs w:val="20"/>
    </w:rPr>
  </w:style>
  <w:style w:type="paragraph" w:customStyle="1" w:styleId="103">
    <w:name w:val="Char"/>
    <w:basedOn w:val="10"/>
    <w:qFormat/>
    <w:uiPriority w:val="0"/>
    <w:pPr>
      <w:keepNext/>
      <w:spacing w:beforeLines="100"/>
    </w:pPr>
    <w:rPr>
      <w:rFonts w:ascii="Tahoma" w:hAnsi="Tahoma"/>
      <w:sz w:val="24"/>
    </w:rPr>
  </w:style>
  <w:style w:type="paragraph" w:customStyle="1" w:styleId="104">
    <w:name w:val="p0"/>
    <w:basedOn w:val="1"/>
    <w:qFormat/>
    <w:uiPriority w:val="0"/>
    <w:pPr>
      <w:widowControl/>
    </w:pPr>
    <w:rPr>
      <w:kern w:val="0"/>
      <w:szCs w:val="21"/>
    </w:rPr>
  </w:style>
  <w:style w:type="paragraph" w:customStyle="1" w:styleId="105">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6">
    <w:name w:val="Char21"/>
    <w:basedOn w:val="1"/>
    <w:qFormat/>
    <w:uiPriority w:val="0"/>
    <w:pPr>
      <w:ind w:firstLine="200" w:firstLineChars="200"/>
    </w:pPr>
    <w:rPr>
      <w:rFonts w:ascii="Tahoma" w:hAnsi="Tahoma"/>
      <w:sz w:val="24"/>
      <w:szCs w:val="20"/>
    </w:rPr>
  </w:style>
  <w:style w:type="paragraph" w:customStyle="1" w:styleId="107">
    <w:name w:val="样式2"/>
    <w:basedOn w:val="4"/>
    <w:qFormat/>
    <w:uiPriority w:val="0"/>
  </w:style>
  <w:style w:type="paragraph" w:customStyle="1" w:styleId="108">
    <w:name w:val="样式1"/>
    <w:basedOn w:val="1"/>
    <w:next w:val="6"/>
    <w:qFormat/>
    <w:uiPriority w:val="0"/>
    <w:pPr>
      <w:spacing w:line="360" w:lineRule="auto"/>
      <w:ind w:firstLine="420" w:firstLineChars="200"/>
    </w:pPr>
    <w:rPr>
      <w:rFonts w:ascii="宋体" w:hAnsi="宋体"/>
      <w:szCs w:val="21"/>
    </w:rPr>
  </w:style>
  <w:style w:type="paragraph" w:customStyle="1" w:styleId="109">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0">
    <w:name w:val="缺省文本"/>
    <w:basedOn w:val="1"/>
    <w:qFormat/>
    <w:uiPriority w:val="0"/>
    <w:pPr>
      <w:autoSpaceDE w:val="0"/>
      <w:autoSpaceDN w:val="0"/>
      <w:adjustRightInd w:val="0"/>
      <w:jc w:val="left"/>
    </w:pPr>
    <w:rPr>
      <w:kern w:val="0"/>
      <w:sz w:val="24"/>
      <w:szCs w:val="20"/>
    </w:rPr>
  </w:style>
  <w:style w:type="paragraph" w:customStyle="1" w:styleId="111">
    <w:name w:val="Char2"/>
    <w:basedOn w:val="1"/>
    <w:qFormat/>
    <w:uiPriority w:val="0"/>
    <w:pPr>
      <w:adjustRightInd w:val="0"/>
      <w:spacing w:line="360" w:lineRule="auto"/>
    </w:pPr>
    <w:rPr>
      <w:kern w:val="0"/>
      <w:sz w:val="24"/>
      <w:szCs w:val="20"/>
    </w:rPr>
  </w:style>
  <w:style w:type="character" w:customStyle="1" w:styleId="112">
    <w:name w:val="纯文本 Char2"/>
    <w:qFormat/>
    <w:uiPriority w:val="0"/>
    <w:rPr>
      <w:rFonts w:ascii="宋体" w:hAnsi="Courier New" w:eastAsia="宋体" w:cs="Times New Roman"/>
      <w:szCs w:val="20"/>
    </w:rPr>
  </w:style>
  <w:style w:type="character" w:customStyle="1" w:styleId="113">
    <w:name w:val="Hyperlink1"/>
    <w:qFormat/>
    <w:uiPriority w:val="0"/>
    <w:rPr>
      <w:rFonts w:ascii="宋体" w:hAnsi="宋体" w:eastAsia="宋体" w:cs="Times New Roman"/>
      <w:color w:val="0000FF"/>
      <w:u w:val="single"/>
    </w:rPr>
  </w:style>
  <w:style w:type="paragraph" w:customStyle="1" w:styleId="114">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5">
    <w:name w:val="列出段落1"/>
    <w:basedOn w:val="1"/>
    <w:qFormat/>
    <w:uiPriority w:val="0"/>
    <w:pPr>
      <w:ind w:firstLine="420" w:firstLineChars="200"/>
    </w:pPr>
  </w:style>
  <w:style w:type="table" w:customStyle="1" w:styleId="116">
    <w:name w:val="网格型1"/>
    <w:basedOn w:val="39"/>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7">
    <w:name w:val="List Paragraph"/>
    <w:basedOn w:val="1"/>
    <w:qFormat/>
    <w:uiPriority w:val="99"/>
    <w:pPr>
      <w:ind w:firstLine="420" w:firstLineChars="200"/>
    </w:pPr>
    <w:rPr>
      <w:rFonts w:ascii="Calibri" w:hAnsi="Calibri"/>
      <w:sz w:val="24"/>
      <w:szCs w:val="22"/>
    </w:rPr>
  </w:style>
  <w:style w:type="paragraph" w:customStyle="1" w:styleId="118">
    <w:name w:val="Table Paragraph"/>
    <w:basedOn w:val="1"/>
    <w:qFormat/>
    <w:uiPriority w:val="1"/>
    <w:pPr>
      <w:jc w:val="left"/>
    </w:pPr>
    <w:rPr>
      <w:rFonts w:ascii="Calibri" w:hAnsi="Calibri"/>
      <w:kern w:val="0"/>
      <w:sz w:val="22"/>
      <w:szCs w:val="22"/>
      <w:lang w:eastAsia="en-US"/>
    </w:rPr>
  </w:style>
  <w:style w:type="paragraph" w:customStyle="1" w:styleId="119">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0">
    <w:name w:val="NormalCharacter"/>
    <w:semiHidden/>
    <w:qFormat/>
    <w:uiPriority w:val="0"/>
  </w:style>
  <w:style w:type="paragraph" w:customStyle="1" w:styleId="121">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2">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3">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4">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5">
    <w:name w:val="WPSOffice手动目录 1"/>
    <w:qFormat/>
    <w:uiPriority w:val="0"/>
    <w:rPr>
      <w:rFonts w:ascii="Times New Roman" w:hAnsi="Times New Roman" w:eastAsia="宋体" w:cs="Times New Roman"/>
      <w:lang w:val="en-US" w:eastAsia="zh-CN" w:bidi="ar-SA"/>
    </w:rPr>
  </w:style>
  <w:style w:type="character" w:customStyle="1" w:styleId="126">
    <w:name w:val="bookmark-item"/>
    <w:basedOn w:val="41"/>
    <w:qFormat/>
    <w:uiPriority w:val="0"/>
  </w:style>
  <w:style w:type="paragraph" w:customStyle="1" w:styleId="12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28">
    <w:name w:val="_Style 50"/>
    <w:basedOn w:val="1"/>
    <w:next w:val="1"/>
    <w:qFormat/>
    <w:uiPriority w:val="0"/>
    <w:pPr>
      <w:pBdr>
        <w:bottom w:val="single" w:color="auto" w:sz="6" w:space="1"/>
      </w:pBdr>
      <w:jc w:val="center"/>
    </w:pPr>
    <w:rPr>
      <w:rFonts w:ascii="Arial"/>
      <w:vanish/>
      <w:sz w:val="16"/>
    </w:rPr>
  </w:style>
  <w:style w:type="character" w:customStyle="1" w:styleId="129">
    <w:name w:val="font51"/>
    <w:basedOn w:val="41"/>
    <w:qFormat/>
    <w:uiPriority w:val="0"/>
    <w:rPr>
      <w:rFonts w:hint="default" w:ascii="等线" w:hAnsi="等线" w:eastAsia="等线" w:cs="等线"/>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FF17F6-B15B-4480-9A12-772800343D15}">
  <ds:schemaRefs/>
</ds:datastoreItem>
</file>

<file path=customXml/itemProps3.xml><?xml version="1.0" encoding="utf-8"?>
<ds:datastoreItem xmlns:ds="http://schemas.openxmlformats.org/officeDocument/2006/customXml" ds:itemID="{4DB491A7-7699-43B8-82DF-7546360513B4}">
  <ds:schemaRefs/>
</ds:datastoreItem>
</file>

<file path=customXml/itemProps4.xml><?xml version="1.0" encoding="utf-8"?>
<ds:datastoreItem xmlns:ds="http://schemas.openxmlformats.org/officeDocument/2006/customXml" ds:itemID="{DEE1A29E-5C08-472F-83EE-D61B966668B9}">
  <ds:schemaRefs/>
</ds:datastoreItem>
</file>

<file path=customXml/itemProps5.xml><?xml version="1.0" encoding="utf-8"?>
<ds:datastoreItem xmlns:ds="http://schemas.openxmlformats.org/officeDocument/2006/customXml" ds:itemID="{F6B0FB0F-16E8-44FE-A10E-1F120B106E58}">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89</Pages>
  <Words>51311</Words>
  <Characters>55160</Characters>
  <Lines>613</Lines>
  <Paragraphs>172</Paragraphs>
  <TotalTime>0</TotalTime>
  <ScaleCrop>false</ScaleCrop>
  <LinksUpToDate>false</LinksUpToDate>
  <CharactersWithSpaces>56292</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2022-06-16T12:59:30Z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