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lang w:val="zh-CN"/>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w:t>
      </w:r>
      <w:r>
        <w:rPr>
          <w:rFonts w:hint="eastAsia" w:cs="宋体" w:asciiTheme="majorEastAsia" w:hAnsiTheme="majorEastAsia" w:eastAsiaTheme="majorEastAsia"/>
          <w:bCs/>
          <w:color w:val="000000" w:themeColor="text1"/>
          <w:sz w:val="24"/>
          <w:highlight w:val="none"/>
          <w:lang w:val="en-US" w:eastAsia="zh-CN"/>
        </w:rPr>
        <w:t>八</w:t>
      </w:r>
      <w:r>
        <w:rPr>
          <w:rFonts w:hint="eastAsia" w:cs="宋体" w:asciiTheme="majorEastAsia" w:hAnsiTheme="majorEastAsia" w:eastAsiaTheme="majorEastAsia"/>
          <w:bCs/>
          <w:color w:val="000000" w:themeColor="text1"/>
          <w:sz w:val="24"/>
          <w:highlight w:val="none"/>
          <w:lang w:val="zh-CN"/>
        </w:rPr>
        <w:t>：净水器）</w:t>
      </w:r>
    </w:p>
    <w:p>
      <w:pPr>
        <w:pStyle w:val="48"/>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8</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本文件已报备</w:t>
            </w: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w:t>
            </w:r>
            <w:r>
              <w:rPr>
                <w:rFonts w:hint="eastAsia" w:cs="宋体" w:asciiTheme="majorEastAsia" w:hAnsiTheme="majorEastAsia" w:eastAsiaTheme="majorEastAsia"/>
                <w:bCs/>
                <w:color w:val="000000" w:themeColor="text1"/>
                <w:sz w:val="24"/>
                <w:highlight w:val="none"/>
                <w:lang w:val="en-US" w:eastAsia="zh-CN"/>
              </w:rPr>
              <w:t>八</w:t>
            </w:r>
            <w:r>
              <w:rPr>
                <w:rFonts w:hint="eastAsia" w:cs="宋体" w:asciiTheme="majorEastAsia" w:hAnsiTheme="majorEastAsia" w:eastAsiaTheme="majorEastAsia"/>
                <w:bCs/>
                <w:color w:val="000000" w:themeColor="text1"/>
                <w:sz w:val="24"/>
                <w:highlight w:val="none"/>
                <w:lang w:val="zh-CN"/>
              </w:rPr>
              <w:t>：净水器）</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30006"/>
      <w:bookmarkStart w:id="2" w:name="_Toc25203"/>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墨玉县城乡村学校教育教学能力提升项目（包八：净水器）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92.30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lang w:eastAsia="zh-CN"/>
              </w:rPr>
              <w:t>墨玉县城乡村学校教育教学能力提升项目（</w:t>
            </w:r>
            <w:r>
              <w:rPr>
                <w:rFonts w:hint="eastAsia" w:cs="仿宋" w:asciiTheme="majorEastAsia" w:hAnsiTheme="majorEastAsia" w:eastAsiaTheme="majorEastAsia"/>
                <w:color w:val="000000" w:themeColor="text1"/>
                <w:szCs w:val="21"/>
                <w:highlight w:val="none"/>
                <w:lang w:eastAsia="zh-CN"/>
              </w:rPr>
              <w:t>包八：净水器</w:t>
            </w:r>
            <w:r>
              <w:rPr>
                <w:rFonts w:hint="eastAsia" w:cs="仿宋" w:asciiTheme="majorEastAsia" w:hAnsiTheme="majorEastAsia" w:eastAsiaTheme="majorEastAsia"/>
                <w:color w:val="000000" w:themeColor="text1"/>
                <w:szCs w:val="21"/>
                <w:lang w:eastAsia="zh-CN"/>
              </w:rPr>
              <w:t>）</w:t>
            </w:r>
            <w:r>
              <w:rPr>
                <w:rFonts w:hint="eastAsia" w:asciiTheme="majorEastAsia" w:hAnsiTheme="majorEastAsia" w:eastAsiaTheme="majorEastAsia"/>
                <w:bCs/>
                <w:color w:val="000000" w:themeColor="text1"/>
                <w:szCs w:val="21"/>
              </w:rPr>
              <w:t>所需设备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w:t>
            </w:r>
            <w:r>
              <w:rPr>
                <w:rFonts w:asciiTheme="majorEastAsia" w:hAnsiTheme="majorEastAsia" w:eastAsiaTheme="majorEastAsia"/>
                <w:bCs/>
                <w:color w:val="000000" w:themeColor="text1"/>
                <w:szCs w:val="21"/>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rPr>
              <w:t>（具体参数详见本招标文件第</w:t>
            </w:r>
            <w:r>
              <w:rPr>
                <w:rFonts w:hint="eastAsia" w:asciiTheme="majorEastAsia" w:hAnsiTheme="majorEastAsia" w:eastAsiaTheme="majorEastAsia"/>
                <w:bCs/>
                <w:color w:val="000000" w:themeColor="text1"/>
                <w:szCs w:val="21"/>
                <w:lang w:eastAsia="zh-CN"/>
              </w:rPr>
              <w:t>五</w:t>
            </w:r>
            <w:r>
              <w:rPr>
                <w:rFonts w:hint="eastAsia" w:asciiTheme="majorEastAsia" w:hAnsiTheme="majorEastAsia" w:eastAsiaTheme="majorEastAsia"/>
                <w:bCs/>
                <w:color w:val="000000" w:themeColor="text1"/>
                <w:szCs w:val="21"/>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rPr>
              <w:t>1.满足《中华人民共和国政府</w:t>
            </w:r>
            <w:r>
              <w:rPr>
                <w:rFonts w:hint="eastAsia" w:asciiTheme="majorEastAsia" w:hAnsiTheme="majorEastAsia" w:eastAsiaTheme="majorEastAsia"/>
                <w:color w:val="000000" w:themeColor="text1"/>
                <w:highlight w:val="none"/>
              </w:rPr>
              <w:t>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8</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8</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92.30</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182891057"/>
      <w:bookmarkStart w:id="15" w:name="_Toc7151"/>
      <w:bookmarkStart w:id="16" w:name="_Toc247815569"/>
      <w:bookmarkStart w:id="17" w:name="_Toc13805"/>
      <w:bookmarkStart w:id="18" w:name="_Toc176257397"/>
      <w:bookmarkStart w:id="19" w:name="_Toc176257387"/>
      <w:bookmarkStart w:id="20" w:name="_Toc247815566"/>
      <w:bookmarkStart w:id="21" w:name="_Toc225356383"/>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26365"/>
      <w:bookmarkStart w:id="23" w:name="_Toc725"/>
      <w:bookmarkStart w:id="24" w:name="_Toc6327"/>
      <w:bookmarkStart w:id="25" w:name="_Toc17604"/>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7324"/>
      <w:bookmarkStart w:id="27" w:name="_Toc2566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170"/>
        <w:gridCol w:w="6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16" w:type="dxa"/>
            <w:noWrap w:val="0"/>
            <w:vAlign w:val="center"/>
          </w:tcPr>
          <w:p>
            <w:pPr>
              <w:snapToGrid w:val="0"/>
              <w:ind w:left="0" w:leftChars="0" w:firstLine="0" w:firstLineChars="0"/>
              <w:jc w:val="left"/>
              <w:rPr>
                <w:rFonts w:ascii="宋体" w:hAnsi="宋体"/>
                <w:sz w:val="24"/>
                <w:highlight w:val="none"/>
                <w:u w:val="none"/>
              </w:rPr>
            </w:pPr>
            <w:bookmarkStart w:id="28" w:name="_Toc5344"/>
            <w:bookmarkStart w:id="29" w:name="_Toc3859"/>
            <w:r>
              <w:rPr>
                <w:rFonts w:hint="eastAsia" w:ascii="宋体" w:hAnsi="宋体"/>
                <w:sz w:val="24"/>
                <w:highlight w:val="none"/>
                <w:u w:val="none"/>
              </w:rPr>
              <w:t>评审项目</w:t>
            </w:r>
          </w:p>
        </w:tc>
        <w:tc>
          <w:tcPr>
            <w:tcW w:w="1170" w:type="dxa"/>
            <w:noWrap w:val="0"/>
            <w:vAlign w:val="center"/>
          </w:tcPr>
          <w:p>
            <w:pPr>
              <w:snapToGrid w:val="0"/>
              <w:jc w:val="left"/>
              <w:rPr>
                <w:rFonts w:ascii="宋体" w:hAnsi="宋体"/>
                <w:sz w:val="24"/>
                <w:highlight w:val="none"/>
                <w:u w:val="none"/>
              </w:rPr>
            </w:pPr>
          </w:p>
        </w:tc>
        <w:tc>
          <w:tcPr>
            <w:tcW w:w="6851" w:type="dxa"/>
            <w:noWrap w:val="0"/>
            <w:vAlign w:val="center"/>
          </w:tcPr>
          <w:p>
            <w:pPr>
              <w:snapToGrid w:val="0"/>
              <w:jc w:val="left"/>
              <w:rPr>
                <w:rFonts w:ascii="宋体" w:hAnsi="宋体"/>
                <w:sz w:val="24"/>
                <w:highlight w:val="none"/>
                <w:u w:val="none"/>
              </w:rPr>
            </w:pPr>
            <w:r>
              <w:rPr>
                <w:rFonts w:hint="eastAsia" w:ascii="宋体" w:hAnsi="宋体"/>
                <w:sz w:val="24"/>
                <w:highlight w:val="none"/>
                <w:u w:val="none"/>
              </w:rPr>
              <w:t>评分标准说明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637" w:type="dxa"/>
            <w:gridSpan w:val="3"/>
            <w:noWrap w:val="0"/>
            <w:vAlign w:val="center"/>
          </w:tcPr>
          <w:p>
            <w:pPr>
              <w:snapToGrid w:val="0"/>
              <w:jc w:val="left"/>
              <w:rPr>
                <w:rFonts w:ascii="宋体" w:hAnsi="宋体"/>
                <w:sz w:val="24"/>
                <w:highlight w:val="none"/>
                <w:u w:val="none"/>
              </w:rPr>
            </w:pPr>
            <w:r>
              <w:rPr>
                <w:rFonts w:hint="eastAsia" w:ascii="宋体" w:hAnsi="宋体"/>
                <w:sz w:val="24"/>
                <w:highlight w:val="none"/>
                <w:u w:val="none"/>
              </w:rPr>
              <w:t>一、价格部分</w:t>
            </w:r>
            <w:r>
              <w:rPr>
                <w:rFonts w:hint="eastAsia" w:ascii="宋体" w:hAnsi="宋体"/>
                <w:sz w:val="24"/>
                <w:highlight w:val="none"/>
                <w:u w:val="none"/>
                <w:lang w:val="en-US" w:eastAsia="zh-CN"/>
              </w:rPr>
              <w:t>4</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1616" w:type="dxa"/>
            <w:noWrap w:val="0"/>
            <w:vAlign w:val="center"/>
          </w:tcPr>
          <w:p>
            <w:pPr>
              <w:widowControl/>
              <w:snapToGrid w:val="0"/>
              <w:ind w:left="720" w:hanging="720" w:hangingChars="300"/>
              <w:jc w:val="left"/>
              <w:rPr>
                <w:rFonts w:ascii="宋体" w:hAnsi="宋体" w:cs="宋体"/>
                <w:sz w:val="24"/>
                <w:highlight w:val="none"/>
                <w:u w:val="none"/>
              </w:rPr>
            </w:pPr>
            <w:r>
              <w:rPr>
                <w:rFonts w:hint="eastAsia" w:ascii="宋体" w:hAnsi="宋体" w:cs="宋体"/>
                <w:sz w:val="24"/>
                <w:highlight w:val="none"/>
                <w:u w:val="none"/>
              </w:rPr>
              <w:t>价格</w:t>
            </w:r>
          </w:p>
        </w:tc>
        <w:tc>
          <w:tcPr>
            <w:tcW w:w="1170" w:type="dxa"/>
            <w:noWrap w:val="0"/>
            <w:vAlign w:val="center"/>
          </w:tcPr>
          <w:p>
            <w:pPr>
              <w:snapToGrid w:val="0"/>
              <w:ind w:left="0" w:leftChars="0" w:firstLine="0" w:firstLineChars="0"/>
              <w:jc w:val="left"/>
              <w:rPr>
                <w:rFonts w:ascii="宋体" w:hAnsi="宋体" w:cs="宋体"/>
                <w:sz w:val="24"/>
                <w:highlight w:val="none"/>
                <w:u w:val="none"/>
              </w:rPr>
            </w:pPr>
            <w:r>
              <w:rPr>
                <w:rFonts w:hint="eastAsia" w:ascii="宋体" w:hAnsi="宋体" w:cs="宋体"/>
                <w:sz w:val="24"/>
                <w:highlight w:val="none"/>
                <w:u w:val="none"/>
                <w:lang w:val="en-US" w:eastAsia="zh-CN"/>
              </w:rPr>
              <w:t>4</w:t>
            </w:r>
            <w:r>
              <w:rPr>
                <w:rFonts w:hint="eastAsia" w:ascii="宋体" w:hAnsi="宋体" w:cs="宋体"/>
                <w:sz w:val="24"/>
                <w:highlight w:val="none"/>
                <w:u w:val="none"/>
              </w:rPr>
              <w:t>0分</w:t>
            </w:r>
          </w:p>
        </w:tc>
        <w:tc>
          <w:tcPr>
            <w:tcW w:w="6851" w:type="dxa"/>
            <w:noWrap w:val="0"/>
            <w:vAlign w:val="center"/>
          </w:tcPr>
          <w:p>
            <w:pPr>
              <w:snapToGrid w:val="0"/>
              <w:ind w:left="0" w:leftChars="0" w:firstLine="0" w:firstLineChars="0"/>
              <w:jc w:val="left"/>
              <w:rPr>
                <w:rFonts w:ascii="宋体" w:hAnsi="宋体" w:cs="宋体"/>
                <w:sz w:val="24"/>
                <w:highlight w:val="none"/>
                <w:u w:val="none"/>
              </w:rPr>
            </w:pPr>
            <w:r>
              <w:rPr>
                <w:rFonts w:ascii="宋体" w:hAnsi="宋体" w:cs="宋体"/>
                <w:sz w:val="24"/>
                <w:highlight w:val="none"/>
                <w:u w:val="none"/>
              </w:rPr>
              <w:t>采用低价优先法计算，即满足</w:t>
            </w:r>
            <w:r>
              <w:rPr>
                <w:rFonts w:hint="eastAsia" w:ascii="宋体" w:hAnsi="宋体" w:cs="宋体"/>
                <w:sz w:val="24"/>
                <w:highlight w:val="none"/>
                <w:u w:val="none"/>
              </w:rPr>
              <w:t>招标</w:t>
            </w:r>
            <w:r>
              <w:rPr>
                <w:rFonts w:ascii="宋体" w:hAnsi="宋体" w:cs="宋体"/>
                <w:sz w:val="24"/>
                <w:highlight w:val="none"/>
                <w:u w:val="none"/>
              </w:rPr>
              <w:t>文件要求且投标价格最低的投标报价为评标基准价，其</w:t>
            </w:r>
            <w:r>
              <w:rPr>
                <w:rFonts w:hint="eastAsia" w:ascii="宋体" w:hAnsi="宋体" w:cs="宋体"/>
                <w:sz w:val="24"/>
                <w:highlight w:val="none"/>
                <w:u w:val="none"/>
              </w:rPr>
              <w:t>价格</w:t>
            </w:r>
            <w:r>
              <w:rPr>
                <w:rFonts w:ascii="宋体" w:hAnsi="宋体" w:cs="宋体"/>
                <w:sz w:val="24"/>
                <w:highlight w:val="none"/>
                <w:u w:val="none"/>
              </w:rPr>
              <w:t>得分为满分。其他投标人的</w:t>
            </w:r>
            <w:r>
              <w:rPr>
                <w:rFonts w:hint="eastAsia" w:ascii="宋体" w:hAnsi="宋体" w:cs="宋体"/>
                <w:sz w:val="24"/>
                <w:highlight w:val="none"/>
                <w:u w:val="none"/>
              </w:rPr>
              <w:t>价格</w:t>
            </w:r>
            <w:r>
              <w:rPr>
                <w:rFonts w:ascii="宋体" w:hAnsi="宋体" w:cs="宋体"/>
                <w:sz w:val="24"/>
                <w:highlight w:val="none"/>
                <w:u w:val="none"/>
              </w:rPr>
              <w:t>得分统一按照下列公式计算：</w:t>
            </w:r>
            <w:r>
              <w:rPr>
                <w:rFonts w:hint="eastAsia" w:ascii="宋体" w:hAnsi="宋体" w:cs="宋体"/>
                <w:sz w:val="24"/>
                <w:highlight w:val="none"/>
                <w:u w:val="none"/>
              </w:rPr>
              <w:t>价格</w:t>
            </w:r>
            <w:r>
              <w:rPr>
                <w:rFonts w:ascii="宋体" w:hAnsi="宋体" w:cs="宋体"/>
                <w:sz w:val="24"/>
                <w:highlight w:val="none"/>
                <w:u w:val="none"/>
              </w:rPr>
              <w:t>得分=（评标基准价/投标报价）×</w:t>
            </w:r>
            <w:r>
              <w:rPr>
                <w:rFonts w:hint="eastAsia" w:ascii="宋体" w:hAnsi="宋体" w:cs="宋体"/>
                <w:sz w:val="24"/>
                <w:highlight w:val="none"/>
                <w:u w:val="none"/>
                <w:lang w:val="en-US" w:eastAsia="zh-CN"/>
              </w:rPr>
              <w:t>4</w:t>
            </w:r>
            <w:r>
              <w:rPr>
                <w:rFonts w:hint="eastAsia" w:ascii="宋体" w:hAnsi="宋体" w:cs="宋体"/>
                <w:sz w:val="24"/>
                <w:highlight w:val="none"/>
                <w:u w:val="none"/>
              </w:rPr>
              <w:t>0%</w:t>
            </w:r>
            <w:r>
              <w:rPr>
                <w:rFonts w:ascii="宋体" w:hAnsi="宋体" w:cs="宋体"/>
                <w:sz w:val="24"/>
                <w:highlight w:val="none"/>
                <w:u w:val="none"/>
              </w:rPr>
              <w:t>×100，如此类推，算出所有投标商的</w:t>
            </w:r>
            <w:r>
              <w:rPr>
                <w:rFonts w:hint="eastAsia" w:ascii="宋体" w:hAnsi="宋体" w:cs="宋体"/>
                <w:sz w:val="24"/>
                <w:highlight w:val="none"/>
                <w:u w:val="none"/>
              </w:rPr>
              <w:t>价格</w:t>
            </w:r>
            <w:r>
              <w:rPr>
                <w:rFonts w:ascii="宋体" w:hAnsi="宋体" w:cs="宋体"/>
                <w:sz w:val="24"/>
                <w:highlight w:val="none"/>
                <w:u w:val="none"/>
              </w:rPr>
              <w:t>得分</w:t>
            </w:r>
            <w:r>
              <w:rPr>
                <w:rFonts w:hint="eastAsia" w:ascii="宋体" w:hAnsi="宋体" w:cs="宋体"/>
                <w:sz w:val="24"/>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63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宋体" w:hAnsi="宋体"/>
                <w:sz w:val="24"/>
                <w:highlight w:val="none"/>
                <w:u w:val="none"/>
              </w:rPr>
            </w:pPr>
            <w:r>
              <w:rPr>
                <w:rFonts w:hint="eastAsia" w:ascii="宋体" w:hAnsi="宋体"/>
                <w:sz w:val="24"/>
                <w:highlight w:val="none"/>
                <w:u w:val="none"/>
              </w:rPr>
              <w:t>二、商务、技术部分</w:t>
            </w:r>
            <w:r>
              <w:rPr>
                <w:rFonts w:hint="eastAsia" w:ascii="宋体" w:hAnsi="宋体"/>
                <w:sz w:val="24"/>
                <w:highlight w:val="none"/>
                <w:u w:val="none"/>
                <w:lang w:val="en-US" w:eastAsia="zh-CN"/>
              </w:rPr>
              <w:t>6</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360" w:lineRule="exact"/>
              <w:ind w:left="0" w:leftChars="0" w:firstLine="0" w:firstLineChars="0"/>
              <w:jc w:val="center"/>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rPr>
              <w:t>投标人的资信及其他</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kern w:val="2"/>
                <w:sz w:val="24"/>
                <w:szCs w:val="24"/>
                <w:highlight w:val="none"/>
                <w:u w:val="none"/>
                <w:lang w:val="en-US" w:eastAsia="zh-CN" w:bidi="ar-SA"/>
              </w:rPr>
            </w:pPr>
            <w:r>
              <w:rPr>
                <w:rFonts w:hint="eastAsia" w:ascii="宋体" w:hAnsi="宋体" w:cs="宋体"/>
                <w:color w:val="auto"/>
                <w:sz w:val="24"/>
                <w:szCs w:val="24"/>
                <w:highlight w:val="none"/>
                <w:u w:val="none"/>
              </w:rPr>
              <w:t>投标人的</w:t>
            </w:r>
            <w:r>
              <w:rPr>
                <w:rFonts w:hint="eastAsia" w:ascii="宋体" w:hAnsi="宋体" w:eastAsia="宋体" w:cs="宋体"/>
                <w:kern w:val="0"/>
                <w:sz w:val="24"/>
                <w:szCs w:val="24"/>
                <w:lang w:val="en-US" w:eastAsia="zh-CN"/>
              </w:rPr>
              <w:t>财务状况</w:t>
            </w:r>
            <w:r>
              <w:rPr>
                <w:rFonts w:hint="eastAsia" w:ascii="宋体" w:hAnsi="宋体" w:cs="宋体"/>
                <w:color w:val="auto"/>
                <w:sz w:val="24"/>
                <w:szCs w:val="24"/>
                <w:highlight w:val="none"/>
                <w:u w:val="none"/>
              </w:rPr>
              <w:t>：</w:t>
            </w:r>
            <w:r>
              <w:rPr>
                <w:rFonts w:hint="eastAsia" w:ascii="宋体" w:hAnsi="宋体" w:eastAsia="宋体" w:cs="宋体"/>
                <w:color w:val="auto"/>
                <w:sz w:val="24"/>
                <w:szCs w:val="24"/>
                <w:highlight w:val="none"/>
              </w:rPr>
              <w:t>以投标人近三年的财务报表进行评价，财务状况良好的得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分，一般的得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分，较差的得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616" w:type="dxa"/>
            <w:vMerge w:val="continue"/>
            <w:tcBorders>
              <w:left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sz w:val="24"/>
                <w:szCs w:val="24"/>
                <w:highlight w:val="none"/>
                <w:u w:val="none"/>
                <w:lang w:val="en-US" w:eastAsia="zh-CN"/>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sz w:val="24"/>
                <w:szCs w:val="24"/>
                <w:highlight w:val="none"/>
                <w:u w:val="none"/>
                <w:lang w:eastAsia="zh-CN"/>
              </w:rPr>
            </w:pPr>
            <w:r>
              <w:rPr>
                <w:rFonts w:hint="eastAsia" w:ascii="宋体" w:hAnsi="宋体" w:cs="宋体"/>
                <w:color w:val="auto"/>
                <w:sz w:val="24"/>
                <w:szCs w:val="24"/>
                <w:highlight w:val="none"/>
                <w:u w:val="none"/>
              </w:rPr>
              <w:t>投标文件制作：投标文件内容编制完整、格式规范、排列顺序准确，装订整齐、美观，完全符合招标文件要求</w:t>
            </w:r>
            <w:r>
              <w:rPr>
                <w:rFonts w:hint="eastAsia" w:ascii="宋体" w:hAnsi="宋体" w:cs="宋体"/>
                <w:color w:val="auto"/>
                <w:sz w:val="24"/>
                <w:szCs w:val="24"/>
                <w:highlight w:val="none"/>
                <w:u w:val="none"/>
                <w:lang w:eastAsia="zh-CN"/>
              </w:rPr>
              <w:t>的得</w:t>
            </w:r>
            <w:r>
              <w:rPr>
                <w:rFonts w:hint="eastAsia" w:ascii="宋体" w:hAnsi="宋体" w:cs="宋体"/>
                <w:color w:val="auto"/>
                <w:sz w:val="24"/>
                <w:szCs w:val="24"/>
                <w:highlight w:val="none"/>
                <w:u w:val="none"/>
                <w:lang w:val="en-US" w:eastAsia="zh-CN"/>
              </w:rPr>
              <w:t>2分</w:t>
            </w:r>
            <w:r>
              <w:rPr>
                <w:rFonts w:hint="eastAsia" w:ascii="宋体" w:hAnsi="宋体" w:cs="宋体"/>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设备的选型</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lang w:val="en-US"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所投产品设备选型、型号、品牌先进的、前沿性等综合评比优异得</w:t>
            </w: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分，一般</w:t>
            </w: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none"/>
              </w:rPr>
              <w:t>分，差不得分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性能及技术参数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sz w:val="24"/>
                <w:szCs w:val="24"/>
                <w:highlight w:val="none"/>
                <w:u w:val="none"/>
                <w:lang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产品质量性能（15分）：</w:t>
            </w:r>
          </w:p>
          <w:p>
            <w:pPr>
              <w:spacing w:line="320" w:lineRule="exact"/>
              <w:ind w:left="0" w:leftChars="0" w:firstLine="0" w:firstLineChars="0"/>
              <w:jc w:val="left"/>
              <w:rPr>
                <w:rFonts w:hint="eastAsia" w:ascii="宋体" w:hAnsi="宋体" w:cs="宋体"/>
                <w:sz w:val="24"/>
                <w:szCs w:val="24"/>
                <w:highlight w:val="none"/>
                <w:u w:val="none"/>
              </w:rPr>
            </w:pPr>
            <w:r>
              <w:rPr>
                <w:rFonts w:hint="eastAsia" w:ascii="宋体" w:hAnsi="宋体" w:cs="宋体"/>
                <w:sz w:val="24"/>
                <w:szCs w:val="24"/>
                <w:highlight w:val="none"/>
                <w:u w:val="none"/>
              </w:rPr>
              <w:t>产品质量、性能满足设计及采购文件要求，产品性价比高，技术应答无偏离，返修率低，得10-15分；产品质量、性能基本满足设计及采购文件要求，产品性价比一般，技术应答基本无偏离，返修率低，得5-10分；产品质量、性能差,产品性价比差，技术应答无偏离,但返修率高，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eastAsia="zh-CN"/>
              </w:rPr>
              <w:t>技术方案和实施方案的合理性（15分）</w:t>
            </w:r>
            <w:r>
              <w:rPr>
                <w:rFonts w:hint="eastAsia" w:ascii="宋体" w:hAnsi="宋体" w:eastAsia="宋体" w:cs="宋体"/>
                <w:sz w:val="24"/>
                <w:szCs w:val="24"/>
                <w:highlight w:val="none"/>
                <w:u w:val="none"/>
                <w:lang w:val="en-US" w:eastAsia="zh-CN"/>
              </w:rPr>
              <w:t>:</w:t>
            </w:r>
          </w:p>
          <w:p>
            <w:pPr>
              <w:spacing w:line="320" w:lineRule="exact"/>
              <w:ind w:left="0" w:leftChars="0" w:firstLine="0" w:firstLineChars="0"/>
              <w:jc w:val="left"/>
              <w:rPr>
                <w:rFonts w:hint="default"/>
                <w:lang w:val="en-US" w:eastAsia="zh-CN"/>
              </w:rPr>
            </w:pPr>
            <w:r>
              <w:rPr>
                <w:rFonts w:hint="default" w:ascii="宋体" w:hAnsi="宋体" w:eastAsia="宋体" w:cs="宋体"/>
                <w:sz w:val="24"/>
                <w:szCs w:val="24"/>
                <w:highlight w:val="none"/>
                <w:u w:val="none"/>
                <w:lang w:val="en-US" w:eastAsia="zh-CN"/>
              </w:rPr>
              <w:t>技术方案内容完整，有详尽的实施方案，方案先进合理，对招标文件的响应程度高，得10-15分；技术方案内容一般，对招标文件响应程度一般的，得5-10分；技术方案粗糙，对招标文件无实质性响应的得0-5分；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10分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产品资质响应情况（10分）:</w:t>
            </w:r>
          </w:p>
          <w:p>
            <w:pPr>
              <w:spacing w:line="320" w:lineRule="exact"/>
              <w:ind w:left="0" w:leftChars="0" w:firstLine="0" w:firstLineChars="0"/>
              <w:jc w:val="left"/>
              <w:rPr>
                <w:rFonts w:hint="eastAsia"/>
                <w:lang w:val="en-US" w:eastAsia="zh-CN"/>
              </w:rPr>
            </w:pPr>
            <w:r>
              <w:rPr>
                <w:rFonts w:hint="eastAsia" w:ascii="宋体" w:hAnsi="宋体" w:eastAsia="宋体" w:cs="宋体"/>
                <w:sz w:val="24"/>
                <w:szCs w:val="24"/>
                <w:highlight w:val="none"/>
                <w:u w:val="none"/>
                <w:lang w:val="en-US" w:eastAsia="zh-CN"/>
              </w:rPr>
              <w:t>为保障产品质量，投标人须满足投标技术参数中要求的相关重要参数资质文件，完全满足得10分，对于不满足项，每缺少一项扣2分，扣完为止。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rPr>
            </w:pPr>
            <w:r>
              <w:rPr>
                <w:rFonts w:ascii="宋体" w:hAnsi="宋体" w:cs="仿宋"/>
                <w:kern w:val="0"/>
                <w:sz w:val="24"/>
                <w:szCs w:val="24"/>
                <w:u w:val="none"/>
              </w:rPr>
              <w:t>质量保证方案及措施</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000000"/>
                <w:kern w:val="0"/>
                <w:sz w:val="24"/>
                <w:szCs w:val="24"/>
                <w:highlight w:val="none"/>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color w:val="000000"/>
                <w:kern w:val="0"/>
                <w:sz w:val="24"/>
                <w:szCs w:val="24"/>
                <w:highlight w:val="none"/>
                <w:u w:val="none"/>
                <w:lang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质量保证方案及措施详细，实施计划、组织方案等方面均合理可行，方案总体相对优秀的，得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6</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质量保证方案及措施较详细，有实施计划组织方案等方面的描述，方案总体相对较好的，得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u w:val="none"/>
              </w:rPr>
            </w:pPr>
            <w:r>
              <w:rPr>
                <w:rFonts w:hint="eastAsia" w:ascii="宋体" w:hAnsi="宋体" w:cs="仿宋"/>
                <w:kern w:val="0"/>
                <w:sz w:val="24"/>
                <w:szCs w:val="24"/>
                <w:u w:val="none"/>
              </w:rPr>
              <w:t>提供了项目质量保证方案及措施，方案总体相对一般的，得0-</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sz w:val="24"/>
                <w:highlight w:val="none"/>
                <w:u w:val="none"/>
              </w:rPr>
            </w:pPr>
            <w:r>
              <w:rPr>
                <w:rFonts w:hint="eastAsia" w:ascii="宋体" w:hAnsi="宋体" w:cs="仿宋"/>
                <w:kern w:val="0"/>
                <w:sz w:val="24"/>
                <w:szCs w:val="24"/>
                <w:u w:val="none"/>
              </w:rPr>
              <w:t>售后服务</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lang w:eastAsia="zh-CN"/>
              </w:rPr>
            </w:pPr>
            <w:r>
              <w:rPr>
                <w:rFonts w:hint="eastAsia" w:ascii="宋体" w:hAnsi="宋体" w:cs="仿宋"/>
                <w:kern w:val="0"/>
                <w:sz w:val="24"/>
                <w:szCs w:val="24"/>
                <w:highlight w:val="none"/>
                <w:u w:val="none"/>
                <w:lang w:val="en-US" w:eastAsia="zh-CN"/>
              </w:rPr>
              <w:t>4分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ascii="宋体" w:hAnsi="宋体" w:cs="仿宋"/>
                <w:kern w:val="0"/>
                <w:sz w:val="24"/>
                <w:szCs w:val="24"/>
                <w:u w:val="none"/>
              </w:rPr>
            </w:pPr>
            <w:r>
              <w:rPr>
                <w:rFonts w:hint="eastAsia" w:ascii="宋体" w:hAnsi="宋体" w:cs="仿宋"/>
                <w:kern w:val="0"/>
                <w:sz w:val="24"/>
                <w:szCs w:val="24"/>
                <w:u w:val="none"/>
              </w:rPr>
              <w:t>售后服务及优惠条件（</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（1）具有本地化的售后服务（投标人在</w:t>
            </w:r>
            <w:r>
              <w:rPr>
                <w:rFonts w:hint="eastAsia" w:ascii="宋体" w:hAnsi="宋体" w:cs="仿宋"/>
                <w:kern w:val="0"/>
                <w:sz w:val="24"/>
                <w:szCs w:val="24"/>
                <w:u w:val="none"/>
                <w:lang w:eastAsia="zh-CN"/>
              </w:rPr>
              <w:t>和田地区</w:t>
            </w:r>
            <w:r>
              <w:rPr>
                <w:rFonts w:hint="eastAsia" w:ascii="宋体" w:hAnsi="宋体" w:cs="仿宋"/>
                <w:kern w:val="0"/>
                <w:sz w:val="24"/>
                <w:szCs w:val="24"/>
                <w:u w:val="none"/>
              </w:rPr>
              <w:t>但有本地化的售后服务机构的得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分，没有本地化售后服务机构的得0分）。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）人员培训承诺（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宋体"/>
                <w:color w:val="000000"/>
                <w:kern w:val="0"/>
                <w:sz w:val="24"/>
                <w:szCs w:val="24"/>
                <w:highlight w:val="none"/>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）服务响应时间承诺（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rFonts w:hint="eastAsia" w:ascii="宋体" w:hAnsi="宋体" w:cs="宋体"/>
                <w:sz w:val="24"/>
                <w:szCs w:val="24"/>
                <w:highlight w:val="none"/>
                <w:u w:val="none"/>
              </w:rPr>
            </w:pPr>
            <w:r>
              <w:rPr>
                <w:sz w:val="24"/>
                <w:highlight w:val="none"/>
                <w:u w:val="none"/>
              </w:rPr>
              <w:t>应急服务方案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rPr>
              <w:t>根据供应商提供的应急服务方案的详尽程度、科学性、合理性进行评审，优得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分、良3分，一般1分， 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637" w:type="dxa"/>
            <w:gridSpan w:val="3"/>
            <w:tcBorders>
              <w:left w:val="single" w:color="auto" w:sz="4" w:space="0"/>
              <w:right w:val="single" w:color="auto" w:sz="4" w:space="0"/>
            </w:tcBorders>
            <w:noWrap w:val="0"/>
            <w:vAlign w:val="center"/>
          </w:tcPr>
          <w:p>
            <w:pPr>
              <w:pStyle w:val="118"/>
              <w:spacing w:before="77" w:line="242" w:lineRule="auto"/>
              <w:ind w:left="75" w:right="57"/>
              <w:rPr>
                <w:sz w:val="24"/>
                <w:highlight w:val="none"/>
                <w:u w:val="none"/>
              </w:rPr>
            </w:pPr>
            <w:r>
              <w:rPr>
                <w:spacing w:val="-3"/>
                <w:sz w:val="24"/>
                <w:highlight w:val="none"/>
                <w:u w:val="none"/>
              </w:rPr>
              <w:t xml:space="preserve">注： </w:t>
            </w:r>
            <w:r>
              <w:rPr>
                <w:sz w:val="24"/>
                <w:highlight w:val="none"/>
                <w:u w:val="none"/>
              </w:rPr>
              <w:t>1</w:t>
            </w:r>
            <w:r>
              <w:rPr>
                <w:spacing w:val="-7"/>
                <w:sz w:val="24"/>
                <w:highlight w:val="none"/>
                <w:u w:val="none"/>
              </w:rPr>
              <w:t xml:space="preserve">、计算过程中，算术平均值保留 </w:t>
            </w:r>
            <w:r>
              <w:rPr>
                <w:sz w:val="24"/>
                <w:highlight w:val="none"/>
                <w:u w:val="none"/>
              </w:rPr>
              <w:t>2</w:t>
            </w:r>
            <w:r>
              <w:rPr>
                <w:spacing w:val="-17"/>
                <w:sz w:val="24"/>
                <w:highlight w:val="none"/>
                <w:u w:val="none"/>
              </w:rPr>
              <w:t xml:space="preserve"> 位小数</w:t>
            </w:r>
            <w:r>
              <w:rPr>
                <w:sz w:val="24"/>
                <w:highlight w:val="none"/>
                <w:u w:val="none"/>
              </w:rPr>
              <w:t>（</w:t>
            </w:r>
            <w:r>
              <w:rPr>
                <w:spacing w:val="-10"/>
                <w:sz w:val="24"/>
                <w:highlight w:val="none"/>
                <w:u w:val="none"/>
              </w:rPr>
              <w:t xml:space="preserve">百分比亦取 </w:t>
            </w:r>
            <w:r>
              <w:rPr>
                <w:sz w:val="24"/>
                <w:highlight w:val="none"/>
                <w:u w:val="none"/>
              </w:rPr>
              <w:t>2</w:t>
            </w:r>
            <w:r>
              <w:rPr>
                <w:spacing w:val="-15"/>
                <w:sz w:val="24"/>
                <w:highlight w:val="none"/>
                <w:u w:val="none"/>
              </w:rPr>
              <w:t xml:space="preserve"> 位小数</w:t>
            </w:r>
            <w:r>
              <w:rPr>
                <w:spacing w:val="-4"/>
                <w:sz w:val="24"/>
                <w:highlight w:val="none"/>
                <w:u w:val="none"/>
              </w:rPr>
              <w:t>），第三位小数</w:t>
            </w:r>
            <w:r>
              <w:rPr>
                <w:sz w:val="24"/>
                <w:highlight w:val="none"/>
                <w:u w:val="none"/>
              </w:rPr>
              <w:t>四舍五入。</w:t>
            </w:r>
          </w:p>
          <w:p>
            <w:pPr>
              <w:widowControl/>
              <w:spacing w:line="360" w:lineRule="exact"/>
              <w:jc w:val="left"/>
              <w:rPr>
                <w:rFonts w:hint="eastAsia" w:ascii="宋体" w:hAnsi="宋体" w:cs="宋体"/>
                <w:color w:val="000000"/>
                <w:kern w:val="0"/>
                <w:sz w:val="24"/>
                <w:szCs w:val="24"/>
                <w:highlight w:val="none"/>
                <w:u w:val="none"/>
              </w:rPr>
            </w:pPr>
            <w:r>
              <w:rPr>
                <w:sz w:val="24"/>
                <w:highlight w:val="none"/>
                <w:u w:val="none"/>
              </w:rPr>
              <w:t>2、供应商的最终得分为：所有评委对其评分的算术平均值。</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1374"/>
      <w:bookmarkStart w:id="31" w:name="_Toc29752"/>
      <w:bookmarkStart w:id="32" w:name="_Toc23656"/>
      <w:bookmarkStart w:id="33" w:name="_Toc14133"/>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8777"/>
      <w:bookmarkStart w:id="35" w:name="_Toc7632"/>
      <w:bookmarkStart w:id="36" w:name="_Toc14035"/>
      <w:bookmarkStart w:id="37" w:name="_Toc18463"/>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4197"/>
      <w:bookmarkStart w:id="39" w:name="_Toc23721"/>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3363808"/>
      <w:bookmarkStart w:id="41" w:name="_Toc434784363"/>
      <w:bookmarkStart w:id="42" w:name="_Toc43478440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27835"/>
      <w:bookmarkStart w:id="45" w:name="_Toc10291"/>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rFonts w:hint="eastAsia" w:cs="仿宋" w:asciiTheme="majorEastAsia" w:hAnsiTheme="majorEastAsia" w:eastAsiaTheme="majorEastAsia"/>
          <w:b w:val="0"/>
          <w:color w:val="000000" w:themeColor="text1"/>
          <w:sz w:val="36"/>
          <w:szCs w:val="36"/>
        </w:rPr>
      </w:pPr>
    </w:p>
    <w:tbl>
      <w:tblPr>
        <w:tblStyle w:val="39"/>
        <w:tblW w:w="147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6"/>
        <w:gridCol w:w="1275"/>
        <w:gridCol w:w="10872"/>
        <w:gridCol w:w="1014"/>
        <w:gridCol w:w="10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 w:hRule="atLeast"/>
        </w:trPr>
        <w:tc>
          <w:tcPr>
            <w:tcW w:w="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项目名称</w:t>
            </w:r>
          </w:p>
        </w:tc>
        <w:tc>
          <w:tcPr>
            <w:tcW w:w="108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详细技术参数</w:t>
            </w:r>
          </w:p>
        </w:tc>
        <w:tc>
          <w:tcPr>
            <w:tcW w:w="10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bl>
    <w:p>
      <w:pPr>
        <w:pStyle w:val="15"/>
      </w:pPr>
    </w:p>
    <w:tbl>
      <w:tblPr>
        <w:tblStyle w:val="39"/>
        <w:tblW w:w="1475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5"/>
        <w:gridCol w:w="1273"/>
        <w:gridCol w:w="10857"/>
        <w:gridCol w:w="1013"/>
        <w:gridCol w:w="10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4"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净水器</w:t>
            </w:r>
          </w:p>
        </w:tc>
        <w:tc>
          <w:tcPr>
            <w:tcW w:w="10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机器外观：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1.各零部件表面应平整、光滑、不得有气泡、斑点及明显划痕等缺陷。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2.橡胶件的结构应致密，不允许有脱层、裂纹和异味等缺陷。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3.机器的铭牌、商标、安全警语等标志应齐全。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4.各管道无残余积水，盛水器具及外表清洁干净，无杂质、无污垢。电源线线体及插头应擦拭干净，无油污等。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5.触及不锈钢边缘无锐变，不得有锐角、毛刺等。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机器结构：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1.内胆采购304不锈钢，厚度</w:t>
            </w:r>
            <w:r>
              <w:rPr>
                <w:rStyle w:val="130"/>
                <w:rFonts w:eastAsia="宋体"/>
                <w:lang w:val="en-US" w:eastAsia="zh-CN" w:bidi="ar"/>
              </w:rPr>
              <w:t>≥</w:t>
            </w:r>
            <w:r>
              <w:rPr>
                <w:rStyle w:val="131"/>
                <w:lang w:val="en-US" w:eastAsia="zh-CN" w:bidi="ar"/>
              </w:rPr>
              <w:t>1.0mm。</w:t>
            </w:r>
            <w:r>
              <w:rPr>
                <w:rStyle w:val="131"/>
                <w:lang w:val="en-US" w:eastAsia="zh-CN" w:bidi="ar"/>
              </w:rPr>
              <w:br w:type="textWrapping"/>
            </w:r>
            <w:r>
              <w:rPr>
                <w:rStyle w:val="131"/>
                <w:lang w:val="en-US" w:eastAsia="zh-CN" w:bidi="ar"/>
              </w:rPr>
              <w:t>2.箱体采用304不锈钢，厚度≥0.8mm。</w:t>
            </w:r>
            <w:r>
              <w:rPr>
                <w:rStyle w:val="131"/>
                <w:lang w:val="en-US" w:eastAsia="zh-CN" w:bidi="ar"/>
              </w:rPr>
              <w:br w:type="textWrapping"/>
            </w:r>
            <w:r>
              <w:rPr>
                <w:rStyle w:val="131"/>
                <w:lang w:val="en-US" w:eastAsia="zh-CN" w:bidi="ar"/>
              </w:rPr>
              <w:t>3.布局合理，便于维护、保养。</w:t>
            </w:r>
            <w:r>
              <w:rPr>
                <w:rStyle w:val="131"/>
                <w:lang w:val="en-US" w:eastAsia="zh-CN" w:bidi="ar"/>
              </w:rPr>
              <w:br w:type="textWrapping"/>
            </w:r>
            <w:r>
              <w:rPr>
                <w:rStyle w:val="131"/>
                <w:lang w:val="en-US" w:eastAsia="zh-CN" w:bidi="ar"/>
              </w:rPr>
              <w:t>脱盐率、回收率的要求：不低于90%的脱盐率和50%的回收率。</w:t>
            </w:r>
            <w:r>
              <w:rPr>
                <w:rStyle w:val="131"/>
                <w:lang w:val="en-US" w:eastAsia="zh-CN" w:bidi="ar"/>
              </w:rPr>
              <w:br w:type="textWrapping"/>
            </w:r>
            <w:r>
              <w:rPr>
                <w:rStyle w:val="131"/>
                <w:lang w:val="en-US" w:eastAsia="zh-CN" w:bidi="ar"/>
              </w:rPr>
              <w:t>水处理工艺要求:聚丙烯熔喷滤芯+颗粒活性炭滤芯+压缩活性炭滤芯+纳滤膜（600G)+后置活性炭滤芯。</w:t>
            </w:r>
            <w:r>
              <w:rPr>
                <w:rStyle w:val="131"/>
                <w:lang w:val="en-US" w:eastAsia="zh-CN" w:bidi="ar"/>
              </w:rPr>
              <w:br w:type="textWrapping"/>
            </w:r>
            <w:r>
              <w:rPr>
                <w:rStyle w:val="131"/>
                <w:lang w:val="en-US" w:eastAsia="zh-CN" w:bidi="ar"/>
              </w:rPr>
              <w:t>显示屏：采用液晶显示屏，可显示温度、时间、水位、滤芯寿命、星期、消毒、冲洗、定时、进水、TDS、加热等设备工作状态，实时显示。</w:t>
            </w:r>
            <w:r>
              <w:rPr>
                <w:rStyle w:val="131"/>
                <w:lang w:val="en-US" w:eastAsia="zh-CN" w:bidi="ar"/>
              </w:rPr>
              <w:br w:type="textWrapping"/>
            </w:r>
            <w:r>
              <w:rPr>
                <w:rStyle w:val="131"/>
                <w:lang w:val="en-US" w:eastAsia="zh-CN" w:bidi="ar"/>
              </w:rPr>
              <w:t>适用水源：市政自来水</w:t>
            </w:r>
            <w:r>
              <w:rPr>
                <w:rStyle w:val="131"/>
                <w:lang w:val="en-US" w:eastAsia="zh-CN" w:bidi="ar"/>
              </w:rPr>
              <w:br w:type="textWrapping"/>
            </w:r>
            <w:r>
              <w:rPr>
                <w:rStyle w:val="131"/>
                <w:lang w:val="en-US" w:eastAsia="zh-CN" w:bidi="ar"/>
              </w:rPr>
              <w:t>适用进水压力：0.1Mpa</w:t>
            </w:r>
            <w:r>
              <w:rPr>
                <w:rStyle w:val="132"/>
                <w:rFonts w:hAnsi="宋体"/>
                <w:lang w:val="en-US" w:eastAsia="zh-CN" w:bidi="ar"/>
              </w:rPr>
              <w:t>∽</w:t>
            </w:r>
            <w:r>
              <w:rPr>
                <w:rStyle w:val="131"/>
                <w:lang w:val="en-US" w:eastAsia="zh-CN" w:bidi="ar"/>
              </w:rPr>
              <w:t>0.4Mpa</w:t>
            </w:r>
            <w:r>
              <w:rPr>
                <w:rStyle w:val="131"/>
                <w:lang w:val="en-US" w:eastAsia="zh-CN" w:bidi="ar"/>
              </w:rPr>
              <w:br w:type="textWrapping"/>
            </w:r>
            <w:r>
              <w:rPr>
                <w:rStyle w:val="131"/>
                <w:lang w:val="en-US" w:eastAsia="zh-CN" w:bidi="ar"/>
              </w:rPr>
              <w:t>适用水温：5℃∽38℃</w:t>
            </w:r>
            <w:r>
              <w:rPr>
                <w:rStyle w:val="131"/>
                <w:lang w:val="en-US" w:eastAsia="zh-CN" w:bidi="ar"/>
              </w:rPr>
              <w:br w:type="textWrapping"/>
            </w:r>
            <w:r>
              <w:rPr>
                <w:rStyle w:val="131"/>
                <w:lang w:val="en-US" w:eastAsia="zh-CN" w:bidi="ar"/>
              </w:rPr>
              <w:t>额定电压/频率：380V-50HZ</w:t>
            </w:r>
            <w:r>
              <w:rPr>
                <w:rStyle w:val="131"/>
                <w:lang w:val="en-US" w:eastAsia="zh-CN" w:bidi="ar"/>
              </w:rPr>
              <w:br w:type="textWrapping"/>
            </w:r>
            <w:r>
              <w:rPr>
                <w:rStyle w:val="131"/>
                <w:lang w:val="en-US" w:eastAsia="zh-CN" w:bidi="ar"/>
              </w:rPr>
              <w:t>加热功率：≥4500W</w:t>
            </w:r>
            <w:r>
              <w:rPr>
                <w:rStyle w:val="131"/>
                <w:lang w:val="en-US" w:eastAsia="zh-CN" w:bidi="ar"/>
              </w:rPr>
              <w:br w:type="textWrapping"/>
            </w:r>
            <w:r>
              <w:rPr>
                <w:rStyle w:val="131"/>
                <w:lang w:val="en-US" w:eastAsia="zh-CN" w:bidi="ar"/>
              </w:rPr>
              <w:t>热胆容积：30L</w:t>
            </w:r>
            <w:r>
              <w:rPr>
                <w:rStyle w:val="131"/>
                <w:lang w:val="en-US" w:eastAsia="zh-CN" w:bidi="ar"/>
              </w:rPr>
              <w:br w:type="textWrapping"/>
            </w:r>
            <w:r>
              <w:rPr>
                <w:rStyle w:val="131"/>
                <w:lang w:val="en-US" w:eastAsia="zh-CN" w:bidi="ar"/>
              </w:rPr>
              <w:t>龙头：1开2温1直饮</w:t>
            </w:r>
            <w:r>
              <w:rPr>
                <w:rStyle w:val="131"/>
                <w:lang w:val="en-US" w:eastAsia="zh-CN" w:bidi="ar"/>
              </w:rPr>
              <w:br w:type="textWrapping"/>
            </w:r>
            <w:r>
              <w:rPr>
                <w:rStyle w:val="131"/>
                <w:lang w:val="en-US" w:eastAsia="zh-CN" w:bidi="ar"/>
              </w:rPr>
              <w:t>出水水量：开水45L/H、温开水250L/H</w:t>
            </w:r>
            <w:r>
              <w:rPr>
                <w:rStyle w:val="131"/>
                <w:lang w:val="en-US" w:eastAsia="zh-CN" w:bidi="ar"/>
              </w:rPr>
              <w:br w:type="textWrapping"/>
            </w:r>
            <w:r>
              <w:rPr>
                <w:rStyle w:val="131"/>
                <w:lang w:val="en-US" w:eastAsia="zh-CN" w:bidi="ar"/>
              </w:rPr>
              <w:t>压力桶容量：≥11G</w:t>
            </w:r>
            <w:r>
              <w:rPr>
                <w:rStyle w:val="131"/>
                <w:lang w:val="en-US" w:eastAsia="zh-CN" w:bidi="ar"/>
              </w:rPr>
              <w:br w:type="textWrapping"/>
            </w:r>
            <w:r>
              <w:rPr>
                <w:rStyle w:val="131"/>
                <w:lang w:val="en-US" w:eastAsia="zh-CN" w:bidi="ar"/>
              </w:rPr>
              <w:t>尺寸：1150*400*1500mm（±5%）</w:t>
            </w:r>
            <w:r>
              <w:rPr>
                <w:rStyle w:val="131"/>
                <w:lang w:val="en-US" w:eastAsia="zh-CN" w:bidi="ar"/>
              </w:rPr>
              <w:br w:type="textWrapping"/>
            </w:r>
            <w:r>
              <w:rPr>
                <w:rStyle w:val="131"/>
                <w:lang w:val="en-US" w:eastAsia="zh-CN" w:bidi="ar"/>
              </w:rPr>
              <w:t>前置过滤</w:t>
            </w:r>
            <w:r>
              <w:rPr>
                <w:rStyle w:val="131"/>
                <w:lang w:val="en-US" w:eastAsia="zh-CN" w:bidi="ar"/>
              </w:rPr>
              <w:br w:type="textWrapping"/>
            </w:r>
            <w:r>
              <w:rPr>
                <w:rStyle w:val="131"/>
                <w:lang w:val="en-US" w:eastAsia="zh-CN" w:bidi="ar"/>
              </w:rPr>
              <w:t>净水流量：2T/H</w:t>
            </w:r>
            <w:r>
              <w:rPr>
                <w:rStyle w:val="131"/>
                <w:lang w:val="en-US" w:eastAsia="zh-CN" w:bidi="ar"/>
              </w:rPr>
              <w:br w:type="textWrapping"/>
            </w:r>
            <w:r>
              <w:rPr>
                <w:rStyle w:val="131"/>
                <w:lang w:val="en-US" w:eastAsia="zh-CN" w:bidi="ar"/>
              </w:rPr>
              <w:t>额定电压：12V</w:t>
            </w:r>
            <w:r>
              <w:rPr>
                <w:rStyle w:val="131"/>
                <w:lang w:val="en-US" w:eastAsia="zh-CN" w:bidi="ar"/>
              </w:rPr>
              <w:br w:type="textWrapping"/>
            </w:r>
            <w:r>
              <w:rPr>
                <w:rStyle w:val="131"/>
                <w:lang w:val="en-US" w:eastAsia="zh-CN" w:bidi="ar"/>
              </w:rPr>
              <w:t>额定功率：18W</w:t>
            </w:r>
            <w:r>
              <w:rPr>
                <w:rStyle w:val="131"/>
                <w:lang w:val="en-US" w:eastAsia="zh-CN" w:bidi="ar"/>
              </w:rPr>
              <w:br w:type="textWrapping"/>
            </w:r>
            <w:r>
              <w:rPr>
                <w:rStyle w:val="131"/>
                <w:lang w:val="en-US" w:eastAsia="zh-CN" w:bidi="ar"/>
              </w:rPr>
              <w:t>阀头：自动</w:t>
            </w:r>
            <w:r>
              <w:rPr>
                <w:rStyle w:val="131"/>
                <w:lang w:val="en-US" w:eastAsia="zh-CN" w:bidi="ar"/>
              </w:rPr>
              <w:br w:type="textWrapping"/>
            </w:r>
            <w:r>
              <w:rPr>
                <w:rStyle w:val="131"/>
                <w:lang w:val="en-US" w:eastAsia="zh-CN" w:bidi="ar"/>
              </w:rPr>
              <w:t>产品尺寸：250*250*1515mm</w:t>
            </w:r>
            <w:r>
              <w:rPr>
                <w:rStyle w:val="131"/>
                <w:lang w:val="en-US" w:eastAsia="zh-CN" w:bidi="ar"/>
              </w:rPr>
              <w:br w:type="textWrapping"/>
            </w:r>
            <w:r>
              <w:rPr>
                <w:rStyle w:val="131"/>
                <w:lang w:val="en-US" w:eastAsia="zh-CN" w:bidi="ar"/>
              </w:rPr>
              <w:t>过滤：石英砂+活性炭</w:t>
            </w:r>
            <w:r>
              <w:rPr>
                <w:rStyle w:val="131"/>
                <w:lang w:val="en-US" w:eastAsia="zh-CN" w:bidi="ar"/>
              </w:rPr>
              <w:br w:type="textWrapping"/>
            </w:r>
            <w:r>
              <w:rPr>
                <w:rStyle w:val="131"/>
                <w:lang w:val="en-US" w:eastAsia="zh-CN" w:bidi="ar"/>
              </w:rPr>
              <w:t>备注：设备必须送至相应的地点，安装、调试完毕后（不产生额外的费用），达到正常饮水的条件。</w:t>
            </w: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合计</w:t>
            </w:r>
          </w:p>
        </w:tc>
        <w:tc>
          <w:tcPr>
            <w:tcW w:w="108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p>
        </w:tc>
        <w:tc>
          <w:tcPr>
            <w:tcW w:w="10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bl>
    <w:p>
      <w:pPr>
        <w:rPr>
          <w:color w:val="000000" w:themeColor="text1"/>
        </w:rPr>
      </w:pPr>
    </w:p>
    <w:p>
      <w:pPr>
        <w:pStyle w:val="38"/>
        <w:ind w:firstLine="0" w:firstLineChars="0"/>
        <w:rPr>
          <w:rFonts w:asciiTheme="minorEastAsia" w:hAnsiTheme="minorEastAsia" w:eastAsiaTheme="minorEastAsia"/>
          <w:sz w:val="22"/>
          <w:szCs w:val="22"/>
        </w:rPr>
      </w:pPr>
    </w:p>
    <w:p>
      <w:pPr>
        <w:widowControl/>
        <w:jc w:val="left"/>
        <w:rPr>
          <w:color w:val="000000" w:themeColor="text1"/>
        </w:rPr>
      </w:pPr>
      <w:r>
        <w:rPr>
          <w:rFonts w:asciiTheme="minorEastAsia" w:hAnsiTheme="minorEastAsia" w:eastAsiaTheme="minorEastAsia"/>
          <w:sz w:val="22"/>
          <w:szCs w:val="22"/>
        </w:rPr>
        <w:br w:type="page"/>
      </w: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center"/>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757B28"/>
    <w:rsid w:val="0492678A"/>
    <w:rsid w:val="04C00E57"/>
    <w:rsid w:val="053F115C"/>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F48F8"/>
    <w:rsid w:val="08F442E1"/>
    <w:rsid w:val="0A263E36"/>
    <w:rsid w:val="0A904119"/>
    <w:rsid w:val="0AD14CDF"/>
    <w:rsid w:val="0B1E2CF3"/>
    <w:rsid w:val="0BE97EFE"/>
    <w:rsid w:val="0BFD77A1"/>
    <w:rsid w:val="0C3044C8"/>
    <w:rsid w:val="0C38346D"/>
    <w:rsid w:val="0C7E1DDA"/>
    <w:rsid w:val="0C8F33B1"/>
    <w:rsid w:val="0C91130F"/>
    <w:rsid w:val="0CA60EC1"/>
    <w:rsid w:val="0CEA39DE"/>
    <w:rsid w:val="0D7C6A10"/>
    <w:rsid w:val="0DAB4740"/>
    <w:rsid w:val="0DAE227A"/>
    <w:rsid w:val="0DD84F05"/>
    <w:rsid w:val="0E0F7AD2"/>
    <w:rsid w:val="0E7375EB"/>
    <w:rsid w:val="0E9B355D"/>
    <w:rsid w:val="0EB85EFA"/>
    <w:rsid w:val="0EC45F19"/>
    <w:rsid w:val="0F1E1CB3"/>
    <w:rsid w:val="0F60098A"/>
    <w:rsid w:val="0F7A6A9A"/>
    <w:rsid w:val="0FF454B9"/>
    <w:rsid w:val="10185326"/>
    <w:rsid w:val="106C0466"/>
    <w:rsid w:val="10BA6B6F"/>
    <w:rsid w:val="10FC366A"/>
    <w:rsid w:val="11896C4C"/>
    <w:rsid w:val="11CD14AD"/>
    <w:rsid w:val="12045226"/>
    <w:rsid w:val="120C530F"/>
    <w:rsid w:val="12FC7352"/>
    <w:rsid w:val="13434F3B"/>
    <w:rsid w:val="13613FFE"/>
    <w:rsid w:val="13937976"/>
    <w:rsid w:val="14604860"/>
    <w:rsid w:val="14BD7762"/>
    <w:rsid w:val="14C57C8A"/>
    <w:rsid w:val="14E42C49"/>
    <w:rsid w:val="14FA380C"/>
    <w:rsid w:val="157E0E30"/>
    <w:rsid w:val="15D77B51"/>
    <w:rsid w:val="16550C64"/>
    <w:rsid w:val="16BD7C0A"/>
    <w:rsid w:val="16F073B5"/>
    <w:rsid w:val="17557A23"/>
    <w:rsid w:val="179C5730"/>
    <w:rsid w:val="17E7717C"/>
    <w:rsid w:val="181E567F"/>
    <w:rsid w:val="18534811"/>
    <w:rsid w:val="18A0301B"/>
    <w:rsid w:val="18BC6FD1"/>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D7C0366"/>
    <w:rsid w:val="1DAF3415"/>
    <w:rsid w:val="1DB16262"/>
    <w:rsid w:val="1DCF07B0"/>
    <w:rsid w:val="1E572BD7"/>
    <w:rsid w:val="1E794B6C"/>
    <w:rsid w:val="1F282554"/>
    <w:rsid w:val="1F374BDB"/>
    <w:rsid w:val="1F494BEF"/>
    <w:rsid w:val="1F5F1CED"/>
    <w:rsid w:val="1F676B2A"/>
    <w:rsid w:val="1F6B31DF"/>
    <w:rsid w:val="1F7F5EEC"/>
    <w:rsid w:val="1F9729D8"/>
    <w:rsid w:val="210B18C1"/>
    <w:rsid w:val="2114370F"/>
    <w:rsid w:val="21313124"/>
    <w:rsid w:val="21362D32"/>
    <w:rsid w:val="213A7228"/>
    <w:rsid w:val="217A4E7B"/>
    <w:rsid w:val="2180452F"/>
    <w:rsid w:val="218E27EC"/>
    <w:rsid w:val="223F09B3"/>
    <w:rsid w:val="22BD2FB3"/>
    <w:rsid w:val="22E633A0"/>
    <w:rsid w:val="23A90EBD"/>
    <w:rsid w:val="23B87B80"/>
    <w:rsid w:val="24C2033C"/>
    <w:rsid w:val="252C0395"/>
    <w:rsid w:val="2570196D"/>
    <w:rsid w:val="25C03D0B"/>
    <w:rsid w:val="25CF6646"/>
    <w:rsid w:val="268B15D0"/>
    <w:rsid w:val="278C389C"/>
    <w:rsid w:val="27A569B0"/>
    <w:rsid w:val="27B84691"/>
    <w:rsid w:val="27E91B4B"/>
    <w:rsid w:val="288A1B89"/>
    <w:rsid w:val="28CF5223"/>
    <w:rsid w:val="29237E32"/>
    <w:rsid w:val="2960418F"/>
    <w:rsid w:val="2A067935"/>
    <w:rsid w:val="2A1E7E5E"/>
    <w:rsid w:val="2AAD1B5F"/>
    <w:rsid w:val="2AC901ED"/>
    <w:rsid w:val="2B807273"/>
    <w:rsid w:val="2BCB4A81"/>
    <w:rsid w:val="2C017A6E"/>
    <w:rsid w:val="2C066EFA"/>
    <w:rsid w:val="2C432458"/>
    <w:rsid w:val="2C675738"/>
    <w:rsid w:val="2C72343C"/>
    <w:rsid w:val="2CA41AD3"/>
    <w:rsid w:val="2CE26BE9"/>
    <w:rsid w:val="2D717B76"/>
    <w:rsid w:val="2DFC55A1"/>
    <w:rsid w:val="2E0D46EB"/>
    <w:rsid w:val="2E3D769E"/>
    <w:rsid w:val="2E86223B"/>
    <w:rsid w:val="2EAA2A37"/>
    <w:rsid w:val="2EAC071C"/>
    <w:rsid w:val="2F4A02C4"/>
    <w:rsid w:val="30043E92"/>
    <w:rsid w:val="30324C0F"/>
    <w:rsid w:val="309C411D"/>
    <w:rsid w:val="314F57A5"/>
    <w:rsid w:val="32E20253"/>
    <w:rsid w:val="32E2051D"/>
    <w:rsid w:val="33064502"/>
    <w:rsid w:val="330D758E"/>
    <w:rsid w:val="333B73E0"/>
    <w:rsid w:val="33881640"/>
    <w:rsid w:val="33E44B64"/>
    <w:rsid w:val="340A4173"/>
    <w:rsid w:val="34160633"/>
    <w:rsid w:val="344717C2"/>
    <w:rsid w:val="346A28BB"/>
    <w:rsid w:val="357D388C"/>
    <w:rsid w:val="357F059C"/>
    <w:rsid w:val="35CE71FD"/>
    <w:rsid w:val="362505B4"/>
    <w:rsid w:val="36D17804"/>
    <w:rsid w:val="37421C09"/>
    <w:rsid w:val="37A4078E"/>
    <w:rsid w:val="3821593A"/>
    <w:rsid w:val="38220352"/>
    <w:rsid w:val="388B1675"/>
    <w:rsid w:val="38F802A1"/>
    <w:rsid w:val="393B0F3D"/>
    <w:rsid w:val="3951559F"/>
    <w:rsid w:val="39764E9F"/>
    <w:rsid w:val="39DD0704"/>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A23404"/>
    <w:rsid w:val="3E012496"/>
    <w:rsid w:val="3E2D66DC"/>
    <w:rsid w:val="3EB16886"/>
    <w:rsid w:val="3EFE00C0"/>
    <w:rsid w:val="3F4E14BE"/>
    <w:rsid w:val="3F820BDF"/>
    <w:rsid w:val="3FF12E03"/>
    <w:rsid w:val="3FF516F1"/>
    <w:rsid w:val="40594B80"/>
    <w:rsid w:val="40AA4AE5"/>
    <w:rsid w:val="414854D9"/>
    <w:rsid w:val="415230AB"/>
    <w:rsid w:val="41A46E67"/>
    <w:rsid w:val="41C053DF"/>
    <w:rsid w:val="422B54E7"/>
    <w:rsid w:val="42D26954"/>
    <w:rsid w:val="42E95D61"/>
    <w:rsid w:val="43427AEA"/>
    <w:rsid w:val="43635AE7"/>
    <w:rsid w:val="439060FA"/>
    <w:rsid w:val="4398724F"/>
    <w:rsid w:val="43F959BD"/>
    <w:rsid w:val="440F51E1"/>
    <w:rsid w:val="44246A0A"/>
    <w:rsid w:val="443609BF"/>
    <w:rsid w:val="453A003B"/>
    <w:rsid w:val="454517EB"/>
    <w:rsid w:val="454811F9"/>
    <w:rsid w:val="455917AC"/>
    <w:rsid w:val="456C4C82"/>
    <w:rsid w:val="457E261E"/>
    <w:rsid w:val="459344EF"/>
    <w:rsid w:val="45E67D5B"/>
    <w:rsid w:val="45F8417E"/>
    <w:rsid w:val="461125FB"/>
    <w:rsid w:val="468679DC"/>
    <w:rsid w:val="47013507"/>
    <w:rsid w:val="47272960"/>
    <w:rsid w:val="475278BE"/>
    <w:rsid w:val="47A51EEF"/>
    <w:rsid w:val="47A66A72"/>
    <w:rsid w:val="47BF537F"/>
    <w:rsid w:val="47C86417"/>
    <w:rsid w:val="48324D26"/>
    <w:rsid w:val="48C05E50"/>
    <w:rsid w:val="49C04A33"/>
    <w:rsid w:val="4AD036B3"/>
    <w:rsid w:val="4AD256CE"/>
    <w:rsid w:val="4B0215FB"/>
    <w:rsid w:val="4B83303B"/>
    <w:rsid w:val="4C203837"/>
    <w:rsid w:val="4CAA6B2F"/>
    <w:rsid w:val="4CF10148"/>
    <w:rsid w:val="4CF3569F"/>
    <w:rsid w:val="4CFF2151"/>
    <w:rsid w:val="4D3D7474"/>
    <w:rsid w:val="4D6F17F8"/>
    <w:rsid w:val="4DBF0947"/>
    <w:rsid w:val="4DC23D08"/>
    <w:rsid w:val="4E0B07A7"/>
    <w:rsid w:val="4E4C48A3"/>
    <w:rsid w:val="4EA462E6"/>
    <w:rsid w:val="4EB23099"/>
    <w:rsid w:val="4EBE1740"/>
    <w:rsid w:val="4EEA477C"/>
    <w:rsid w:val="4F035910"/>
    <w:rsid w:val="4F1067A1"/>
    <w:rsid w:val="4F323A12"/>
    <w:rsid w:val="4F716D4F"/>
    <w:rsid w:val="4FA86031"/>
    <w:rsid w:val="4FC03A74"/>
    <w:rsid w:val="4FC6084B"/>
    <w:rsid w:val="503D2110"/>
    <w:rsid w:val="50771525"/>
    <w:rsid w:val="50D61560"/>
    <w:rsid w:val="510612DE"/>
    <w:rsid w:val="513B0C15"/>
    <w:rsid w:val="51860643"/>
    <w:rsid w:val="518B7F81"/>
    <w:rsid w:val="52ED12D8"/>
    <w:rsid w:val="534831A7"/>
    <w:rsid w:val="545E380D"/>
    <w:rsid w:val="549C03CB"/>
    <w:rsid w:val="54E34CD9"/>
    <w:rsid w:val="551758B9"/>
    <w:rsid w:val="557F62AC"/>
    <w:rsid w:val="55CC6BA1"/>
    <w:rsid w:val="56105BB5"/>
    <w:rsid w:val="56386FBA"/>
    <w:rsid w:val="565A1112"/>
    <w:rsid w:val="56B443C7"/>
    <w:rsid w:val="56F40992"/>
    <w:rsid w:val="571B6DE8"/>
    <w:rsid w:val="57340669"/>
    <w:rsid w:val="57520916"/>
    <w:rsid w:val="57845DB2"/>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E57428"/>
    <w:rsid w:val="5BF82EE6"/>
    <w:rsid w:val="5BF907F8"/>
    <w:rsid w:val="5C0C052C"/>
    <w:rsid w:val="5C2E7375"/>
    <w:rsid w:val="5C381321"/>
    <w:rsid w:val="5C5E5DE0"/>
    <w:rsid w:val="5C881635"/>
    <w:rsid w:val="5CA76D5C"/>
    <w:rsid w:val="5CF6176C"/>
    <w:rsid w:val="5D0C4001"/>
    <w:rsid w:val="5D187F14"/>
    <w:rsid w:val="5E7B0CE3"/>
    <w:rsid w:val="5E98619E"/>
    <w:rsid w:val="5F4624A1"/>
    <w:rsid w:val="5FFA28BF"/>
    <w:rsid w:val="6000759F"/>
    <w:rsid w:val="60065292"/>
    <w:rsid w:val="601C0788"/>
    <w:rsid w:val="602476D2"/>
    <w:rsid w:val="602E272E"/>
    <w:rsid w:val="60503789"/>
    <w:rsid w:val="60D6516A"/>
    <w:rsid w:val="60E64762"/>
    <w:rsid w:val="60FA4DF7"/>
    <w:rsid w:val="611C3F8A"/>
    <w:rsid w:val="612F13B6"/>
    <w:rsid w:val="615A682D"/>
    <w:rsid w:val="61605CC6"/>
    <w:rsid w:val="61E82610"/>
    <w:rsid w:val="62313A1F"/>
    <w:rsid w:val="62626B68"/>
    <w:rsid w:val="627B1F67"/>
    <w:rsid w:val="62C83817"/>
    <w:rsid w:val="62DE4ACD"/>
    <w:rsid w:val="630D2BC2"/>
    <w:rsid w:val="635B1B17"/>
    <w:rsid w:val="63974B7F"/>
    <w:rsid w:val="63A474DA"/>
    <w:rsid w:val="63C97026"/>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8F305EB"/>
    <w:rsid w:val="69036414"/>
    <w:rsid w:val="69256789"/>
    <w:rsid w:val="69926B5F"/>
    <w:rsid w:val="69952440"/>
    <w:rsid w:val="69CB5226"/>
    <w:rsid w:val="69CD7A52"/>
    <w:rsid w:val="6A064015"/>
    <w:rsid w:val="6A2D7FEB"/>
    <w:rsid w:val="6A4279C0"/>
    <w:rsid w:val="6A470278"/>
    <w:rsid w:val="6A7D6C0C"/>
    <w:rsid w:val="6ADA3D5A"/>
    <w:rsid w:val="6AFA4AF2"/>
    <w:rsid w:val="6B7B2FD8"/>
    <w:rsid w:val="6B9916F8"/>
    <w:rsid w:val="6B9F7B64"/>
    <w:rsid w:val="6C6172CD"/>
    <w:rsid w:val="6CEE00EB"/>
    <w:rsid w:val="6DA1021D"/>
    <w:rsid w:val="6DF2753D"/>
    <w:rsid w:val="6E533EFF"/>
    <w:rsid w:val="6E5955B2"/>
    <w:rsid w:val="6E8E090D"/>
    <w:rsid w:val="6EA14B04"/>
    <w:rsid w:val="6F0137F4"/>
    <w:rsid w:val="6F6D2C38"/>
    <w:rsid w:val="6FD42CB7"/>
    <w:rsid w:val="6FFF6D4A"/>
    <w:rsid w:val="7026388B"/>
    <w:rsid w:val="70812E3F"/>
    <w:rsid w:val="70893AA1"/>
    <w:rsid w:val="710870BC"/>
    <w:rsid w:val="71724535"/>
    <w:rsid w:val="71D52C52"/>
    <w:rsid w:val="71EE2ABC"/>
    <w:rsid w:val="71FB277D"/>
    <w:rsid w:val="723B3DAE"/>
    <w:rsid w:val="726173AB"/>
    <w:rsid w:val="727A5D97"/>
    <w:rsid w:val="736F2E62"/>
    <w:rsid w:val="739E476C"/>
    <w:rsid w:val="73E8121C"/>
    <w:rsid w:val="741A0B00"/>
    <w:rsid w:val="74F87447"/>
    <w:rsid w:val="74FE5CD5"/>
    <w:rsid w:val="751B684F"/>
    <w:rsid w:val="752D219E"/>
    <w:rsid w:val="75BD2DF1"/>
    <w:rsid w:val="75CD1474"/>
    <w:rsid w:val="76AC0BD3"/>
    <w:rsid w:val="76B4174A"/>
    <w:rsid w:val="76F22DA3"/>
    <w:rsid w:val="7770353A"/>
    <w:rsid w:val="777A2396"/>
    <w:rsid w:val="778F1B31"/>
    <w:rsid w:val="789E78B0"/>
    <w:rsid w:val="78B36B05"/>
    <w:rsid w:val="790C032D"/>
    <w:rsid w:val="792F052B"/>
    <w:rsid w:val="79C66218"/>
    <w:rsid w:val="79DA6908"/>
    <w:rsid w:val="7A1A5B7A"/>
    <w:rsid w:val="7A382603"/>
    <w:rsid w:val="7A9B65C4"/>
    <w:rsid w:val="7AC62DB2"/>
    <w:rsid w:val="7AD64090"/>
    <w:rsid w:val="7AD71133"/>
    <w:rsid w:val="7AFB3EE8"/>
    <w:rsid w:val="7B4B4DB2"/>
    <w:rsid w:val="7BC84294"/>
    <w:rsid w:val="7C195116"/>
    <w:rsid w:val="7C42092C"/>
    <w:rsid w:val="7C5A7B44"/>
    <w:rsid w:val="7C5C5D14"/>
    <w:rsid w:val="7CCF1551"/>
    <w:rsid w:val="7CDE4CF6"/>
    <w:rsid w:val="7CE107C1"/>
    <w:rsid w:val="7CE8603D"/>
    <w:rsid w:val="7DCA6AAE"/>
    <w:rsid w:val="7DDF6E92"/>
    <w:rsid w:val="7E3037AE"/>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 w:type="character" w:customStyle="1" w:styleId="130">
    <w:name w:val="font31"/>
    <w:basedOn w:val="41"/>
    <w:qFormat/>
    <w:uiPriority w:val="0"/>
    <w:rPr>
      <w:rFonts w:ascii="Arial" w:hAnsi="Arial" w:cs="Arial"/>
      <w:color w:val="000000"/>
      <w:sz w:val="20"/>
      <w:szCs w:val="20"/>
      <w:u w:val="none"/>
    </w:rPr>
  </w:style>
  <w:style w:type="character" w:customStyle="1" w:styleId="131">
    <w:name w:val="font11"/>
    <w:basedOn w:val="41"/>
    <w:qFormat/>
    <w:uiPriority w:val="0"/>
    <w:rPr>
      <w:rFonts w:hint="eastAsia" w:ascii="宋体" w:hAnsi="宋体" w:eastAsia="宋体" w:cs="宋体"/>
      <w:color w:val="000000"/>
      <w:sz w:val="20"/>
      <w:szCs w:val="20"/>
      <w:u w:val="none"/>
    </w:rPr>
  </w:style>
  <w:style w:type="character" w:customStyle="1" w:styleId="132">
    <w:name w:val="font21"/>
    <w:basedOn w:val="41"/>
    <w:qFormat/>
    <w:uiPriority w:val="0"/>
    <w:rPr>
      <w:rFonts w:ascii="仿宋_GB2312" w:eastAsia="仿宋_GB2312" w:cs="仿宋_GB2312"/>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F17F6-B15B-4480-9A12-772800343D15}">
  <ds:schemaRefs/>
</ds:datastoreItem>
</file>

<file path=customXml/itemProps3.xml><?xml version="1.0" encoding="utf-8"?>
<ds:datastoreItem xmlns:ds="http://schemas.openxmlformats.org/officeDocument/2006/customXml" ds:itemID="{4DB491A7-7699-43B8-82DF-7546360513B4}">
  <ds:schemaRefs/>
</ds:datastoreItem>
</file>

<file path=customXml/itemProps4.xml><?xml version="1.0" encoding="utf-8"?>
<ds:datastoreItem xmlns:ds="http://schemas.openxmlformats.org/officeDocument/2006/customXml" ds:itemID="{DEE1A29E-5C08-472F-83EE-D61B966668B9}">
  <ds:schemaRefs/>
</ds:datastoreItem>
</file>

<file path=customXml/itemProps5.xml><?xml version="1.0" encoding="utf-8"?>
<ds:datastoreItem xmlns:ds="http://schemas.openxmlformats.org/officeDocument/2006/customXml" ds:itemID="{F6B0FB0F-16E8-44FE-A10E-1F120B106E58}">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83</Pages>
  <Words>44928</Words>
  <Characters>47986</Characters>
  <Lines>613</Lines>
  <Paragraphs>172</Paragraphs>
  <TotalTime>0</TotalTime>
  <ScaleCrop>false</ScaleCrop>
  <LinksUpToDate>false</LinksUpToDate>
  <CharactersWithSpaces>49067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2022-06-16T13:00:54Z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