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项目名称：墨玉县城乡村学校教育教学能力提升项目（包一：智慧课堂（中学））</w:t>
      </w:r>
    </w:p>
    <w:p>
      <w:pPr>
        <w:pStyle w:val="48"/>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项目编号：XJJJN-HTCG-2022-029/01</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本文件已报备</w:t>
            </w: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jc w:val="center"/>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spacing w:line="360" w:lineRule="auto"/>
              <w:rPr>
                <w:rFonts w:cs="宋体" w:asciiTheme="majorEastAsia" w:hAnsiTheme="majorEastAsia" w:eastAsiaTheme="majorEastAsia"/>
                <w:color w:val="000000" w:themeColor="text1"/>
                <w:sz w:val="28"/>
                <w:szCs w:val="28"/>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项目名称：</w:t>
            </w:r>
            <w:r>
              <w:rPr>
                <w:rFonts w:hint="eastAsia" w:cs="宋体" w:asciiTheme="majorEastAsia" w:hAnsiTheme="majorEastAsia" w:eastAsiaTheme="majorEastAsia"/>
                <w:bCs/>
                <w:color w:val="000000" w:themeColor="text1"/>
                <w:sz w:val="24"/>
                <w:lang w:val="zh-CN"/>
              </w:rPr>
              <w:t>墨玉县城乡村学校教育教学能力提升项目（包一：智慧课堂（中学））</w:t>
            </w:r>
          </w:p>
          <w:p>
            <w:pPr>
              <w:rPr>
                <w:rFonts w:cs="宋体" w:asciiTheme="majorEastAsia" w:hAnsiTheme="majorEastAsia" w:eastAsiaTheme="majorEastAsia"/>
                <w:bCs/>
                <w:color w:val="000000" w:themeColor="text1"/>
                <w:sz w:val="28"/>
                <w:szCs w:val="28"/>
              </w:rPr>
            </w:pPr>
          </w:p>
          <w:p>
            <w:pPr>
              <w:rPr>
                <w:rFonts w:cs="宋体" w:asciiTheme="majorEastAsia" w:hAnsiTheme="majorEastAsia" w:eastAsiaTheme="majorEastAsia"/>
                <w:color w:val="000000" w:themeColor="text1"/>
                <w:sz w:val="28"/>
                <w:szCs w:val="28"/>
              </w:rPr>
            </w:pPr>
            <w:r>
              <w:rPr>
                <w:rFonts w:hint="eastAsia" w:cs="宋体" w:asciiTheme="majorEastAsia" w:hAnsiTheme="majorEastAsia" w:eastAsiaTheme="majorEastAsia"/>
                <w:color w:val="000000" w:themeColor="text1"/>
                <w:sz w:val="28"/>
                <w:szCs w:val="28"/>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hint="eastAsia"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hint="eastAsia"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30006"/>
      <w:bookmarkStart w:id="2" w:name="_Toc25203"/>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5098"/>
            <w:bookmarkStart w:id="4" w:name="_Toc18884"/>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lang w:eastAsia="zh-CN"/>
              </w:rPr>
            </w:pPr>
            <w:r>
              <w:rPr>
                <w:rFonts w:hint="eastAsia" w:cs="仿宋" w:asciiTheme="majorEastAsia" w:hAnsiTheme="majorEastAsia" w:eastAsiaTheme="majorEastAsia"/>
                <w:color w:val="000000" w:themeColor="text1"/>
                <w:szCs w:val="21"/>
                <w:lang w:eastAsia="zh-CN"/>
              </w:rPr>
              <w:t>墨玉县城乡村学校教育教学能力提升项目（包一：智慧课堂（中学））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140.00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lang w:eastAsia="zh-CN"/>
              </w:rPr>
              <w:t>墨玉县城乡村学校教育教学能力提升项目（包一：智慧课堂（中学））</w:t>
            </w:r>
            <w:r>
              <w:rPr>
                <w:rFonts w:hint="eastAsia" w:asciiTheme="majorEastAsia" w:hAnsiTheme="majorEastAsia" w:eastAsiaTheme="majorEastAsia"/>
                <w:bCs/>
                <w:color w:val="000000" w:themeColor="text1"/>
                <w:szCs w:val="21"/>
              </w:rPr>
              <w:t>所需设备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w:t>
            </w:r>
            <w:r>
              <w:rPr>
                <w:rFonts w:asciiTheme="majorEastAsia" w:hAnsiTheme="majorEastAsia" w:eastAsiaTheme="majorEastAsia"/>
                <w:bCs/>
                <w:color w:val="000000" w:themeColor="text1"/>
                <w:szCs w:val="21"/>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rPr>
              <w:t>（具体参数详见本招标文件第</w:t>
            </w:r>
            <w:r>
              <w:rPr>
                <w:rFonts w:hint="eastAsia" w:asciiTheme="majorEastAsia" w:hAnsiTheme="majorEastAsia" w:eastAsiaTheme="majorEastAsia"/>
                <w:bCs/>
                <w:color w:val="000000" w:themeColor="text1"/>
                <w:szCs w:val="21"/>
                <w:lang w:eastAsia="zh-CN"/>
              </w:rPr>
              <w:t>五</w:t>
            </w:r>
            <w:r>
              <w:rPr>
                <w:rFonts w:hint="eastAsia" w:asciiTheme="majorEastAsia" w:hAnsiTheme="majorEastAsia" w:eastAsiaTheme="majorEastAsia"/>
                <w:bCs/>
                <w:color w:val="000000" w:themeColor="text1"/>
                <w:szCs w:val="21"/>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1.满足《中华人民共和国政府采购法》第二十二条规定；</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2.落实政府采购政策需满足的资格要求：标项1：供应商为中小企业/小微企业,供应商应为监狱企业,供应商应为残疾人福利企业 。</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3.本项目的特定资格要求：标项 1：</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140.00</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176257397"/>
      <w:bookmarkStart w:id="15" w:name="_Toc7151"/>
      <w:bookmarkStart w:id="16" w:name="_Toc13805"/>
      <w:bookmarkStart w:id="17" w:name="_Toc247815569"/>
      <w:bookmarkStart w:id="18" w:name="_Toc182891057"/>
      <w:bookmarkStart w:id="19" w:name="_Toc225356383"/>
      <w:bookmarkStart w:id="20" w:name="_Toc247815566"/>
      <w:bookmarkStart w:id="21" w:name="_Toc176257387"/>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725"/>
      <w:bookmarkStart w:id="23" w:name="_Toc17604"/>
      <w:bookmarkStart w:id="24" w:name="_Toc26365"/>
      <w:bookmarkStart w:id="25" w:name="_Toc6327"/>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5664"/>
      <w:bookmarkStart w:id="27" w:name="_Toc2732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10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740"/>
        <w:gridCol w:w="618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bookmarkStart w:id="28" w:name="_Toc3859"/>
            <w:bookmarkStart w:id="29" w:name="_Toc5344"/>
            <w:r>
              <w:rPr>
                <w:rFonts w:hint="eastAsia" w:ascii="宋体" w:hAnsi="宋体" w:eastAsia="宋体" w:cs="宋体"/>
                <w:b/>
                <w:bCs/>
                <w:i w:val="0"/>
                <w:iCs w:val="0"/>
                <w:color w:val="000000"/>
                <w:kern w:val="0"/>
                <w:sz w:val="21"/>
                <w:szCs w:val="21"/>
                <w:u w:val="none"/>
                <w:lang w:val="en-US" w:eastAsia="zh-CN" w:bidi="ar"/>
              </w:rPr>
              <w:t>评审内容</w:t>
            </w: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评审细则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8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投标报价得分</w:t>
            </w:r>
          </w:p>
        </w:tc>
        <w:tc>
          <w:tcPr>
            <w:tcW w:w="61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满足磋商文件要求且报价最低的为基准价，其价格分为满分。其他报价人报价得分=(基准价／报价)×价格分值</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8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（40分）</w:t>
            </w:r>
          </w:p>
        </w:tc>
        <w:tc>
          <w:tcPr>
            <w:tcW w:w="61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1"/>
                <w:szCs w:val="21"/>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30"/>
                <w:lang w:val="en-US" w:eastAsia="zh-CN" w:bidi="ar"/>
              </w:rPr>
              <w:t>商务</w:t>
            </w:r>
            <w:r>
              <w:rPr>
                <w:rStyle w:val="130"/>
                <w:rFonts w:hint="eastAsia" w:eastAsia="宋体"/>
                <w:lang w:val="en-US" w:eastAsia="zh-CN" w:bidi="ar"/>
              </w:rPr>
              <w:t>技术</w:t>
            </w:r>
            <w:r>
              <w:rPr>
                <w:rStyle w:val="130"/>
                <w:lang w:val="en-US" w:eastAsia="zh-CN" w:bidi="ar"/>
              </w:rPr>
              <w:t>部分（满分60分）</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知识产权及行业认证证书</w:t>
            </w: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投标人或所投产品生产厂商具有自主知识产权，需提供基础平台、教学、资源、平板、课堂等相关《计算机软件著作权登记证书》，每提供一个相关证书得1分，最高计3分。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投标人或所投产品生产厂商提供平台的网络传播权的相关证明（出版物经营放许可证、ICP互联网信息服务许可证）。提供1个得1分，否则不得分，最高得2分。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投标人或所投产品生产厂商提供以下证书：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1.提供软件开发方面的质量管理体系认证证书的得3分，未提供不得分。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2.提供高新技术企业证书的得2分，未提供不得分。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产品实力</w:t>
            </w: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投标人或所投产品生产厂商满足以下要求：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1.提供2019年以来不同省份智慧教育相关业绩证明材料，每一项得1分，最高计4分。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2.原厂商所服务的用户，承担“省级教育信息化创新试点项目”，提供相关证明材料，每一项得2分，最高4分；提供采购合同复印件、“省级教育信息化创新试点项目”相关证明文件。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3.具备教师资格证人员，曾担任不同省份学校智慧教育相关教研磨课工作并得到所属学校的书面认可，每1所学校得1分，最多得4分。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12分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软件系统</w:t>
            </w: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投标人或所投产品生产厂商的软件产品满足以下要求：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1.在资源平台中的现有微课数量超过30000节，得3分；每少200节减1分，最少0分。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2.在资源平台中可实时在线检测的标准试卷不少于14000套，所有试卷中题目都有答案解析，得3分；每少200套减1分，最少0分。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3.在资源平台中有配套习题和学案的新授课微课不低于10000节，得2分；每少100节减1分，最少0分。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4.包含学习目标、学习任务与知识检测的导学案不少于9000个，得2分；每少200个减1分，最少0分。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5.在资源平台中的现有微课资源能按各学科选用教材版本的模块、章节及其知识点成系列化，同一学科同一册书的微课资源主讲教师不超出10人，得2分；每超出1人减1分，最少0分。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6.在资源平台中试题的资源数量不少于160万道，得2分，每少200道减1分，最少0分。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(以上软件资源须提供由国家认证认可的软件评测中心检测的数据报告。未提供不得分)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投标人培训、教研、实施、履约能力</w:t>
            </w: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1.投标人或所投产品生产厂商拥有专业教研服务团队，不少于5人具备教师资格证，计3分，每少1人扣1分，扣完为止。提供上述人员的相关证书与近三个月社保缴纳证明，不提供不得分。</w:t>
            </w:r>
            <w:r>
              <w:rPr>
                <w:rFonts w:hint="eastAsia" w:ascii="宋体" w:hAnsi="宋体" w:eastAsia="宋体" w:cs="宋体"/>
                <w:i w:val="0"/>
                <w:iCs w:val="0"/>
                <w:color w:val="333333"/>
                <w:kern w:val="0"/>
                <w:sz w:val="21"/>
                <w:szCs w:val="21"/>
                <w:u w:val="none"/>
                <w:lang w:val="en-US" w:eastAsia="zh-CN" w:bidi="ar"/>
              </w:rPr>
              <w:br w:type="textWrapping"/>
            </w:r>
            <w:r>
              <w:rPr>
                <w:rFonts w:hint="eastAsia" w:ascii="宋体" w:hAnsi="宋体" w:eastAsia="宋体" w:cs="宋体"/>
                <w:i w:val="0"/>
                <w:iCs w:val="0"/>
                <w:color w:val="333333"/>
                <w:kern w:val="0"/>
                <w:sz w:val="21"/>
                <w:szCs w:val="21"/>
                <w:u w:val="none"/>
                <w:lang w:val="en-US" w:eastAsia="zh-CN" w:bidi="ar"/>
              </w:rPr>
              <w:t>2.投标人或所投产品生产厂商拥有教研带头人，不少于2人具有高级教师资格证或者副教授以上职称证书，计2分，少一人不得分。提供上述人员的相关证书与近三个月社保缴纳证明，不提供不得分。</w:t>
            </w:r>
            <w:r>
              <w:rPr>
                <w:rFonts w:hint="eastAsia" w:ascii="宋体" w:hAnsi="宋体" w:eastAsia="宋体" w:cs="宋体"/>
                <w:i w:val="0"/>
                <w:iCs w:val="0"/>
                <w:color w:val="333333"/>
                <w:kern w:val="0"/>
                <w:sz w:val="21"/>
                <w:szCs w:val="21"/>
                <w:u w:val="none"/>
                <w:lang w:val="en-US" w:eastAsia="zh-CN" w:bidi="ar"/>
              </w:rPr>
              <w:br w:type="textWrapping"/>
            </w:r>
            <w:r>
              <w:rPr>
                <w:rFonts w:hint="eastAsia" w:ascii="宋体" w:hAnsi="宋体" w:eastAsia="宋体" w:cs="宋体"/>
                <w:i w:val="0"/>
                <w:iCs w:val="0"/>
                <w:color w:val="333333"/>
                <w:kern w:val="0"/>
                <w:sz w:val="21"/>
                <w:szCs w:val="21"/>
                <w:u w:val="none"/>
                <w:lang w:val="en-US" w:eastAsia="zh-CN" w:bidi="ar"/>
              </w:rPr>
              <w:t>3.投标人或原厂商提供由国家正规出版社出版并公开发行的智慧课堂相关出版物，不少于6人参与编写，得3分，每少1人减1分，减完为止。需提供出版物相关证明材料和该上述人员近3个月以上社保证明。</w:t>
            </w:r>
            <w:r>
              <w:rPr>
                <w:rFonts w:hint="eastAsia" w:ascii="宋体" w:hAnsi="宋体" w:eastAsia="宋体" w:cs="宋体"/>
                <w:i w:val="0"/>
                <w:iCs w:val="0"/>
                <w:color w:val="333333"/>
                <w:kern w:val="0"/>
                <w:sz w:val="21"/>
                <w:szCs w:val="21"/>
                <w:u w:val="none"/>
                <w:lang w:val="en-US" w:eastAsia="zh-CN" w:bidi="ar"/>
              </w:rPr>
              <w:br w:type="textWrapping"/>
            </w:r>
            <w:r>
              <w:rPr>
                <w:rFonts w:hint="eastAsia" w:ascii="宋体" w:hAnsi="宋体" w:eastAsia="宋体" w:cs="宋体"/>
                <w:i w:val="0"/>
                <w:iCs w:val="0"/>
                <w:color w:val="333333"/>
                <w:kern w:val="0"/>
                <w:sz w:val="21"/>
                <w:szCs w:val="21"/>
                <w:u w:val="none"/>
                <w:lang w:val="en-US" w:eastAsia="zh-CN" w:bidi="ar"/>
              </w:rPr>
              <w:t>4.投标人或所投产品生产厂商团队成员中有被省/部级政府部门特聘为教育教学专家成员或顾问的， 得2分；被国家级政府部门特聘为教育教学专家成员或顾问的，得4分。</w:t>
            </w:r>
            <w:r>
              <w:rPr>
                <w:rFonts w:hint="eastAsia" w:ascii="宋体" w:hAnsi="宋体" w:eastAsia="宋体" w:cs="宋体"/>
                <w:i w:val="0"/>
                <w:iCs w:val="0"/>
                <w:color w:val="333333"/>
                <w:kern w:val="0"/>
                <w:sz w:val="21"/>
                <w:szCs w:val="21"/>
                <w:u w:val="none"/>
                <w:lang w:val="en-US" w:eastAsia="zh-CN" w:bidi="ar"/>
              </w:rPr>
              <w:br w:type="textWrapping"/>
            </w:r>
            <w:r>
              <w:rPr>
                <w:rFonts w:hint="eastAsia" w:ascii="宋体" w:hAnsi="宋体" w:eastAsia="宋体" w:cs="宋体"/>
                <w:i w:val="0"/>
                <w:iCs w:val="0"/>
                <w:color w:val="333333"/>
                <w:kern w:val="0"/>
                <w:sz w:val="21"/>
                <w:szCs w:val="21"/>
                <w:u w:val="none"/>
                <w:lang w:val="en-US" w:eastAsia="zh-CN" w:bidi="ar"/>
              </w:rPr>
              <w:t>5.投标人或所投产品生产厂商团队成员中有享受省/部级政府教育领域特殊津贴的专家，得1分；有享受国家级教育领域特殊津贴的专家，得2分。</w:t>
            </w:r>
            <w:r>
              <w:rPr>
                <w:rFonts w:hint="eastAsia" w:ascii="宋体" w:hAnsi="宋体" w:eastAsia="宋体" w:cs="宋体"/>
                <w:i w:val="0"/>
                <w:iCs w:val="0"/>
                <w:color w:val="333333"/>
                <w:kern w:val="0"/>
                <w:sz w:val="21"/>
                <w:szCs w:val="21"/>
                <w:u w:val="none"/>
                <w:lang w:val="en-US" w:eastAsia="zh-CN" w:bidi="ar"/>
              </w:rPr>
              <w:br w:type="textWrapping"/>
            </w:r>
            <w:r>
              <w:rPr>
                <w:rFonts w:hint="eastAsia" w:ascii="宋体" w:hAnsi="宋体" w:eastAsia="宋体" w:cs="宋体"/>
                <w:i w:val="0"/>
                <w:iCs w:val="0"/>
                <w:color w:val="333333"/>
                <w:kern w:val="0"/>
                <w:sz w:val="21"/>
                <w:szCs w:val="21"/>
                <w:u w:val="none"/>
                <w:lang w:val="en-US" w:eastAsia="zh-CN" w:bidi="ar"/>
              </w:rPr>
              <w:t>以上需提供相关证书、政府特殊津贴证书复印件，同时提供该专家与投标人单位关联关系相关证明材料，否则不得分。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14分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技术指标</w:t>
            </w:r>
          </w:p>
        </w:tc>
        <w:tc>
          <w:tcPr>
            <w:tcW w:w="6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2.加“▲”项技术指标：全部满足，得满分4分；一项不满足，扣2分，扣完为止。</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1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培训方案</w:t>
            </w:r>
          </w:p>
        </w:tc>
        <w:tc>
          <w:tcPr>
            <w:tcW w:w="6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各投标人培训方案是否详细、完善、可执行，以及投标人培训经验与相关证明，进行横向比较，优：方案详细、完善、经验丰富、证明材料齐全，得6分；良：方案比较详细、基本可行、证明材料不完备，得3-5分；一般：方案具有可执行性，证明材料少，得1-2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6分</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9752"/>
      <w:bookmarkStart w:id="31" w:name="_Toc21374"/>
      <w:bookmarkStart w:id="32" w:name="_Toc14133"/>
      <w:bookmarkStart w:id="33" w:name="_Toc23656"/>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4035"/>
      <w:bookmarkStart w:id="35" w:name="_Toc7632"/>
      <w:bookmarkStart w:id="36" w:name="_Toc8777"/>
      <w:bookmarkStart w:id="37" w:name="_Toc18463"/>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23721"/>
      <w:bookmarkStart w:id="39" w:name="_Toc4197"/>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363"/>
      <w:bookmarkStart w:id="41" w:name="_Toc433363808"/>
      <w:bookmarkStart w:id="42" w:name="_Toc43478440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27835"/>
      <w:bookmarkStart w:id="45" w:name="_Toc10291"/>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color w:val="000000" w:themeColor="text1"/>
        </w:rPr>
      </w:pPr>
    </w:p>
    <w:tbl>
      <w:tblPr>
        <w:tblStyle w:val="39"/>
        <w:tblW w:w="142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838"/>
        <w:gridCol w:w="11657"/>
        <w:gridCol w:w="585"/>
        <w:gridCol w:w="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42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智慧课堂技术参数（2所学校4个班）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功能</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网络教学平台</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1.教师可以创建课程，作为教学活动的基本单元。针对一节课的教学内容，可以创建多个任务，要求学生完成。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教师创建课程时，实现与教材匹配的标准资源库的自动关联，即教师选择标准课程后，与之相匹配的课件、试卷、试题，自动关联在本节课中，方便教师查看、选择引用。校内其他老师共享的课件等资源可自动关联在本节课程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教师至少可以推送微课视频、文档课件、讨论、测验、自测题、直播等几种任务，实现学生对标准资源库的充分利用，提高自学能力。教师可以面向整个班级或分小组布置学习任务，不同的小组布置不同的学习任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发布自测题学习任务时，系统可设置针对该知识点的试题库，此试题库可以是“标准资源库”中涵盖的，也可以是教师自行上传的。教师发布此任务时，系统从试题库随机组卷成一套试题，每个学生试卷各不相同。组卷规则需科学、实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5.▲教师可以对学生“讨论”任务发布的内容进行批注，以明显的颜色、字体加粗等形式体现出教师的：点评、注释，存留教师的“删除“”取消“”修改“等批注痕迹。教师批注结果，同步显示给所有学生。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6.▲学生在完成任务过程中的错题，分科目、分知识点记录在“错题本”中，学生可以随时参看，可以重做试题，作答后都可以查看解析，并根据需要决定是否移出错题本或结束答题。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7.教师可以查看学生网络学习数据，包括任务完成率、每道题的正确率、试卷分数的分布数据，以及学生答卷时长、观看微课具体时间等行为数据。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8.▲系统具有智能组卷功能，选择学科、年级、教材版本，选定知识点范围，设定题目类型数目、试题难度，系统自动组卷。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作业管理，常规教学过程中学生的纸质/练习册作业，能够以答题卡的形式，及时采集作业结果，并自动分析学情报告供教师使用，辅助教师及时准确获取学情。针对客观题，教师能够设定题型、设置正确答案；针对主观题，教师能够批阅分数、留痕批改。可由教师发起学生二批一形式的主观题互批模式，最终批阅结果教师已教师批阅为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个性化学习，基于大数据引擎和体现学科内所有知识点之间结构关系的知识图谱，根据学生个人在平台中的学习数据，尤其是错题本数据，能够为学生推送个性化学习路径与学习内容，包括某个知识点的变式习题、讲授该习题的微课、讲解前置知识点的微课等等，智能地辅助学生个性化学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校级平台，一次购买，智慧班永久使用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资源管理系统</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1.▲教师可以上传视频、音频、图片、动画、文档等不同格式的资源。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2.针对视频资源，有专用插件确保高效传输，并支持视频自动转码、自动上传、多路同时传输等功能。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3.教师可以查询、搜索所教学科资源，可通过学科、年级、教材版本等路径检索到自己需要的资源。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4.▲教师可以按照知识点搜索查询资源，搜索的结果可以根据收藏量或者使用量进行排序。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5.对搜索到的资源可以进行收藏、预览。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6.具有相关权限的用户，可从时间和教师两个维度查看资源建设情况。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校级平台，一次购买，智慧班永久使用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平板课堂互动系统</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界面投影：将教师界面方便快捷地投送到投影仪或者电子白板屏幕上，方便教学互动。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2.资源推送，同步播放：教师可以将课前准备的图片、文档、音视频等格式的微视频、测试题、讨论等教学资源推送到学生端同步播放，如果是演示文稿，学生端只能自动播放不可退出。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3.当堂测试：教师将习题推送给全体学生，学生在平板上作答提交后，系统实时生成统计分析图表供老师查看，实时了解教学进展。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4.学生界面展示：教师可将学生界面方便快捷地投送到大屏幕，方便学生展示与分享自己的学习成果。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5.▲主观题互评：学生可以看到系统随机选取的其他同学提交的主观题解题过程与答案，进行评价，及时反馈给教师，教师快速获取主观题数据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6.白板互动：师生可以在白板界面利用画笔“图”“写”，实现更简洁方便的教学互动。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7.拍照分享：可以通过拍照的形式，把纸质试题、学生解答等内容展现在白板中进行互动，也可以将其投影到大屏上讲解。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8.查看学生登录：教师可实时查看学生登录情况。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9.查看学生界面：教师可以方便快捷的查看学生界面。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10.学生提醒：教师可以根据课堂情况对某些学生进行提醒，教师点击提醒，相应学生界面会抖动。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11.锁屏控制：教师可以锁定学生平板屏幕，保证学生专注听讲。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12.学生抢答：教师发起抢答活动后，学生可以利用平板快速抢答。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13.随机点名：教师发起点名活动，系统随机选中某个学生。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14.学生示范：教师可实时将学生屏幕动态投送到大屏，方便学生展示与分享；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15.奖励统计：统计学生当天在课堂中所获得的奖励情况，并进行排名，教师和学生都可以看到。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16.微课制作：教师可对白板操作随时录屏，录制形成微课视频，存贮在系统中，也可直接推送此微课。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17.▲屏幕广播：智慧课堂互动系统要采用视频压缩及视频流动态分布技术，可实现平板 课堂内由教师发起的将教师平板或教师操作过程包括视频屏界面广播到 60 或以上的学生平板，同步实时动态显示，广播画面同步、流畅、清晰且不掉线，广播延时要少于 0.5 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18.学生全面展示：上课时教师推送的主观题任务，下课后学生可以查看全班同学的解题过程与答案，全体学生都具有展示的机会。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19.其他技术指标要求：教学报告：智慧课堂云互动平台中要能生成教学报告的大数据分析，要能够实现智慧课堂分析，教学应用分析、资源建设分析、试题学情分析等，并且分析的数据能够一键导出。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课堂互动资源包括微课、试卷、试题、学案、教学参考等5类资源，各类资源满足如下要求：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微课资源：a)微课是以微型教学视频为主要载体，针对某个学科知识点（如重点、难点、疑点、考点等）或教学环节（如学习活动、主题、实验、任务等）而设计开发的一种情景化、支持多种学习方式的5分钟-12分钟时长的在线视频课程资源，采用动画、实录、特效等多种形式，便于学生充分利用碎片时间。b)▲为保证资源的系统性、完整性，要求平台微课资源不低于30000节，且同一学科同一教材的微课主讲教师不超过10人。c)▲根据教育部等五部门联合发布《关于大力加强中小学线上教育教学资源建设与应用的意见》中要求课程教学资源以资源包方式呈现，资源包包括微课视频、在线学习任务单（学案）与课后练习（配套习题），要求平台提供包括10000个配套了学案与测试题三位一体的新授微课资源，以提高教师备课效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2.学案资源：a) ▲包含不低于8000个学案。b)学案具有“导读，导听，导思，导做”的作用。梳理知识点内容，提炼精华内容，制成半成品笔记方便学生使用。c) ▲每个学案需包括学习目标、学习任务与知识检测。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3.教学参考资源：a)成体系建设的辅助教师备课、上课的资源，包括教案、上课课件、知识素材、延伸拓展资料等，以提高教师备课效率。b)包含不低于20000个教学参考资源。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4.试卷资源：a)可在线检测的标准试卷不低于10000套。b)和知识点紧密匹配的标准试卷，所有试题需有答案解析，可以在电脑中实时检测。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5.试题资源：a）▲试题数量不少于100万道。b)▲所有试题需有答案解析。c)所有试题需按照难度层次进阶分类为：基础类、提高类、拓展类。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6.含有铸牢中国民族共同体意识资源。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系统服务为3年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教室硬件（综合管理器）</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1.处理器 ARM v7 Cortex-A9 双核处理器，主频：1.866 GHz 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2.内存 2GB 32 bit DDR3L。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3.存储硬盘 1TB SATA HDD,存储访问 支持SMB。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4.操作系统 OpenWRT。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5.协议支持 IEEE 802.11 a/b/g/n/ac。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6.最大发射功率: 2.4GHz:21DBm;5GHz:20DBm。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7.传输覆盖范围: 2.4G:50m ；5G:100m。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8.频道带宽 20MHz 40MHz 80MHz。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9.▲端口 3个10/100/1000Mbps以太网RJ45数据接口（LAN*2，WAN*1）。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10.可擦写存储器 8Gb Nand Flash Memory。</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11.POE支持,支持 802.3af模式供电。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12.▲20M带宽可以保证教室内60台终端流畅的浏览和观看教学资源。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教师机</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1．Android10.0及以上系统，8核；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2．屏幕尺寸：11英寸；屏幕类型：IPS；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3．分辨率：≧ 2000×1200；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4．存储空间：运行内存（RAM）≧4GB；存储容量（ROM）≧64GB 扩展支持 Micro SD卡可扩展容量≧256GB；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5．后置摄像头：800w；前置摄像头500w；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6．数据接口：USB Type-C接口7．WiFi功能：支持802.11ac无线协议，支持蓝牙功能。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学生机</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1.系统：Android9.0及以上系统，8核心；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2.存储空间：≧3GB运行内存，存储容量≧32GB ，扩展支持：Micro SD，可扩展容量：≧256GB；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3.显示：屏幕分辨率：1280x800电容触摸屏，屏幕尺寸：9.7英寸，屏幕类型：IPS；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4.网络：WiFi功能：802.11a/b/g/n/ac@2.4GHz&amp;5GHz，支持蓝牙功能；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5.摄像：200w像素摄像头/500像素摄像头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6.功能：支持多点触控。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定制平板的定制功能：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▲所提供的学生平板电脑在系统底层根据平板的硬件构成专门的管控系统，要实现彻 底杜绝学生平板网络外逃情况，具体要实现如下功能：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1.平板终端预置安全桌面替换系统默认桌面，限制用户随意修改系统设置。彻底防住 用户通过下载市场通路版本的 ROM 刷机，将设备刷回非管控版本，或者通过系统的快捷入 口进入应用管理随意卸载应用。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2.专属应用商店，授权分发用户安装使用的 App，防止非法、恶意应用随意安装和使 用。彻底防止通过第三方应用调用系统设置二级子菜单，篡改系统设置，如设置 vpn，修 改锁屏密码。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3.Home键无效，锁屏状态下，学生不能通过“Home”键退出平板课堂；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4.结合平板终端操作系统底层，对系统硬件功能进行控制，根据应用场景开启或关闭 对应功能。彻底防止通过USB调试模式，蓝牙，wlan 直连、邮箱应用、网盘等方式传递小说、视频、甚至 游戏软件到平板使用。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5.全局网络控制，限制网页浏览，应用内广告等非授权网络访问行为。彻底防止正常的学习软件中的第三方登陆功能或应用内广告链接，学生通过 webviewer上的链接层层跳转，最终打开百度或视频网站。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 通过策略管理对组织架构层级到人的精确授权，对预定的违法违规行为可自动处理 无需人工干预，彻底解决学校、班级直至每个用户的精确授权管理。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充电柜</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1.可提供60台平板USB端口5V2.1A直流充电；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2.主体采用冷轧碳素钢与环保ABS工程塑料相结合的材质；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3.采用全封闭防盗结构，工艺上耐酸碱腐蚀、耐磨、防静电；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4.具备温控风扇强制散热能力，智能互循环散热结构；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5.超静音脚轮（四轮万向，两轮带刹车）和左右人体工学把手；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6.配有一体化电源管理系统，多模式显示，具有智能开关机功能。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教研服务</w:t>
            </w:r>
          </w:p>
        </w:tc>
        <w:tc>
          <w:tcPr>
            <w:tcW w:w="1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lang w:val="en-US" w:eastAsia="zh-CN"/>
              </w:rPr>
            </w:pPr>
            <w:r>
              <w:rPr>
                <w:rFonts w:hint="eastAsia"/>
                <w:lang w:val="en-US" w:eastAsia="zh-CN"/>
              </w:rPr>
              <w:t>派驻技术教研老师和学科教研教师。服务内容包括平台使用、教学资源使用、辅助教师备课、听课评课、参与新型信息化教学磨课与教研、学生学习方法培训等。逐步转变教师教学模式，提高教师信息化素养，切实实现信息技术与教育教学的深度融合。</w:t>
            </w:r>
            <w:r>
              <w:rPr>
                <w:rFonts w:hint="eastAsia"/>
                <w:lang w:val="en-US" w:eastAsia="zh-CN"/>
              </w:rPr>
              <w:br w:type="textWrapping"/>
            </w:r>
            <w:r>
              <w:rPr>
                <w:rFonts w:hint="eastAsia"/>
                <w:lang w:val="en-US" w:eastAsia="zh-CN"/>
              </w:rPr>
              <w:t>1.为学校提供系列培训及教研服务。教师培训、学生培训、家长培训、进校或远程教研等。培训内容有：智慧互动课堂基础理念、教学设计之课前、课中、课后；教学系统培训；学生家长使用培训等，同时要派驻教研员驻校服务3年，及时跟进学校的教师课堂上课情况，帮助教师及时熟悉平台和更有效地备课，定时组织教研。通过培训和系统教研为学校建立和储备信息化教育人才。驻校老师每所学校至少1名。</w:t>
            </w:r>
            <w:r>
              <w:rPr>
                <w:rFonts w:hint="eastAsia"/>
                <w:lang w:val="en-US" w:eastAsia="zh-CN"/>
              </w:rPr>
              <w:br w:type="textWrapping"/>
            </w:r>
            <w:r>
              <w:rPr>
                <w:rFonts w:hint="eastAsia"/>
                <w:lang w:val="en-US" w:eastAsia="zh-CN"/>
              </w:rPr>
              <w:t>2.培训团队能按照学校新课程改革及教育信息化与教学深度融合的目标进行，培训内容应覆盖对象为教师、学生。</w:t>
            </w:r>
            <w:r>
              <w:rPr>
                <w:rFonts w:hint="eastAsia"/>
                <w:lang w:val="en-US" w:eastAsia="zh-CN"/>
              </w:rPr>
              <w:br w:type="textWrapping"/>
            </w:r>
            <w:r>
              <w:rPr>
                <w:rFonts w:hint="eastAsia"/>
                <w:lang w:val="en-US" w:eastAsia="zh-CN"/>
              </w:rPr>
              <w:t>3.培训内容符合学校制定的培训计划，培训团队有详细的课程安排，培训方案和培教研训队伍，要提供师资名单和简介。</w:t>
            </w:r>
            <w:r>
              <w:rPr>
                <w:rFonts w:hint="eastAsia"/>
                <w:lang w:val="en-US" w:eastAsia="zh-CN"/>
              </w:rPr>
              <w:br w:type="textWrapping"/>
            </w:r>
            <w:r>
              <w:rPr>
                <w:rFonts w:hint="eastAsia"/>
                <w:lang w:val="en-US" w:eastAsia="zh-CN"/>
              </w:rPr>
              <w:t>4.培训团队能按照学校整体培训计划提升学校教育信息化教学水平，加深教师、家长、学生对教育信息化的认识和理解，提高教师信息化实施能力、信息化管理能力和信息化教学改革能力，引领教师在信息化环境下探究变革课堂教学模式，应用信息化方法开展教学实践活动，以全面提升教师信息化的综合素养。</w:t>
            </w:r>
            <w:r>
              <w:rPr>
                <w:rFonts w:hint="eastAsia"/>
                <w:lang w:val="en-US" w:eastAsia="zh-CN"/>
              </w:rPr>
              <w:br w:type="textWrapping"/>
            </w:r>
            <w:r>
              <w:rPr>
                <w:rFonts w:hint="eastAsia"/>
                <w:lang w:val="en-US" w:eastAsia="zh-CN"/>
              </w:rPr>
              <w:t>5.教研员实时研究课程功能，课程结构，课程内容，课程实施、课程管理等的理论与实践，并从课程实施过程中及时发现问题，研究解决策略。</w:t>
            </w:r>
            <w:r>
              <w:rPr>
                <w:rFonts w:hint="eastAsia"/>
                <w:lang w:val="en-US" w:eastAsia="zh-CN"/>
              </w:rPr>
              <w:br w:type="textWrapping"/>
            </w:r>
            <w:r>
              <w:rPr>
                <w:rFonts w:hint="eastAsia"/>
                <w:lang w:val="en-US" w:eastAsia="zh-CN"/>
              </w:rPr>
              <w:t>6.教研员协助学校教师备智慧课，指导教师解决教学问题，克服教学困难，帮助教师提高教学水平，促进教师专业发展。</w:t>
            </w:r>
            <w:r>
              <w:rPr>
                <w:rFonts w:hint="eastAsia"/>
                <w:lang w:val="en-US" w:eastAsia="zh-CN"/>
              </w:rPr>
              <w:br w:type="textWrapping"/>
            </w:r>
            <w:r>
              <w:rPr>
                <w:rFonts w:hint="eastAsia"/>
                <w:lang w:val="en-US" w:eastAsia="zh-CN"/>
              </w:rPr>
              <w:t>7.教研员积极参加学校组织的教研活动，认真听取教师教学过程中的问题反馈，商讨解决策略，提高教学质量和教师教学水平。</w:t>
            </w:r>
            <w:r>
              <w:rPr>
                <w:rFonts w:hint="eastAsia"/>
                <w:lang w:val="en-US" w:eastAsia="zh-CN"/>
              </w:rPr>
              <w:br w:type="textWrapping"/>
            </w:r>
            <w:r>
              <w:rPr>
                <w:rFonts w:hint="eastAsia"/>
                <w:lang w:val="en-US" w:eastAsia="zh-CN"/>
              </w:rPr>
              <w:t>8.教研员教会学校教师熟练操作备课平台，教学互动平台，包括移动教学设备的使用等。</w:t>
            </w:r>
            <w:r>
              <w:rPr>
                <w:rFonts w:hint="eastAsia"/>
                <w:lang w:val="en-US" w:eastAsia="zh-CN"/>
              </w:rPr>
              <w:br w:type="textWrapping"/>
            </w:r>
            <w:r>
              <w:rPr>
                <w:rFonts w:hint="eastAsia"/>
                <w:lang w:val="en-US" w:eastAsia="zh-CN"/>
              </w:rPr>
              <w:t>9.教研员要能跟班听课，及时记录学生上课的课堂表现，把有价值的信息反馈给班主任及任课教师，形成有效的教学沟通，对班主任的教学管理和教学质量的提升提供保障。教研员与学校教师一起开展教研活动，有效督促和解决教师不会使用的问题。</w:t>
            </w:r>
            <w:r>
              <w:rPr>
                <w:rFonts w:hint="eastAsia"/>
                <w:lang w:val="en-US" w:eastAsia="zh-CN"/>
              </w:rPr>
              <w:br w:type="textWrapping"/>
            </w:r>
            <w:r>
              <w:rPr>
                <w:rFonts w:hint="eastAsia"/>
                <w:lang w:val="en-US" w:eastAsia="zh-CN"/>
              </w:rPr>
              <w:t>10.▲每年为学校提供不少于 6 次名师远程教研的活动，使学校教师足不出户能与名师进行远程教研，能提供往年其它学校远程名师教研的截图案例或教育行政部门下发的远程教研的通知文件等。 提供学生平台使用培训、不少于3次的学生学法指导。</w:t>
            </w:r>
            <w:r>
              <w:rPr>
                <w:rFonts w:hint="eastAsia"/>
                <w:lang w:val="en-US" w:eastAsia="zh-CN"/>
              </w:rPr>
              <w:br w:type="textWrapping"/>
            </w:r>
            <w:r>
              <w:rPr>
                <w:rFonts w:hint="eastAsia"/>
                <w:lang w:val="en-US" w:eastAsia="zh-CN"/>
              </w:rPr>
              <w:t>11.组织合作校参与全国信息化论课活动、同课异构等活动。</w:t>
            </w:r>
            <w:r>
              <w:rPr>
                <w:rFonts w:hint="eastAsia"/>
                <w:lang w:val="en-US" w:eastAsia="zh-CN"/>
              </w:rPr>
              <w:br w:type="textWrapping"/>
            </w:r>
            <w:r>
              <w:rPr>
                <w:rFonts w:hint="eastAsia"/>
                <w:lang w:val="en-US" w:eastAsia="zh-CN"/>
              </w:rPr>
              <w:t>12.北京名师为每位公开课老师进行一对一磨课。</w:t>
            </w:r>
            <w:r>
              <w:rPr>
                <w:rFonts w:hint="eastAsia"/>
                <w:lang w:val="en-US" w:eastAsia="zh-CN"/>
              </w:rPr>
              <w:br w:type="textWrapping"/>
            </w:r>
            <w:r>
              <w:rPr>
                <w:rFonts w:hint="eastAsia"/>
                <w:lang w:val="en-US" w:eastAsia="zh-CN"/>
              </w:rPr>
              <w:t>13.分校教研老师进校听评课交流指导并递交评课稿、参与学校学科教研活动，互相交流，共同进步，助推学校教育教学质量稳步提升。</w:t>
            </w:r>
            <w:r>
              <w:rPr>
                <w:rFonts w:hint="eastAsia"/>
                <w:lang w:val="en-US" w:eastAsia="zh-CN"/>
              </w:rPr>
              <w:br w:type="textWrapping"/>
            </w:r>
            <w:r>
              <w:rPr>
                <w:rFonts w:hint="eastAsia"/>
                <w:lang w:val="en-US" w:eastAsia="zh-CN"/>
              </w:rPr>
              <w:t>14.学科教研老师涵盖语、数、英、物、化、生、等学科教师，进校听智慧班课程、评课、指导一学期总共不少于15节。组织座谈活动不少于2次。    服务为3年</w:t>
            </w:r>
          </w:p>
          <w:p>
            <w:pPr>
              <w:pStyle w:val="15"/>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c>
          <w:tcPr>
            <w:tcW w:w="12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合计（2间）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总计:</w:t>
            </w:r>
            <w:r>
              <w:rPr>
                <w:rFonts w:hint="eastAsia" w:ascii="宋体" w:hAnsi="宋体" w:cs="宋体"/>
                <w:b/>
                <w:bCs/>
                <w:i w:val="0"/>
                <w:iCs w:val="0"/>
                <w:color w:val="000000"/>
                <w:kern w:val="0"/>
                <w:sz w:val="18"/>
                <w:szCs w:val="18"/>
                <w:u w:val="none"/>
                <w:lang w:val="en-US" w:eastAsia="zh-CN" w:bidi="ar"/>
              </w:rPr>
              <w:t>合计*2</w:t>
            </w:r>
          </w:p>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r>
              <w:rPr>
                <w:rFonts w:hint="eastAsia" w:ascii="宋体" w:hAnsi="宋体" w:cs="宋体"/>
                <w:b/>
                <w:bCs/>
                <w:i w:val="0"/>
                <w:iCs w:val="0"/>
                <w:color w:val="000000"/>
                <w:kern w:val="0"/>
                <w:sz w:val="18"/>
                <w:szCs w:val="18"/>
                <w:u w:val="none"/>
                <w:lang w:val="en-US" w:eastAsia="zh-CN" w:bidi="ar"/>
              </w:rPr>
              <w:t>备注：</w:t>
            </w:r>
            <w:r>
              <w:rPr>
                <w:rFonts w:hint="eastAsia" w:ascii="宋体" w:hAnsi="宋体" w:eastAsia="宋体" w:cs="宋体"/>
                <w:b/>
                <w:bCs/>
                <w:i w:val="0"/>
                <w:iCs w:val="0"/>
                <w:color w:val="000000"/>
                <w:kern w:val="0"/>
                <w:sz w:val="18"/>
                <w:szCs w:val="18"/>
                <w:u w:val="none"/>
                <w:lang w:val="en-US" w:eastAsia="zh-CN" w:bidi="ar"/>
              </w:rPr>
              <w:t>1所学校2个班，2所学校共4个班）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bl>
    <w:p>
      <w:pPr>
        <w:pStyle w:val="38"/>
        <w:ind w:firstLine="0" w:firstLineChars="0"/>
        <w:rPr>
          <w:rFonts w:asciiTheme="minorEastAsia" w:hAnsiTheme="minorEastAsia" w:eastAsiaTheme="minorEastAsia"/>
          <w:sz w:val="22"/>
          <w:szCs w:val="22"/>
        </w:rPr>
      </w:pPr>
    </w:p>
    <w:p>
      <w:pPr>
        <w:widowControl/>
        <w:jc w:val="left"/>
        <w:rPr>
          <w:color w:val="000000" w:themeColor="text1"/>
        </w:rPr>
      </w:pPr>
      <w:r>
        <w:rPr>
          <w:rFonts w:asciiTheme="minorEastAsia" w:hAnsiTheme="minorEastAsia" w:eastAsiaTheme="minorEastAsia"/>
          <w:sz w:val="22"/>
          <w:szCs w:val="22"/>
        </w:rPr>
        <w:br w:type="page"/>
      </w: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4008"/>
      <w:bookmarkStart w:id="48" w:name="_Toc7651"/>
    </w:p>
    <w:p>
      <w:pPr>
        <w:pStyle w:val="3"/>
        <w:jc w:val="center"/>
        <w:rPr>
          <w:rFonts w:cs="仿宋" w:asciiTheme="majorEastAsia" w:hAnsiTheme="majorEastAsia" w:eastAsiaTheme="majorEastAsia"/>
          <w:b w:val="0"/>
          <w:color w:val="000000" w:themeColor="text1"/>
          <w:sz w:val="36"/>
          <w:szCs w:val="36"/>
        </w:rPr>
      </w:pPr>
    </w:p>
    <w:p>
      <w:pPr>
        <w:pStyle w:val="3"/>
        <w:jc w:val="center"/>
        <w:rPr>
          <w:rFonts w:cs="仿宋" w:asciiTheme="majorEastAsia" w:hAnsiTheme="majorEastAsia" w:eastAsiaTheme="majorEastAsia"/>
          <w:b w:val="0"/>
          <w:color w:val="000000" w:themeColor="text1"/>
          <w:sz w:val="36"/>
          <w:szCs w:val="36"/>
        </w:rPr>
      </w:pPr>
    </w:p>
    <w:p>
      <w:pPr>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8"/>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8"/>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numPr>
          <w:ilvl w:val="0"/>
          <w:numId w:val="9"/>
        </w:numPr>
        <w:kinsoku w:val="0"/>
        <w:overflowPunct w:val="0"/>
        <w:spacing w:before="34" w:line="357" w:lineRule="auto"/>
        <w:ind w:left="105" w:leftChars="50" w:right="126"/>
        <w:jc w:val="center"/>
        <w:outlineLvl w:val="0"/>
        <w:rPr>
          <w:rFonts w:hint="eastAsia"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供应商认为需要提交的技术资料</w:t>
      </w:r>
      <w:bookmarkEnd w:id="61"/>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pStyle w:val="15"/>
        <w:widowControl w:val="0"/>
        <w:numPr>
          <w:ilvl w:val="0"/>
          <w:numId w:val="0"/>
        </w:numPr>
        <w:autoSpaceDE w:val="0"/>
        <w:autoSpaceDN w:val="0"/>
        <w:adjustRightInd w:val="0"/>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10"/>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widowControl w:val="0"/>
        <w:numPr>
          <w:ilvl w:val="0"/>
          <w:numId w:val="0"/>
        </w:numPr>
        <w:autoSpaceDE w:val="0"/>
        <w:autoSpaceDN w:val="0"/>
        <w:adjustRightInd w:val="0"/>
        <w:rPr>
          <w:sz w:val="16"/>
          <w:szCs w:val="1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both"/>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03775525"/>
    <w:multiLevelType w:val="singleLevel"/>
    <w:tmpl w:val="03775525"/>
    <w:lvl w:ilvl="0" w:tentative="0">
      <w:start w:val="13"/>
      <w:numFmt w:val="chineseCounting"/>
      <w:suff w:val="nothing"/>
      <w:lvlText w:val="%1、"/>
      <w:lvlJc w:val="left"/>
      <w:rPr>
        <w:rFonts w:hint="eastAsia"/>
      </w:rPr>
    </w:lvl>
  </w:abstractNum>
  <w:abstractNum w:abstractNumId="4">
    <w:nsid w:val="5A3CD190"/>
    <w:multiLevelType w:val="singleLevel"/>
    <w:tmpl w:val="5A3CD190"/>
    <w:lvl w:ilvl="0" w:tentative="0">
      <w:start w:val="1"/>
      <w:numFmt w:val="decimal"/>
      <w:suff w:val="nothing"/>
      <w:lvlText w:val="（%1）"/>
      <w:lvlJc w:val="left"/>
      <w:rPr>
        <w:rFonts w:cs="Times New Roman"/>
      </w:rPr>
    </w:lvl>
  </w:abstractNum>
  <w:abstractNum w:abstractNumId="5">
    <w:nsid w:val="5A460490"/>
    <w:multiLevelType w:val="singleLevel"/>
    <w:tmpl w:val="5A460490"/>
    <w:lvl w:ilvl="0" w:tentative="0">
      <w:start w:val="1"/>
      <w:numFmt w:val="decimal"/>
      <w:suff w:val="nothing"/>
      <w:lvlText w:val="（%1）"/>
      <w:lvlJc w:val="left"/>
      <w:rPr>
        <w:rFonts w:cs="Times New Roman"/>
      </w:rPr>
    </w:lvl>
  </w:abstractNum>
  <w:abstractNum w:abstractNumId="6">
    <w:nsid w:val="5A4604BA"/>
    <w:multiLevelType w:val="singleLevel"/>
    <w:tmpl w:val="5A4604BA"/>
    <w:lvl w:ilvl="0" w:tentative="0">
      <w:start w:val="1"/>
      <w:numFmt w:val="decimal"/>
      <w:suff w:val="nothing"/>
      <w:lvlText w:val="（%1）"/>
      <w:lvlJc w:val="left"/>
      <w:rPr>
        <w:rFonts w:cs="Times New Roman"/>
      </w:rPr>
    </w:lvl>
  </w:abstractNum>
  <w:abstractNum w:abstractNumId="7">
    <w:nsid w:val="63FDF293"/>
    <w:multiLevelType w:val="singleLevel"/>
    <w:tmpl w:val="63FDF293"/>
    <w:lvl w:ilvl="0" w:tentative="0">
      <w:start w:val="1"/>
      <w:numFmt w:val="decimal"/>
      <w:lvlText w:val="%1."/>
      <w:lvlJc w:val="left"/>
      <w:pPr>
        <w:tabs>
          <w:tab w:val="left" w:pos="312"/>
        </w:tabs>
      </w:pPr>
    </w:lvl>
  </w:abstractNum>
  <w:abstractNum w:abstractNumId="8">
    <w:nsid w:val="6496F1CA"/>
    <w:multiLevelType w:val="singleLevel"/>
    <w:tmpl w:val="6496F1CA"/>
    <w:lvl w:ilvl="0" w:tentative="0">
      <w:start w:val="1"/>
      <w:numFmt w:val="decimal"/>
      <w:suff w:val="nothing"/>
      <w:lvlText w:val="%1、"/>
      <w:lvlJc w:val="left"/>
    </w:lvl>
  </w:abstractNum>
  <w:abstractNum w:abstractNumId="9">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8"/>
  </w:num>
  <w:num w:numId="3">
    <w:abstractNumId w:val="5"/>
  </w:num>
  <w:num w:numId="4">
    <w:abstractNumId w:val="6"/>
  </w:num>
  <w:num w:numId="5">
    <w:abstractNumId w:val="4"/>
  </w:num>
  <w:num w:numId="6">
    <w:abstractNumId w:val="0"/>
  </w:num>
  <w:num w:numId="7">
    <w:abstractNumId w:val="7"/>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292335"/>
    <w:rsid w:val="03757B28"/>
    <w:rsid w:val="04357D70"/>
    <w:rsid w:val="0492678A"/>
    <w:rsid w:val="04C00E57"/>
    <w:rsid w:val="053F115C"/>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A2943"/>
    <w:rsid w:val="088F48F8"/>
    <w:rsid w:val="08F442E1"/>
    <w:rsid w:val="0A263E36"/>
    <w:rsid w:val="0A8E1F88"/>
    <w:rsid w:val="0A904119"/>
    <w:rsid w:val="0AD14CDF"/>
    <w:rsid w:val="0B1E2CF3"/>
    <w:rsid w:val="0BE97EFE"/>
    <w:rsid w:val="0BF91E3D"/>
    <w:rsid w:val="0BFD77A1"/>
    <w:rsid w:val="0C3044C8"/>
    <w:rsid w:val="0C38346D"/>
    <w:rsid w:val="0C7E1DDA"/>
    <w:rsid w:val="0C8F33B1"/>
    <w:rsid w:val="0C91130F"/>
    <w:rsid w:val="0CA60EC1"/>
    <w:rsid w:val="0CEA39DE"/>
    <w:rsid w:val="0D4C63C6"/>
    <w:rsid w:val="0D7C6A10"/>
    <w:rsid w:val="0DAB4740"/>
    <w:rsid w:val="0DAE227A"/>
    <w:rsid w:val="0DD84F05"/>
    <w:rsid w:val="0E0F7AD2"/>
    <w:rsid w:val="0E7375EB"/>
    <w:rsid w:val="0E9B355D"/>
    <w:rsid w:val="0EB85EFA"/>
    <w:rsid w:val="0F1E1CB3"/>
    <w:rsid w:val="0F550707"/>
    <w:rsid w:val="0F60098A"/>
    <w:rsid w:val="0F7A6A9A"/>
    <w:rsid w:val="0FF454B9"/>
    <w:rsid w:val="10185326"/>
    <w:rsid w:val="106C0466"/>
    <w:rsid w:val="10BA6B6F"/>
    <w:rsid w:val="10FC366A"/>
    <w:rsid w:val="11896C4C"/>
    <w:rsid w:val="11946F46"/>
    <w:rsid w:val="11CD14AD"/>
    <w:rsid w:val="12045226"/>
    <w:rsid w:val="120C530F"/>
    <w:rsid w:val="12FC7352"/>
    <w:rsid w:val="13434F3B"/>
    <w:rsid w:val="13567B45"/>
    <w:rsid w:val="13613FFE"/>
    <w:rsid w:val="13937976"/>
    <w:rsid w:val="14604860"/>
    <w:rsid w:val="14BD7762"/>
    <w:rsid w:val="14C57C8A"/>
    <w:rsid w:val="14E42C49"/>
    <w:rsid w:val="14FA380C"/>
    <w:rsid w:val="157E0E30"/>
    <w:rsid w:val="15D77B51"/>
    <w:rsid w:val="16550C64"/>
    <w:rsid w:val="169B1448"/>
    <w:rsid w:val="16BD7C0A"/>
    <w:rsid w:val="17557A23"/>
    <w:rsid w:val="179C5730"/>
    <w:rsid w:val="181E567F"/>
    <w:rsid w:val="18534811"/>
    <w:rsid w:val="18A0301B"/>
    <w:rsid w:val="18BC6FD1"/>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D7C0366"/>
    <w:rsid w:val="1DAF3415"/>
    <w:rsid w:val="1DB16262"/>
    <w:rsid w:val="1DCF07B0"/>
    <w:rsid w:val="1E572BD7"/>
    <w:rsid w:val="1E794B6C"/>
    <w:rsid w:val="1F374BDB"/>
    <w:rsid w:val="1F5F1CED"/>
    <w:rsid w:val="1F676B2A"/>
    <w:rsid w:val="1F6B31DF"/>
    <w:rsid w:val="1F7F5EEC"/>
    <w:rsid w:val="1F95570F"/>
    <w:rsid w:val="210B18C1"/>
    <w:rsid w:val="2114370F"/>
    <w:rsid w:val="21313124"/>
    <w:rsid w:val="21362D32"/>
    <w:rsid w:val="213A7228"/>
    <w:rsid w:val="217A4E7B"/>
    <w:rsid w:val="2180452F"/>
    <w:rsid w:val="218E27EC"/>
    <w:rsid w:val="223519D0"/>
    <w:rsid w:val="223F09B3"/>
    <w:rsid w:val="22BD2FB3"/>
    <w:rsid w:val="22E633A0"/>
    <w:rsid w:val="23A90EBD"/>
    <w:rsid w:val="23B87B80"/>
    <w:rsid w:val="24C2033C"/>
    <w:rsid w:val="24E031A2"/>
    <w:rsid w:val="252C0395"/>
    <w:rsid w:val="2570196D"/>
    <w:rsid w:val="25C03D0B"/>
    <w:rsid w:val="25CF6646"/>
    <w:rsid w:val="268B15D0"/>
    <w:rsid w:val="278C389C"/>
    <w:rsid w:val="27B84691"/>
    <w:rsid w:val="27E91B4B"/>
    <w:rsid w:val="288A1B89"/>
    <w:rsid w:val="28CF5223"/>
    <w:rsid w:val="29237E32"/>
    <w:rsid w:val="2960418F"/>
    <w:rsid w:val="2A067935"/>
    <w:rsid w:val="2A1E7E5E"/>
    <w:rsid w:val="2AAD1B5F"/>
    <w:rsid w:val="2AC901ED"/>
    <w:rsid w:val="2B297ECD"/>
    <w:rsid w:val="2B807273"/>
    <w:rsid w:val="2BCB4A81"/>
    <w:rsid w:val="2C017A6E"/>
    <w:rsid w:val="2C066EFA"/>
    <w:rsid w:val="2C432458"/>
    <w:rsid w:val="2C675738"/>
    <w:rsid w:val="2C72343C"/>
    <w:rsid w:val="2CA41AD3"/>
    <w:rsid w:val="2CE26BE9"/>
    <w:rsid w:val="2D717B76"/>
    <w:rsid w:val="2DFC55A1"/>
    <w:rsid w:val="2E3D769E"/>
    <w:rsid w:val="2E86223B"/>
    <w:rsid w:val="2EAA2A37"/>
    <w:rsid w:val="2EAC071C"/>
    <w:rsid w:val="2EF06C35"/>
    <w:rsid w:val="2F866E22"/>
    <w:rsid w:val="30043E92"/>
    <w:rsid w:val="30324C0F"/>
    <w:rsid w:val="30662EDC"/>
    <w:rsid w:val="309C411D"/>
    <w:rsid w:val="314F57A5"/>
    <w:rsid w:val="326450F6"/>
    <w:rsid w:val="33064502"/>
    <w:rsid w:val="330D758E"/>
    <w:rsid w:val="333B73E0"/>
    <w:rsid w:val="33881640"/>
    <w:rsid w:val="33E44B64"/>
    <w:rsid w:val="340A4173"/>
    <w:rsid w:val="34160633"/>
    <w:rsid w:val="344717C2"/>
    <w:rsid w:val="346A28BB"/>
    <w:rsid w:val="357D388C"/>
    <w:rsid w:val="357F059C"/>
    <w:rsid w:val="35CE71FD"/>
    <w:rsid w:val="362505B4"/>
    <w:rsid w:val="36431D13"/>
    <w:rsid w:val="36D17804"/>
    <w:rsid w:val="37421C09"/>
    <w:rsid w:val="3821593A"/>
    <w:rsid w:val="38220352"/>
    <w:rsid w:val="388B1675"/>
    <w:rsid w:val="38F802A1"/>
    <w:rsid w:val="393B0F3D"/>
    <w:rsid w:val="39764E9F"/>
    <w:rsid w:val="39DD0704"/>
    <w:rsid w:val="3AE64349"/>
    <w:rsid w:val="3AF659F0"/>
    <w:rsid w:val="3B032A93"/>
    <w:rsid w:val="3B2B2D1D"/>
    <w:rsid w:val="3B9C50D5"/>
    <w:rsid w:val="3C017A45"/>
    <w:rsid w:val="3C244557"/>
    <w:rsid w:val="3C363220"/>
    <w:rsid w:val="3C58236E"/>
    <w:rsid w:val="3C941CD7"/>
    <w:rsid w:val="3CA31014"/>
    <w:rsid w:val="3CEC3949"/>
    <w:rsid w:val="3D2E203E"/>
    <w:rsid w:val="3D423CB5"/>
    <w:rsid w:val="3D51039F"/>
    <w:rsid w:val="3D607E07"/>
    <w:rsid w:val="3D6330A8"/>
    <w:rsid w:val="3DA23404"/>
    <w:rsid w:val="3E2D66DC"/>
    <w:rsid w:val="3E877CDA"/>
    <w:rsid w:val="3EFE00C0"/>
    <w:rsid w:val="3F820BDF"/>
    <w:rsid w:val="3FF12E03"/>
    <w:rsid w:val="3FF516F1"/>
    <w:rsid w:val="40594B80"/>
    <w:rsid w:val="40AA4AE5"/>
    <w:rsid w:val="41354ADD"/>
    <w:rsid w:val="414854D9"/>
    <w:rsid w:val="41A46E67"/>
    <w:rsid w:val="41C053DF"/>
    <w:rsid w:val="422B54E7"/>
    <w:rsid w:val="42D26954"/>
    <w:rsid w:val="42E95D61"/>
    <w:rsid w:val="43427AEA"/>
    <w:rsid w:val="43635AE7"/>
    <w:rsid w:val="439060FA"/>
    <w:rsid w:val="4398724F"/>
    <w:rsid w:val="43A21D5C"/>
    <w:rsid w:val="43C33D49"/>
    <w:rsid w:val="43F959BD"/>
    <w:rsid w:val="440F51E1"/>
    <w:rsid w:val="44246A0A"/>
    <w:rsid w:val="443609BF"/>
    <w:rsid w:val="451A3E3D"/>
    <w:rsid w:val="45232D30"/>
    <w:rsid w:val="454811F9"/>
    <w:rsid w:val="455917AC"/>
    <w:rsid w:val="456C4C82"/>
    <w:rsid w:val="459344EF"/>
    <w:rsid w:val="45E67D5B"/>
    <w:rsid w:val="45F8417E"/>
    <w:rsid w:val="461125FB"/>
    <w:rsid w:val="466C1A53"/>
    <w:rsid w:val="46F32B98"/>
    <w:rsid w:val="47013507"/>
    <w:rsid w:val="47272960"/>
    <w:rsid w:val="47A51EEF"/>
    <w:rsid w:val="47A66A72"/>
    <w:rsid w:val="47BF537F"/>
    <w:rsid w:val="47C86417"/>
    <w:rsid w:val="48324D26"/>
    <w:rsid w:val="48C05E50"/>
    <w:rsid w:val="49C04A33"/>
    <w:rsid w:val="4AD036B3"/>
    <w:rsid w:val="4AD256CE"/>
    <w:rsid w:val="4B0215FB"/>
    <w:rsid w:val="4B83303B"/>
    <w:rsid w:val="4C203837"/>
    <w:rsid w:val="4CAA6B2F"/>
    <w:rsid w:val="4CF10148"/>
    <w:rsid w:val="4CF3569F"/>
    <w:rsid w:val="4CFF2151"/>
    <w:rsid w:val="4D3D7474"/>
    <w:rsid w:val="4D6F17F8"/>
    <w:rsid w:val="4DA566A3"/>
    <w:rsid w:val="4DC23D08"/>
    <w:rsid w:val="4E0B07A7"/>
    <w:rsid w:val="4EB23099"/>
    <w:rsid w:val="4EBE1740"/>
    <w:rsid w:val="4EEA477C"/>
    <w:rsid w:val="4F035910"/>
    <w:rsid w:val="4F1067A1"/>
    <w:rsid w:val="4F323A12"/>
    <w:rsid w:val="4F442F5C"/>
    <w:rsid w:val="4F716D4F"/>
    <w:rsid w:val="4FA10131"/>
    <w:rsid w:val="4FA86031"/>
    <w:rsid w:val="4FC03A74"/>
    <w:rsid w:val="503D2110"/>
    <w:rsid w:val="50771525"/>
    <w:rsid w:val="510612DE"/>
    <w:rsid w:val="513B0C15"/>
    <w:rsid w:val="51860643"/>
    <w:rsid w:val="518B7F81"/>
    <w:rsid w:val="52E572D0"/>
    <w:rsid w:val="52ED12D8"/>
    <w:rsid w:val="53F31DD5"/>
    <w:rsid w:val="545E380D"/>
    <w:rsid w:val="549C03CB"/>
    <w:rsid w:val="54E34CD9"/>
    <w:rsid w:val="551758B9"/>
    <w:rsid w:val="557F62AC"/>
    <w:rsid w:val="55CC6BA1"/>
    <w:rsid w:val="56105BB5"/>
    <w:rsid w:val="56386FBA"/>
    <w:rsid w:val="565A1112"/>
    <w:rsid w:val="56B443C7"/>
    <w:rsid w:val="56F40992"/>
    <w:rsid w:val="571B6DE8"/>
    <w:rsid w:val="57520916"/>
    <w:rsid w:val="590429E2"/>
    <w:rsid w:val="59170968"/>
    <w:rsid w:val="591B31A9"/>
    <w:rsid w:val="594159E5"/>
    <w:rsid w:val="5952374E"/>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E57428"/>
    <w:rsid w:val="5BF82EE6"/>
    <w:rsid w:val="5BF907F8"/>
    <w:rsid w:val="5C0C052C"/>
    <w:rsid w:val="5C2E7375"/>
    <w:rsid w:val="5C381321"/>
    <w:rsid w:val="5C401595"/>
    <w:rsid w:val="5C5E5DE0"/>
    <w:rsid w:val="5C881635"/>
    <w:rsid w:val="5CA76D5C"/>
    <w:rsid w:val="5CF6176C"/>
    <w:rsid w:val="5D0C4001"/>
    <w:rsid w:val="5D187F14"/>
    <w:rsid w:val="5E7B0CE3"/>
    <w:rsid w:val="5E98619E"/>
    <w:rsid w:val="5F4624A1"/>
    <w:rsid w:val="5FCE76B5"/>
    <w:rsid w:val="5FFA28BF"/>
    <w:rsid w:val="6000759F"/>
    <w:rsid w:val="60065292"/>
    <w:rsid w:val="601C0788"/>
    <w:rsid w:val="602476D2"/>
    <w:rsid w:val="602E272E"/>
    <w:rsid w:val="603B4F3C"/>
    <w:rsid w:val="60503789"/>
    <w:rsid w:val="60D6516A"/>
    <w:rsid w:val="60E64762"/>
    <w:rsid w:val="60FA4DF7"/>
    <w:rsid w:val="6109503A"/>
    <w:rsid w:val="611C3F8A"/>
    <w:rsid w:val="615A682D"/>
    <w:rsid w:val="61605CC6"/>
    <w:rsid w:val="61E82610"/>
    <w:rsid w:val="62313A1F"/>
    <w:rsid w:val="62626B68"/>
    <w:rsid w:val="62C83817"/>
    <w:rsid w:val="62DE4ACD"/>
    <w:rsid w:val="630D2BC2"/>
    <w:rsid w:val="635B1B17"/>
    <w:rsid w:val="63974B7F"/>
    <w:rsid w:val="63A474DA"/>
    <w:rsid w:val="63C97026"/>
    <w:rsid w:val="642F050F"/>
    <w:rsid w:val="64500E7E"/>
    <w:rsid w:val="64B477ED"/>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9036414"/>
    <w:rsid w:val="69926B5F"/>
    <w:rsid w:val="69952440"/>
    <w:rsid w:val="69CB5226"/>
    <w:rsid w:val="69CD7A52"/>
    <w:rsid w:val="6A064015"/>
    <w:rsid w:val="6A2D7FEB"/>
    <w:rsid w:val="6A4279C0"/>
    <w:rsid w:val="6A7D6C0C"/>
    <w:rsid w:val="6ADA3D5A"/>
    <w:rsid w:val="6AFA4AF2"/>
    <w:rsid w:val="6B7457A6"/>
    <w:rsid w:val="6B7B2FD8"/>
    <w:rsid w:val="6B831C73"/>
    <w:rsid w:val="6B9916F8"/>
    <w:rsid w:val="6B9F7B64"/>
    <w:rsid w:val="6C6172CD"/>
    <w:rsid w:val="6CEE00EB"/>
    <w:rsid w:val="6DA1021D"/>
    <w:rsid w:val="6DF2753D"/>
    <w:rsid w:val="6E533EFF"/>
    <w:rsid w:val="6E5955B2"/>
    <w:rsid w:val="6E8E090D"/>
    <w:rsid w:val="6EA14B04"/>
    <w:rsid w:val="6F0137F4"/>
    <w:rsid w:val="6F127C79"/>
    <w:rsid w:val="6F525334"/>
    <w:rsid w:val="6F6D2C38"/>
    <w:rsid w:val="6FD42CB7"/>
    <w:rsid w:val="6FFA5F16"/>
    <w:rsid w:val="6FFF6D4A"/>
    <w:rsid w:val="7026388B"/>
    <w:rsid w:val="70812E3F"/>
    <w:rsid w:val="70893AA1"/>
    <w:rsid w:val="709C1A26"/>
    <w:rsid w:val="710870BC"/>
    <w:rsid w:val="716C33C6"/>
    <w:rsid w:val="71724535"/>
    <w:rsid w:val="717E4B62"/>
    <w:rsid w:val="71D52C52"/>
    <w:rsid w:val="71EE2ABC"/>
    <w:rsid w:val="71FB277D"/>
    <w:rsid w:val="723B3DAE"/>
    <w:rsid w:val="726173AB"/>
    <w:rsid w:val="727A5D97"/>
    <w:rsid w:val="73440153"/>
    <w:rsid w:val="736F2E62"/>
    <w:rsid w:val="73E8121C"/>
    <w:rsid w:val="73F612E4"/>
    <w:rsid w:val="741A0B00"/>
    <w:rsid w:val="74F87447"/>
    <w:rsid w:val="74FE5CD5"/>
    <w:rsid w:val="751B684F"/>
    <w:rsid w:val="752D219E"/>
    <w:rsid w:val="75BD2DF1"/>
    <w:rsid w:val="75CD1474"/>
    <w:rsid w:val="76AC0BD3"/>
    <w:rsid w:val="76B4174A"/>
    <w:rsid w:val="76F22DA3"/>
    <w:rsid w:val="7770353A"/>
    <w:rsid w:val="777A2396"/>
    <w:rsid w:val="778F1B31"/>
    <w:rsid w:val="789E78B0"/>
    <w:rsid w:val="78B36B05"/>
    <w:rsid w:val="790C032D"/>
    <w:rsid w:val="792F052B"/>
    <w:rsid w:val="794D2E84"/>
    <w:rsid w:val="79C66218"/>
    <w:rsid w:val="79DA6908"/>
    <w:rsid w:val="7A1A5B7A"/>
    <w:rsid w:val="7A382603"/>
    <w:rsid w:val="7A9B65C4"/>
    <w:rsid w:val="7AC62DB2"/>
    <w:rsid w:val="7AD64090"/>
    <w:rsid w:val="7AD71133"/>
    <w:rsid w:val="7AFB3EE8"/>
    <w:rsid w:val="7B4B4DB2"/>
    <w:rsid w:val="7BC84294"/>
    <w:rsid w:val="7C195116"/>
    <w:rsid w:val="7C42092C"/>
    <w:rsid w:val="7C5A7B44"/>
    <w:rsid w:val="7CCF1551"/>
    <w:rsid w:val="7CDE4CF6"/>
    <w:rsid w:val="7CE107C1"/>
    <w:rsid w:val="7CE8603D"/>
    <w:rsid w:val="7DCA6AAE"/>
    <w:rsid w:val="7E3037AE"/>
    <w:rsid w:val="7E394D59"/>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 w:type="character" w:customStyle="1" w:styleId="130">
    <w:name w:val="font11"/>
    <w:basedOn w:val="4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0FB0F-16E8-44FE-A10E-1F120B106E58}">
  <ds:schemaRefs/>
</ds:datastoreItem>
</file>

<file path=customXml/itemProps3.xml><?xml version="1.0" encoding="utf-8"?>
<ds:datastoreItem xmlns:ds="http://schemas.openxmlformats.org/officeDocument/2006/customXml" ds:itemID="{DEE1A29E-5C08-472F-83EE-D61B966668B9}">
  <ds:schemaRefs/>
</ds:datastoreItem>
</file>

<file path=customXml/itemProps4.xml><?xml version="1.0" encoding="utf-8"?>
<ds:datastoreItem xmlns:ds="http://schemas.openxmlformats.org/officeDocument/2006/customXml" ds:itemID="{4DB491A7-7699-43B8-82DF-7546360513B4}">
  <ds:schemaRefs/>
</ds:datastoreItem>
</file>

<file path=customXml/itemProps5.xml><?xml version="1.0" encoding="utf-8"?>
<ds:datastoreItem xmlns:ds="http://schemas.openxmlformats.org/officeDocument/2006/customXml" ds:itemID="{ABFF17F6-B15B-4480-9A12-772800343D1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87</Pages>
  <Words>50068</Words>
  <Characters>53516</Characters>
  <Lines>613</Lines>
  <Paragraphs>172</Paragraphs>
  <TotalTime>2</TotalTime>
  <ScaleCrop>false</ScaleCrop>
  <LinksUpToDate>false</LinksUpToDate>
  <CharactersWithSpaces>54671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2022-06-16T12:58:24Z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