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lang w:val="zh-CN"/>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4</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本文件已报备</w:t>
            </w: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wordWrap w:val="0"/>
        <w:spacing w:before="0" w:beforeAutospacing="0" w:after="0" w:afterAutospacing="0" w:line="420" w:lineRule="exact"/>
        <w:jc w:val="right"/>
        <w:rPr>
          <w:rFonts w:hint="eastAsia" w:cs="仿宋" w:asciiTheme="majorEastAsia" w:hAnsiTheme="majorEastAsia" w:eastAsiaTheme="majorEastAsia"/>
          <w:color w:val="000000" w:themeColor="text1"/>
          <w:lang w:val="en-US" w:eastAsia="zh-CN"/>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lang w:val="en-US" w:eastAsia="zh-CN"/>
        </w:rPr>
        <w:t xml:space="preserve">     </w:t>
      </w:r>
    </w:p>
    <w:p>
      <w:pPr>
        <w:pStyle w:val="35"/>
        <w:wordWrap/>
        <w:spacing w:before="0" w:beforeAutospacing="0" w:after="0" w:afterAutospacing="0" w:line="420" w:lineRule="exact"/>
        <w:jc w:val="right"/>
        <w:rPr>
          <w:rFonts w:hint="default" w:cs="仿宋" w:asciiTheme="majorEastAsia" w:hAnsiTheme="majorEastAsia" w:eastAsiaTheme="majorEastAsia"/>
          <w:color w:val="000000" w:themeColor="text1"/>
          <w:lang w:val="en-US" w:eastAsia="zh-CN"/>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w:t>
            </w:r>
            <w:r>
              <w:rPr>
                <w:rFonts w:hint="eastAsia" w:cs="仿宋" w:asciiTheme="majorEastAsia" w:hAnsiTheme="majorEastAsia" w:eastAsiaTheme="majorEastAsia"/>
                <w:color w:val="000000" w:themeColor="text1"/>
                <w:szCs w:val="21"/>
                <w:highlight w:val="none"/>
                <w:lang w:val="zh-CN" w:eastAsia="zh-CN"/>
              </w:rPr>
              <w:t>包四：数字教育类设备</w:t>
            </w:r>
            <w:r>
              <w:rPr>
                <w:rFonts w:hint="eastAsia" w:cs="仿宋" w:asciiTheme="majorEastAsia" w:hAnsiTheme="majorEastAsia" w:eastAsiaTheme="majorEastAsia"/>
                <w:color w:val="000000" w:themeColor="text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asciiTheme="majorEastAsia" w:hAnsiTheme="majorEastAsia" w:eastAsiaTheme="majorEastAsia"/>
                <w:color w:val="000000" w:themeColor="text1"/>
                <w:highlight w:val="none"/>
                <w:lang w:val="en-US" w:eastAsia="zh-CN"/>
              </w:rPr>
              <w:t>121.79</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lang w:eastAsia="zh-CN"/>
              </w:rPr>
              <w:t>墨玉县城乡村学校教育教学能力提升项目（</w:t>
            </w:r>
            <w:r>
              <w:rPr>
                <w:rFonts w:hint="eastAsia" w:cs="仿宋" w:asciiTheme="majorEastAsia" w:hAnsiTheme="majorEastAsia" w:eastAsiaTheme="majorEastAsia"/>
                <w:color w:val="000000" w:themeColor="text1"/>
                <w:szCs w:val="21"/>
                <w:highlight w:val="none"/>
                <w:lang w:val="zh-CN" w:eastAsia="zh-CN"/>
              </w:rPr>
              <w:t>包四：数字教育类设备</w:t>
            </w:r>
            <w:r>
              <w:rPr>
                <w:rFonts w:hint="eastAsia" w:cs="仿宋" w:asciiTheme="majorEastAsia" w:hAnsiTheme="majorEastAsia" w:eastAsiaTheme="majorEastAsia"/>
                <w:color w:val="000000" w:themeColor="text1"/>
                <w:szCs w:val="21"/>
                <w:highlight w:val="none"/>
                <w:lang w:eastAsia="zh-CN"/>
              </w:rPr>
              <w:t>）</w:t>
            </w:r>
            <w:r>
              <w:rPr>
                <w:rFonts w:hint="eastAsia" w:asciiTheme="majorEastAsia" w:hAnsiTheme="majorEastAsia" w:eastAsiaTheme="majorEastAsia"/>
                <w:bCs/>
                <w:color w:val="000000" w:themeColor="text1"/>
                <w:szCs w:val="21"/>
                <w:highlight w:val="none"/>
              </w:rPr>
              <w:t>所需设备</w:t>
            </w:r>
            <w:r>
              <w:rPr>
                <w:rFonts w:hint="eastAsia" w:asciiTheme="majorEastAsia" w:hAnsiTheme="majorEastAsia" w:eastAsiaTheme="majorEastAsia"/>
                <w:bCs/>
                <w:color w:val="000000" w:themeColor="text1"/>
                <w:szCs w:val="21"/>
                <w:highlight w:val="none"/>
                <w:lang w:eastAsia="zh-CN"/>
              </w:rPr>
              <w:t>的</w:t>
            </w:r>
            <w:r>
              <w:rPr>
                <w:rFonts w:hint="eastAsia" w:asciiTheme="majorEastAsia" w:hAnsiTheme="majorEastAsia" w:eastAsiaTheme="majorEastAsia"/>
                <w:bCs/>
                <w:color w:val="000000" w:themeColor="text1"/>
                <w:szCs w:val="21"/>
                <w:highlight w:val="none"/>
              </w:rPr>
              <w:t>采购或</w:t>
            </w:r>
            <w:r>
              <w:rPr>
                <w:rFonts w:asciiTheme="majorEastAsia" w:hAnsiTheme="majorEastAsia" w:eastAsiaTheme="majorEastAsia"/>
                <w:bCs/>
                <w:color w:val="000000" w:themeColor="text1"/>
                <w:szCs w:val="21"/>
                <w:highlight w:val="none"/>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highlight w:val="none"/>
              </w:rPr>
              <w:t>（具体参数详见本招标文件第</w:t>
            </w:r>
            <w:r>
              <w:rPr>
                <w:rFonts w:hint="eastAsia" w:asciiTheme="majorEastAsia" w:hAnsiTheme="majorEastAsia" w:eastAsiaTheme="majorEastAsia"/>
                <w:bCs/>
                <w:color w:val="000000" w:themeColor="text1"/>
                <w:szCs w:val="21"/>
                <w:highlight w:val="none"/>
                <w:lang w:eastAsia="zh-CN"/>
              </w:rPr>
              <w:t>五</w:t>
            </w:r>
            <w:r>
              <w:rPr>
                <w:rFonts w:hint="eastAsia" w:asciiTheme="majorEastAsia" w:hAnsiTheme="majorEastAsia" w:eastAsiaTheme="majorEastAsia"/>
                <w:bCs/>
                <w:color w:val="000000" w:themeColor="text1"/>
                <w:szCs w:val="21"/>
                <w:highlight w:val="none"/>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4</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4</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highlight w:val="none"/>
              </w:rPr>
              <w:t>2、法人到场参与投标的需提供身份证明书（原件）及身份证原件，提供</w:t>
            </w:r>
            <w:r>
              <w:rPr>
                <w:rFonts w:hint="eastAsia" w:asciiTheme="majorEastAsia" w:hAnsiTheme="majorEastAsia" w:eastAsiaTheme="majorEastAsia"/>
                <w:color w:val="000000" w:themeColor="text1"/>
              </w:rPr>
              <w:t>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asciiTheme="majorEastAsia" w:hAnsiTheme="majorEastAsia" w:eastAsiaTheme="majorEastAsia"/>
                <w:color w:val="000000" w:themeColor="text1"/>
                <w:highlight w:val="none"/>
                <w:lang w:val="en-US" w:eastAsia="zh-CN"/>
              </w:rPr>
              <w:t>121.79</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3805"/>
      <w:bookmarkStart w:id="15" w:name="_Toc7151"/>
      <w:bookmarkStart w:id="16" w:name="_Toc247815569"/>
      <w:bookmarkStart w:id="17" w:name="_Toc182891057"/>
      <w:bookmarkStart w:id="18" w:name="_Toc176257397"/>
      <w:bookmarkStart w:id="19" w:name="_Toc225356383"/>
      <w:bookmarkStart w:id="20" w:name="_Toc247815566"/>
      <w:bookmarkStart w:id="21" w:name="_Toc176257387"/>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17604"/>
      <w:bookmarkStart w:id="24" w:name="_Toc6327"/>
      <w:bookmarkStart w:id="25" w:name="_Toc72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5664"/>
      <w:bookmarkStart w:id="27" w:name="_Toc2732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45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80"/>
        <w:gridCol w:w="1180"/>
        <w:gridCol w:w="880"/>
        <w:gridCol w:w="6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trPr>
        <w:tc>
          <w:tcPr>
            <w:tcW w:w="1080" w:type="dxa"/>
            <w:shd w:val="clear" w:color="auto" w:fill="auto"/>
            <w:vAlign w:val="center"/>
          </w:tcPr>
          <w:p>
            <w:pPr>
              <w:widowControl/>
              <w:jc w:val="center"/>
              <w:rPr>
                <w:rFonts w:ascii="宋体" w:hAnsi="宋体" w:cs="宋体"/>
                <w:color w:val="000000"/>
                <w:kern w:val="0"/>
                <w:sz w:val="20"/>
              </w:rPr>
            </w:pPr>
            <w:bookmarkStart w:id="28" w:name="_Toc3859"/>
            <w:bookmarkStart w:id="29" w:name="_Toc5344"/>
            <w:r>
              <w:rPr>
                <w:rFonts w:hint="eastAsia" w:ascii="宋体" w:hAnsi="宋体" w:cs="宋体"/>
                <w:color w:val="000000"/>
                <w:kern w:val="0"/>
                <w:sz w:val="20"/>
              </w:rPr>
              <w:t>类别</w:t>
            </w:r>
          </w:p>
        </w:tc>
        <w:tc>
          <w:tcPr>
            <w:tcW w:w="11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项目</w:t>
            </w:r>
          </w:p>
        </w:tc>
        <w:tc>
          <w:tcPr>
            <w:tcW w:w="8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分值</w:t>
            </w:r>
          </w:p>
        </w:tc>
        <w:tc>
          <w:tcPr>
            <w:tcW w:w="631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评 分 办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5" w:hRule="atLeast"/>
        </w:trPr>
        <w:tc>
          <w:tcPr>
            <w:tcW w:w="10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投标报价</w:t>
            </w:r>
          </w:p>
        </w:tc>
        <w:tc>
          <w:tcPr>
            <w:tcW w:w="11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价格部分</w:t>
            </w:r>
          </w:p>
        </w:tc>
        <w:tc>
          <w:tcPr>
            <w:tcW w:w="8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lang w:val="en-US" w:eastAsia="zh-CN"/>
              </w:rPr>
              <w:t>4</w:t>
            </w:r>
            <w:r>
              <w:rPr>
                <w:rFonts w:hint="eastAsia" w:ascii="宋体" w:hAnsi="宋体" w:cs="宋体"/>
                <w:color w:val="000000"/>
                <w:kern w:val="0"/>
                <w:sz w:val="20"/>
              </w:rPr>
              <w:t>0</w:t>
            </w:r>
          </w:p>
        </w:tc>
        <w:tc>
          <w:tcPr>
            <w:tcW w:w="6310" w:type="dxa"/>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 xml:space="preserve">投标人的价格分统一按下列公式计算：投标报价得分＝（评标基准价 / 投标报价） × </w:t>
            </w:r>
            <w:r>
              <w:rPr>
                <w:rFonts w:hint="eastAsia" w:ascii="宋体" w:hAnsi="宋体" w:cs="宋体"/>
                <w:color w:val="000000"/>
                <w:kern w:val="0"/>
                <w:sz w:val="20"/>
                <w:lang w:val="en-US" w:eastAsia="zh-CN"/>
              </w:rPr>
              <w:t>4</w:t>
            </w:r>
            <w:r>
              <w:rPr>
                <w:rFonts w:hint="eastAsia" w:ascii="宋体" w:hAnsi="宋体" w:cs="宋体"/>
                <w:color w:val="000000"/>
                <w:kern w:val="0"/>
                <w:sz w:val="20"/>
              </w:rPr>
              <w:t>0。评标基准价是指满足招标文件要求且投标价格最低的投标报价。除低于成本价的投标报价被拒绝外，最低报价得</w:t>
            </w:r>
            <w:r>
              <w:rPr>
                <w:rFonts w:hint="eastAsia" w:ascii="宋体" w:hAnsi="宋体" w:cs="宋体"/>
                <w:color w:val="000000"/>
                <w:kern w:val="0"/>
                <w:sz w:val="20"/>
                <w:lang w:val="en-US" w:eastAsia="zh-CN"/>
              </w:rPr>
              <w:t>4</w:t>
            </w:r>
            <w:r>
              <w:rPr>
                <w:rFonts w:hint="eastAsia" w:ascii="宋体" w:hAnsi="宋体" w:cs="宋体"/>
                <w:color w:val="000000"/>
                <w:kern w:val="0"/>
                <w:sz w:val="20"/>
              </w:rPr>
              <w:t>0分。得分结果由高分到低分依次排列为各自最终得分。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restart"/>
            <w:shd w:val="clear" w:color="auto" w:fill="auto"/>
            <w:vAlign w:val="center"/>
          </w:tcPr>
          <w:p>
            <w:pPr>
              <w:widowControl/>
              <w:jc w:val="left"/>
              <w:rPr>
                <w:rFonts w:eastAsia="等线"/>
                <w:color w:val="000000"/>
                <w:kern w:val="0"/>
                <w:sz w:val="20"/>
              </w:rPr>
            </w:pPr>
            <w:r>
              <w:rPr>
                <w:rFonts w:eastAsia="等线"/>
                <w:color w:val="000000"/>
                <w:kern w:val="0"/>
                <w:sz w:val="20"/>
              </w:rPr>
              <w:t>　</w:t>
            </w:r>
            <w:r>
              <w:rPr>
                <w:rFonts w:hint="eastAsia" w:ascii="宋体" w:hAnsi="宋体" w:cs="宋体"/>
                <w:color w:val="000000"/>
                <w:kern w:val="0"/>
                <w:sz w:val="20"/>
              </w:rPr>
              <w:t>商务部分（1</w:t>
            </w:r>
            <w:r>
              <w:rPr>
                <w:rFonts w:hint="eastAsia" w:ascii="宋体" w:hAnsi="宋体" w:cs="宋体"/>
                <w:color w:val="000000"/>
                <w:kern w:val="0"/>
                <w:sz w:val="20"/>
                <w:lang w:val="en-US" w:eastAsia="zh-CN"/>
              </w:rPr>
              <w:t>8</w:t>
            </w:r>
            <w:r>
              <w:rPr>
                <w:rFonts w:hint="eastAsia" w:ascii="宋体" w:hAnsi="宋体" w:cs="宋体"/>
                <w:color w:val="000000"/>
                <w:kern w:val="0"/>
                <w:sz w:val="20"/>
              </w:rPr>
              <w:t>分）</w:t>
            </w:r>
          </w:p>
        </w:tc>
        <w:tc>
          <w:tcPr>
            <w:tcW w:w="1180" w:type="dxa"/>
            <w:shd w:val="clear" w:color="auto" w:fill="auto"/>
            <w:vAlign w:val="center"/>
          </w:tcPr>
          <w:p>
            <w:pPr>
              <w:widowControl/>
              <w:jc w:val="center"/>
              <w:rPr>
                <w:rFonts w:hint="eastAsia" w:ascii="宋体" w:hAnsi="宋体" w:eastAsia="宋体" w:cs="宋体"/>
                <w:color w:val="000000"/>
                <w:kern w:val="0"/>
                <w:sz w:val="20"/>
                <w:lang w:val="en-US" w:eastAsia="zh-CN"/>
              </w:rPr>
            </w:pPr>
            <w:r>
              <w:rPr>
                <w:rFonts w:hint="eastAsia" w:ascii="宋体" w:hAnsi="宋体" w:cs="宋体"/>
                <w:color w:val="000000"/>
                <w:kern w:val="0"/>
                <w:sz w:val="20"/>
                <w:lang w:val="en-US" w:eastAsia="zh-CN"/>
              </w:rPr>
              <w:t>供应商荣誉</w:t>
            </w:r>
          </w:p>
        </w:tc>
        <w:tc>
          <w:tcPr>
            <w:tcW w:w="8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2</w:t>
            </w:r>
          </w:p>
        </w:tc>
        <w:tc>
          <w:tcPr>
            <w:tcW w:w="6310" w:type="dxa"/>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交互平板整机制造商具有在触控交互技术领域的国家级获奖证书。比较各投标人提供的证书进行排名，最优的得2分，第</w:t>
            </w:r>
            <w:r>
              <w:rPr>
                <w:rFonts w:hint="eastAsia" w:ascii="宋体" w:hAnsi="宋体" w:cs="宋体"/>
                <w:color w:val="000000"/>
                <w:kern w:val="0"/>
                <w:sz w:val="20"/>
                <w:lang w:eastAsia="zh-CN"/>
              </w:rPr>
              <w:t>二名</w:t>
            </w:r>
            <w:r>
              <w:rPr>
                <w:rFonts w:hint="eastAsia" w:ascii="宋体" w:hAnsi="宋体" w:cs="宋体"/>
                <w:color w:val="000000"/>
                <w:kern w:val="0"/>
                <w:sz w:val="20"/>
              </w:rPr>
              <w:t>的得1分，其它排名不得分。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eastAsia="等线"/>
                <w:color w:val="000000"/>
                <w:kern w:val="0"/>
                <w:sz w:val="20"/>
              </w:rPr>
            </w:pPr>
          </w:p>
        </w:tc>
        <w:tc>
          <w:tcPr>
            <w:tcW w:w="1180" w:type="dxa"/>
            <w:vMerge w:val="restart"/>
            <w:shd w:val="clear" w:color="auto" w:fill="auto"/>
            <w:vAlign w:val="center"/>
          </w:tcPr>
          <w:p>
            <w:pPr>
              <w:widowControl/>
              <w:jc w:val="left"/>
              <w:rPr>
                <w:rFonts w:hint="eastAsia" w:ascii="宋体" w:hAnsi="宋体" w:eastAsia="宋体" w:cs="宋体"/>
                <w:color w:val="000000"/>
                <w:kern w:val="0"/>
                <w:sz w:val="20"/>
                <w:lang w:val="en-US" w:eastAsia="zh-CN"/>
              </w:rPr>
            </w:pPr>
            <w:r>
              <w:rPr>
                <w:rFonts w:hint="eastAsia" w:ascii="宋体" w:hAnsi="宋体" w:cs="宋体"/>
                <w:color w:val="000000"/>
                <w:kern w:val="0"/>
                <w:sz w:val="20"/>
                <w:lang w:val="en-US" w:eastAsia="zh-CN"/>
              </w:rPr>
              <w:t>供应商体系认证要求</w:t>
            </w:r>
          </w:p>
        </w:tc>
        <w:tc>
          <w:tcPr>
            <w:tcW w:w="8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2</w:t>
            </w:r>
          </w:p>
        </w:tc>
        <w:tc>
          <w:tcPr>
            <w:tcW w:w="6310" w:type="dxa"/>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交互黑板产品的制造商通过云服务信息安全管理体系认证证书（符合ISO/IEC 27017:2015），提供得 2分，不满足的不得分；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eastAsia="等线"/>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shd w:val="clear" w:color="auto" w:fill="auto"/>
            <w:vAlign w:val="center"/>
          </w:tcPr>
          <w:p>
            <w:pPr>
              <w:widowControl/>
              <w:jc w:val="center"/>
              <w:rPr>
                <w:rFonts w:hint="eastAsia" w:ascii="宋体" w:hAnsi="宋体" w:eastAsia="宋体" w:cs="宋体"/>
                <w:color w:val="000000"/>
                <w:kern w:val="0"/>
                <w:sz w:val="20"/>
                <w:lang w:eastAsia="zh-CN"/>
              </w:rPr>
            </w:pPr>
            <w:r>
              <w:rPr>
                <w:rFonts w:hint="eastAsia" w:ascii="宋体" w:hAnsi="宋体" w:cs="宋体"/>
                <w:color w:val="000000"/>
                <w:kern w:val="0"/>
                <w:sz w:val="20"/>
                <w:lang w:val="en-US" w:eastAsia="zh-CN"/>
              </w:rPr>
              <w:t>8</w:t>
            </w:r>
          </w:p>
        </w:tc>
        <w:tc>
          <w:tcPr>
            <w:tcW w:w="6310" w:type="dxa"/>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1、录播服务器提供FCC认证证书、CE认证证书、节能认证证书、MTBF认证证书、ROHS 认证证书（原件复印件加盖制造商公章）提供得</w:t>
            </w:r>
            <w:r>
              <w:rPr>
                <w:rFonts w:hint="eastAsia" w:ascii="宋体" w:hAnsi="宋体" w:cs="宋体"/>
                <w:color w:val="000000"/>
                <w:kern w:val="0"/>
                <w:sz w:val="20"/>
                <w:lang w:val="en-US" w:eastAsia="zh-CN"/>
              </w:rPr>
              <w:t>4</w:t>
            </w:r>
            <w:r>
              <w:rPr>
                <w:rFonts w:hint="eastAsia" w:ascii="宋体" w:hAnsi="宋体" w:cs="宋体"/>
                <w:color w:val="000000"/>
                <w:kern w:val="0"/>
                <w:sz w:val="20"/>
              </w:rPr>
              <w:t>分，不提供或少提供不得分                                                          2、 为保证产品质量制造商要求通过ISO9001、ISO4001、OHSAS18001证书及电信增值业务经营许可证证书（原件复印件加盖制造商公章）提供得4分，不提供或少提供不得分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1080" w:type="dxa"/>
            <w:vMerge w:val="continue"/>
            <w:shd w:val="clear" w:color="auto" w:fill="auto"/>
            <w:vAlign w:val="center"/>
          </w:tcPr>
          <w:p>
            <w:pPr>
              <w:widowControl/>
              <w:jc w:val="left"/>
              <w:rPr>
                <w:rFonts w:eastAsia="等线"/>
                <w:color w:val="000000"/>
                <w:kern w:val="0"/>
                <w:sz w:val="20"/>
              </w:rPr>
            </w:pPr>
          </w:p>
        </w:tc>
        <w:tc>
          <w:tcPr>
            <w:tcW w:w="1180" w:type="dxa"/>
            <w:vMerge w:val="continue"/>
            <w:shd w:val="clear" w:color="auto" w:fill="auto"/>
            <w:vAlign w:val="center"/>
          </w:tcPr>
          <w:p>
            <w:pPr>
              <w:widowControl/>
              <w:jc w:val="left"/>
              <w:rPr>
                <w:rFonts w:hint="eastAsia" w:ascii="宋体" w:hAnsi="宋体" w:eastAsia="宋体" w:cs="宋体"/>
                <w:color w:val="000000"/>
                <w:kern w:val="0"/>
                <w:sz w:val="20"/>
                <w:lang w:val="en-US" w:eastAsia="zh-CN"/>
              </w:rPr>
            </w:pPr>
          </w:p>
        </w:tc>
        <w:tc>
          <w:tcPr>
            <w:tcW w:w="880" w:type="dxa"/>
            <w:shd w:val="clear" w:color="auto" w:fill="auto"/>
            <w:vAlign w:val="center"/>
          </w:tcPr>
          <w:p>
            <w:pPr>
              <w:widowControl/>
              <w:jc w:val="center"/>
              <w:rPr>
                <w:rFonts w:hint="eastAsia" w:ascii="宋体" w:hAnsi="宋体" w:eastAsia="宋体" w:cs="宋体"/>
                <w:color w:val="000000"/>
                <w:kern w:val="0"/>
                <w:sz w:val="20"/>
                <w:lang w:eastAsia="zh-CN"/>
              </w:rPr>
            </w:pPr>
            <w:r>
              <w:rPr>
                <w:rFonts w:hint="eastAsia" w:ascii="宋体" w:hAnsi="宋体" w:cs="宋体"/>
                <w:color w:val="000000"/>
                <w:kern w:val="0"/>
                <w:sz w:val="20"/>
                <w:lang w:val="en-US" w:eastAsia="zh-CN"/>
              </w:rPr>
              <w:t>4</w:t>
            </w:r>
          </w:p>
        </w:tc>
        <w:tc>
          <w:tcPr>
            <w:tcW w:w="6310" w:type="dxa"/>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平板产品的制造商通过ISO14064低碳证书。需提供证书复印件并加盖企业公章，提供得</w:t>
            </w:r>
            <w:r>
              <w:rPr>
                <w:rFonts w:hint="eastAsia" w:ascii="宋体" w:hAnsi="宋体" w:cs="宋体"/>
                <w:color w:val="000000"/>
                <w:kern w:val="0"/>
                <w:sz w:val="20"/>
                <w:lang w:val="en-US" w:eastAsia="zh-CN"/>
              </w:rPr>
              <w:t>4</w:t>
            </w:r>
            <w:r>
              <w:rPr>
                <w:rFonts w:hint="eastAsia" w:ascii="宋体" w:hAnsi="宋体" w:cs="宋体"/>
                <w:color w:val="000000"/>
                <w:kern w:val="0"/>
                <w:sz w:val="20"/>
              </w:rPr>
              <w:t>分，不满足的不得分；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eastAsia="等线"/>
                <w:color w:val="000000"/>
                <w:kern w:val="0"/>
                <w:sz w:val="20"/>
              </w:rPr>
            </w:pPr>
          </w:p>
        </w:tc>
        <w:tc>
          <w:tcPr>
            <w:tcW w:w="1180" w:type="dxa"/>
            <w:shd w:val="clear" w:color="auto" w:fill="auto"/>
            <w:vAlign w:val="center"/>
          </w:tcPr>
          <w:p>
            <w:pPr>
              <w:widowControl/>
              <w:jc w:val="left"/>
              <w:rPr>
                <w:rFonts w:hint="eastAsia" w:ascii="宋体" w:hAnsi="宋体" w:eastAsia="宋体" w:cs="宋体"/>
                <w:color w:val="000000"/>
                <w:kern w:val="0"/>
                <w:sz w:val="20"/>
                <w:lang w:val="en-US" w:eastAsia="zh-CN"/>
              </w:rPr>
            </w:pPr>
            <w:r>
              <w:rPr>
                <w:rFonts w:hint="eastAsia" w:ascii="宋体" w:hAnsi="宋体" w:cs="宋体"/>
                <w:color w:val="000000"/>
                <w:kern w:val="0"/>
                <w:sz w:val="20"/>
                <w:lang w:val="en-US" w:eastAsia="zh-CN"/>
              </w:rPr>
              <w:t>供应商诚信要求</w:t>
            </w:r>
          </w:p>
        </w:tc>
        <w:tc>
          <w:tcPr>
            <w:tcW w:w="880" w:type="dxa"/>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2</w:t>
            </w:r>
          </w:p>
        </w:tc>
        <w:tc>
          <w:tcPr>
            <w:tcW w:w="6310" w:type="dxa"/>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交互平板制造商需取得AAA质量服务诚信单位证书，提供得</w:t>
            </w:r>
            <w:r>
              <w:rPr>
                <w:rFonts w:hint="eastAsia" w:ascii="宋体" w:hAnsi="宋体" w:cs="宋体"/>
                <w:color w:val="000000"/>
                <w:kern w:val="0"/>
                <w:sz w:val="20"/>
                <w:lang w:val="en-US" w:eastAsia="zh-CN"/>
              </w:rPr>
              <w:t>2</w:t>
            </w:r>
            <w:r>
              <w:rPr>
                <w:rFonts w:hint="eastAsia" w:ascii="宋体" w:hAnsi="宋体" w:cs="宋体"/>
                <w:color w:val="000000"/>
                <w:kern w:val="0"/>
                <w:sz w:val="20"/>
              </w:rPr>
              <w:t>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5" w:hRule="atLeast"/>
        </w:trPr>
        <w:tc>
          <w:tcPr>
            <w:tcW w:w="1080" w:type="dxa"/>
            <w:vMerge w:val="restart"/>
            <w:shd w:val="clear" w:color="auto" w:fill="auto"/>
            <w:vAlign w:val="center"/>
          </w:tcPr>
          <w:p>
            <w:pPr>
              <w:widowControl/>
              <w:rPr>
                <w:rFonts w:ascii="宋体" w:hAnsi="宋体" w:cs="宋体"/>
                <w:color w:val="000000"/>
                <w:kern w:val="0"/>
                <w:sz w:val="20"/>
              </w:rPr>
            </w:pPr>
            <w:r>
              <w:rPr>
                <w:rFonts w:hint="eastAsia" w:ascii="宋体" w:hAnsi="宋体" w:cs="宋体"/>
                <w:color w:val="000000"/>
                <w:kern w:val="0"/>
                <w:sz w:val="20"/>
              </w:rPr>
              <w:t>技术部分（</w:t>
            </w:r>
            <w:r>
              <w:rPr>
                <w:rFonts w:hint="eastAsia" w:ascii="宋体" w:hAnsi="宋体" w:cs="宋体"/>
                <w:color w:val="000000"/>
                <w:kern w:val="0"/>
                <w:sz w:val="20"/>
                <w:lang w:val="en-US" w:eastAsia="zh-CN"/>
              </w:rPr>
              <w:t>42</w:t>
            </w:r>
            <w:r>
              <w:rPr>
                <w:rFonts w:hint="eastAsia" w:ascii="宋体" w:hAnsi="宋体" w:cs="宋体"/>
                <w:color w:val="000000"/>
                <w:kern w:val="0"/>
                <w:sz w:val="20"/>
              </w:rPr>
              <w:t>分）</w:t>
            </w:r>
          </w:p>
        </w:tc>
        <w:tc>
          <w:tcPr>
            <w:tcW w:w="1180" w:type="dxa"/>
            <w:shd w:val="clear" w:color="auto" w:fill="auto"/>
            <w:vAlign w:val="center"/>
          </w:tcPr>
          <w:p>
            <w:pPr>
              <w:widowControl/>
              <w:jc w:val="center"/>
              <w:rPr>
                <w:rFonts w:hint="eastAsia" w:ascii="宋体" w:hAnsi="宋体" w:cs="宋体"/>
                <w:color w:val="000000"/>
                <w:kern w:val="0"/>
                <w:sz w:val="20"/>
              </w:rPr>
            </w:pPr>
            <w:r>
              <w:rPr>
                <w:rFonts w:hint="eastAsia" w:ascii="宋体" w:hAnsi="宋体" w:cs="宋体"/>
                <w:color w:val="000000"/>
                <w:kern w:val="0"/>
                <w:sz w:val="20"/>
                <w:lang w:val="en-US" w:eastAsia="zh-CN"/>
              </w:rPr>
              <w:t>录播</w:t>
            </w:r>
            <w:r>
              <w:rPr>
                <w:rFonts w:hint="eastAsia" w:ascii="宋体" w:hAnsi="宋体" w:cs="宋体"/>
                <w:color w:val="000000"/>
                <w:kern w:val="0"/>
                <w:sz w:val="20"/>
              </w:rPr>
              <w:t>产品性能</w:t>
            </w:r>
            <w:r>
              <w:rPr>
                <w:rFonts w:hint="eastAsia" w:ascii="宋体" w:hAnsi="宋体" w:cs="宋体"/>
                <w:color w:val="000000"/>
                <w:kern w:val="0"/>
                <w:sz w:val="20"/>
                <w:lang w:eastAsia="zh-CN"/>
              </w:rPr>
              <w:t>（</w:t>
            </w:r>
            <w:r>
              <w:rPr>
                <w:rFonts w:hint="eastAsia" w:ascii="宋体" w:hAnsi="宋体" w:cs="宋体"/>
                <w:color w:val="000000"/>
                <w:kern w:val="0"/>
                <w:sz w:val="20"/>
                <w:lang w:val="en-US" w:eastAsia="zh-CN"/>
              </w:rPr>
              <w:t>12</w:t>
            </w:r>
            <w:r>
              <w:rPr>
                <w:rFonts w:hint="eastAsia" w:ascii="宋体" w:hAnsi="宋体" w:cs="宋体"/>
                <w:color w:val="000000"/>
                <w:kern w:val="0"/>
                <w:sz w:val="20"/>
              </w:rPr>
              <w:t>分</w:t>
            </w:r>
            <w:r>
              <w:rPr>
                <w:rFonts w:hint="eastAsia" w:ascii="宋体" w:hAnsi="宋体" w:cs="宋体"/>
                <w:color w:val="000000"/>
                <w:kern w:val="0"/>
                <w:sz w:val="20"/>
                <w:lang w:eastAsia="zh-CN"/>
              </w:rPr>
              <w:t>）</w:t>
            </w:r>
          </w:p>
        </w:tc>
        <w:tc>
          <w:tcPr>
            <w:tcW w:w="880" w:type="dxa"/>
            <w:shd w:val="clear" w:color="auto" w:fill="auto"/>
            <w:vAlign w:val="center"/>
          </w:tcPr>
          <w:p>
            <w:pPr>
              <w:widowControl/>
              <w:jc w:val="center"/>
              <w:rPr>
                <w:rFonts w:hint="default" w:ascii="宋体" w:hAnsi="宋体" w:eastAsia="宋体" w:cs="宋体"/>
                <w:color w:val="000000"/>
                <w:kern w:val="0"/>
                <w:sz w:val="20"/>
                <w:lang w:val="en-US" w:eastAsia="zh-CN"/>
              </w:rPr>
            </w:pPr>
            <w:r>
              <w:rPr>
                <w:rFonts w:hint="eastAsia" w:ascii="宋体" w:hAnsi="宋体" w:cs="宋体"/>
                <w:color w:val="000000"/>
                <w:kern w:val="0"/>
                <w:sz w:val="20"/>
                <w:lang w:val="en-US" w:eastAsia="zh-CN"/>
              </w:rPr>
              <w:t>12</w:t>
            </w:r>
          </w:p>
        </w:tc>
        <w:tc>
          <w:tcPr>
            <w:tcW w:w="6310" w:type="dxa"/>
            <w:shd w:val="clear" w:color="auto" w:fill="auto"/>
            <w:vAlign w:val="center"/>
          </w:tcPr>
          <w:p>
            <w:pPr>
              <w:widowControl/>
              <w:jc w:val="left"/>
              <w:rPr>
                <w:rFonts w:hint="eastAsia" w:ascii="宋体" w:hAnsi="宋体" w:cs="宋体"/>
                <w:kern w:val="0"/>
                <w:sz w:val="20"/>
              </w:rPr>
            </w:pPr>
            <w:r>
              <w:rPr>
                <w:rFonts w:hint="eastAsia" w:ascii="宋体" w:hAnsi="宋体" w:cs="宋体"/>
                <w:kern w:val="0"/>
                <w:sz w:val="20"/>
              </w:rPr>
              <w:t>1、要求支持UVC输出电影画面，在不通过采集卡转接情况下对接腾讯会议、钉钉、企业微信等平台实现互动教学应用；（提供UVC接口背板图）提供具备CNAS、CMA、ILAC等标识的第三方检测报告，要求报告在检测机构官网可查（提供得</w:t>
            </w:r>
            <w:r>
              <w:rPr>
                <w:rFonts w:hint="eastAsia" w:ascii="宋体" w:hAnsi="宋体" w:cs="宋体"/>
                <w:kern w:val="0"/>
                <w:sz w:val="20"/>
                <w:lang w:val="en-US" w:eastAsia="zh-CN"/>
              </w:rPr>
              <w:t>2</w:t>
            </w:r>
            <w:r>
              <w:rPr>
                <w:rFonts w:hint="eastAsia" w:ascii="宋体" w:hAnsi="宋体" w:cs="宋体"/>
                <w:kern w:val="0"/>
                <w:sz w:val="20"/>
              </w:rPr>
              <w:t>分，不提供不得分）</w:t>
            </w:r>
          </w:p>
          <w:p>
            <w:pPr>
              <w:widowControl/>
              <w:jc w:val="left"/>
              <w:rPr>
                <w:rFonts w:hint="eastAsia" w:ascii="宋体" w:hAnsi="宋体" w:cs="宋体"/>
                <w:kern w:val="0"/>
                <w:sz w:val="20"/>
              </w:rPr>
            </w:pPr>
            <w:r>
              <w:rPr>
                <w:rFonts w:hint="eastAsia" w:ascii="宋体" w:hAnsi="宋体" w:cs="宋体"/>
                <w:kern w:val="0"/>
                <w:sz w:val="20"/>
              </w:rPr>
              <w:t>2、录播主机设备支持长时间运行，平均无故障运行时间（MTBF）≥120,000小时得1分，平均无故障运行时间（MTBF）≥250,000小时得</w:t>
            </w:r>
            <w:r>
              <w:rPr>
                <w:rFonts w:hint="eastAsia" w:ascii="宋体" w:hAnsi="宋体" w:cs="宋体"/>
                <w:kern w:val="0"/>
                <w:sz w:val="20"/>
                <w:lang w:val="en-US" w:eastAsia="zh-CN"/>
              </w:rPr>
              <w:t>2</w:t>
            </w:r>
            <w:r>
              <w:rPr>
                <w:rFonts w:hint="eastAsia" w:ascii="宋体" w:hAnsi="宋体" w:cs="宋体"/>
                <w:kern w:val="0"/>
                <w:sz w:val="20"/>
              </w:rPr>
              <w:t>分</w:t>
            </w:r>
          </w:p>
          <w:p>
            <w:pPr>
              <w:widowControl/>
              <w:jc w:val="left"/>
              <w:rPr>
                <w:rFonts w:hint="eastAsia" w:ascii="宋体" w:hAnsi="宋体" w:cs="宋体"/>
                <w:kern w:val="0"/>
                <w:sz w:val="20"/>
              </w:rPr>
            </w:pPr>
            <w:r>
              <w:rPr>
                <w:rFonts w:hint="eastAsia" w:ascii="宋体" w:hAnsi="宋体" w:cs="宋体"/>
                <w:kern w:val="0"/>
                <w:sz w:val="20"/>
              </w:rPr>
              <w:t>3、摄像机设备支持长时间运行，平均无故障运行时间（MTBF）≥120,000小时得1分，平均无故障运行时间（MTBF）≥250,000小时得</w:t>
            </w:r>
            <w:r>
              <w:rPr>
                <w:rFonts w:hint="eastAsia" w:ascii="宋体" w:hAnsi="宋体" w:cs="宋体"/>
                <w:kern w:val="0"/>
                <w:sz w:val="20"/>
                <w:lang w:val="en-US" w:eastAsia="zh-CN"/>
              </w:rPr>
              <w:t>2</w:t>
            </w:r>
            <w:r>
              <w:rPr>
                <w:rFonts w:hint="eastAsia" w:ascii="宋体" w:hAnsi="宋体" w:cs="宋体"/>
                <w:kern w:val="0"/>
                <w:sz w:val="20"/>
              </w:rPr>
              <w:t>分</w:t>
            </w:r>
          </w:p>
          <w:p>
            <w:pPr>
              <w:widowControl/>
              <w:jc w:val="left"/>
              <w:rPr>
                <w:rFonts w:hint="eastAsia" w:ascii="宋体" w:hAnsi="宋体" w:cs="宋体"/>
                <w:kern w:val="0"/>
                <w:sz w:val="20"/>
              </w:rPr>
            </w:pPr>
            <w:r>
              <w:rPr>
                <w:rFonts w:hint="eastAsia" w:ascii="宋体" w:hAnsi="宋体" w:cs="宋体"/>
                <w:kern w:val="0"/>
                <w:sz w:val="20"/>
              </w:rPr>
              <w:t>4、录播主机产品采用耐腐蚀技术处理，产品通过盐雾腐蚀试验，试验时间48小时；提供具备CNAS、CMA、ILAC等标识的第三方检测报告，要求报告在检测机构官网可查（提供得</w:t>
            </w:r>
            <w:r>
              <w:rPr>
                <w:rFonts w:hint="eastAsia" w:ascii="宋体" w:hAnsi="宋体" w:cs="宋体"/>
                <w:kern w:val="0"/>
                <w:sz w:val="20"/>
                <w:lang w:val="en-US" w:eastAsia="zh-CN"/>
              </w:rPr>
              <w:t>2</w:t>
            </w:r>
            <w:r>
              <w:rPr>
                <w:rFonts w:hint="eastAsia" w:ascii="宋体" w:hAnsi="宋体" w:cs="宋体"/>
                <w:kern w:val="0"/>
                <w:sz w:val="20"/>
              </w:rPr>
              <w:t>分，不提供不得分）</w:t>
            </w:r>
          </w:p>
          <w:p>
            <w:pPr>
              <w:widowControl/>
              <w:jc w:val="left"/>
              <w:rPr>
                <w:rFonts w:hint="eastAsia" w:ascii="宋体" w:hAnsi="宋体" w:eastAsia="宋体" w:cs="宋体"/>
                <w:kern w:val="0"/>
                <w:sz w:val="20"/>
                <w:lang w:val="en-US" w:eastAsia="zh-CN"/>
              </w:rPr>
            </w:pPr>
            <w:r>
              <w:rPr>
                <w:rFonts w:hint="eastAsia" w:ascii="宋体" w:hAnsi="宋体" w:cs="宋体"/>
                <w:kern w:val="0"/>
                <w:sz w:val="20"/>
              </w:rPr>
              <w:t>5、要求交互式多媒体液晶触摸一体机配套白板软件具有粉笔书写功能，不仅能模拟粉笔笔迹，同时带有粉尘下落效果。（提供具有CMA或CNAS标识的第三方权威机构出具的检测报告复印件并加盖厂商公章）（提供得</w:t>
            </w:r>
            <w:r>
              <w:rPr>
                <w:rFonts w:hint="eastAsia" w:ascii="宋体" w:hAnsi="宋体" w:cs="宋体"/>
                <w:kern w:val="0"/>
                <w:sz w:val="20"/>
                <w:lang w:val="en-US" w:eastAsia="zh-CN"/>
              </w:rPr>
              <w:t>2</w:t>
            </w:r>
            <w:r>
              <w:rPr>
                <w:rFonts w:hint="eastAsia" w:ascii="宋体" w:hAnsi="宋体" w:cs="宋体"/>
                <w:kern w:val="0"/>
                <w:sz w:val="20"/>
              </w:rPr>
              <w:t>分，不提供不得分）                               6、要求功放产品提供功放话筒调节系统软件著作权认证。提供3C认证。（提供得</w:t>
            </w:r>
            <w:r>
              <w:rPr>
                <w:rFonts w:hint="eastAsia" w:ascii="宋体" w:hAnsi="宋体" w:cs="宋体"/>
                <w:kern w:val="0"/>
                <w:sz w:val="20"/>
                <w:lang w:val="en-US" w:eastAsia="zh-CN"/>
              </w:rPr>
              <w:t>2</w:t>
            </w:r>
            <w:r>
              <w:rPr>
                <w:rFonts w:hint="eastAsia" w:ascii="宋体" w:hAnsi="宋体" w:cs="宋体"/>
                <w:kern w:val="0"/>
                <w:sz w:val="20"/>
              </w:rPr>
              <w:t xml:space="preserve">分，不提供不得分）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restart"/>
            <w:shd w:val="clear" w:color="auto" w:fill="auto"/>
            <w:vAlign w:val="center"/>
          </w:tcPr>
          <w:p>
            <w:pPr>
              <w:widowControl/>
              <w:jc w:val="center"/>
              <w:rPr>
                <w:rFonts w:hint="eastAsia" w:ascii="宋体" w:hAnsi="宋体" w:cs="宋体"/>
                <w:color w:val="000000"/>
                <w:kern w:val="0"/>
                <w:sz w:val="20"/>
                <w:lang w:val="en-US" w:eastAsia="zh-CN"/>
              </w:rPr>
            </w:pPr>
          </w:p>
          <w:p>
            <w:pPr>
              <w:widowControl/>
              <w:jc w:val="center"/>
              <w:rPr>
                <w:rFonts w:ascii="宋体" w:hAnsi="宋体" w:cs="宋体"/>
                <w:color w:val="000000"/>
                <w:kern w:val="0"/>
                <w:sz w:val="20"/>
              </w:rPr>
            </w:pPr>
            <w:r>
              <w:rPr>
                <w:rFonts w:hint="eastAsia" w:ascii="宋体" w:hAnsi="宋体" w:cs="宋体"/>
                <w:color w:val="000000"/>
                <w:kern w:val="0"/>
                <w:sz w:val="20"/>
                <w:lang w:val="en-US" w:eastAsia="zh-CN"/>
              </w:rPr>
              <w:t>OA产品性能要求</w:t>
            </w:r>
            <w:r>
              <w:rPr>
                <w:rFonts w:hint="eastAsia" w:ascii="宋体" w:hAnsi="宋体" w:cs="宋体"/>
                <w:color w:val="000000"/>
                <w:kern w:val="0"/>
                <w:sz w:val="20"/>
              </w:rPr>
              <w:t>（</w:t>
            </w:r>
            <w:r>
              <w:rPr>
                <w:rFonts w:hint="eastAsia" w:ascii="宋体" w:hAnsi="宋体" w:cs="宋体"/>
                <w:color w:val="000000"/>
                <w:kern w:val="0"/>
                <w:sz w:val="20"/>
                <w:lang w:val="en-US" w:eastAsia="zh-CN"/>
              </w:rPr>
              <w:t>10</w:t>
            </w:r>
            <w:r>
              <w:rPr>
                <w:rFonts w:hint="eastAsia" w:ascii="宋体" w:hAnsi="宋体" w:cs="宋体"/>
                <w:color w:val="000000"/>
                <w:kern w:val="0"/>
                <w:sz w:val="20"/>
              </w:rPr>
              <w:t>分）</w:t>
            </w:r>
          </w:p>
        </w:tc>
        <w:tc>
          <w:tcPr>
            <w:tcW w:w="880" w:type="dxa"/>
            <w:vMerge w:val="restart"/>
            <w:shd w:val="clear" w:color="auto" w:fill="auto"/>
            <w:vAlign w:val="center"/>
          </w:tcPr>
          <w:p>
            <w:pPr>
              <w:widowControl/>
              <w:jc w:val="center"/>
              <w:rPr>
                <w:rFonts w:hint="default" w:ascii="宋体" w:hAnsi="宋体" w:eastAsia="宋体" w:cs="宋体"/>
                <w:color w:val="000000"/>
                <w:kern w:val="0"/>
                <w:sz w:val="20"/>
                <w:lang w:val="en-US" w:eastAsia="zh-CN"/>
              </w:rPr>
            </w:pPr>
            <w:r>
              <w:rPr>
                <w:rFonts w:hint="eastAsia" w:ascii="宋体" w:hAnsi="宋体" w:cs="宋体"/>
                <w:color w:val="000000"/>
                <w:kern w:val="0"/>
                <w:sz w:val="20"/>
                <w:lang w:val="en-US" w:eastAsia="zh-CN"/>
              </w:rPr>
              <w:t>10</w:t>
            </w:r>
          </w:p>
        </w:tc>
        <w:tc>
          <w:tcPr>
            <w:tcW w:w="6310" w:type="dxa"/>
            <w:shd w:val="clear" w:color="auto" w:fill="auto"/>
            <w:vAlign w:val="center"/>
          </w:tcPr>
          <w:p>
            <w:pPr>
              <w:widowControl/>
              <w:jc w:val="left"/>
              <w:rPr>
                <w:rFonts w:hint="eastAsia" w:ascii="宋体" w:hAnsi="宋体" w:cs="宋体"/>
                <w:kern w:val="0"/>
                <w:sz w:val="20"/>
                <w:szCs w:val="22"/>
              </w:rPr>
            </w:pPr>
            <w:r>
              <w:rPr>
                <w:rFonts w:hint="eastAsia" w:ascii="宋体" w:hAnsi="宋体" w:cs="宋体"/>
                <w:kern w:val="0"/>
                <w:sz w:val="20"/>
                <w:szCs w:val="22"/>
              </w:rPr>
              <w:t>投标人</w:t>
            </w:r>
            <w:r>
              <w:rPr>
                <w:rFonts w:hint="eastAsia" w:ascii="宋体" w:hAnsi="宋体" w:cs="宋体"/>
                <w:kern w:val="0"/>
                <w:sz w:val="20"/>
                <w:szCs w:val="22"/>
                <w:lang w:val="en-US" w:eastAsia="zh-CN"/>
              </w:rPr>
              <w:t>或生产厂商</w:t>
            </w:r>
            <w:r>
              <w:rPr>
                <w:rFonts w:hint="eastAsia" w:ascii="宋体" w:hAnsi="宋体" w:cs="宋体"/>
                <w:kern w:val="0"/>
                <w:sz w:val="20"/>
                <w:szCs w:val="22"/>
              </w:rPr>
              <w:t>列举</w:t>
            </w:r>
            <w:r>
              <w:rPr>
                <w:rFonts w:hint="eastAsia" w:ascii="宋体" w:hAnsi="宋体" w:cs="宋体"/>
                <w:kern w:val="0"/>
                <w:sz w:val="20"/>
                <w:szCs w:val="22"/>
                <w:lang w:val="en-US" w:eastAsia="zh-CN"/>
              </w:rPr>
              <w:t>近</w:t>
            </w:r>
            <w:r>
              <w:rPr>
                <w:rFonts w:hint="eastAsia" w:ascii="宋体" w:hAnsi="宋体" w:cs="宋体"/>
                <w:kern w:val="0"/>
                <w:sz w:val="20"/>
                <w:szCs w:val="22"/>
              </w:rPr>
              <w:t>三个年度内完成的与本投标类似项目案例（提供合同等相关证明文件，以备评分组后审）。主要包括：（1）</w:t>
            </w:r>
            <w:r>
              <w:rPr>
                <w:rFonts w:hint="eastAsia" w:ascii="宋体" w:hAnsi="宋体" w:cs="宋体"/>
                <w:kern w:val="0"/>
                <w:sz w:val="20"/>
                <w:szCs w:val="22"/>
                <w:lang w:val="en-US" w:eastAsia="zh-CN"/>
              </w:rPr>
              <w:t>教育</w:t>
            </w:r>
            <w:r>
              <w:rPr>
                <w:rFonts w:hint="eastAsia" w:ascii="宋体" w:hAnsi="宋体" w:cs="宋体"/>
                <w:kern w:val="0"/>
                <w:sz w:val="20"/>
                <w:szCs w:val="22"/>
              </w:rPr>
              <w:t xml:space="preserve">行业OA系统项目。（2）终端用户规模大于1000人。 </w:t>
            </w:r>
          </w:p>
          <w:p>
            <w:pPr>
              <w:widowControl/>
              <w:jc w:val="left"/>
              <w:rPr>
                <w:rFonts w:hint="eastAsia" w:ascii="宋体" w:hAnsi="宋体" w:cs="宋体"/>
                <w:kern w:val="0"/>
                <w:sz w:val="20"/>
                <w:szCs w:val="22"/>
              </w:rPr>
            </w:pPr>
            <w:r>
              <w:rPr>
                <w:rFonts w:hint="eastAsia" w:ascii="宋体" w:hAnsi="宋体" w:cs="宋体"/>
                <w:kern w:val="0"/>
                <w:sz w:val="20"/>
                <w:szCs w:val="22"/>
              </w:rPr>
              <w:t>A、满足（1）（2分）</w:t>
            </w:r>
          </w:p>
          <w:p>
            <w:pPr>
              <w:widowControl/>
              <w:jc w:val="left"/>
              <w:rPr>
                <w:rFonts w:hint="eastAsia" w:ascii="宋体" w:hAnsi="宋体" w:cs="宋体"/>
                <w:kern w:val="0"/>
                <w:sz w:val="20"/>
                <w:szCs w:val="22"/>
              </w:rPr>
            </w:pPr>
            <w:r>
              <w:rPr>
                <w:rFonts w:hint="eastAsia" w:ascii="宋体" w:hAnsi="宋体" w:cs="宋体"/>
                <w:kern w:val="0"/>
                <w:sz w:val="20"/>
                <w:szCs w:val="22"/>
              </w:rPr>
              <w:t>B、满足（2）（</w:t>
            </w:r>
            <w:r>
              <w:rPr>
                <w:rFonts w:hint="eastAsia" w:ascii="宋体" w:hAnsi="宋体" w:cs="宋体"/>
                <w:kern w:val="0"/>
                <w:sz w:val="20"/>
                <w:szCs w:val="22"/>
                <w:lang w:val="en-US" w:eastAsia="zh-CN"/>
              </w:rPr>
              <w:t>2</w:t>
            </w:r>
            <w:r>
              <w:rPr>
                <w:rFonts w:hint="eastAsia" w:ascii="宋体" w:hAnsi="宋体" w:cs="宋体"/>
                <w:kern w:val="0"/>
                <w:sz w:val="20"/>
                <w:szCs w:val="22"/>
              </w:rPr>
              <w:t>分）</w:t>
            </w:r>
          </w:p>
          <w:p>
            <w:pPr>
              <w:widowControl/>
              <w:jc w:val="left"/>
              <w:rPr>
                <w:rFonts w:hint="eastAsia" w:ascii="宋体" w:hAnsi="宋体" w:eastAsia="微软雅黑" w:cs="宋体"/>
                <w:kern w:val="0"/>
                <w:sz w:val="20"/>
                <w:lang w:eastAsia="zh-CN"/>
              </w:rPr>
            </w:pPr>
            <w:r>
              <w:rPr>
                <w:rFonts w:hint="eastAsia" w:ascii="宋体" w:hAnsi="宋体" w:cs="宋体"/>
                <w:kern w:val="0"/>
                <w:sz w:val="20"/>
                <w:szCs w:val="22"/>
                <w:lang w:val="en-US" w:eastAsia="zh-CN"/>
              </w:rPr>
              <w:t>满分4分，</w:t>
            </w:r>
            <w:r>
              <w:rPr>
                <w:rFonts w:hint="eastAsia" w:ascii="宋体" w:hAnsi="宋体" w:cs="宋体"/>
                <w:kern w:val="0"/>
                <w:sz w:val="20"/>
                <w:szCs w:val="22"/>
              </w:rPr>
              <w:t>以上业绩证明文件没有提供的不得分。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center"/>
              <w:rPr>
                <w:rFonts w:hint="eastAsia" w:ascii="宋体" w:hAnsi="宋体" w:eastAsia="宋体" w:cs="宋体"/>
                <w:color w:val="000000"/>
                <w:kern w:val="0"/>
                <w:sz w:val="20"/>
                <w:lang w:val="en-US" w:eastAsia="zh-CN"/>
              </w:rPr>
            </w:pPr>
          </w:p>
        </w:tc>
        <w:tc>
          <w:tcPr>
            <w:tcW w:w="6310" w:type="dxa"/>
            <w:shd w:val="clear" w:color="auto" w:fill="auto"/>
            <w:vAlign w:val="center"/>
          </w:tcPr>
          <w:p>
            <w:pPr>
              <w:widowControl/>
              <w:jc w:val="left"/>
              <w:rPr>
                <w:rFonts w:hint="eastAsia" w:ascii="宋体" w:hAnsi="宋体" w:eastAsia="宋体" w:cs="宋体"/>
                <w:kern w:val="0"/>
                <w:sz w:val="20"/>
                <w:szCs w:val="22"/>
                <w:lang w:val="en-US" w:eastAsia="zh-CN"/>
              </w:rPr>
            </w:pPr>
            <w:r>
              <w:rPr>
                <w:rFonts w:hint="eastAsia" w:ascii="宋体" w:hAnsi="宋体" w:cs="宋体"/>
                <w:kern w:val="0"/>
                <w:sz w:val="20"/>
                <w:szCs w:val="22"/>
                <w:lang w:val="en-US" w:eastAsia="zh-CN"/>
              </w:rPr>
              <w:t>OA产品厂商提供证书复印件加盖厂商公章</w:t>
            </w:r>
          </w:p>
          <w:p>
            <w:pPr>
              <w:widowControl/>
              <w:jc w:val="left"/>
              <w:rPr>
                <w:rFonts w:hint="eastAsia" w:ascii="宋体" w:hAnsi="宋体" w:cs="宋体"/>
                <w:kern w:val="0"/>
                <w:sz w:val="20"/>
                <w:szCs w:val="22"/>
              </w:rPr>
            </w:pPr>
            <w:r>
              <w:rPr>
                <w:rFonts w:hint="eastAsia" w:ascii="宋体" w:hAnsi="宋体" w:cs="宋体"/>
                <w:kern w:val="0"/>
                <w:sz w:val="20"/>
                <w:szCs w:val="22"/>
              </w:rPr>
              <w:t>（</w:t>
            </w:r>
            <w:r>
              <w:rPr>
                <w:rFonts w:hint="eastAsia" w:ascii="宋体" w:hAnsi="宋体" w:cs="宋体"/>
                <w:kern w:val="0"/>
                <w:sz w:val="20"/>
                <w:szCs w:val="22"/>
                <w:lang w:val="en-US" w:eastAsia="zh-CN"/>
              </w:rPr>
              <w:t>1</w:t>
            </w:r>
            <w:r>
              <w:rPr>
                <w:rFonts w:hint="eastAsia" w:ascii="宋体" w:hAnsi="宋体" w:cs="宋体"/>
                <w:kern w:val="0"/>
                <w:sz w:val="20"/>
                <w:szCs w:val="22"/>
              </w:rPr>
              <w:t>）软件企业认定证书</w:t>
            </w:r>
          </w:p>
          <w:p>
            <w:pPr>
              <w:widowControl/>
              <w:jc w:val="left"/>
              <w:rPr>
                <w:rFonts w:hint="eastAsia" w:ascii="宋体" w:hAnsi="宋体" w:cs="宋体"/>
                <w:kern w:val="0"/>
                <w:sz w:val="20"/>
                <w:szCs w:val="22"/>
              </w:rPr>
            </w:pPr>
            <w:r>
              <w:rPr>
                <w:rFonts w:hint="eastAsia" w:ascii="宋体" w:hAnsi="宋体" w:cs="宋体"/>
                <w:kern w:val="0"/>
                <w:sz w:val="20"/>
                <w:szCs w:val="22"/>
              </w:rPr>
              <w:t>（</w:t>
            </w:r>
            <w:r>
              <w:rPr>
                <w:rFonts w:hint="eastAsia" w:ascii="宋体" w:hAnsi="宋体" w:cs="宋体"/>
                <w:kern w:val="0"/>
                <w:sz w:val="20"/>
                <w:szCs w:val="22"/>
                <w:lang w:val="en-US" w:eastAsia="zh-CN"/>
              </w:rPr>
              <w:t>2</w:t>
            </w:r>
            <w:r>
              <w:rPr>
                <w:rFonts w:hint="eastAsia" w:ascii="宋体" w:hAnsi="宋体" w:cs="宋体"/>
                <w:kern w:val="0"/>
                <w:sz w:val="20"/>
                <w:szCs w:val="22"/>
              </w:rPr>
              <w:t>）信息系统集成及服务证书</w:t>
            </w:r>
          </w:p>
          <w:p>
            <w:pPr>
              <w:widowControl/>
              <w:jc w:val="left"/>
              <w:rPr>
                <w:rFonts w:hint="eastAsia" w:ascii="宋体" w:hAnsi="宋体" w:cs="宋体"/>
                <w:kern w:val="0"/>
                <w:sz w:val="20"/>
                <w:szCs w:val="22"/>
              </w:rPr>
            </w:pPr>
            <w:r>
              <w:rPr>
                <w:rFonts w:hint="eastAsia" w:ascii="宋体" w:hAnsi="宋体" w:cs="宋体"/>
                <w:kern w:val="0"/>
                <w:sz w:val="20"/>
                <w:szCs w:val="22"/>
              </w:rPr>
              <w:t>（</w:t>
            </w:r>
            <w:r>
              <w:rPr>
                <w:rFonts w:hint="eastAsia" w:ascii="宋体" w:hAnsi="宋体" w:cs="宋体"/>
                <w:kern w:val="0"/>
                <w:sz w:val="20"/>
                <w:szCs w:val="22"/>
                <w:lang w:val="en-US" w:eastAsia="zh-CN"/>
              </w:rPr>
              <w:t>3</w:t>
            </w:r>
            <w:r>
              <w:rPr>
                <w:rFonts w:hint="eastAsia" w:ascii="宋体" w:hAnsi="宋体" w:cs="宋体"/>
                <w:kern w:val="0"/>
                <w:sz w:val="20"/>
                <w:szCs w:val="22"/>
              </w:rPr>
              <w:t>）IT产品信息安全认证证书</w:t>
            </w:r>
          </w:p>
          <w:p>
            <w:pPr>
              <w:widowControl/>
              <w:jc w:val="left"/>
              <w:rPr>
                <w:rFonts w:hint="eastAsia" w:ascii="宋体" w:hAnsi="宋体" w:cs="宋体"/>
                <w:kern w:val="0"/>
                <w:sz w:val="20"/>
                <w:szCs w:val="22"/>
              </w:rPr>
            </w:pPr>
            <w:r>
              <w:rPr>
                <w:rFonts w:hint="eastAsia" w:ascii="宋体" w:hAnsi="宋体" w:cs="宋体"/>
                <w:kern w:val="0"/>
                <w:sz w:val="20"/>
                <w:szCs w:val="22"/>
              </w:rPr>
              <w:t>（</w:t>
            </w:r>
            <w:r>
              <w:rPr>
                <w:rFonts w:hint="eastAsia" w:ascii="宋体" w:hAnsi="宋体" w:cs="宋体"/>
                <w:kern w:val="0"/>
                <w:sz w:val="20"/>
                <w:szCs w:val="22"/>
                <w:lang w:val="en-US" w:eastAsia="zh-CN"/>
              </w:rPr>
              <w:t>4</w:t>
            </w:r>
            <w:r>
              <w:rPr>
                <w:rFonts w:hint="eastAsia" w:ascii="宋体" w:hAnsi="宋体" w:cs="宋体"/>
                <w:kern w:val="0"/>
                <w:sz w:val="20"/>
                <w:szCs w:val="22"/>
              </w:rPr>
              <w:t>）CMM</w:t>
            </w:r>
            <w:r>
              <w:rPr>
                <w:rFonts w:hint="eastAsia" w:ascii="宋体" w:hAnsi="宋体" w:cs="宋体"/>
                <w:kern w:val="0"/>
                <w:sz w:val="20"/>
                <w:szCs w:val="22"/>
                <w:lang w:val="en-US" w:eastAsia="zh-CN"/>
              </w:rPr>
              <w:t>I五</w:t>
            </w:r>
            <w:r>
              <w:rPr>
                <w:rFonts w:hint="eastAsia" w:ascii="宋体" w:hAnsi="宋体" w:cs="宋体"/>
                <w:kern w:val="0"/>
                <w:sz w:val="20"/>
                <w:szCs w:val="22"/>
              </w:rPr>
              <w:t>级（含）认证资质</w:t>
            </w:r>
          </w:p>
          <w:p>
            <w:pPr>
              <w:widowControl/>
              <w:jc w:val="left"/>
              <w:rPr>
                <w:rFonts w:hint="default" w:ascii="宋体" w:hAnsi="宋体" w:cs="宋体"/>
                <w:kern w:val="0"/>
                <w:sz w:val="20"/>
                <w:szCs w:val="22"/>
                <w:lang w:val="en-US" w:eastAsia="zh-CN"/>
              </w:rPr>
            </w:pPr>
            <w:r>
              <w:rPr>
                <w:rFonts w:hint="eastAsia" w:ascii="宋体" w:hAnsi="宋体" w:cs="宋体"/>
                <w:kern w:val="0"/>
                <w:sz w:val="20"/>
                <w:szCs w:val="22"/>
                <w:lang w:eastAsia="zh-CN"/>
              </w:rPr>
              <w:t>（</w:t>
            </w:r>
            <w:r>
              <w:rPr>
                <w:rFonts w:hint="eastAsia" w:ascii="宋体" w:hAnsi="宋体" w:cs="宋体"/>
                <w:kern w:val="0"/>
                <w:sz w:val="20"/>
                <w:szCs w:val="22"/>
                <w:lang w:val="en-US" w:eastAsia="zh-CN"/>
              </w:rPr>
              <w:t>5</w:t>
            </w:r>
            <w:r>
              <w:rPr>
                <w:rFonts w:hint="eastAsia" w:ascii="宋体" w:hAnsi="宋体" w:cs="宋体"/>
                <w:kern w:val="0"/>
                <w:sz w:val="20"/>
                <w:szCs w:val="22"/>
                <w:lang w:eastAsia="zh-CN"/>
              </w:rPr>
              <w:t>）</w:t>
            </w:r>
            <w:r>
              <w:rPr>
                <w:rFonts w:hint="eastAsia" w:ascii="宋体" w:hAnsi="宋体" w:cs="宋体"/>
                <w:kern w:val="0"/>
                <w:sz w:val="20"/>
                <w:szCs w:val="22"/>
                <w:lang w:val="en-US" w:eastAsia="zh-CN"/>
              </w:rPr>
              <w:t>等级保护备案证明资质</w:t>
            </w:r>
          </w:p>
          <w:p>
            <w:pPr>
              <w:widowControl/>
              <w:jc w:val="left"/>
              <w:rPr>
                <w:rFonts w:hint="eastAsia" w:ascii="宋体" w:hAnsi="宋体" w:eastAsia="宋体" w:cs="宋体"/>
                <w:kern w:val="0"/>
                <w:sz w:val="20"/>
                <w:lang w:val="en-US" w:eastAsia="zh-CN"/>
              </w:rPr>
            </w:pPr>
            <w:r>
              <w:rPr>
                <w:rFonts w:hint="eastAsia" w:ascii="宋体" w:hAnsi="宋体" w:cs="宋体"/>
                <w:kern w:val="0"/>
                <w:sz w:val="20"/>
                <w:szCs w:val="22"/>
              </w:rPr>
              <w:t>（</w:t>
            </w:r>
            <w:r>
              <w:rPr>
                <w:rFonts w:hint="eastAsia" w:ascii="宋体" w:hAnsi="宋体" w:cs="宋体"/>
                <w:kern w:val="0"/>
                <w:sz w:val="20"/>
                <w:szCs w:val="22"/>
                <w:lang w:val="en-US" w:eastAsia="zh-CN"/>
              </w:rPr>
              <w:t>满分6分。</w:t>
            </w:r>
            <w:r>
              <w:rPr>
                <w:rFonts w:hint="eastAsia" w:ascii="宋体" w:hAnsi="宋体" w:cs="宋体"/>
                <w:kern w:val="0"/>
                <w:sz w:val="20"/>
                <w:szCs w:val="22"/>
              </w:rPr>
              <w:t>每</w:t>
            </w:r>
            <w:r>
              <w:rPr>
                <w:rFonts w:hint="eastAsia" w:ascii="宋体" w:hAnsi="宋体" w:cs="宋体"/>
                <w:kern w:val="0"/>
                <w:sz w:val="20"/>
                <w:szCs w:val="22"/>
                <w:lang w:val="en-US" w:eastAsia="zh-CN"/>
              </w:rPr>
              <w:t>缺一项扣1</w:t>
            </w:r>
            <w:r>
              <w:rPr>
                <w:rFonts w:hint="eastAsia" w:ascii="宋体" w:hAnsi="宋体" w:cs="宋体"/>
                <w:kern w:val="0"/>
                <w:sz w:val="20"/>
                <w:szCs w:val="22"/>
              </w:rPr>
              <w:t>分，</w:t>
            </w:r>
            <w:r>
              <w:rPr>
                <w:rFonts w:hint="eastAsia" w:ascii="宋体" w:hAnsi="宋体" w:cs="宋体"/>
                <w:kern w:val="0"/>
                <w:sz w:val="20"/>
                <w:szCs w:val="22"/>
                <w:lang w:val="en-US" w:eastAsia="zh-CN"/>
              </w:rPr>
              <w:t>扣完为止。</w:t>
            </w:r>
            <w:r>
              <w:rPr>
                <w:rFonts w:hint="eastAsia" w:ascii="宋体" w:hAnsi="宋体" w:cs="宋体"/>
                <w:kern w:val="0"/>
                <w:sz w:val="20"/>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restart"/>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lang w:val="en-US" w:eastAsia="zh-CN"/>
              </w:rPr>
              <w:t>终端安全平台产品性能要求</w:t>
            </w:r>
            <w:r>
              <w:rPr>
                <w:rFonts w:hint="eastAsia" w:ascii="宋体" w:hAnsi="宋体" w:cs="宋体"/>
                <w:color w:val="000000"/>
                <w:kern w:val="0"/>
                <w:sz w:val="20"/>
              </w:rPr>
              <w:t>（</w:t>
            </w:r>
            <w:r>
              <w:rPr>
                <w:rFonts w:hint="eastAsia" w:ascii="宋体" w:hAnsi="宋体" w:cs="宋体"/>
                <w:color w:val="000000"/>
                <w:kern w:val="0"/>
                <w:sz w:val="20"/>
                <w:lang w:val="en-US" w:eastAsia="zh-CN"/>
              </w:rPr>
              <w:t>10</w:t>
            </w:r>
            <w:r>
              <w:rPr>
                <w:rFonts w:hint="eastAsia" w:ascii="宋体" w:hAnsi="宋体" w:cs="宋体"/>
                <w:color w:val="000000"/>
                <w:kern w:val="0"/>
                <w:sz w:val="20"/>
              </w:rPr>
              <w:t>分）</w:t>
            </w:r>
          </w:p>
        </w:tc>
        <w:tc>
          <w:tcPr>
            <w:tcW w:w="880" w:type="dxa"/>
            <w:vMerge w:val="restart"/>
            <w:shd w:val="clear" w:color="auto" w:fill="auto"/>
            <w:noWrap/>
            <w:vAlign w:val="center"/>
          </w:tcPr>
          <w:p>
            <w:pPr>
              <w:widowControl/>
              <w:jc w:val="center"/>
              <w:rPr>
                <w:rFonts w:ascii="宋体" w:hAnsi="宋体" w:cs="宋体"/>
                <w:color w:val="000000"/>
                <w:kern w:val="0"/>
                <w:sz w:val="20"/>
              </w:rPr>
            </w:pPr>
            <w:r>
              <w:rPr>
                <w:rFonts w:hint="eastAsia" w:ascii="宋体" w:hAnsi="宋体" w:cs="宋体"/>
                <w:color w:val="000000"/>
                <w:kern w:val="0"/>
                <w:sz w:val="20"/>
              </w:rPr>
              <w:t>10</w:t>
            </w:r>
          </w:p>
        </w:tc>
        <w:tc>
          <w:tcPr>
            <w:tcW w:w="6310" w:type="dxa"/>
            <w:shd w:val="clear" w:color="auto" w:fill="auto"/>
            <w:vAlign w:val="center"/>
          </w:tcPr>
          <w:p>
            <w:pPr>
              <w:widowControl/>
              <w:rPr>
                <w:rFonts w:ascii="宋体" w:hAnsi="宋体" w:cs="宋体"/>
                <w:kern w:val="0"/>
                <w:sz w:val="20"/>
              </w:rPr>
            </w:pPr>
            <w:r>
              <w:rPr>
                <w:rFonts w:eastAsia="等线"/>
                <w:kern w:val="0"/>
                <w:sz w:val="20"/>
              </w:rPr>
              <w:t>1</w:t>
            </w:r>
            <w:r>
              <w:rPr>
                <w:rFonts w:hint="eastAsia" w:ascii="宋体" w:hAnsi="宋体"/>
                <w:kern w:val="0"/>
                <w:sz w:val="20"/>
              </w:rPr>
              <w:t>、支持与未知威胁分析系统联动，提供客户端边界管理功能，对通过优盘、网络共享、互联网、下载工具邮件以及</w:t>
            </w:r>
            <w:r>
              <w:rPr>
                <w:rFonts w:eastAsia="等线"/>
                <w:kern w:val="0"/>
                <w:sz w:val="20"/>
              </w:rPr>
              <w:t>QQ</w:t>
            </w:r>
            <w:r>
              <w:rPr>
                <w:rFonts w:hint="eastAsia" w:ascii="宋体" w:hAnsi="宋体"/>
                <w:kern w:val="0"/>
                <w:sz w:val="20"/>
              </w:rPr>
              <w:t>类通讯软件进入的文件给于安全性鉴定，能够向用户报告这些文件是否为安全文件，有助于帮助终端用户在确认为安全文件时再执行，并且具备溯源功能，对于鉴定为未知的文件则谨慎处理。能提供加盖厂商公章的证明材料得</w:t>
            </w:r>
            <w:r>
              <w:rPr>
                <w:rFonts w:eastAsia="等线"/>
                <w:kern w:val="0"/>
                <w:sz w:val="20"/>
                <w:u w:val="none"/>
              </w:rPr>
              <w:t xml:space="preserve"> 2</w:t>
            </w:r>
            <w:r>
              <w:rPr>
                <w:rFonts w:hint="eastAsia" w:ascii="宋体" w:hAnsi="宋体"/>
                <w:kern w:val="0"/>
                <w:sz w:val="20"/>
              </w:rPr>
              <w:t>分，不提供的或不符合要求的不得分；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shd w:val="clear" w:color="auto" w:fill="auto"/>
            <w:vAlign w:val="center"/>
          </w:tcPr>
          <w:p>
            <w:pPr>
              <w:widowControl/>
              <w:rPr>
                <w:rFonts w:eastAsia="等线"/>
                <w:kern w:val="0"/>
                <w:sz w:val="20"/>
              </w:rPr>
            </w:pPr>
            <w:r>
              <w:rPr>
                <w:rFonts w:eastAsia="等线"/>
                <w:kern w:val="0"/>
                <w:sz w:val="20"/>
              </w:rPr>
              <w:t>2</w:t>
            </w:r>
            <w:r>
              <w:rPr>
                <w:rFonts w:hint="eastAsia" w:ascii="宋体" w:hAnsi="宋体"/>
                <w:kern w:val="0"/>
                <w:sz w:val="20"/>
              </w:rPr>
              <w:t>、勒索者病毒提供防护机制，客户端采用虚拟钓饵方式有效拦截勒索者病毒；可实现与专业防病毒网关联动，形成关端勒索者病毒立体防御体系，联动的防病毒网关须支持</w:t>
            </w:r>
            <w:r>
              <w:rPr>
                <w:rFonts w:eastAsia="等线"/>
                <w:kern w:val="0"/>
                <w:sz w:val="20"/>
              </w:rPr>
              <w:t>SMB</w:t>
            </w:r>
            <w:r>
              <w:rPr>
                <w:rFonts w:hint="eastAsia" w:ascii="宋体" w:hAnsi="宋体"/>
                <w:kern w:val="0"/>
                <w:sz w:val="20"/>
              </w:rPr>
              <w:t>协议的过滤及</w:t>
            </w:r>
            <w:r>
              <w:rPr>
                <w:rFonts w:eastAsia="等线"/>
                <w:kern w:val="0"/>
                <w:sz w:val="20"/>
              </w:rPr>
              <w:t>SMTP</w:t>
            </w:r>
            <w:r>
              <w:rPr>
                <w:rFonts w:hint="eastAsia" w:ascii="宋体" w:hAnsi="宋体"/>
                <w:kern w:val="0"/>
                <w:sz w:val="20"/>
              </w:rPr>
              <w:t>、</w:t>
            </w:r>
            <w:r>
              <w:rPr>
                <w:rFonts w:eastAsia="等线"/>
                <w:kern w:val="0"/>
                <w:sz w:val="20"/>
              </w:rPr>
              <w:t>POP3</w:t>
            </w:r>
            <w:r>
              <w:rPr>
                <w:rFonts w:hint="eastAsia" w:ascii="宋体" w:hAnsi="宋体"/>
                <w:kern w:val="0"/>
                <w:sz w:val="20"/>
              </w:rPr>
              <w:t>、</w:t>
            </w:r>
            <w:r>
              <w:rPr>
                <w:rFonts w:eastAsia="等线"/>
                <w:kern w:val="0"/>
                <w:sz w:val="20"/>
              </w:rPr>
              <w:t>IMAP</w:t>
            </w:r>
            <w:r>
              <w:rPr>
                <w:rFonts w:hint="eastAsia" w:ascii="宋体" w:hAnsi="宋体"/>
                <w:kern w:val="0"/>
                <w:sz w:val="20"/>
              </w:rPr>
              <w:t>、</w:t>
            </w:r>
            <w:r>
              <w:rPr>
                <w:rFonts w:eastAsia="等线"/>
                <w:kern w:val="0"/>
                <w:sz w:val="20"/>
              </w:rPr>
              <w:t>SMB</w:t>
            </w:r>
            <w:r>
              <w:rPr>
                <w:rFonts w:hint="eastAsia" w:ascii="宋体" w:hAnsi="宋体"/>
                <w:kern w:val="0"/>
                <w:sz w:val="20"/>
              </w:rPr>
              <w:t>、</w:t>
            </w:r>
            <w:r>
              <w:rPr>
                <w:rFonts w:eastAsia="等线"/>
                <w:kern w:val="0"/>
                <w:sz w:val="20"/>
              </w:rPr>
              <w:t>HTTP</w:t>
            </w:r>
            <w:r>
              <w:rPr>
                <w:rFonts w:hint="eastAsia" w:ascii="宋体" w:hAnsi="宋体"/>
                <w:kern w:val="0"/>
                <w:sz w:val="20"/>
              </w:rPr>
              <w:t>、</w:t>
            </w:r>
            <w:r>
              <w:rPr>
                <w:rFonts w:eastAsia="等线"/>
                <w:kern w:val="0"/>
                <w:sz w:val="20"/>
              </w:rPr>
              <w:t>FTP</w:t>
            </w:r>
            <w:r>
              <w:rPr>
                <w:rFonts w:hint="eastAsia" w:ascii="宋体" w:hAnsi="宋体"/>
                <w:kern w:val="0"/>
                <w:sz w:val="20"/>
              </w:rPr>
              <w:t>协议的口令探测扫描、暴力破解防护。能提供加盖厂商公章的证明材料得</w:t>
            </w:r>
            <w:r>
              <w:rPr>
                <w:rFonts w:eastAsia="等线"/>
                <w:kern w:val="0"/>
                <w:sz w:val="20"/>
                <w:u w:val="none"/>
              </w:rPr>
              <w:t xml:space="preserve"> 2 </w:t>
            </w:r>
            <w:r>
              <w:rPr>
                <w:rFonts w:hint="eastAsia" w:ascii="宋体" w:hAnsi="宋体"/>
                <w:kern w:val="0"/>
                <w:sz w:val="20"/>
              </w:rPr>
              <w:t>分，不提供的或不符合要求的不得分；；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shd w:val="clear" w:color="auto" w:fill="auto"/>
            <w:vAlign w:val="center"/>
          </w:tcPr>
          <w:p>
            <w:pPr>
              <w:widowControl/>
              <w:rPr>
                <w:rFonts w:eastAsia="等线"/>
                <w:kern w:val="0"/>
                <w:sz w:val="20"/>
              </w:rPr>
            </w:pPr>
            <w:r>
              <w:rPr>
                <w:rFonts w:eastAsia="等线"/>
                <w:kern w:val="0"/>
                <w:sz w:val="20"/>
              </w:rPr>
              <w:t>3</w:t>
            </w:r>
            <w:r>
              <w:rPr>
                <w:rFonts w:hint="eastAsia" w:ascii="宋体" w:hAnsi="宋体"/>
                <w:kern w:val="0"/>
                <w:sz w:val="20"/>
              </w:rPr>
              <w:t>、边界文件追溯：可根据设定好的固定区域对未知威胁文件及黑文件进行定向追溯，实现对所有可疑威胁文件进行全周期追踪。能提供加盖厂商公章的证明材料得</w:t>
            </w:r>
            <w:r>
              <w:rPr>
                <w:rFonts w:eastAsia="等线"/>
                <w:kern w:val="0"/>
                <w:sz w:val="20"/>
                <w:u w:val="none"/>
              </w:rPr>
              <w:t xml:space="preserve"> 2 </w:t>
            </w:r>
            <w:r>
              <w:rPr>
                <w:rFonts w:hint="eastAsia" w:ascii="宋体" w:hAnsi="宋体"/>
                <w:kern w:val="0"/>
                <w:sz w:val="20"/>
              </w:rPr>
              <w:t>分，不提供的或不符合要求的不得分；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shd w:val="clear" w:color="auto" w:fill="auto"/>
            <w:vAlign w:val="center"/>
          </w:tcPr>
          <w:p>
            <w:pPr>
              <w:widowControl/>
              <w:rPr>
                <w:rFonts w:eastAsia="等线"/>
                <w:kern w:val="0"/>
                <w:sz w:val="20"/>
              </w:rPr>
            </w:pPr>
            <w:r>
              <w:rPr>
                <w:rFonts w:eastAsia="等线"/>
                <w:kern w:val="0"/>
                <w:sz w:val="20"/>
              </w:rPr>
              <w:t>4</w:t>
            </w:r>
            <w:r>
              <w:rPr>
                <w:rFonts w:hint="eastAsia" w:ascii="宋体" w:hAnsi="宋体"/>
                <w:kern w:val="0"/>
                <w:sz w:val="20"/>
              </w:rPr>
              <w:t>、设备联动功能：支持在首页显示边界恶意代码检测设备（防病毒网关）的病毒大类及小类信息，如：协议层病毒、恶意通讯、审计数据；支持查看日志详情，并能在杀毒软件控制台对存在病毒终端下发查杀命令。能提供加盖厂商公章的证明材料得</w:t>
            </w:r>
            <w:r>
              <w:rPr>
                <w:rFonts w:eastAsia="等线"/>
                <w:kern w:val="0"/>
                <w:sz w:val="20"/>
                <w:u w:val="none"/>
              </w:rPr>
              <w:t xml:space="preserve"> 2 </w:t>
            </w:r>
            <w:r>
              <w:rPr>
                <w:rFonts w:hint="eastAsia" w:ascii="宋体" w:hAnsi="宋体"/>
                <w:kern w:val="0"/>
                <w:sz w:val="20"/>
              </w:rPr>
              <w:t>分，不提供的或不符合要求的不得分；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shd w:val="clear" w:color="auto" w:fill="auto"/>
            <w:vAlign w:val="center"/>
          </w:tcPr>
          <w:p>
            <w:pPr>
              <w:widowControl/>
              <w:jc w:val="left"/>
              <w:rPr>
                <w:rFonts w:eastAsia="等线"/>
                <w:kern w:val="0"/>
                <w:sz w:val="20"/>
              </w:rPr>
            </w:pPr>
            <w:r>
              <w:rPr>
                <w:rFonts w:eastAsia="等线"/>
                <w:kern w:val="0"/>
                <w:sz w:val="20"/>
              </w:rPr>
              <w:t>5</w:t>
            </w:r>
            <w:r>
              <w:rPr>
                <w:rFonts w:hint="eastAsia" w:ascii="宋体" w:hAnsi="宋体"/>
                <w:kern w:val="0"/>
                <w:sz w:val="20"/>
              </w:rPr>
              <w:t>、体现未知威胁发现和分析能力，提供与防病毒软件联动的未知威胁检测分析系统通过公信安</w:t>
            </w:r>
            <w:r>
              <w:rPr>
                <w:rFonts w:eastAsia="等线"/>
                <w:kern w:val="0"/>
                <w:sz w:val="20"/>
              </w:rPr>
              <w:t>[2014]786</w:t>
            </w:r>
            <w:r>
              <w:rPr>
                <w:rFonts w:hint="eastAsia" w:ascii="宋体" w:hAnsi="宋体"/>
                <w:kern w:val="0"/>
                <w:sz w:val="20"/>
              </w:rPr>
              <w:t>号《高级可持续威胁安全监测产品安全技术要求和测评评价方法（试行）》的证明文件，且须评定为增强级产品。能提供加盖厂商公章的国家权威机构证明文件得</w:t>
            </w:r>
            <w:r>
              <w:rPr>
                <w:rFonts w:eastAsia="等线"/>
                <w:kern w:val="0"/>
                <w:sz w:val="20"/>
                <w:u w:val="none"/>
              </w:rPr>
              <w:t xml:space="preserve"> 2 </w:t>
            </w:r>
            <w:r>
              <w:rPr>
                <w:rFonts w:hint="eastAsia" w:ascii="宋体" w:hAnsi="宋体"/>
                <w:kern w:val="0"/>
                <w:sz w:val="20"/>
              </w:rPr>
              <w:t>分，不提供的或不符合要求的不得分。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restart"/>
            <w:shd w:val="clear" w:color="auto" w:fill="auto"/>
            <w:vAlign w:val="center"/>
          </w:tcPr>
          <w:p>
            <w:pPr>
              <w:widowControl/>
              <w:jc w:val="center"/>
              <w:rPr>
                <w:rFonts w:hint="eastAsia" w:ascii="宋体" w:hAnsi="宋体" w:eastAsia="宋体" w:cs="宋体"/>
                <w:color w:val="000000"/>
                <w:kern w:val="0"/>
                <w:sz w:val="20"/>
                <w:lang w:val="en-US" w:eastAsia="zh-CN"/>
              </w:rPr>
            </w:pPr>
            <w:r>
              <w:rPr>
                <w:rFonts w:hint="eastAsia" w:ascii="宋体" w:hAnsi="宋体" w:cs="宋体"/>
                <w:color w:val="000000"/>
                <w:kern w:val="0"/>
                <w:sz w:val="20"/>
                <w:lang w:val="en-US" w:eastAsia="zh-CN"/>
              </w:rPr>
              <w:t>实施方案（5分）</w:t>
            </w:r>
          </w:p>
        </w:tc>
        <w:tc>
          <w:tcPr>
            <w:tcW w:w="880" w:type="dxa"/>
            <w:vMerge w:val="restart"/>
            <w:shd w:val="clear" w:color="auto" w:fill="auto"/>
            <w:vAlign w:val="center"/>
          </w:tcPr>
          <w:p>
            <w:pPr>
              <w:widowControl/>
              <w:jc w:val="center"/>
              <w:rPr>
                <w:rFonts w:hint="eastAsia" w:ascii="宋体" w:hAnsi="宋体" w:eastAsia="宋体" w:cs="宋体"/>
                <w:color w:val="000000"/>
                <w:kern w:val="0"/>
                <w:sz w:val="20"/>
                <w:lang w:eastAsia="zh-CN"/>
              </w:rPr>
            </w:pPr>
            <w:r>
              <w:rPr>
                <w:rFonts w:hint="eastAsia" w:ascii="宋体" w:hAnsi="宋体" w:cs="宋体"/>
                <w:color w:val="000000"/>
                <w:kern w:val="0"/>
                <w:sz w:val="20"/>
                <w:lang w:val="en-US" w:eastAsia="zh-CN"/>
              </w:rPr>
              <w:t>5</w:t>
            </w:r>
          </w:p>
        </w:tc>
        <w:tc>
          <w:tcPr>
            <w:tcW w:w="6310" w:type="dxa"/>
            <w:vMerge w:val="restart"/>
            <w:shd w:val="clear" w:color="auto" w:fill="auto"/>
          </w:tcPr>
          <w:p>
            <w:pPr>
              <w:widowControl/>
              <w:jc w:val="left"/>
              <w:rPr>
                <w:rFonts w:ascii="宋体" w:hAnsi="宋体" w:cs="宋体"/>
                <w:color w:val="000000"/>
                <w:kern w:val="0"/>
                <w:sz w:val="20"/>
              </w:rPr>
            </w:pPr>
            <w:r>
              <w:rPr>
                <w:rFonts w:hint="eastAsia" w:ascii="宋体" w:hAnsi="宋体" w:cs="宋体"/>
                <w:color w:val="000000"/>
                <w:kern w:val="0"/>
                <w:sz w:val="20"/>
              </w:rPr>
              <w:t> 投标人提供实施方案（包括但不限于项目总体实施计划、进度保障措施、团队分工、岗位职责、货源组织等）内容详细完整、科学合理、重点突出、项目实施流程完整、合理，实施计划清晰、可行性强得的得</w:t>
            </w:r>
            <w:r>
              <w:rPr>
                <w:rFonts w:hint="eastAsia" w:ascii="宋体" w:hAnsi="宋体" w:cs="宋体"/>
                <w:color w:val="000000"/>
                <w:kern w:val="0"/>
                <w:sz w:val="20"/>
                <w:lang w:val="en-US" w:eastAsia="zh-CN"/>
              </w:rPr>
              <w:t>5</w:t>
            </w:r>
            <w:r>
              <w:rPr>
                <w:rFonts w:hint="eastAsia" w:ascii="宋体" w:hAnsi="宋体" w:cs="宋体"/>
                <w:color w:val="000000"/>
                <w:kern w:val="0"/>
                <w:sz w:val="20"/>
              </w:rPr>
              <w:t>分；方案比较科学、重点较突出、流程较完整、计划较清晰、可操作性较强得</w:t>
            </w:r>
            <w:r>
              <w:rPr>
                <w:rFonts w:hint="eastAsia" w:ascii="宋体" w:hAnsi="宋体" w:cs="宋体"/>
                <w:color w:val="000000"/>
                <w:kern w:val="0"/>
                <w:sz w:val="20"/>
                <w:lang w:val="en-US" w:eastAsia="zh-CN"/>
              </w:rPr>
              <w:t>3</w:t>
            </w:r>
            <w:r>
              <w:rPr>
                <w:rFonts w:hint="eastAsia" w:ascii="宋体" w:hAnsi="宋体" w:cs="宋体"/>
                <w:color w:val="000000"/>
                <w:kern w:val="0"/>
                <w:sz w:val="20"/>
              </w:rPr>
              <w:t>分；方案基本完善、可操作性基本合理得</w:t>
            </w:r>
            <w:r>
              <w:rPr>
                <w:rFonts w:hint="eastAsia" w:ascii="宋体" w:hAnsi="宋体" w:cs="宋体"/>
                <w:color w:val="000000"/>
                <w:kern w:val="0"/>
                <w:sz w:val="20"/>
                <w:lang w:val="en-US" w:eastAsia="zh-CN"/>
              </w:rPr>
              <w:t>1</w:t>
            </w:r>
            <w:r>
              <w:rPr>
                <w:rFonts w:hint="eastAsia" w:ascii="宋体" w:hAnsi="宋体" w:cs="宋体"/>
                <w:color w:val="000000"/>
                <w:kern w:val="0"/>
                <w:sz w:val="20"/>
              </w:rPr>
              <w:t>分，其他不得分。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vMerge w:val="continue"/>
            <w:shd w:val="clear" w:color="auto" w:fill="auto"/>
            <w:vAlign w:val="center"/>
          </w:tcPr>
          <w:p>
            <w:pPr>
              <w:widowControl/>
              <w:jc w:val="left"/>
              <w:rPr>
                <w:rFonts w:ascii="宋体" w:hAnsi="宋体" w:cs="宋体"/>
                <w:color w:val="000000"/>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80" w:type="dxa"/>
            <w:vMerge w:val="continue"/>
            <w:shd w:val="clear" w:color="auto" w:fill="auto"/>
            <w:vAlign w:val="center"/>
          </w:tcPr>
          <w:p>
            <w:pPr>
              <w:widowControl/>
              <w:jc w:val="left"/>
              <w:rPr>
                <w:rFonts w:ascii="宋体" w:hAnsi="宋体" w:cs="宋体"/>
                <w:color w:val="000000"/>
                <w:kern w:val="0"/>
                <w:sz w:val="20"/>
              </w:rPr>
            </w:pPr>
          </w:p>
        </w:tc>
        <w:tc>
          <w:tcPr>
            <w:tcW w:w="1180" w:type="dxa"/>
            <w:vMerge w:val="continue"/>
            <w:shd w:val="clear" w:color="auto" w:fill="auto"/>
            <w:vAlign w:val="center"/>
          </w:tcPr>
          <w:p>
            <w:pPr>
              <w:widowControl/>
              <w:jc w:val="left"/>
              <w:rPr>
                <w:rFonts w:ascii="宋体" w:hAnsi="宋体" w:cs="宋体"/>
                <w:color w:val="000000"/>
                <w:kern w:val="0"/>
                <w:sz w:val="20"/>
              </w:rPr>
            </w:pPr>
          </w:p>
        </w:tc>
        <w:tc>
          <w:tcPr>
            <w:tcW w:w="880" w:type="dxa"/>
            <w:vMerge w:val="continue"/>
            <w:shd w:val="clear" w:color="auto" w:fill="auto"/>
            <w:vAlign w:val="center"/>
          </w:tcPr>
          <w:p>
            <w:pPr>
              <w:widowControl/>
              <w:jc w:val="left"/>
              <w:rPr>
                <w:rFonts w:ascii="宋体" w:hAnsi="宋体" w:cs="宋体"/>
                <w:color w:val="000000"/>
                <w:kern w:val="0"/>
                <w:sz w:val="20"/>
              </w:rPr>
            </w:pPr>
          </w:p>
        </w:tc>
        <w:tc>
          <w:tcPr>
            <w:tcW w:w="6310" w:type="dxa"/>
            <w:vMerge w:val="continue"/>
            <w:shd w:val="clear" w:color="auto" w:fill="auto"/>
            <w:vAlign w:val="center"/>
          </w:tcPr>
          <w:p>
            <w:pPr>
              <w:widowControl/>
              <w:jc w:val="left"/>
              <w:rPr>
                <w:rFonts w:ascii="宋体" w:hAnsi="宋体" w:cs="宋体"/>
                <w:color w:val="000000"/>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80" w:type="dxa"/>
            <w:shd w:val="clear" w:color="auto" w:fill="auto"/>
            <w:vAlign w:val="center"/>
          </w:tcPr>
          <w:p>
            <w:pPr>
              <w:widowControl/>
              <w:jc w:val="left"/>
              <w:rPr>
                <w:rFonts w:ascii="宋体" w:hAnsi="宋体" w:cs="宋体"/>
                <w:color w:val="000000"/>
                <w:kern w:val="0"/>
                <w:sz w:val="20"/>
              </w:rPr>
            </w:pPr>
          </w:p>
        </w:tc>
        <w:tc>
          <w:tcPr>
            <w:tcW w:w="1180" w:type="dxa"/>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售后服务（5分）</w:t>
            </w:r>
          </w:p>
        </w:tc>
        <w:tc>
          <w:tcPr>
            <w:tcW w:w="880" w:type="dxa"/>
            <w:shd w:val="clear" w:color="auto" w:fill="auto"/>
            <w:vAlign w:val="center"/>
          </w:tcPr>
          <w:p>
            <w:pPr>
              <w:widowControl/>
              <w:jc w:val="center"/>
              <w:rPr>
                <w:rFonts w:hint="eastAsia" w:ascii="宋体" w:hAnsi="宋体" w:eastAsia="宋体" w:cs="宋体"/>
                <w:color w:val="000000"/>
                <w:kern w:val="0"/>
                <w:sz w:val="20"/>
                <w:lang w:val="en-US" w:eastAsia="zh-CN"/>
              </w:rPr>
            </w:pPr>
            <w:r>
              <w:rPr>
                <w:rFonts w:hint="eastAsia" w:ascii="宋体" w:hAnsi="宋体" w:cs="宋体"/>
                <w:color w:val="000000"/>
                <w:kern w:val="0"/>
                <w:sz w:val="20"/>
                <w:lang w:val="en-US" w:eastAsia="zh-CN"/>
              </w:rPr>
              <w:t>5</w:t>
            </w:r>
          </w:p>
        </w:tc>
        <w:tc>
          <w:tcPr>
            <w:tcW w:w="6310" w:type="dxa"/>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  依据供应商针对本项目提供的售后服务方案进行综合分析评分，内容包含但不限于售后服务质保制度、售后服务范围、使用人员的培训方案、巡检维保服务方案、设有备品备件库、故障修复时间等内容，全部满足得5分，以上方面每有一处存在缺陷（缺陷为与项目实际情况不符、不满足项目需求）扣1分，扣完为止。</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9752"/>
      <w:bookmarkStart w:id="31" w:name="_Toc21374"/>
      <w:bookmarkStart w:id="32" w:name="_Toc14133"/>
      <w:bookmarkStart w:id="33" w:name="_Toc23656"/>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48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w:t>
      </w:r>
      <w:r>
        <w:rPr>
          <w:rFonts w:hint="eastAsia" w:cs="宋体" w:asciiTheme="majorEastAsia" w:hAnsiTheme="majorEastAsia" w:eastAsiaTheme="majorEastAsia"/>
          <w:b/>
          <w:bCs/>
          <w:color w:val="000000" w:themeColor="text1"/>
          <w:kern w:val="0"/>
          <w:sz w:val="24"/>
        </w:rPr>
        <w:t>技术部分：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8463"/>
      <w:bookmarkStart w:id="35" w:name="_Toc8777"/>
      <w:bookmarkStart w:id="36" w:name="_Toc14035"/>
      <w:bookmarkStart w:id="37" w:name="_Toc7632"/>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4197"/>
      <w:bookmarkStart w:id="39" w:name="_Toc23721"/>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4784403"/>
      <w:bookmarkStart w:id="42" w:name="_Toc433363808"/>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10291"/>
      <w:bookmarkStart w:id="45" w:name="_Toc27835"/>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tbl>
      <w:tblPr>
        <w:tblStyle w:val="39"/>
        <w:tblW w:w="132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1941"/>
        <w:gridCol w:w="8911"/>
        <w:gridCol w:w="889"/>
        <w:gridCol w:w="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21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智慧录播直播课堂（3间）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设备名称</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详细参数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高清互动终端（录播服务器）</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1、★主机须采用嵌入式DSP硬件架构，Linux操作系统，能够7*24小时稳定工作；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2、主机须采用金属机箱，设备高度≤1U；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3、u主机须支持4K视频编码、4K视频合成HDMI输出、可兼容RTSP/H.323/SIP等多种协议，无需借助外围设备实现不少于同等设备四方音视频互动；（投标时需提供国家级检测机构出具的检测报告并加盖原厂鲜章）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4、★主机须支持视频录制、视频直播、视频点播、视频定时上传、导播管理、存储、视频无缝切换等功能；（投标时需提供国家级检测机构出具的检测报告并加盖原厂鲜章）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机须具有视频输入接口：≥3路3G/HD-SDI、≥1路HDMI、≥1路VGA、≥1路YPBPR/CVBS/S-VIDEO信号复用输入，视频输出接口：≥1路HDMI输出；≥1路VGA输出，音频接口：≥2路麦克风接入，自带幻象电源；≥3路立体声线路接入；≥4路线路输出其中1路3.5mm本地耳机监听接口，（投标时需提供实物接口图片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6、u主机须具有≥5路RS232/RS485/RS422控制接口，≥4路USB接口，其中≥1路支持USB3.0，≥1路RJ45网络接口，≥2路无线天线扩展接口；（投标时需提供实物接口图片加盖原厂鲜章）；u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7、主机须支持H.264SVC/HP/ BP MP/视频编码算法；AAC/G.711音频编码格式；可录制MP4格式视频文件。视频编码码流：56Kbps～16Mbps可调，音频采样率8-48Hz可调，音频编码码率8-320kbps可调；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8、★主机须内置音频处理器模块：支持混音编组、自动反馈抑制AFC、自动回声消除AEC、自动噪声消除ANC； （投标时需提供国家级检测机构出具的检测报告并加盖原厂鲜章）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9、主机须具有内置存储：支持≥2路SATA硬盘接口，硬盘容量≥1TB，可实现≥7路码流实时存储能力，可通过网页及本地导播实现对单个视频文件查看、下载、与删除等功能；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10、★主机须具有录制及运动图像检测功能，能够智能识别接入ppt画面的动态变化；（投标时需提供国家级检测机构出具的检测报告并加盖原厂鲜章）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11、★主机须支持码率信息在页面显示，实现数据流的有效监管；（投标时需提供国家级检测机构出具的检测报告并加盖原厂鲜章）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12、u投标产品须提供申请人、制造商、生产企业为同一名称的CCC、CE、FCC证书复印件加盖原厂鲜章。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13、★产品与地区智慧教育云平台实现对接，实现全地区直播，全地区任何学校录播室无缝隙对接，实现互动，直播，在线交流；（投标时需提供与智慧教育云平台对接截图证明；）</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录播系统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1、★录播系统安装在终端内，支持远程和本地导播模式，远程导播须兼容多种内核的浏览器；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2、系统集画面预监、切换，云台控制，音频监听，直播/录制、暂停等控制，字幕、LOGO校徽、直播监视、导播，点播，系统设置等功能；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3、视频预览显示：≥6路高清视频的实时预览显示，可以SDI/HDMI/远程互动混合同时输入；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4、录制方式须支持手动导播切换控制或与自动跟踪系统无缝组合，实现全自动录制；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5、u系统须支持实时显示录制信息，包括录制时长、视频分辨率、主机IP等信息；并能够显示硬盘容量；（投标时提供软件界面截图加盖原厂鲜章）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6、系统须支持至少6路通道的实时预监功能；云台控制界面：≥6个预置位设置及云台控制；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7、系统须支持电影模式录制、电影与资源模式同录两种录制模式。电影模式和资源模式同录时，资源模式在后台工作；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8、系统须支持手动、全自动导播模式，导播模式可以任意切换；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9、手动导播模式须支持画面预监、直播输出监视、视频切换、音频调整、录制模式切换等功能；支持手动云台PTZ控制，老师视频和学生视频均支持≥6个预置位设置；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10、资源和电影模式界面统一，一键开启电影和资源模式录制即可实现同时录制PGM和资源录制；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11、系统须自带点播功能；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12、系统须支持手动添加课程信息、字幕、片头、片尾等功能，以增强课件感染力；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13、系统须支持≥6种切换特效；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14、系统须支持远程FTP上传/下载视频文件，方便用户不需要进入现场就能导出和拷贝终端内视频文件；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15、系统须支持TS组播推流；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16、u产品要求提供相关软件著作权及国家级检测机构出具的评测报告、省级产品证书。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17、★产品与地区智慧教育云平台实现对接，实现全地区直播，全地区任何学校录播室无缝隙对接，实现互动，直播，录制，在线交流；（投标时需提供与智慧教育云平台对接截图证明；）</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课堂直播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1、系统须支持NGINX、FMS流媒体服务；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2、系统须支持直播数据的实时推流；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3、系统须支持PC端和移动端的在线观看；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4、系统须支持二维码扫描分享直播内容，可通过微信进行分享直播；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5、u产品要求提供相关软件著作权及国家级检测机构出具的评测报告、省级产品证书。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智能导播系统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1、系统须支持自定义添加Logo图标；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2、系统须支持单播模式，1个预览（PVW）和1个播出（PGM）；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3、系统须支持音量大小的图形化显示；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4、导播输出分辨率：支持≥1080P 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5、系统须支持切换直播画面：手动/半自动/全自动；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6、系统须支持多路自适应SDI/DVI/VGA/HDMI信号输入及导播显示；；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7、u导播预览通道，须支持根据需要进行通道名称的编辑，在输入源通道窗口内可切换选择输入的SDI信号；（投标时需提供国家级检测机构出具的检测报告并加盖原厂鲜章）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8、分屏模式须支持单画面、双分屏、3分屏、4分屏及6分屏模式；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9、系统须支持多路声音输入输出控制；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10、★系统须支持添加导播字幕：自定义字幕输入（推流/编码/录制均显示）和支持预设路字幕输入（推流/编码/录制均显示）；（投标时需提供国家级检测机构出具的检测报告并加盖原厂鲜章）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11、u系统须支持添加台标，固定和自定义台标位置显示；（投标时需提供国家级检测机构出具的检测报告并加盖原厂鲜章）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12、系统须支持OSD信息输入输出及信息更改；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13、系统须支持VISCA、PELCO-P、PELCO-D串口、波特率、云台地址码的设置；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14、系统须支持云台操作：上、下、左、右、左上、左下、右上及右下、调焦、聚焦、光圈、预置位、云台速度；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15、u产品要求提供相关软件著作权及国家级检测机构出具的评测报告、省级产品证书。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课件实时录制系统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1、视频录制的编码须采用H.264编码；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2、音频录制的编码须采用AAC编码；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3、录制的文件格式支持MP4或flv等常用格式；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4、系统须支持标准的RTMP、RTSP流数据的打包处理；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5、系统须支持高清码率和标清码率的流数据保存，并可以实现同时直播；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6、系统须支持直播过程电影与资源模式实时录制；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7、u产品要求提供相关软件著作权及国家级检测机构出具的评测报告、省级产品证书。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互动教学系统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1、系统须支持远端音视频数据的解码，并高清显示播放；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2、要求网络延时小，非网络延时＜1s；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3、须具备音视频数据的唇音同步；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4、系统须支持SIP和RTMP协议通讯，可以与主流视频会议厂家进行通讯，具有较好的兼容性；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5、u产品要求提供相关软件著作权及国家级检测机构出具的评测报告、省级产品证书。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6、★产品与地区智慧教育云平台实现对接，实现全地区直播，全地区任何学校录播室无缝隙对接，实现互动，直播，在线交流；（投标时需提供与智慧教育云平台对接截图证明；）</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教师信息采集终端</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1、终端须采用一体化集成设计：内置全景摄像机，可实现全景摄像机和跟踪摄像机的一体化融合；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2、终端须采用先进的人体检测、锁定和跟踪图像处理、分析算法，要求目标跟踪稳、准、快；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3、要求不受其它运动目标或投影仪等干扰的影响；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4、★多路高清视频接口同时输出图像:≥SDI接口/两个网络接口,可同时输出≥4路高清图像；（投标时需提供国家级检测机构出具的检测报告并加盖原厂鲜章）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5、要求跟踪设置参数简单：通过网线连接摄像机即可实现跟踪参数设置；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6、须具有画面自适应功能：根据跟踪目标的远近，跟踪摄像机自动变倍，图像始终保持合适的大小和比例；动作灵敏度可调节，跟踪目标小幅移动不会造成摄像机的误操作；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7、要求终端具有很强的环境适应性：跟踪老师效果不受教室大小、形状和座席布置的影响；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8、终端须具有超宽动态曝光功能：避免投影仪等强光背景下跟踪目标变暗的问题；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9、要求图像传感器≥1/2.8英寸，分辨率≥1080p30fps；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10、要求具有超广角变倍镜头：≥12X光学变倍镜头；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11、要求具有先进的自动聚焦算法使得快速、准确、稳定地完成自动聚焦；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12、要求具有音频输入接口：须支持≥16000、32000、44100、48000采样频率，须支持标准的AAC、MP3、PCM音频编码；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13、要求终端采用高精度步进电机以及精密电机驱动控制器，确保云台低速运行平稳，并且无噪声；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14、须具有多种视频压缩标准：支持标准的H.265/H.264视频压缩；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15、★须具有多种网络协议：须支持标准的ONVIF、GB/T28181、RTSP、RTMP协议，支持RTMP推送模式；（投标时需提供国家级检测机构出具的检测报告并加盖原厂鲜章）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16、须具有低功耗休眠功能：支持低功耗休眠/唤醒，休眠时功耗低≤于400mW。</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图像跟踪系统软件</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1、系统软件须支持自动锁定识别目标，抗干扰能力强大，不受光线、声音、电磁等外在的环境影响，设计合理，连接结构简单，实现全自动的定位功能；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2、目标生成与识别率≥97%；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3、须采用“先到位后切换”策略避免推拉画面；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4、系统软件须具有内置光照补偿，自动适应光照变化；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5、系统须具有伪目标自动消除功能，解决影子、大物体位移对跟踪的影响；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6、目标定位精度在全区域内≤0.1m；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7、系统软件须具有专业图像遮挡判别功能，能全方位无死角覆盖；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8、系统须具有智能防抖技术，保证跟踪快速准确，画面稳定平滑；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9、系统须内置≥20种教学场景判断，保证镜头切换满足专业标准；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10、设置人性化镜头保护时间，从根源杜绝各类“垃圾镜头”；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11、≥10种跟踪、切换模式；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12、须同时支持自动、手动云台控制；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13、u产品要求提供相关软件著作权及评测报告、省级产品证书。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全景智能分析系统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1≥1/2.7＂ Progressive Scan CMOS，分辨率帧率可达到1920*1080@60fps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视场角：≥水平105°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2、支持多种视频信号输出1080P60/50/30/25/59.94/29.97、1080I60/50/95.94、720P60/50/30/25；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3、须支持SDI、RJ45视频接口，须支持双声道3.5mm线性输入；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4、须支持H.265/H.264视频压缩，须支持AAC、MP3、PCM音频压缩；须支持1920x1080分辨率60帧/秒压缩；须支持2路1920x1080分辨率30帧/秒压缩；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5、照度≥0.5Lux(F1.8, AGC ON)；超低照度0.01Lux/F1.0（彩色），0.005Lux/F1.0（黑白）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特写相机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6、须支持2D﹠3D-QE数字降噪、背光补偿、宽动态、自动白平衡、自动聚焦、电子快门；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7、信噪比：大于55dB。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8、具备学生学习状态行为分析系统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9、要求具有智能识别、学生点名考勤功能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10、u为保证效果，要求与高清互动终端（录播服务器）为同一品牌。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11、★分析数据可在地区智慧教育云平台进程呈现；（投标时需提供与智慧教育云平台呈现截图证明；）</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学习行为分析系统</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1、★搭配教室里的全景智能分析系统,对图片中人脸进行智能建模和分析，实现课堂学生考勤及其他业务应用；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2、支持H.264编码前端自适应接入；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3、支持重要录像文件加锁保护功能；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4、单独人脸建模：支持40张/S人脸建模性能,；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5、单独行为分析：80人/S的行为分析性能；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6、为保证效果，要求与高清互动终端（录播服务器）为同一品牌。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7、★分析数据可在地区智慧教育云平台进程呈现；（投标时需提供与智慧教育云平台呈现截图证明；）</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中控主机要求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1、主机高度≤1U机箱，主机前面板设置有红外学习指示灯、状态指示与红外接收窗口；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2、主机支持≥4X2VGA切换、4X2 VIDEO切换、7X2 AUDIO切换，≥2路话筒输入并可独立调节；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3、主音量与话筒音量有“加、减、静音”控制功能；；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4、≥2路IO接口编程，可方便连接IC卡或电子锁等外接设备；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5、≥4路独立红外控制接口；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6、≥2路可编程232端口，可以控制相关设备，控制协议自定义；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7、独立的系统电源管理功能，所有设备供电都由中控管理；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面板要求：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1、LCD显示屏,触屏解析度≥480×272像素；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2、触屏尺寸≥4.3〞/10.9cm对角线；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3、具有场景设置功能；；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4、具有矩阵控制功能；；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5、满足智慧教室录制及互动教学等应用操作；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★为保证效果，要求与高清互动终端（录播服务器）为同一品牌。</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 </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功放</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1、≥两组音源输入及两路话筒输入；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2、额定功率：2×60W/8Ω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3、频率响应： 20Hz-20KHz  +1/-3dB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4、额定输入灵敏度：线路 -12dB±1dB ，话筒 -34dB±1dB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5、线路输出： L/R ≥0dB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6、失真度： ≤0.5%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7、信噪比（A计权）：≥80dB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8、额定电源电压：交流220V /50Hz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9、★为保证效果，要求与高清互动终端（录播服务器）为同一品牌。</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音箱</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1、额定/峰值功率：≥60W / 240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2、额定阻抗：8Ω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3、特性灵敏度：89dB/W/m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4、输出声压级：107dB/W/m(Continues)113dB/W/m(Peak)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5、额定频率范围: 80~ 18KHz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6、扬声器单元： LF: ≥6.5英寸 HF: ≥3 英寸纸盆高音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8、箱体材料：中密度纤维板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9、★为保证效果，要求与高清互动终端（录播服务器）为同一品牌。</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7"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智能液晶电视</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一、硬件技术参数要求：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显示屏参数：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1、尺寸≥55英寸；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2、显示比例：16:9；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3、背光类型：DLED；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4、最佳分辨率≥1920X1080@60Hz；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5、点距≤0.63mmX0.63mm；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6、可视面积≥1209.6mmX680.4mm；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7、可视角度≥H:176°，V：176°；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8、屏模组中心亮度≥300cd/㎡；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9、整机中心亮度≥240cd/㎡，整机带亮度自适应软件；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10、对比度≥4000:1；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11、相应时间≤8ms；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12、色彩度≥16.7M；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13、色域≥70%；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整机参数要求：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1、CPU：≥ARM Cortex A7；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2、GPU：≥Mali-400MP2/双核；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3、RAM≥4GB；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4、ROM≥512MB；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5、电源输入：AC 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6、额定功率≤130W；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7、待机功率≤0.5W；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8、彩色系统：PAL;NTSC;SECAM；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9、伴音系统：D/K,I,M,B/G；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10、遥控类型：RC-A12-CH-10，支持硬开关模式；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11、支持WIFI连接模式，支持自动识别和搜索信号源；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12、信号接口：≥HDMI1.4×3、≥USB2.0×2、≥RJ-45网络网口×1；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17、安全标准（一类产品）：耐压强度2.5KV DC/60s，漏电流≤3.5mA(264V AC/60s)，对地保护电阻≤100mΩ(25A DC/60s)，防火等级：UL94-HB75；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二、软件技术参数要求：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1、内置安卓系统≥4.4版本；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2、内置USB接口，即插即用，支持图片、音乐、视频等。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三、产品证书：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★投标产品须提供CCC证书及盖有CNAS和CMA的试验报告（报告出具时间12个月内）、节能证书并加盖制造商鲜章。</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9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交互式多媒体液晶触摸一体机+尺寸相适应静电绿板（含多媒体交互书写软件）</w:t>
            </w:r>
          </w:p>
        </w:tc>
        <w:tc>
          <w:tcPr>
            <w:tcW w:w="8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一、显示要求：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1、显示尺寸：≥75英寸，采用LED背光源A规屏；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2、显示分辨率支持4K；亮度：≥450 cd/m2；可视角度：≥178°；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3、整机功耗≤450W,关闭状态能效≤0.03；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4、灰度：最大128灰阶，128灰阶为渐变状态。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二、整机要求：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1、★铝合金外框，在节能待机状态下可通过敲击重新唤醒屏幕。前置设计，喇叭≥2×15W，≥8个按键,其中前置接口须有VGA、Audio、PC-USB3.0、TV-USB2.0、HDMI、TOUCH；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2、≥2路HDMI输入、1路VGA输入、1路VGA输出、1块SD卡、1路RJ45输入等常用端口；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3、为方便触摸，整机触摸区域必须大于显示区域15mm，且整机窄边框设计；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4、整机面板采用≥4mm防撞钢化玻璃；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5、整机采用十点以上触摸点数，触摸分辨率需≥32767×32767。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三、便捷功能及稳定性要求：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自带嵌入式安卓（Android）5.0或以上系统，内存1GB以上，存储4GB以上，在该系统下可实现白板书写、办公软件软件使用、多媒体播放、电子说明书、网页浏览等功能，与内置电脑形成双操作系统安全备用，方便老师操作，安卓主页UI可根据用户喜好自行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2、★手势板擦：在嵌入式系统下白板须实现多点书写状态下识别拳头或手掌为板擦，且能够实现根据接触面积识别手势板擦的大小；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在嵌入式安卓操作系统下，能对TV多媒体USB所读取到的课件文件进行自动归类，可快速分类查找文档、音乐、视频、图片等文件，其中必须可以进行办公软件文档的检索，可识别Word、Excel、PPT等文档，检索后可直接在界面中打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在任意通道下，可通过手势在整机下方任意位置迅速调出中控便捷菜单，且菜单调取及操作各功能触摸速度小于1s，响应无延迟，具有返回操作、一键主页、任务预览、菜单设置、音量加减、亮度调整、一键白板、一键投屏、全通道屏幕批注、截图，至少具有一个自定义键；并且便捷菜单具备中文提示，可以轻敲隐藏，不用时不占用显示面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5、智能温度图像采集：整机具有温度保护，温度过高时整机自动关机，保护整机；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6、★智能待机唤醒：脱离遥控器及实体按键，实现触摸式节能待机及轻敲唤醒（防止按键损坏和遥控丢失）；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智能遥控功能：具备电视遥控功能和电脑键盘常用的F1—F12功能键及Alt+F4、Alt+Tab、Space、Enter、windows等快捷按键，可实现一键开启交互白板软件、PPT上下翻页、一键锁定/解锁触及整机实体按键、一键黑屏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8、★侧拉菜单：通过手势可以从侧面调出全菜单，具有信号源选择、显示参数设置、图像设置、功能设置等全触摸操作；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9、★产品外接电脑时，可自动识别信号源，并且可供用户选择是否切换输入信号源画面，不接受强制切换；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10、信号源记忆功能：设备可设置开机默认通道，在任意通道关机时可实现设置的默认通道开机，也可设置关机信号源记忆为开机信号源功能；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11、自动节能功能：当设备在长时间处于无信号接收状态且无人操作时，将会自动黑屏待机，节省能耗；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12、信号源智能返回功能：当信号源切换后，切换后的信号源状态如果切断或处于无信号状态下，信号源可自动返回上一通道；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自定义数字密码锁屏：可通过遥控器或前置组合按键锁定/解锁触摸操作及按键使用，且可通过触摸菜单锁定/解锁触摸操作及按键使用，触摸方式需要求输入密码解锁，不接受无密码方式触摸解锁，可以自定义修改锁屏密码，有效保护老师教学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14、整机具有待机节能功能，需具有触摸、遥控、前置按键多种方式开启一键节能功能。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15、单独听功能：在黑屏的状态下，可以正常输出音频内容；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16、文件自动归类，整机可自动将老师U盘的视频、音乐、文档进行自动归类；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17、支持U盘解锁功能，保证童锁状态下无关人员无法随意操作，需使用时则插入U-Key即可解锁；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18、产品具有智能感应环境光和灯光变化并自动调节屏幕亮度来达到在不同光照环境下的最佳显示效果，有效保护师生视力的同时强化节能功能；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19、整机支持温度图像采集功能，可实时监测整机温度值，并可在安卓主页显示温度情况，能够根据温度变化显示不同颜色进行提示；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20、★安卓主页可预览多个信号源通道内容，支持四个以上信号源通道画面显示，并可以进行选定通道的快速进入，此功能可通过菜单实现开关操作；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安卓系统提供全通道状态下浮动快捷菜单，可快速呼唤出常用应用功能，提供内置电脑、白板软件、一键投影、定时器等快速进入功能，同时可由用户自行添加应用功能，同时浮动快捷菜单可随意拖动显示屏任意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22、屏幕具有防遮挡、抗污点功能，触摸接收器在单点或多点红外发射点遮挡后仍不影响正常书写。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四、电脑配置：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1、★CPU≥Intel  Core I5四代，主频≥3.3 Hz，内存≥8G，硬盘≥500G；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2、模块化OPS主机采用插拔式结构，内部Inter标准80pin接口（拒绝厂商专有接口），无任何外接电源线和信号线，方便检测维护；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3、输入：USB接口≥6，其中USB3.0接口≥2；输出：HDMI≥1，VGA≥1，RS232≥1，RJ45≥1且须具有WI-FI模块；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五、产品证书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★投标产品须提供CCC及盖有CNAS和CMA的试验报告（报告出具时间12个月内）、CE、FCC、节能证书并加盖制造商鲜章。</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1、选用高强度、高密度、强吸音之七层3A瓦楞纸板或高强度、高密度聚苯乙烯泡沫板，厚度12mm以上；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2、规格尺寸：≥4000*1200mm（W*H）</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音频模块</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1、频率响应 (20Hz-20kHz @ +4dBu)；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2、麦克风通道  +0/-2dB；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3、线路输入通道 +0/-0.5dB，THD +N (1kHz @ +4dBu)；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4、麦克风通道 ＜ 0.009%；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5、线路输入通道 ＜ 0.007%；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6、等效噪声(20Hz-0kHz, 22dB gain ) ＜-84dBu；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7、动态范围 (20Hz-20kHz, 0dB): ＞ 105dB；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最大输入电平：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1、麦克风通道 -2dBu；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2、线路输入通道 20dBu；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3、最大输出电平（平衡） 20dBu；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最大增益：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1、麦克风通道 50dB；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2、线路输入通道 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1、麦克风通道 330欧姆；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2、线路输入通道 20千欧姆；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3、输出阻抗 400欧姆；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4、采样率 48KHZ；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5、A/D-D/A转换器 24比特；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6、幻象电源 +48 VDC。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7、★为保证效果，要求与高清互动终端（录播服务器）为同一品牌。</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麦克风</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1、音    头：电容式拾音头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2、指 向 性：超窄指向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3、频率响应：30Hz-20KHz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4、灵 敏 度： －39dB±3dB(0dB=1V/Pa)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5、输出阻抗:200Ω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6、最大承受声压:140dB（at1KHz≤1% THD）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7、等效声压级：15dBA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8、动态范围(典型):128dB，1KHz于最高声压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9、信 噪 比:≥80dB（1KHz/1Pa）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10、供    电：幻像供电 48V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11、★为保证效果，要求与高清互动终端（录播服务器）为同一品牌。</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壁挂机柜</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19英寸标准壁挂式机柜高度≥9U。</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国标，规格≥2*1.0平方，可满足安装需求。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视频线</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国标，规格≥SYV75-5-1，可满足安装需求。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国标，规格≥超五类，可满足安装需求。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话筒线</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国标，规格≥128编，可满足安装需求。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音响线</w:t>
            </w:r>
          </w:p>
        </w:tc>
        <w:tc>
          <w:tcPr>
            <w:tcW w:w="8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国标，规格≥2根*100芯，可满足安装需求。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合计（3间）：</w:t>
            </w:r>
          </w:p>
        </w:tc>
      </w:tr>
    </w:tbl>
    <w:p>
      <w:pPr>
        <w:rPr>
          <w:color w:val="000000" w:themeColor="text1"/>
        </w:rPr>
      </w:pPr>
    </w:p>
    <w:p>
      <w:pPr>
        <w:pStyle w:val="38"/>
        <w:ind w:firstLine="0" w:firstLineChars="0"/>
        <w:rPr>
          <w:rFonts w:asciiTheme="minorEastAsia" w:hAnsiTheme="minorEastAsia" w:eastAsiaTheme="minorEastAsia"/>
          <w:sz w:val="22"/>
          <w:szCs w:val="22"/>
        </w:rPr>
      </w:pPr>
    </w:p>
    <w:p>
      <w:pPr>
        <w:widowControl/>
        <w:jc w:val="left"/>
        <w:rPr>
          <w:rFonts w:asciiTheme="minorEastAsia" w:hAnsiTheme="minorEastAsia" w:eastAsiaTheme="minorEastAsia"/>
          <w:sz w:val="22"/>
          <w:szCs w:val="22"/>
        </w:rPr>
      </w:pPr>
      <w:r>
        <w:rPr>
          <w:rFonts w:asciiTheme="minorEastAsia" w:hAnsiTheme="minorEastAsia" w:eastAsiaTheme="minorEastAsia"/>
          <w:sz w:val="22"/>
          <w:szCs w:val="22"/>
        </w:rPr>
        <w:br w:type="page"/>
      </w:r>
    </w:p>
    <w:p>
      <w:pPr>
        <w:pStyle w:val="38"/>
        <w:rPr>
          <w:rFonts w:asciiTheme="minorEastAsia" w:hAnsiTheme="minorEastAsia" w:eastAsiaTheme="minorEastAsia"/>
          <w:sz w:val="22"/>
          <w:szCs w:val="22"/>
        </w:rPr>
      </w:pPr>
    </w:p>
    <w:tbl>
      <w:tblPr>
        <w:tblStyle w:val="39"/>
        <w:tblW w:w="13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1"/>
        <w:gridCol w:w="2300"/>
        <w:gridCol w:w="7469"/>
        <w:gridCol w:w="1546"/>
        <w:gridCol w:w="15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370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北京高级中学标准化考点视频指挥系统改造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7" w:hRule="atLeast"/>
        </w:trPr>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7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巡查指挥终端</w:t>
            </w:r>
          </w:p>
        </w:tc>
        <w:tc>
          <w:tcPr>
            <w:tcW w:w="7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终端，1个Eagle Eye IV摄像头、全向麦克风、遥控器、支持P+C双流,、支持PPCIP、线缆、3年的标准服务。</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麦克风</w:t>
            </w:r>
          </w:p>
        </w:tc>
        <w:tc>
          <w:tcPr>
            <w:tcW w:w="7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1)凑型阵列麦克风，配套视频会议终端，为用户带来全新高保真声音体验；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2)采用紧凑低功耗设计、体积小巧、外观高雅，无需外接电源。360度全向拾音，与会者不必过多关注麦克风的位置；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3)采用3.5 mm插头进行连接，性能稳定、支持热插拔</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有源音箱</w:t>
            </w:r>
          </w:p>
        </w:tc>
        <w:tc>
          <w:tcPr>
            <w:tcW w:w="7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二分频音箱60W/6Ω，频率范围95Hz~20kHz谐波失真(1/10功率)≤5%辐射角（H×V）90°×75°箱体结构  倒相式</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音频功放</w:t>
            </w:r>
          </w:p>
        </w:tc>
        <w:tc>
          <w:tcPr>
            <w:tcW w:w="7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70V功放四路话筒输入，三路辅助输入，一路辅助输出。定压输出和8Ω定阻输出。有强插功能，便于插入优先广播（话筒输入1优先）。各通道有独立音量控制和总音量控制总音量并设有高音和低音音调控制输出短路保护和直流保护、过温、过载等保护，提示音输出功能。</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r>
    </w:tbl>
    <w:p>
      <w:pPr>
        <w:pStyle w:val="38"/>
        <w:rPr>
          <w:rFonts w:asciiTheme="minorEastAsia" w:hAnsiTheme="minorEastAsia" w:eastAsiaTheme="minorEastAsia"/>
          <w:sz w:val="22"/>
          <w:szCs w:val="22"/>
        </w:rPr>
      </w:pPr>
    </w:p>
    <w:p>
      <w:pPr>
        <w:pStyle w:val="38"/>
        <w:ind w:left="0" w:leftChars="0" w:firstLine="0" w:firstLineChars="0"/>
        <w:rPr>
          <w:color w:val="000000" w:themeColor="text1"/>
        </w:rPr>
      </w:pPr>
    </w:p>
    <w:p>
      <w:pPr>
        <w:pStyle w:val="38"/>
        <w:ind w:left="0" w:leftChars="0" w:firstLine="0" w:firstLineChars="0"/>
        <w:rPr>
          <w:color w:val="000000" w:themeColor="text1"/>
        </w:rPr>
      </w:pPr>
    </w:p>
    <w:tbl>
      <w:tblPr>
        <w:tblStyle w:val="39"/>
        <w:tblW w:w="13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3"/>
        <w:gridCol w:w="846"/>
        <w:gridCol w:w="1757"/>
        <w:gridCol w:w="7975"/>
        <w:gridCol w:w="1188"/>
        <w:gridCol w:w="11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3500"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协同办公自动化平台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功能名称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功能名称</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功能及配置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信息发布平台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门户定制</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实现统一门户、部门门户、职能门户、个人门户的定义和展现等。</w:t>
            </w:r>
          </w:p>
        </w:tc>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信息元素定制</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实现各门户内部信息元素包括视频元素、文档元素、流程元素等的可添加、可拖拽、信息字段可调整、可定义。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权限体系定制</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根据组织人员权限体系进行信息的查询、查阅、编辑等权限控制和赋予。</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功能模块定制</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提供公文公告类、信息类的应用按需定制。</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公文公告类提供公告栏目的管理、发布范围的设定，与流程结合，实现通知公告的发放审核等。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内部新闻，包括党群工作、新闻、信息、大事记等。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公文传输等基本功能，实现委、地州、县的三级文件传输。</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公文管理平台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收文管理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提供收文签收、登记、分发、拟办、批办、承办等过程处理等。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发文管理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提供发文的拟稿、审核、签发、印制、分发等过程处理等。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签报管理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签报起草、修改、意见、传阅、归档、查询等。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传阅管理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提供文件的一对一或一对多的信息传递，发送者并可实现信息跟踪，对收到的传阅信息可以在线修改附件文件，并保留修改痕迹等。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呈批管理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提供呈批格式文件的拟办、批示、办理等过程的处理等。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公文检索</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方便查询本人经手文件、本人登记的文件、本部门登记的文件；支持快速专项查询领导批示情况；按公文种类、时间段、处理时效等进行收文的统计分析等。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公文设置</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收发文流程的设置、公文模板的设置、编号规则的设置等。支持公文流程涉及到的文档进行版本管理，可以查询之前使用版本的情况</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OFD转换</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OFD在线格式转版，阅读文件用户无环境区别，与现有应用体验一致,保障用户在使用OFD时和使用PDF一样的用户体验</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公文督办</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实现对来文进行拟办、批示、承办、办理、阅读、归档、支持一键转督办/转会议等操作，且会议转督办即时办理。</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公文回收站</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支持文档回收站/删除可恢复、支持文档销毁和恢复，方便查找。</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通讯应用平台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手机移动办公</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支持主流Android等手机操作系统，实现利用手机开展移动办公业务。</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平板电脑办公</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支持平板电脑签字、审批等，提供领导使用等。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微信办公</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支持微信办公对接接口，并实现企业号互通。</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即时通讯</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支持pc端、移动端同系统的安全体系匹配，实时信息交互。</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行政事务平台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日程管理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实现政府工作人员日程管理；同时，实现秘书安排和记录领导一周的工作及反馈意见，系统将自动提示领导近期的工作和活动安排。此外，领导可查看工作人员计划执行情况，达到日常工作的督查作用。</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接待管理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提供外来人员的非密场合的接待管理功能等。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工作汇报</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工作人员汇报工作计划的完成情况，系统汇总具体情况并反馈进度，领导进行事务审批等。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任务计划、任务跟踪、进度汇报、任务变更等。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意见征集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提供问卷的设计、调查、统计等应用等。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规章制度</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规章制度，大事记录，信息讨论，规章制度管理，大事记录管理，信息讨论管理等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督办管理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含督办立项、督查催办、督办延期等，实现对任务、领导批示、上级领导批示、重点工作、督办专案进行督办立项、跟踪、办理、办结确认等专项管理；针对公文办理的情况进行统计分析 </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会议室管理、会议登记、会议审报、会议审批、会议通知、会议查询等。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报表定制</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局内工作效能评估，可以分析流程效率，可以知道一个流程平均流转周期是多少，是那一个审批节点耗时最长，是流程本身的问题还是人的问题，从而有效为组织提供流程优化工具。例如包含流程效率报表、流程类型报表、待办事项报表、流转时间报表、以及知识管理报表、会议管理报表等，帮助局内优化流程审批效能、速度。同时具有报表自定义功能，用户又能根据实际需要自定义配置多种报表，不限制报表数量，方便统计查询。</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应用集成平台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邮件管理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提供Web版邮件集成工具，支持POP3 / SMTP邮件，在线收发邮件等。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提供行政规章制度、常用工作指引、经验分享、成果发布、工作模板、期刊、会议纪要等非归档类文件管理等。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即时通讯集成</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集成主流即时通讯的组织架构集成、代办提醒等。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短信管理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系统提供对短信平台的应用接口，通过系统平台实现公文短信提醒传递到相关人员的手机上。实现短信验证登陆。（包含不少于</w:t>
            </w:r>
            <w:r>
              <w:rPr>
                <w:rStyle w:val="130"/>
                <w:lang w:val="en-US" w:eastAsia="zh-CN" w:bidi="ar"/>
              </w:rPr>
              <w:t>10</w:t>
            </w:r>
            <w:r>
              <w:rPr>
                <w:rFonts w:hint="eastAsia" w:ascii="宋体" w:hAnsi="宋体" w:eastAsia="宋体" w:cs="宋体"/>
                <w:i w:val="0"/>
                <w:iCs w:val="0"/>
                <w:color w:val="000000"/>
                <w:kern w:val="0"/>
                <w:sz w:val="20"/>
                <w:szCs w:val="20"/>
                <w:u w:val="none"/>
                <w:lang w:val="en-US" w:eastAsia="zh-CN" w:bidi="ar"/>
              </w:rPr>
              <w:t>万条短信条数）</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标准接口</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提供websevice等数据接口，中间件接口</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党建管理平台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党建管理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建立局内党建管理工作制度，针对局内党员和党组织让党建工作融入到医院管理工作，切实可行开展党内学习工作、党务管理、党员管理、党组织管理、党内互动交流、党费缴纳情况。</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证书管理平台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证书管理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立统一的证照管理体系，包括证照的名称，发证时间，以及其他主要核心信息，包括证照的有效期等，使用证照都需要提交相关的审批流程，审批流程需要相关领导及部门的审核，和证照卡片、证照台账、证照借阅、证照注销等全生命周期规范体系。</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资产管理平台</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固定资产</w:t>
            </w:r>
          </w:p>
        </w:tc>
        <w:tc>
          <w:tcPr>
            <w:tcW w:w="7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提供资产增加、资产清理、资产变更、计提折旧、资产分配、资产接收和资产查询等。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用品管理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用品种类管理，办公用品入库，办公用品出库，审领办公用品，审批领用表格，发放办公用品，用品出借登记，用品维修登记，用品报损登记等。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提供设备预约、借用、催还等管理功能等。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预算建模、预算编制、预算审批、预算执行/控制、预算调整、预算分析、报销管理</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采购管理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采购门户管理、供应商管理、采购需求管理、采购合同管理、采购过程管理、采购报表等。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项目管理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项目岗位门户、项目审批流程、项目数据管理、项目施工管理、项目成本管理、项目验收管理、项目报表功能等。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基础人事管理平台</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人事信息</w:t>
            </w:r>
          </w:p>
        </w:tc>
        <w:tc>
          <w:tcPr>
            <w:tcW w:w="7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提供人员基本档案、学历档案、工作档案的电子化管理等。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考勤管理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考勤审批、考勤记录、考勤统计，人员外出、请假、出差管理等。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工作流引擎平台</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流程自定义</w:t>
            </w:r>
          </w:p>
        </w:tc>
        <w:tc>
          <w:tcPr>
            <w:tcW w:w="7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提供自定义流程引擎，用户可根据自己的需要自定义设置流程动作、流转路径、提醒信息，最终实现业务流程的自定义配置，并给相关流程分配权限等。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表单自定义</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可通过此系统模拟日常工作单自定义成电子表单，并自定义流程结合，实现业务工作的电子流转等。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报表自定义</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提供自定义报表，不同层面的用户可自定义所关心的业务数据，生产相应的报表，并可自定义查询条件，实现信息的查询等。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业务建模平台</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表单设计自定义</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可利用流程引擎来构建业务数据的结构，无代码化的表单设计，简单易用。</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可根据不同操作动作设置不同的显示模板，如新建模板、编辑模板、打印模板等。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一个应用下支持添加多个应用模块，如在图书管理应用下，可创建图书信息模块、图书借阅模块、读者书评模块等。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权限设置自定义</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可针对不同角色的人员灵活设定业务数据的操作权限。</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针对前台应用时不同的操作动作设置对应的权限，即新建、编辑、查看、监控权限。</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每种权限均支持人员、部门、分部、角色、所有人等共享类型，能够满足客户的各种个性开发需求。</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可单独设置批量导入权限，支持excel格式，满足客户对于数据初始化的需要。</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模块数据允许修改默认共享及非默认共享权限，与文档的共享权限类似。</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显示方式自定义</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可视化的模块样式设计界面，即见即所得。</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字段的显示位置、字体大小、颜色等均可自定义，支持css样式。</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显示模板支持html代码编辑，支持加入js。</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可自定义查询结果：前台展现业务数据时，可自定义查询列表，包括字段顺序和查询条件。</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模块所有字段均可作为查询条件，满足个性化查询需要。</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可自定义浏览按钮：在流程审批中，我们可以通过浏览按钮选择业务数据，不需要用户填写时手动输入。</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可灵活设置点击浏览按钮弹出选择框中的数据列及查询条件。</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可自定义菜单：根据用户的使用习惯，可自定义菜单，提供更方便、更快捷的操作。</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可在任意模块页面中加入右键菜单，方便用户的快捷操作。</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菜单链接可自由配置，可以是流程的发起链接、文档的创建链接或完全自定义的链接。如在查看图书信息时，点击右键可直接发起图书借阅流程。</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支持自定义菜单名称，满足不同用户对操作的定义及使用习惯。</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系统安全配置平台</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密码安全</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提供登录密码强度管理、更换口令周期管理，短信信息安全加强功能，ca数字证书登陆管理等。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安全审计</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提供详细的审计日志，提供系统内用户增加和删除、用户权限的修改、系统管理员、安全保密管理员和用户所实施的操作、用户的违规操作行为等。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分级管理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可以方便的允许各级单位管理员来管理自己的系统数据；主要包括下属单位对本单位组织机构、人员、流程、文件等模块的权限设置。</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权限管理</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公文流转权限，文档权限，管理权限，系统维护权限，用户管理权限等。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数据交换</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异构系统之间数据交换，地州之间数据交换与同步，实现公文跨地州、跨部门公文与信息交换等。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系统维护</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用户管理、组织管理、日志管理、流程管理、业务维护、系统设置、空间管理等。</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平台支撑</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敏感词过滤</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智能敏感词监测，收集流转信息中的敏感词，系统会自动提醒到前端用户在何时、何地、出现了什么词，哪个文件上出现的。</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低代码开发平台</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符合信创环境的软件开发要求，系统自身具有自主的代码开发工具（开源代码）。</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三员分立</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符合安全要求，系统自身必须具有三员分立功能。</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信创适配</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平台全面信创适配，不仅仅只是一个公文模块，全部政务应用。具有自主的信创环境的即时通讯工具，移动端与PC端可一体化维护。</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反向维护</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平台支持反向维护或类似功能，可以根据人员逆向查询此人员、岗位、角色所关联业务功能，并进行快速调整。</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集成平台</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平台具有集成功能，包括组织构架同步、异构系统数据触发、外部数据源取数、集成登陆等功能。</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运维平台</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平台自身具有运维管理中心，系统日志中心，安全监控中心、升级管理中心，系统的运行过程的日子自动管理和维护。</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用户使用授权许可</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1000用户使用授权许可</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PC客户端注册用户使用许可（1000用户）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移动客户端注册户使用许可（1000用户）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即时通讯客户端注册用户使用许可（1000用户）</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短信SDK</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短信SDK</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20万条SDK信息业务</w:t>
            </w:r>
          </w:p>
        </w:tc>
        <w:tc>
          <w:tcPr>
            <w:tcW w:w="118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0.08</w:t>
            </w:r>
          </w:p>
        </w:tc>
        <w:tc>
          <w:tcPr>
            <w:tcW w:w="11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标签打印机</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标签打印机</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机器尺寸: 1 88mmx177mmx72mm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机器重量: 740g(不含电池和色带)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剪切方式:手动剪切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打印高度: 15.8mm( 1 8mm宽的标签色带)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打印速度:可达20mm/s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打印精度: 180dpi</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打印方式:热转印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色带宽度: 3.5、 6、9、12、18(mm)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文字修饰: 6种(内置)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字体尺寸: 6种(内置)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镜像打印:有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序号打印:有(0~9张)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打印行数:最多5行( 18mmTZe标签色带)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边框: 96种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内存: 2800个字符(最多50个文件)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多份打印:支持(1~9张)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打印预览:支持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条形码:9种(内置)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国产化产品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支持连接电脑操作，可以打印18毫米宽度的标签，带背光灯，电池和电源两用，单机可以打印条形码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（包含15卷/16米色带且含税价，提供机器质保1年</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防火墙</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防火墙</w:t>
            </w:r>
          </w:p>
        </w:tc>
        <w:tc>
          <w:tcPr>
            <w:tcW w:w="7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性能参数：网络层吞吐量：12G，应用层吞吐量：4.4G，防病毒吞吐量：1G，IPS吞吐量：800M，全威胁吞吐量：650M，并发连接数：200万，HTTP新建连接数：8万，SSL VPN推荐用户数（含150用户授权）：25，SSL VPN最大用户数（含150用户授权）：150，SSL VPN最大理论加密流量（含150用户授权）：300M，IPSec最大隧道数：1000，IPSec  VPN吞吐量：250M。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硬件参数：规格：1U，内存大小：8G，硬盘容量：64G minisata SSD，电源：单电源，接口：6千兆电口+2千兆光口SFP。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功能描述：下一代防火墙以保障用户核心资产为目标，提供L2-L7层各类威胁的检测和防护，是一款能够有效应对传统网络攻击和未知威胁攻击的网络安全产品。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防火墙软件基础级(*1套);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SSL VPN接入授权模块（含5个授权）(*1套);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SSL VPN接入授权（每增加一个SSL接入许可）(*150套);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云智订阅软件（AF8.0.7及以上版本适用）(*3套);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产品质保(*3年);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软件升级(*3年);</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tbl>
      <w:tblPr>
        <w:tblStyle w:val="39"/>
        <w:tblW w:w="147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0"/>
        <w:gridCol w:w="13206"/>
        <w:gridCol w:w="572"/>
        <w:gridCol w:w="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4738"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终端安全管理平台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功能模块</w:t>
            </w:r>
          </w:p>
        </w:tc>
        <w:tc>
          <w:tcPr>
            <w:tcW w:w="13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功能要求</w:t>
            </w:r>
          </w:p>
        </w:tc>
        <w:tc>
          <w:tcPr>
            <w:tcW w:w="5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3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体系架构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系统部署</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要求系统支持中/英文界面，系统部署采用 C/S 架构，管理采用 B/S 架构，管理员只需通过浏览器登录控制中心，即可对系统进行管理</w:t>
            </w:r>
          </w:p>
        </w:tc>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要求服务端支持Windows XP、Windows 7、Windows 8、Windows 8.1、Windows 10、Windows Server 2003、Windows Server 2008、Windows Server 2012、Windows Server 2016、Windows Server 2019</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要求客户端支持CentOS、Ubuntu、SUSE、Redhat等主流Linux发行操作系统。需要GNU Libc 2.12及以上版本</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要求客户端支持国产操作系统Deepin、红旗、神州网信、麒麟系列、UOS等。需要GNU Libc 2.12及以上版本</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要求客户端安装方式支持Web安装、远程安装、AD域环境批量安装、共享安装、静默安装、MDT部署</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要求客户端安装后占用硬盘空间较少， 病毒库大小不超过10M，日常使用内存占用较小，有效节省电脑资源。</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要求中心支持容灾备份功能，当主中心计算机遭受如宕机、断电、硬件/软件故障等意外情况或人为操作错误导致主中心计算机无法正常使用时，备用中心将自动顶替宕机的主中心且同步数据。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级联部署及管理，可实时查看下级终端威胁及在线情况，上级可对下级灵活分配授权，上级可登陆下级中心直接进行管理，同时可实现分级管理中心能够通过一级管理中心升级病毒库和客户端版本以及补丁升级数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功能可按照模块进行授权，可选择功能授权模块包括:中心定制、远程桌面、U盘管理、终端动态认证、硬件管理、多级中心、API接口、备用中心;可根据需求自定义功能模块。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中心基础设置</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要求支持展示全网终端安全概览：终端在线数量、异常终端、今日防御事件、累计保护时长、最新安全动态、终端操作系统概览</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要求支持展示全网终端安全事件可视化数据：7/30天病毒查杀事件、7/30天漏洞修复事件、7/30天系统防护事件、7/30天网络攻击事件</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要求支持监控中心服务器性能：CPU使用率、内存使用率、磁盘占用率、网络流量使用状况</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定制防护策略以及策略细粒度配置：包括病毒防御（文件实时监控、恶意行为监控、U盘保护、下载保护、邮件监控、Web扫描）；系统防御（系统加固、应用加固、软件安装拦截、浏览器保护、摄像头防护）；网络防御（网络入侵拦截、对外攻击拦截、恶意网站拦截、Web服务保护、爆破攻击防护、僵尸网络防护、远程登录防护）；访问控制（IP协议控制、IP黑名单、联网控制、网站内容控制、程序执行控制、设备控制）以及安全工具可根据不同分组需求定制不同的策略</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要求中心可配置与终端通讯时间，避免因通讯频繁导致负载过大。可限制终端的最大并发数及单个连接最大下载速度，缓解对带宽带来的负荷</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要求中心可启用SysLog日志导出功能，支持导出安全日志、升级日志、漏洞修复日志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要求中心支持任务通知，可在任务完成时、硬件变更时、终端安全服务异常时、子中心连入时、子中心脱离时接收通知</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要求支持邮件预警功能，当全网发现病毒事件、网络攻击事件、超过一周未更新时发送邮件通知</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要求中心具备事件日志模块，包含病毒查杀日志、病毒防御事件日志、系统防御事件日志、网络防御事件日志、访问控制事件日志、漏洞修复事件日志、终端管理日志、系统管理日志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要求中心配备安全工具及管理工具：域部署工具、离线升级工具、中心迁移工具、移动存储注册工具火绒安全U盘程序、火绒专杀工具</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要求中心支持全局信任区可通过信任文件路径、信任文件校验和方法添加信任文件以及添加信任网址</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中心管理</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支持中心定制功能，可将产品显示的LOGO替换为企业LOGO，按需自定义配置LOGO展示。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要求可按照不同分组创建管理员且管理权限可按模块划分，支持管理员接收邮件预警</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要求支持中心无操作自动登出设置，防止管理后台闲置时自动退出，避免频繁登录</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要求中心具有登陆二次验证功能，开启该功能后，通过登录中心时进行二次验证的方式，阻止中心遭遇密码泄露、弱口令暴破、撞库等黑客破解行为带来的危害，达到保护火绒控制中心的目的</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要求管理员可设置高危操作动态认证，下发远程桌面任务、添加信任文件或进行文件分发时需要管理员进行二次动态认证后才可执行高危操作</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要求支持备份终端信息,分组及规则,防护策略,事件日志,管理员信息,系统设置；支持自动备份，按照月/周/时间设置自动备份</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要求支持按全网终端迁移或部分终端迁移，当网络环境发生变化或物理设备出现故障时可转移终端</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要求支持设置管理员密码防止终端更改策略、退出；防卸载密码防止客户端自行卸载</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要求支持离线终端可设置过期时间，过期终端超时后将自动从中心删除</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要求中心可配置终端管理员信息，客户端出现问题需要求助管理员时可追溯</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要求支持中心地址屏蔽来自搜索引擎的页面访问，当中心架设在公网时防止他人恶意访问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要求支持远程桌面任务应答时间配置，可设置超时处理方式，拒绝或接受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要求支持中心升级可配置手动、自动以及指定升级代理服务器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要求支持可对终端添加多个中心地址,当终端接入网络环境时,中心可对终端实施管控</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要求支持终端安装部署页面可自定义设置部署页通知文字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要求中心可对全网终端下发登记任务，需登记的信息可自定义内容，支持设置必填项或非必填项；且可开启终端安装资产登记功能，运行安装包后需先填写登记信息才可继续安装。</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要求中心可按全网统计软件安装情况，包括软件名称、发布者、版本号、安装率；可对全网推送软件卸载任务且支持导出软件清单；按终端、按分组统计软件安装情况，可推送卸载任务</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要求中心可统计全网操作系统版本信息、安装时间、激活状态且具有操作系统占比可视化数据图</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要求中心可统计全网终端硬件信息包括CPU、内存、硬盘、网卡、显卡、主板且支持硬件清单导出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要求中心支持全网终端硬件变更历史记录包括变更时间、变更硬件、操作</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终端运维管控</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展示终端基本信息：终端名称、计算机名称、本地IP、通信IP、MAC地址、终端类型、操作系统版本、病毒库版本、终端版本、唯一标识、防御功能状态、禁网状态、策略同步状态、最近登录用户、上线时间、终端标签等。能组合检索项进行全方位查询、定位、展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支持对终端下发快速查杀、全盘查杀、自定查杀任务，可推送终端升级、发送通知、同步防护策略、垃圾清理、关机、重启等任务。中心支持将终端禁网，实现上网行为管控。支持将终端隔离区内文件恢复。支持将终端拉黑，避免占用授权点数。</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要求中心具有远程桌面功能，可关闭系统自带的远程桌面，使用火绒远程桌面功能替代，预防黑客远程桌面爆破</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要求中心可预览终端系统用户信息、软件信息、漏洞信息、计划任务且支持对终端网络信息进行配置，可配置IP地址、DNS</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要求支持自定义标签内容，将标签自定义给予终端，可灵活对终端进行标记</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要求中心可对终端下发文件分发任务，支持仅接收、接收并运行、以系统权限运行且可携带运行参数</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要求可设置定时任务，支持快速查杀、全盘查杀、自定义查杀、漏洞修复、终端升级、发送通知、垃圾清理、关机、重启且配置执行方式：自定义计划、单次执行、开机执行、登录执行计划任务</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要求中心可查看下发任务详情，包括任务执行状态、任务创建时间、过期时间且可终止已下发任务</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漏洞扫描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补丁修复</w:t>
            </w:r>
          </w:p>
        </w:tc>
        <w:tc>
          <w:tcPr>
            <w:tcW w:w="1320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要求支持漏洞集中修复、统一修复高危漏洞、统一修复所有漏洞，并展示以修复补丁和未修复补丁的信息</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0"/>
                <w:szCs w:val="20"/>
                <w:u w:val="none"/>
              </w:rPr>
            </w:pP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要求支持带宽设置：可限制终端下载补丁时的最大并发数及单个连接最大下载速度，缓解对带宽带来的压力</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要求支持补丁忽略：可以按照补丁进行忽略，忽略的补丁将不再修复，防止终端打补丁后造成系统或业务进程崩溃</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要求支持补丁文件管理，缓存在中心本地的补丁，可进行下载</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要求支持热补丁机制，利用产品自身防御功能，防护其他软件出现的漏洞，阻止对计算机造成损害</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反病毒引擎</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要求具有反病毒底层技术，反病毒引擎为本地反病毒引擎，不依赖云（联网时的病毒查杀能力与断网时的病毒查杀能力一致）。具有轻量级的病毒库，却有较强的病毒查杀能力</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要求反病毒引擎具备全文哈希、分段哈希、局部敏感哈希、关键数据特征等扫描技术，可提取恶意代码中关键代码或数据片段来标识恶意代码</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要求反病毒引擎具有虚拟沙盒技术，能对待扫描的PE样本应用通用脱壳和动态行为扫描技术，用较少的记录，长期、有效地检出家族性样本。且虚拟沙盒接近真实 CPU 的执行效率和高还原度的操作系统环境仿真且具有很强的抗干扰能力。</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要求反病毒引擎具有基于虚拟沙盒的动态行为分析，可以跟踪和记录运行在其中程序的行为，通过行为记录，可以通过启发式分析算法对程序的恶意性进行评估。</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要求反病毒引擎具有代码级修复能力，对寄生类恶意代码拥有完善的解决方案。</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要求具有脚本动态行为启发查杀，无需静态特征，在可控虚拟沙盒中还原脚本病毒执行逻辑并评估恶意性</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要求支持对各种加壳的病毒文件进行病毒查杀，包括病毒使用的自定义壳、代码混淆器在内的所有其他代码级对抗技术，均可解决。</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要求特征库具备轻巧性，将特征高度复用、重组恶意代码 DNA 片段来描述不同的恶意代码，最大限度减少特征库中的冗余数据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要求反病毒引擎具备虚拟机(DAT)规则库、病毒库PROP、PSET、PRO内置规则库</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恶意威胁防范</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要求支持基于HTTP协议的数据流量检测，可检测恶意代码并追溯恶意代码来源</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要求支持无需沙箱即可针对包括但不限于Web服务器、数据库软件、Office软件、编辑软件、浏览器、设计软件等软件进行加固，防止前述软件漏洞被攻击者（人或程序）利用进而进行渗透攻击</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要求支持对无文件攻击的检测和清除</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支持暴破攻击防护，阻止黑客通过SMBv1、SMBv2、 RPC、SQLServer、PDP协议进行暴力破解攻击</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支持Web服务保护，保护 Web 服务，阻止黑客针对高危Web服务进行漏洞渗透攻击，包括Apache、Nginx、IIS、PHPStudy、Tomcat等的高危漏洞</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要求支持对引导区、系统进程、启动项、服务、驱动、系统组件、系统关键位置、网络驱动器等位置进行病毒查杀</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要求支持勒索病毒诱捕，可在根目录生成txt、pem、sql、xlsx、mdb、jpg、rtf、xls、doc、docx等格式的诱捕文件，当出现勒索行为，对其进行捕获并进行隔离</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要求支持邮件病毒检测及清除能力:支持邮件接收、发送检测；邮件文件静态检测、清毒。同时，至少同时支持Foxmail、Outlook、Express. Notes 和Netscape等客户端邮件系统的防(杀)病毒</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要求支持恶意网站拦截，可拦截携带木马、盗号、钓鱼仿冒、虚假欺诈、流氓软件等程序的具有恶意行为的网站</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要求具有阻止黑客通过桌面爆破植入勒索病毒防护能力，可针对弱口令弊端、暴力猜密码等一切基于RDP协议的爆破进行有效阻止</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w:t>
            </w:r>
            <w:r>
              <w:rPr>
                <w:rStyle w:val="131"/>
                <w:lang w:val="en-US" w:eastAsia="zh-CN" w:bidi="ar"/>
              </w:rPr>
              <w:t>病毒库更新周期为一天一更新，紧急或重大事故出现可及时升级</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w:t>
            </w:r>
            <w:r>
              <w:rPr>
                <w:rStyle w:val="131"/>
                <w:lang w:val="en-US" w:eastAsia="zh-CN" w:bidi="ar"/>
              </w:rPr>
              <w:t>十万多种家族类型病毒，亿级别以上样本数量</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防病毒</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文件实时监控，当文件被执行、生成、访问时，文件实时监控通过火绒反病毒引擎对相应文件进行扫描。用户可以根据自己需求配置不同的扫描策略，包括扫描时机和反病毒引擎相关配置等，从而在不影响日常电脑使用的基础上，实时保护电脑不受病毒侵害</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要求支持恶意行为监控，通过监控程序运行过程中是否存在恶意操作来判断程序是否安全，从而可以作为传统特征查杀的补充，极大提升电脑反病毒能力</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要求支持U盘保护，U盘接入电脑时自动扫描根目录下文件、自动扫描被病毒修改的项目，保护电脑不被感染</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要求支持下载保护，对互联网、即时通讯软件或网盘等下载的文件进行扫描</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支持Web扫描，应用程序与网站服务器进行通讯时，Web 扫描功能会检测网站服务器返回的数据，并及时阻止其中的恶意代码</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支持邮件监控，实时监控邮件当中的附件是否有病毒，并且可以自行配置规则</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网络防御</w:t>
            </w:r>
          </w:p>
        </w:tc>
        <w:tc>
          <w:tcPr>
            <w:tcW w:w="1320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支持网络入侵拦截，拦截高危远程漏洞攻击，从而阻止勒索病毒、黑客攻击等通过响应漏洞入侵，可溯源到攻击源的地址，做出有效的动作，阻止病毒爆发</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0"/>
                <w:szCs w:val="20"/>
                <w:u w:val="none"/>
              </w:rPr>
            </w:pP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支持对外攻击检测，检测内网机器对外攻击情况阻止并且记录</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支持远程登录防护， 针对弱口令账号的有效防御手段，阻止黑客通过暴力猜密码入侵电脑，可以有效的阻止基于RDP协议的入侵方式</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支持僵尸网络防护，检测网络传输的数据包中是否包含远程控制代码，通过中断这些数据包传输以避免电脑被黑客远程控制</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支持暴破攻击防护，阻止黑客通过SMBv1、SMBv2、 RPC、SQLServer、PDP协议进行暴力破解攻击</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支持Web服务保护，保护 Web 服务，阻止黑客针对高危Web服务进行漏洞渗透攻击</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支持恶意网站拦截，拦截网站中带有木马、欺诈、钓鱼、等程序的网站，保护用户利益</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横向渗透防护，防护内网中已中毒机器感染其他主机，阻止横向传播、病毒以及木马的扩散。防护项包括默认共享访问、远程服务创建、远程计划任务创建、远程注册表篡改、远程MMC调用、远程DCOM调用、远程WMI调用。有效阻止病毒横向渗透。</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系统防护</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系统加固，针对病毒会利用或修改的系统脆弱点，设置相应的防护规则，有效保护系统关键文件不被篡改、破坏或恶意创建，防止特定注册表项目不被恶意篡改，监控针对系统的敏感行为，拦截高风险动作，阻止特定命令行被恶意利用的行为，保护系统关键进程不被攻击利用，针对病毒特殊行为进行免疫等</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支持应用加固，通过对容易被恶意代码攻击的软件进行行为限制，防止这些软件被恶意代码利用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支持软件安装拦截，对曾经被推广过或是本身带有捆绑行为的软件进行安装拦截</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支持摄像头防护，任意电脑软件要启用摄像头时火绒弹窗询问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支持浏览器防护，保护浏览器的主页不被病毒锁定，也可自行设置主页地址</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访问控制</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有终端动态口令验证功能，当终端用户登录计算机时都将弹出动态口令安全认证窗口，若用户设置了计算机密码，该弹窗将在用户输入正确的账户密码后弹出。用户需再次输入正确的动态口令才可登入计算机。且可设置应用范围：远程登录时启用或本地登录时启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支持IP协议控制，根据内网中的安全状态，灵活配置IP协议以及端口，在病毒爆发的第一时间迅速利用IP协议控制来遏止病毒的扩散或入侵行为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支持IP黑名单，添加需要限制的IP地址，当在黑名单中的IP地址对电脑进行访问时，自动阻止访问行为，并计入安全日志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支持联网控制，自定义阻止某程序联网，自行管控电脑中所有程序是否联网。可通过文件sha1、文件路径方式配置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支持网站内容控制，自定义限制计算机访问指定网址，达到屏蔽该网站的目的。限制访客访问不受信任的网站。</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支持程序执行控制，自定义限制终端使用某软件；可通过文件sha1、文件路径方式配置</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支持设备控制，可</w:t>
            </w:r>
            <w:r>
              <w:rPr>
                <w:rStyle w:val="132"/>
                <w:lang w:val="en-US" w:eastAsia="zh-CN" w:bidi="ar"/>
              </w:rPr>
              <w:t>对U盘（可限制读写权限、加密、使用范围）、便携设备、USB有线无线网卡、打印机、光驱、蓝牙等设备禁用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要求具有U盘信任功能，当终端开启访问控制-设备控制-U盘设备时，可以通过在中心的“信任设备”功能来添加需要信任的移动存储设备，以允许该设备在任意终端使用。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要求支持对U盘注册的同时进行加密，即使U盘丢失，也可保护数据，防止数据泄露</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安全工具</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支持终端安全工具的使用管控，包括漏洞修复、系统修复、弹窗拦截、垃圾清理、文件粉碎、启动项管理、右键管理、断网修复、网络流量</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要求终端具有漏洞修复工具，可在本地直接运行对高危漏洞、功能漏洞进行修复</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要求终端具有系统修复工具，修复因病毒等导致的系统异常，通过对注册表等相关系统配置修复系统被禁用的功能</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要求终端具有弹窗拦截工具，具备自动拦截方式，手动截图拦截方式，可拦截流氓、广告、以及恶意弹窗等</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要求终端具有垃圾清理工具，可对系统运行时产生的垃圾、软件缓存垃圾、注册表垃圾、快捷方式垃圾等进行清理</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要求终端具有启动项管理工具，可管理各类软件的开机自启动，包括启动项、服务项、计划任务项，可禁用以及允许启动</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要求终端具有文件粉碎工具，可将需要强制删除或彻底粉碎的文件拖入工具中进行粉碎</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要求终端具有断网修复攻击，可通过对网络硬件配置、网络连接配置、DHCP、DNS、HOST、LSP协议、IE代理、环境变量等项目进行检查修复后恢复网络</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要求终端具有流量监控工具，可对系统的所有程序流量使用情况进行监控，可按照程序名称、程序类别、下载速度、上传速度、连接数等预览项进行预览，且可限制网速、定位文件、查看文件属性、结束进程</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日志报表</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w:t>
            </w:r>
            <w:r>
              <w:rPr>
                <w:rStyle w:val="131"/>
                <w:lang w:val="en-US" w:eastAsia="zh-CN" w:bidi="ar"/>
              </w:rPr>
              <w:t>支持各类事件日志，包含病毒查杀日志、病毒防御事件日志、系统防御事件日志、网络防御事件日志、访问控制事件日志、漏洞修复事件日志、终端管理日志、系统管理日志</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要求病毒查杀日志可按照时间、系统类型、终端名称、终端分组、本地IP、病毒ID、病毒名称、病毒路径、查杀类型、处理结果、病毒库版本等检索项进行检索且可导出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要求防病毒日志可按照时间、终端名称、终端分组、本地IP、病毒ID、病毒名称、病毒路径、操作进程、操作进程命令行、父进程、父进程命令行、检出动作、处理结果等检索项进行检索且可导出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系统防护日志可按照时间、终端名称、终端分组、本地IP、防护类型、防护项目、保护路径、保护内容扩展、操作类型、操作进程、操作进程命令行、父进程、父进程命令行、处理结果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要求网络防御日志可按照时间、终端名称、终端分组、本地IP、攻击方式、协议、本地地址、攻击地址、关联进程、处理结果等检索项进行检索且可导出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要求访问控制日志可按照时间、终端名称、终端分组、本地IP、规则名称、协议、触犯动作、远程地址、本地地址、操作进程、操作进程命令行、处理结果等检索项进行检索且可导出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要求漏洞修复日志可按照时间、终端名称、终端分组、本地IP、下载地址、补丁编号、补丁描述、补丁类型、处理结果等检索项进行检索且可导出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要求终端日志可按照时间、终端名称、终端分组、本地IP、升级前版本、升级后版本、升级结果、操作描述等检索项进行检索且可导出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要求系统日志可按照时间、升级模块、升级前版本、升级后版本、升级地址、升级结果、管理员名称、管理员类型、管理员IP、操作模块、操作描述等检索项进行检索且可导出</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资质证明</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要求具备</w:t>
            </w:r>
            <w:r>
              <w:rPr>
                <w:rStyle w:val="131"/>
                <w:lang w:val="en-US" w:eastAsia="zh-CN" w:bidi="ar"/>
              </w:rPr>
              <w:t>《计算机信息系统安全专用产品销售许可证》、《计算机软件著作权登记证书》、国家计算机病毒应急处理中心检测报告</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要求与</w:t>
            </w:r>
            <w:r>
              <w:rPr>
                <w:rStyle w:val="131"/>
                <w:lang w:val="en-US" w:eastAsia="zh-CN" w:bidi="ar"/>
              </w:rPr>
              <w:t>红旗、神州网信、UOS、麒麟系列等；兼容国产鲲鹏处理器；且具备兼容认证证书</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要求具备ISO9001质量管理体系认证证书</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用户使用授权许可</w:t>
            </w:r>
          </w:p>
        </w:tc>
        <w:tc>
          <w:tcPr>
            <w:tcW w:w="13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中心平台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用户使用授权许可500用户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三年服务</w:t>
            </w: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8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bl>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tbl>
      <w:tblPr>
        <w:tblStyle w:val="39"/>
        <w:tblW w:w="13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5"/>
        <w:gridCol w:w="1874"/>
        <w:gridCol w:w="8787"/>
        <w:gridCol w:w="893"/>
        <w:gridCol w:w="11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340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音视频编辑室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专用音声卡</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24-bit/192 kHz USB 2.0 音频接口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4个 Class-A 级 D-PRE 话放，支持 +48V 幻象电源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Rupert Neve Designs 变压器，每个通道都有独立的开关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个模拟 XLR/TRS 混合输入（输入 1 带 Hi-Z 开关）， 2 个 TRS 线性输入，带独立电平控制的耳机接口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零延迟监听，附带 REV-X reverb, Channel Strip 和Guitar Amp Classics 数字效果器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附带 dspMixFx 编辑器，适用于 Windwos，macOS 和 iOS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MIDI 输入和输出接口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全金属外壳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附带针对 Mac 和 PC 开发的 Cubase AI 宿主软件（只支持 64 位） 以及为 iPad 设计的 Cubasis LE 宿主软件</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麦克风</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音头：34MM纯金大震膜。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电路：OP放大平衡输出（全进口元器）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频响范围：20HZ-20KHZ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输出阻抗：200ohms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灵敏度：34mv(ref 1k@pasca)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等效噪声级：10dB（A计权）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信噪比：87dB(ref 1k@pasca)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最大声压级：128dB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工作电压：48V-65V幻想供电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总高度：209mm（除去防震架主体高）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安装方式：防震架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材质：全合金表面喷涂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接口：标准XLR卡农三芯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净重：510G（不含防震架）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配件：话筒/防震架/定制卡农线/木盒</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单通道话放通道条带压缩器</w:t>
            </w:r>
          </w:p>
        </w:tc>
        <w:tc>
          <w:tcPr>
            <w:tcW w:w="8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灵活输入端口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M1同时设计了Hi-Z、Mic、Line三种接口，其中前面板DI设计为占用自动切换。平衡***噪音输出。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技术规格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一个麦克风（MIC）输入，卡农母头（带有+48V供电，兼容非平衡信号）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一个线性（LINE）输入，卡农母头（兼容非平衡信号，电平少6dB）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一个高阻抗（Hi-Z）乐器，1/4TS接口（在前面板）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一个线性（LNE）输出，卡农公头（兼容非平衡信号，电平少6dB）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放大器技术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高功率分立放大器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性能指标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输入阻抗：麦克风2k Ohm，线性22kOhm，高阻抗（Hi-Z)2MOhm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输出阻抗：600Ohm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增益：75dB，麦克风范围从20至75dB，线性（UNE）范围从0至40dB，高阻抗（Hi-Z）范围从0至40d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压缩技术：VCA类型，启动释放时间自动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染色技术：Warm、Air</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输出：+27dBu，0.1%失真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信号兼容性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麦克风：电容麦克风，履带麦克风，动圈麦克风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乐器：电吉他，电bass，合成器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音频接口：线性（LNE)输入、输出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电压、功耗及使用要求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电压：100伏至125伏交流电，1安培；220伏至240伏交流电，0.5安培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频率：50Hz至60Hz，单相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功耗：低于15w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工作温度：10°℃至35℃（50F至95°F）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存放温度：-40°℃至47°℃（-40°F至116°F）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相对湿度：非凝结状态下5%至95%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尺寸与重量：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高：45mm，宽483mm，深260mm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重量：5kg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产品认证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该产品已获得FCC强制安全认证证书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入和Hi-Z输入不可用。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M1输入设计了麦克风、线性和HI-Z三种输入的切换，请注意当Hi-Z使用时麦克风和线性输入不可用。当麦克风使用时线性输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48V幻象电源请勿在电子管话简、动圈话筒上开启。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OUTPUT METTER显示话放的内部工作电平，它的大小由GAIN来控制，LEVEL旋钮控制输出电平。</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母带限幅器</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通道数:立体声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最大响度提升增益:20dB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LEVEL旋钮控制范围:20dB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频率响应(取值±0.5dB): 20Hz ~ 22kHz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输入阻抗:LINE in @22k Ohms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输出阻抗:600 Ohms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信噪比：-70dBu</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尺寸:标准 1U(长 483mm，高 45mm，深 270mm)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重量:约 4kg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2个卡农母头输入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2个卡农公头输出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40x步进电位器控制</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midi键盘控制器</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软件规格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1、附带有600个音色的Analog Lab音源软件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2、附赠Ableton Lite宿主软件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3、附赠Plano V钢琴音源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硬件规格：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1、49或61键，带高质量半配重力度感应琴键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2、16个RGB背光打击垫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3、带3个库的9个旋钮编码器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4、带4个CV/Gate控制模块设备输出，控制pitch，gate，modulation参数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5、与所有Arturla软件乐器无缝整合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多种DAW软件控制映射预设，并带磁性覆盖标签贴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6、齐全的接口：包括表情踏板、延音踏板、CV/Gate、MIDI、USB和3个可分配的辅助踏板接口</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专业图形工作站</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1.品牌：中国自主品牌商用图形工作站；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2.处理器：Intel Core i7 十代处理器；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3.内存：64GB，标配4个内存插槽，最大内存支持65GB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4.硬盘：256GB SSD M.2 2280 NVMe+2TB HD 7200RPM 3.5” 机械硬盘原装原配官网可查，不接受拆改配机型；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5.专业显卡：RTX3060 12GB；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6.网卡：集成10/100/1000M以太网卡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7.接口：前置6 USB 3.2( 1 TYPE-C )，后置1 PS2接口、4 USB接口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8.PCI 槽位：1个PCIe 3.0 ×16插槽，1个PCIe ×4插槽，1个PCIe ×1插槽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9.声卡：集成声卡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10.电源：≥400w  节能电源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11.操作系统： WIN10 home 64bit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12.机箱：塔式标准机箱，不大于18L，节省空间；内嵌式把手设计，易于搬运，顶置电源开关键，方便使用；；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13.显示器：同主机品牌27”WLED，16：9，1920×1080，VGA+DVI接口，250 cd/㎡亮度，2ms响应时间，1000：1对比度，支持壁挂，低蓝光护眼技术（投标时提供国际权威低蓝光技术产品认证证书）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14.产品质量保证：所有配置可通过官方的800/400服务热线可查询到配置信息，所有产品必须是全新定制的, 设备必须为包装未拆封，且生产日期不得早于投标日期，如未满足招标要求中任一要求一律拒收，并终止合同的执行，同时追究相关责任，并赔偿以此造成的一切损失；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15.制造厂商原厂通过国家信息安全测评信息安全服务资质证书（安全工程类一级）；售后服务体系通过国家CCCS钻石五星级认证（提供连续五年的证书）；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专用监听音箱</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较大输出声压级：107dB SPL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频率范围（-3dB）：48Hz-20kHz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分频点：2.5kHz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低频单元：165mm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高频单元：25mm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功放功率（低频+高频）：80W+50W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输入阻抗：10kOhm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电源电压：100-230V(+/-10%)自适应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功率消耗（待机/空闲/满电平输出）：&lt;0.5W/10W/60W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尺寸：337 x 235 x 229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重量：7.4kg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单元尺寸： 6.5寸</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专用耳机</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1.连接方式：3.5/6.3mm立体声插头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2.佩戴方式：头戴式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3.发声原理：动圈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4.频响范围：5-35000Hz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5.灵敏度：96dB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6.总谐波失真:&lt;0.2%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7.额定功率：100mW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8.耳机线：3M</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音频编辑软件</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Cubase Pro11(含加密狗正式版本)</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音频线路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音频线路 国标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UPS主机</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UPS类型：高频在线式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额定容量：20KVA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输入电压范围：304-478V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输入频率范围：45-55Hz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输出电压范围：220±1%V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输出频率范围：50±0.05（电池模式）Hz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输出电压波形：纯正弦波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通信和管理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接口端口：标准RS232接口，支持电源监控软件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面板显示：负载容量，电池容量，市电模式，电池模式，旁路模式，故障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保护：过压保护，电池欠压保护，过载保护，短路保护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过载能力：105-125%，10分钟后旁路；125-150%，1分钟后旁路；＞150%，1秒后旁路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后备时间:可任意扩展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电池类型:电压：192V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充电时间:＜10小时</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12V100AH</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A16（含电池连接线）</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线缆、线鼻、等安装辅材</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55寸云屏</w:t>
            </w:r>
          </w:p>
        </w:tc>
        <w:tc>
          <w:tcPr>
            <w:tcW w:w="8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硬件要求：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1.整机边框采用高强度铝合金边框，坚固可靠。角部采用圆角设计。外边框采用喷涂环保木纹工艺。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2.整机采用高雾度蛾眼液晶屏体，表面偏光纳米涂层增益屏体漫反射形成真实视感。屏体雾度≥25%，无需防眩光钢化玻璃或磨砂防眩光贴膜，全方位可视角度≥178°。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3.液晶屏显示尺寸≥55寸，分辨率≥3840*2160，显示比例16:9，支持横、竖安装方式。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4.整机对比度≥4000：1，色彩度≥16.7M（8bit），色域≥72%。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5.整机采用ELED背光，亮度≥350cd/m²。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6.工作温度0℃~40℃，工作湿度10%~90%RH，存储温度-20℃~60℃，存储湿度10%~90%RH，工作高度5000米以下。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7.整机最大功耗≤138W，待机功耗≤0.5W。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8.整机最大显示亮度≥350nit。整机具备光线感应功能，根据环境光强度自动调整显示亮度。(提供国家认可的检测机构出具的检测报告复印件并加盖公章)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9.整机安装到墙面后无任何外置、外露、外挂的线材、天线及元器件模块。(提供国家认可的检测机构出具的检测报告复印件并加盖公章)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10.内置2.0声道环绕功放，功率为2*8w，支持音视频声音外放。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11.整机采用壁挂安装，整机与壁挂连接采用教育定制安全设计，须用专用工具锁定、解锁。(提供国家认可的检测机构出具的检测报告复印件并加盖公章)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12.整机采用超薄设计。整机厚度≤46mm。(提供国家认可的检测机构出具的检测报告复印件并加盖公章)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13.整机背部与墙面微距全贴合，背部与平整墙面间隙最大处≤2mm，边框边缘与平整墙面间隙最大处≤7mm。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14.整机接口：USB2.0*2，HDMI-IN*1,RJ45*1，内置Wi-Fi模块（10M/100M/1000M），内置蓝牙模块（支持蓝牙4.0、BLE）。全部端口采用隐藏设计，无可见外露端口。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15.基于Android9.0系统或其以上为基础的原生态版本或定制版本，采用4核CPU，工作频率≥1.9GHz。运行内存2G，存储空间8G。支持最大64G的TF卡扩展存储。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16.兼容主流多媒体格式。视频格式：MPEG1、MPEG2、MPEG4、H.263、H.264等；音频格式：MP3等；图片格式：JPG、JPEG、BMP、PNG、GIF等。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17.支持后台远程设置整机自动开关机。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18.信息发布系统与设备一体化集成，无需外接任何信息发布设备即可完成信息发布。(提供国家认可的检测机构出具的检测报告复印件并加盖公章)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19.整机带有三个实体按键，可以对播放的节目进行前后翻页和暂停/播放控制。(提供国家认可的检测机构出具的检测报告复印件并加盖公章)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20.支持手机通过蓝牙连接整机，对整机进行遥控控制。(提供国家认可的检测机构出具的检测报告复印件并加盖公章)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21.信息发布系统一体化，无需外接任何设备如发布盒子等。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软件要求：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1.后台管理系统采用“B/S”架构，支持跨平台应用操作的能力。后台管理系统采用SaaS服务方式，支持分布式区域管理技术，可以高效快速的实现跨区域的管理和内容分发，实现对设备的远程控制与管理。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2.设备支持web端后台管理系统进行设备管理、内容管理和发布，也可支持通过移动端小程序进行内容管理和发布。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3.后台管理系统支持微信扫码登录和账号登录。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4.支持手动单个增加场地信息，也可用EXCEL批量导入不同场地信息。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5.支持手动单个增加班级信息，也可用EXCEL批量导入不同班级的课表信息。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6.支持使用EXCEL批量导入管理员等其他各类基础数据。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7.支持聚合信息订阅展示，使用者可订阅并将相应内容加入到节目单中进行定制化展示。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8.支持通过网页端管理后台发布相册、视频、新闻、公告等无需额外安装应用。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9.后台管理系统支持云图库功能，系统内置不少于180份的正版宣传内容。（提供国家权威质量监督检验中心的检测报告）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10.支持通过网页管理后台将图库资源（卫生健康、党建文化、科普知识、社会主义核心价值观等主题内容）发布到云屏设备上进行展示。（提供国家权威质量监督检验中心的检测报告）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11.（提供国家权威质量监督检验中心的检测报告）网页端管理后台支持图片相册轮播展示设置，轮播间隔可自由设置5~9999秒/张图片。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12.支持网页端管理后台，设置多图集节目轮播或逐级逐个轮播。（提供国家权威质量监督检验中心的检测报告）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13.支持通过网页端管理权限分配，指定场地设备管理员。（提供国家权威质量监督检验中心的检测报告）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14.支持通过网页管理后台，设置多组定时开关机计划。（提供国家权威质量监督检验中心的检测报告）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15.支持远程设备重启、接触与场地绑定、更新数据等功能。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16.支持在设备上生成二维码，通过微信扫码方式将设备与场地关联。（提供国家权威质量监督检验中心的检测报告）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17.支持通过遥控器或微信小程序对云屏数据进行手动更新。（提供国家权威质量监督检验中心的检测报告）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18.应用软件和系统软件支持远程OTA静默升级。（提供国家权威质量监督检验中心的检测报告）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19.支持通过网页管理后台，设置图片、视频、倒数日、课表、公告和通知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在设备上展示。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20.支持在设备端展示图片、视频、通知、公告等内容。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21.支持微信小程序创建校园海报，并快速发布至设备端上展示。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22.小程序内集成图库资源，支持通过微信小程序将图库内图片一键发送到设备上展示；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23.小程序内提供常用的校园海报模板和校园场景相关的图片资源。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24.支持通过微信小程序将图库资源（卫生健康、党建文化、科普知识、社会主义核心价值观等主题内容）发布到设备上进行展示。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支持通过微信小程序将校园海报模板（100余套，卫生健康、荣誉表扬、倒计时、校园风采、欢迎模式、公告通知、诗词鉴赏、节日活动、手抄报和科普知识等主题内容）发布到设备上进行展示。（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提供国家权威质量监督检验中心的检测报告）支持通过小程序对校园海报模板内容进行字体修改（不低于10种字体）、支持对字号大小修改（20px~600px）、支持字体颜色修改（24种颜色）、支持对文本对齐方式修改（右对齐、居中对齐、左对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27.支持对校园海报模板插入的图片进行自由剪裁。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28.（提供国家权威质量监督检验中心的检测报告）支持对文字元素框进行复制、删除、移动、拉伸。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29.支持对图片框进行复制、放大、删除和移动。（提供国家权威质量监督检验中心的检测报告）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29.支持替换原海报模板上图片元素，并支持多种常用格式。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31.支持通过小程序将发布的校园海报设置为临时霸屏模式，也可设置为插入播放模式，与原节目一起播放。（提供国家权威质量监督检验中心的检测报告）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32.支持对编辑后的校园海报进行下载和分享，可直接下载到本地相册；也可分享给微信好友和微信群，或生成分享大图保存到相册。（提供国家权威质量监督检验中心的检测报告）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33.）支持对图库资源进行分享和生成分享大图，可分享给微信好友和微信群，或生成分享大图保存到相册。</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86寸云屏</w:t>
            </w:r>
          </w:p>
        </w:tc>
        <w:tc>
          <w:tcPr>
            <w:tcW w:w="8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硬件要求：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1.画框风格外观设计，四等边边框设计，保证视觉比例的协调。采用高强度折弯合金边框，防刮防掉色。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2.整机采用高雾度蛾眼液晶屏体，表面偏光纳米涂层增益屏体漫反射形成真实视感。屏体雾度≥25%，无需防眩光钢化玻璃或磨砂防眩光贴膜，全方位可视角度≥178°。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3.液晶屏显示尺寸≥86寸，分辨率≥3840*2160，显示比例16:9。</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4.屏幕增益强化真实视感，图像柔和逼真，显示效果贴近真实油画。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5.内置2.0声道环绕功放，支持音视频声音外放。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6.整机采用壁挂安装，整机与壁挂连接采用教育定制安全设计，须用专用工具锁定、解锁，确保使用安全及学校财产安全。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7.兼容主流多媒体格式。视频格式：MPEG1、MPEG2、MPEG4、 H.263、H.264等；音频格式：MP3等；图片格式：JPG、JPEG、BMP、PNG、GIF 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8.终端支持后台远程设置整机自动关机。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9.信息发布系统一体化，无需外接任何设备如发布盒子等。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支持手机通过蓝牙连接整机，对整机进行遥控控制。（提供权威检测报告）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10.整机接口：USB2.0*2，HDMI-IN*1,RJ45*1，内置Wi-Fi模块（10M/100M/1000M），内置蓝牙模块（支持蓝牙4.0、BLE）。全部端口采用隐藏设计，无可见外露端口。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11.基于Android9.0系统或其以上为基础的原生态版本或定制版本，采用4核CPU，工作频率≥1.9GHz。运行内存2G，存储空间8G。支持最大64G的TF卡扩展存储。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12.含两台移动架子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软件要求：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1.后台管理系统采用“B/S”架构，支持跨平台应用操作的能力。后台管理系统采用SaaS服务方式，支持分布式区域管理技术，可以高效快速的实现跨区域的管理和内容分发，实现对设备的远程控制与管理。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2.设备支持web端后台管理系统进行设备管理、内容管理和发布，也可支持通过移动端小程序进行内容管理和发布。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3.后台管理系统支持微信扫码登录和账号登录。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4.支持手动单个增加场地信息，也可用EXCEL批量导入不同场地信息。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5.支持手动单个增加班级信息，也可用EXCEL批量导入不同班级的课表信息。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6.支持使用EXCEL批量导入管理员等其他各类基础数据。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7.支持聚合信息订阅展示，使用者可订阅并将相应内容加入到节目单中进行定制化展示。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8.支持通过网页端管理后台发布相册、视频、新闻、公告等无需额外安装应用。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9.后台管理系统支持云图库功能，系统内置不少于180份的正版宣传内容。（提供国家权威质量监督检验中心的检测报告）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10.支持通过网页管理后台将图库资源（卫生健康、党建文化、科普知识、社会主义核心价值观等主题内容）发布到云屏设备上进行展示。（提供国家权威质量监督检验中心的检测报告）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11.（提供国家权威质量监督检验中心的检测报告）网页端管理后台支持图片相册轮播展示设置，轮播间隔可自由设置5~9999秒/张图片。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12.支持网页端管理后台，设置多图集节目轮播或逐级逐个轮播。（提供国家权威质量监督检验中心的检测报告）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13.支持通过网页端管理权限分配，指定场地设备管理员。（提供国家权威质量监督检验中心的检测报告）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14.支持通过网页管理后台，设置多组定时开关机计划。（提供国家权威质量监督检验中心的检测报告）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15.支持远程设备重启、接触与场地绑定、更新数据等功能。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16.支持在设备上生成二维码，通过微信扫码方式将设备与场地关联。（提供国家权威质量监督检验中心的检测报告）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17.支持通过遥控器或微信小程序对云屏数据进行手动更新。（提供国家权威质量监督检验中心的检测报告）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18.应用软件和系统软件支持远程OTA静默升级。（提供国家权威质量监督检验中心的检测报告）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19.支持通过网页管理后台，设置图片、视频、倒数日、课表、公告和通知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20.在设备上展示。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21.支持在设备端展示图片、视频、通知、公告等内容。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22.支持微信小程序创建校园海报，并快速发布至设备端上展示。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23.小程序内集成图库资源，支持通过微信小程序将图库内图片一键发送到设备上展示；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24.小程序内提供常用的校园海报模板和校园场景相关的图片资源。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25.支持通过微信小程序将图库资源（卫生健康、党建文化、科普知识、社会主义核心价值观等主题内容）发布到设备上进行展示。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支持通过微信小程序将校园海报模板（100余套，卫生健康、荣誉表扬、倒计时、校园风采、欢迎模式、公告通知、诗词鉴赏、节日活动、手抄报和科普知识等主题内容）发布到设备上进行展示。（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27.（提供国家权威质量监督检验中心的检测报告）支持通过小程序对校园海报模板内容进行字体修改（不低于10种字体）、支持对字号大小修改（20px~600px）、支持字体颜色修改（24种颜色）、支持对文本对齐方式修改（右对齐、居中对齐、左对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28.支持对校园海报模板插入的图片进行自由剪裁。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29.（提供国家权威质量监督检验中心的检测报告）支持对文字元素框进行复制、删除、移动、拉伸。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30.支持对图片框进行复制、放大、删除和移动。（提供国家权威质量监督检验中心的检测报告）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31.支持替换原海报模板上图片元素，并支持多种常用格式。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32.支持通过小程序将发布的校园海报设置为临时霸屏模式，也可设置为插入播放模式，与原节目一起播放。（提供国家权威质量监督检验中心的检测报告）</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8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工业级，服务器专用2T/SATA.7.2K</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bl>
    <w:p>
      <w:pPr>
        <w:pStyle w:val="15"/>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pStyle w:val="4"/>
        <w:rPr>
          <w:rFonts w:hint="default" w:cs="Arial" w:asciiTheme="majorEastAsia" w:hAnsiTheme="majorEastAsia" w:eastAsiaTheme="majorEastAsia"/>
          <w:color w:val="000000" w:themeColor="text1"/>
          <w:sz w:val="15"/>
          <w:szCs w:val="15"/>
          <w:lang w:val="en-US" w:eastAsia="zh-CN"/>
        </w:rPr>
      </w:pPr>
    </w:p>
    <w:p>
      <w:pPr>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4"/>
        <w:rPr>
          <w:rFonts w:hint="default"/>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492678A"/>
    <w:rsid w:val="04C00E57"/>
    <w:rsid w:val="053F115C"/>
    <w:rsid w:val="056D52E8"/>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9A4646"/>
    <w:rsid w:val="08F442E1"/>
    <w:rsid w:val="0A263E36"/>
    <w:rsid w:val="0A904119"/>
    <w:rsid w:val="0AA51080"/>
    <w:rsid w:val="0AD14CDF"/>
    <w:rsid w:val="0B1E2CF3"/>
    <w:rsid w:val="0BE97EFE"/>
    <w:rsid w:val="0BFD77A1"/>
    <w:rsid w:val="0C1925DA"/>
    <w:rsid w:val="0C3044C8"/>
    <w:rsid w:val="0C38346D"/>
    <w:rsid w:val="0C496175"/>
    <w:rsid w:val="0C7E1DDA"/>
    <w:rsid w:val="0C8F33B1"/>
    <w:rsid w:val="0C91130F"/>
    <w:rsid w:val="0CA60EC1"/>
    <w:rsid w:val="0CEA39DE"/>
    <w:rsid w:val="0D782A7C"/>
    <w:rsid w:val="0D7C6A10"/>
    <w:rsid w:val="0DAB4740"/>
    <w:rsid w:val="0DAE227A"/>
    <w:rsid w:val="0DD84F05"/>
    <w:rsid w:val="0E0F7AD2"/>
    <w:rsid w:val="0E7375EB"/>
    <w:rsid w:val="0E9B355D"/>
    <w:rsid w:val="0EB85EFA"/>
    <w:rsid w:val="0F1E1CB3"/>
    <w:rsid w:val="0F60098A"/>
    <w:rsid w:val="0F7A6A9A"/>
    <w:rsid w:val="0F9B539A"/>
    <w:rsid w:val="0FF454B9"/>
    <w:rsid w:val="10185326"/>
    <w:rsid w:val="106C0466"/>
    <w:rsid w:val="10BA6B6F"/>
    <w:rsid w:val="10ED05B0"/>
    <w:rsid w:val="10FC366A"/>
    <w:rsid w:val="11896C4C"/>
    <w:rsid w:val="11CD14AD"/>
    <w:rsid w:val="12045226"/>
    <w:rsid w:val="120C530F"/>
    <w:rsid w:val="12FC7352"/>
    <w:rsid w:val="13434F3B"/>
    <w:rsid w:val="13613FFE"/>
    <w:rsid w:val="13937976"/>
    <w:rsid w:val="14604860"/>
    <w:rsid w:val="14BD7762"/>
    <w:rsid w:val="14C57C8A"/>
    <w:rsid w:val="14E42C49"/>
    <w:rsid w:val="14FA380C"/>
    <w:rsid w:val="157E0E30"/>
    <w:rsid w:val="15D77B51"/>
    <w:rsid w:val="162502C9"/>
    <w:rsid w:val="16550C64"/>
    <w:rsid w:val="16BD7C0A"/>
    <w:rsid w:val="16F073B5"/>
    <w:rsid w:val="17557A23"/>
    <w:rsid w:val="179C5730"/>
    <w:rsid w:val="17FB2C27"/>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E4744D0"/>
    <w:rsid w:val="1E572BD7"/>
    <w:rsid w:val="1E794B6C"/>
    <w:rsid w:val="1F374BDB"/>
    <w:rsid w:val="1F5F1CED"/>
    <w:rsid w:val="1F676B2A"/>
    <w:rsid w:val="1F6B31DF"/>
    <w:rsid w:val="1F7F5EEC"/>
    <w:rsid w:val="1F9729D8"/>
    <w:rsid w:val="202E472A"/>
    <w:rsid w:val="210B18C1"/>
    <w:rsid w:val="2114370F"/>
    <w:rsid w:val="21313124"/>
    <w:rsid w:val="21362D32"/>
    <w:rsid w:val="213A7228"/>
    <w:rsid w:val="217A4E7B"/>
    <w:rsid w:val="2180452F"/>
    <w:rsid w:val="218E27EC"/>
    <w:rsid w:val="220F17A9"/>
    <w:rsid w:val="223F09B3"/>
    <w:rsid w:val="22BD2FB3"/>
    <w:rsid w:val="22E633A0"/>
    <w:rsid w:val="23A90EBD"/>
    <w:rsid w:val="23B87B80"/>
    <w:rsid w:val="24C2033C"/>
    <w:rsid w:val="252C0395"/>
    <w:rsid w:val="256162F1"/>
    <w:rsid w:val="2570196D"/>
    <w:rsid w:val="25C03D0B"/>
    <w:rsid w:val="25CF6646"/>
    <w:rsid w:val="268B15D0"/>
    <w:rsid w:val="276D5AB3"/>
    <w:rsid w:val="278C389C"/>
    <w:rsid w:val="27B84691"/>
    <w:rsid w:val="27E91B4B"/>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E26BE9"/>
    <w:rsid w:val="2D104627"/>
    <w:rsid w:val="2D717B76"/>
    <w:rsid w:val="2DFC55A1"/>
    <w:rsid w:val="2E0D46EB"/>
    <w:rsid w:val="2E3D769E"/>
    <w:rsid w:val="2E86223B"/>
    <w:rsid w:val="2EAA2A37"/>
    <w:rsid w:val="2EAC071C"/>
    <w:rsid w:val="2EDB65BC"/>
    <w:rsid w:val="30043E92"/>
    <w:rsid w:val="30324C0F"/>
    <w:rsid w:val="309C411D"/>
    <w:rsid w:val="314F57A5"/>
    <w:rsid w:val="32E2051D"/>
    <w:rsid w:val="33064502"/>
    <w:rsid w:val="330D758E"/>
    <w:rsid w:val="333B73E0"/>
    <w:rsid w:val="33881640"/>
    <w:rsid w:val="33E44B64"/>
    <w:rsid w:val="340A4173"/>
    <w:rsid w:val="34160633"/>
    <w:rsid w:val="344717C2"/>
    <w:rsid w:val="346A28BB"/>
    <w:rsid w:val="34C22736"/>
    <w:rsid w:val="357D388C"/>
    <w:rsid w:val="357F059C"/>
    <w:rsid w:val="35CE71FD"/>
    <w:rsid w:val="362505B4"/>
    <w:rsid w:val="36D17804"/>
    <w:rsid w:val="37421C09"/>
    <w:rsid w:val="3821593A"/>
    <w:rsid w:val="38220352"/>
    <w:rsid w:val="385F05B6"/>
    <w:rsid w:val="388B1675"/>
    <w:rsid w:val="38F802A1"/>
    <w:rsid w:val="393B0F3D"/>
    <w:rsid w:val="39764E9F"/>
    <w:rsid w:val="39DD0704"/>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4E1E95"/>
    <w:rsid w:val="3F820BDF"/>
    <w:rsid w:val="3FF12E03"/>
    <w:rsid w:val="3FF516F1"/>
    <w:rsid w:val="400F00E4"/>
    <w:rsid w:val="403F1CA6"/>
    <w:rsid w:val="40594B80"/>
    <w:rsid w:val="40AA4AE5"/>
    <w:rsid w:val="414854D9"/>
    <w:rsid w:val="419035F4"/>
    <w:rsid w:val="41A46E67"/>
    <w:rsid w:val="41C053DF"/>
    <w:rsid w:val="422B54E7"/>
    <w:rsid w:val="429154A6"/>
    <w:rsid w:val="42D26954"/>
    <w:rsid w:val="42E95D61"/>
    <w:rsid w:val="43427AEA"/>
    <w:rsid w:val="43635AE7"/>
    <w:rsid w:val="439060FA"/>
    <w:rsid w:val="4398724F"/>
    <w:rsid w:val="43A165DF"/>
    <w:rsid w:val="43F959BD"/>
    <w:rsid w:val="440F51E1"/>
    <w:rsid w:val="44246A0A"/>
    <w:rsid w:val="443609BF"/>
    <w:rsid w:val="453A003B"/>
    <w:rsid w:val="454811F9"/>
    <w:rsid w:val="455917AC"/>
    <w:rsid w:val="456C4C82"/>
    <w:rsid w:val="459344EF"/>
    <w:rsid w:val="45E67D5B"/>
    <w:rsid w:val="45F8417E"/>
    <w:rsid w:val="461125FB"/>
    <w:rsid w:val="47013507"/>
    <w:rsid w:val="47272960"/>
    <w:rsid w:val="47A51EEF"/>
    <w:rsid w:val="47A66A72"/>
    <w:rsid w:val="47BF537F"/>
    <w:rsid w:val="47C86417"/>
    <w:rsid w:val="48324D26"/>
    <w:rsid w:val="48C05E50"/>
    <w:rsid w:val="48ED19CB"/>
    <w:rsid w:val="49C04A33"/>
    <w:rsid w:val="4AB65788"/>
    <w:rsid w:val="4AD036B3"/>
    <w:rsid w:val="4AD256CE"/>
    <w:rsid w:val="4B0215FB"/>
    <w:rsid w:val="4B83303B"/>
    <w:rsid w:val="4C203837"/>
    <w:rsid w:val="4C8D3147"/>
    <w:rsid w:val="4CAA6B2F"/>
    <w:rsid w:val="4CF10148"/>
    <w:rsid w:val="4CF3569F"/>
    <w:rsid w:val="4CFF2151"/>
    <w:rsid w:val="4D167E69"/>
    <w:rsid w:val="4D3D7474"/>
    <w:rsid w:val="4D6F17F8"/>
    <w:rsid w:val="4DC23D08"/>
    <w:rsid w:val="4E0B07A7"/>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B7F81"/>
    <w:rsid w:val="52ED12D8"/>
    <w:rsid w:val="534831A7"/>
    <w:rsid w:val="545E380D"/>
    <w:rsid w:val="549C03CB"/>
    <w:rsid w:val="54E34CD9"/>
    <w:rsid w:val="551758B9"/>
    <w:rsid w:val="557F62AC"/>
    <w:rsid w:val="55CC6BA1"/>
    <w:rsid w:val="56105BB5"/>
    <w:rsid w:val="56386FBA"/>
    <w:rsid w:val="565A1112"/>
    <w:rsid w:val="56B443C7"/>
    <w:rsid w:val="56F40992"/>
    <w:rsid w:val="571B6DE8"/>
    <w:rsid w:val="57520916"/>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D700D0"/>
    <w:rsid w:val="5BE57428"/>
    <w:rsid w:val="5BF82EE6"/>
    <w:rsid w:val="5BF907F8"/>
    <w:rsid w:val="5C0C052C"/>
    <w:rsid w:val="5C2E7375"/>
    <w:rsid w:val="5C381321"/>
    <w:rsid w:val="5C5E5DE0"/>
    <w:rsid w:val="5C881635"/>
    <w:rsid w:val="5C95407D"/>
    <w:rsid w:val="5CA76D5C"/>
    <w:rsid w:val="5CF6176C"/>
    <w:rsid w:val="5D0C4001"/>
    <w:rsid w:val="5D187F14"/>
    <w:rsid w:val="5D623885"/>
    <w:rsid w:val="5DFC012C"/>
    <w:rsid w:val="5E7B0CE3"/>
    <w:rsid w:val="5E98619E"/>
    <w:rsid w:val="5F4624A1"/>
    <w:rsid w:val="5FFA28BF"/>
    <w:rsid w:val="6000759F"/>
    <w:rsid w:val="60065292"/>
    <w:rsid w:val="601C0788"/>
    <w:rsid w:val="602476D2"/>
    <w:rsid w:val="602E272E"/>
    <w:rsid w:val="60503789"/>
    <w:rsid w:val="60D6516A"/>
    <w:rsid w:val="60E64762"/>
    <w:rsid w:val="60FA4DF7"/>
    <w:rsid w:val="611C3F8A"/>
    <w:rsid w:val="615A682D"/>
    <w:rsid w:val="61605CC6"/>
    <w:rsid w:val="61E82610"/>
    <w:rsid w:val="61F74A99"/>
    <w:rsid w:val="62313A1F"/>
    <w:rsid w:val="62626B68"/>
    <w:rsid w:val="627B1F67"/>
    <w:rsid w:val="62B42838"/>
    <w:rsid w:val="62C83817"/>
    <w:rsid w:val="62DE4ACD"/>
    <w:rsid w:val="630D2BC2"/>
    <w:rsid w:val="631B2E02"/>
    <w:rsid w:val="635B1B17"/>
    <w:rsid w:val="63974B7F"/>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CB6BDB"/>
    <w:rsid w:val="68F305EB"/>
    <w:rsid w:val="69036414"/>
    <w:rsid w:val="69256789"/>
    <w:rsid w:val="69926B5F"/>
    <w:rsid w:val="69952440"/>
    <w:rsid w:val="69CB5226"/>
    <w:rsid w:val="69CD7A52"/>
    <w:rsid w:val="6A064015"/>
    <w:rsid w:val="6A2D7FEB"/>
    <w:rsid w:val="6A4279C0"/>
    <w:rsid w:val="6A7D6C0C"/>
    <w:rsid w:val="6ADA3D5A"/>
    <w:rsid w:val="6AFA4AF2"/>
    <w:rsid w:val="6B7B2FD8"/>
    <w:rsid w:val="6B9916F8"/>
    <w:rsid w:val="6B9F7B64"/>
    <w:rsid w:val="6C37722F"/>
    <w:rsid w:val="6C6172CD"/>
    <w:rsid w:val="6CEE00EB"/>
    <w:rsid w:val="6DA1021D"/>
    <w:rsid w:val="6DF2753D"/>
    <w:rsid w:val="6E3863B8"/>
    <w:rsid w:val="6E533EFF"/>
    <w:rsid w:val="6E5955B2"/>
    <w:rsid w:val="6E8E090D"/>
    <w:rsid w:val="6EA14B04"/>
    <w:rsid w:val="6F0137F4"/>
    <w:rsid w:val="6F6D2C38"/>
    <w:rsid w:val="6FD42CB7"/>
    <w:rsid w:val="6FFF6D4A"/>
    <w:rsid w:val="7026388B"/>
    <w:rsid w:val="70812E3F"/>
    <w:rsid w:val="70893AA1"/>
    <w:rsid w:val="710870BC"/>
    <w:rsid w:val="71196127"/>
    <w:rsid w:val="71724535"/>
    <w:rsid w:val="71D52C52"/>
    <w:rsid w:val="71EE2ABC"/>
    <w:rsid w:val="71FB277D"/>
    <w:rsid w:val="723B3DAE"/>
    <w:rsid w:val="72526322"/>
    <w:rsid w:val="726173AB"/>
    <w:rsid w:val="727A5D97"/>
    <w:rsid w:val="72CD75C9"/>
    <w:rsid w:val="736F2E62"/>
    <w:rsid w:val="739E476C"/>
    <w:rsid w:val="73E8121C"/>
    <w:rsid w:val="741A0B00"/>
    <w:rsid w:val="74F87447"/>
    <w:rsid w:val="74FE5CD5"/>
    <w:rsid w:val="751B684F"/>
    <w:rsid w:val="752D219E"/>
    <w:rsid w:val="75B100C8"/>
    <w:rsid w:val="75B32982"/>
    <w:rsid w:val="75BD2DF1"/>
    <w:rsid w:val="75CD1474"/>
    <w:rsid w:val="76AC0BD3"/>
    <w:rsid w:val="76B4174A"/>
    <w:rsid w:val="76F22DA3"/>
    <w:rsid w:val="7770353A"/>
    <w:rsid w:val="777A2396"/>
    <w:rsid w:val="778F1B31"/>
    <w:rsid w:val="789E78B0"/>
    <w:rsid w:val="78B36B05"/>
    <w:rsid w:val="790C032D"/>
    <w:rsid w:val="792F052B"/>
    <w:rsid w:val="79C66218"/>
    <w:rsid w:val="79C93EE6"/>
    <w:rsid w:val="79DA6908"/>
    <w:rsid w:val="7A1A5B7A"/>
    <w:rsid w:val="7A382603"/>
    <w:rsid w:val="7A662608"/>
    <w:rsid w:val="7A9B65C4"/>
    <w:rsid w:val="7AC62DB2"/>
    <w:rsid w:val="7AD64090"/>
    <w:rsid w:val="7AD71133"/>
    <w:rsid w:val="7AFB3EE8"/>
    <w:rsid w:val="7B4B4DB2"/>
    <w:rsid w:val="7BC84294"/>
    <w:rsid w:val="7C195116"/>
    <w:rsid w:val="7C42092C"/>
    <w:rsid w:val="7C5A7B44"/>
    <w:rsid w:val="7C5C5D14"/>
    <w:rsid w:val="7CCF1551"/>
    <w:rsid w:val="7CDE4CF6"/>
    <w:rsid w:val="7CE107C1"/>
    <w:rsid w:val="7CE8603D"/>
    <w:rsid w:val="7DCA6AAE"/>
    <w:rsid w:val="7DDF6E92"/>
    <w:rsid w:val="7E3037AE"/>
    <w:rsid w:val="7E82623A"/>
    <w:rsid w:val="7E9116C6"/>
    <w:rsid w:val="7EE97BC8"/>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 w:type="character" w:customStyle="1" w:styleId="130">
    <w:name w:val="font61"/>
    <w:basedOn w:val="41"/>
    <w:qFormat/>
    <w:uiPriority w:val="0"/>
    <w:rPr>
      <w:rFonts w:hint="eastAsia" w:ascii="宋体" w:hAnsi="宋体" w:eastAsia="宋体" w:cs="宋体"/>
      <w:color w:val="000000"/>
      <w:sz w:val="20"/>
      <w:szCs w:val="20"/>
      <w:u w:val="none"/>
    </w:rPr>
  </w:style>
  <w:style w:type="character" w:customStyle="1" w:styleId="131">
    <w:name w:val="font41"/>
    <w:basedOn w:val="41"/>
    <w:qFormat/>
    <w:uiPriority w:val="0"/>
    <w:rPr>
      <w:rFonts w:hint="eastAsia" w:ascii="宋体" w:hAnsi="宋体" w:eastAsia="宋体" w:cs="宋体"/>
      <w:color w:val="000000"/>
      <w:sz w:val="20"/>
      <w:szCs w:val="20"/>
      <w:u w:val="none"/>
    </w:rPr>
  </w:style>
  <w:style w:type="character" w:customStyle="1" w:styleId="132">
    <w:name w:val="font11"/>
    <w:basedOn w:val="4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123</Pages>
  <Words>72256</Words>
  <Characters>78956</Characters>
  <Lines>613</Lines>
  <Paragraphs>172</Paragraphs>
  <TotalTime>0</TotalTime>
  <ScaleCrop>false</ScaleCrop>
  <LinksUpToDate>false</LinksUpToDate>
  <CharactersWithSpaces>80440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2022-06-16T12:59:46Z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