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cyan"/>
          <w:lang w:val="en-US" w:eastAsia="zh-CN"/>
        </w:rPr>
      </w:pPr>
      <w:r>
        <w:rPr>
          <w:rFonts w:hint="eastAsia" w:cs="宋体" w:asciiTheme="majorEastAsia" w:hAnsiTheme="majorEastAsia" w:eastAsiaTheme="majorEastAsia"/>
          <w:bCs/>
          <w:color w:val="000000" w:themeColor="text1"/>
          <w:sz w:val="24"/>
          <w:lang w:val="zh-CN"/>
        </w:rPr>
        <w:t>项目</w:t>
      </w:r>
      <w:r>
        <w:rPr>
          <w:rFonts w:hint="eastAsia" w:cs="宋体" w:asciiTheme="majorEastAsia" w:hAnsiTheme="majorEastAsia" w:eastAsiaTheme="majorEastAsia"/>
          <w:bCs/>
          <w:color w:val="000000" w:themeColor="text1"/>
          <w:sz w:val="24"/>
          <w:highlight w:val="none"/>
          <w:lang w:val="zh-CN"/>
        </w:rPr>
        <w:t>名称：墨玉县城乡村学校教育教学能力提升项目（</w:t>
      </w:r>
      <w:r>
        <w:rPr>
          <w:rFonts w:hint="eastAsia" w:cs="宋体" w:asciiTheme="majorEastAsia" w:hAnsiTheme="majorEastAsia" w:eastAsiaTheme="majorEastAsia"/>
          <w:bCs/>
          <w:color w:val="000000" w:themeColor="text1"/>
          <w:sz w:val="24"/>
          <w:highlight w:val="none"/>
          <w:lang w:val="zh-CN" w:eastAsia="zh-CN"/>
        </w:rPr>
        <w:t>包六：</w:t>
      </w:r>
      <w:r>
        <w:rPr>
          <w:rFonts w:hint="eastAsia" w:cs="宋体" w:asciiTheme="majorEastAsia" w:hAnsiTheme="majorEastAsia" w:eastAsiaTheme="majorEastAsia"/>
          <w:bCs/>
          <w:color w:val="000000" w:themeColor="text1"/>
          <w:sz w:val="24"/>
          <w:highlight w:val="none"/>
          <w:lang w:val="zh-CN"/>
        </w:rPr>
        <w:t>班班通）</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6</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w:t>
            </w:r>
            <w:r>
              <w:rPr>
                <w:rFonts w:hint="eastAsia" w:cs="宋体" w:asciiTheme="majorEastAsia" w:hAnsiTheme="majorEastAsia" w:eastAsiaTheme="majorEastAsia"/>
                <w:bCs/>
                <w:color w:val="000000" w:themeColor="text1"/>
                <w:sz w:val="24"/>
                <w:highlight w:val="none"/>
                <w:lang w:val="zh-CN" w:eastAsia="zh-CN"/>
              </w:rPr>
              <w:t>包六：</w:t>
            </w:r>
            <w:r>
              <w:rPr>
                <w:rFonts w:hint="eastAsia" w:cs="宋体" w:asciiTheme="majorEastAsia" w:hAnsiTheme="majorEastAsia" w:eastAsiaTheme="majorEastAsia"/>
                <w:bCs/>
                <w:color w:val="000000" w:themeColor="text1"/>
                <w:sz w:val="24"/>
                <w:highlight w:val="none"/>
                <w:lang w:val="zh-CN"/>
              </w:rPr>
              <w:t>班班通）</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25203"/>
      <w:bookmarkStart w:id="2" w:name="_Toc30006"/>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lang w:eastAsia="zh-CN"/>
              </w:rPr>
            </w:pPr>
            <w:r>
              <w:rPr>
                <w:rFonts w:hint="eastAsia" w:cs="仿宋" w:asciiTheme="majorEastAsia" w:hAnsiTheme="majorEastAsia" w:eastAsiaTheme="majorEastAsia"/>
                <w:color w:val="000000" w:themeColor="text1"/>
                <w:szCs w:val="21"/>
                <w:lang w:eastAsia="zh-CN"/>
              </w:rPr>
              <w:t>墨玉县城乡村学校教育教学能力提升项目（包六：班班通）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asciiTheme="majorEastAsia" w:hAnsiTheme="majorEastAsia" w:eastAsiaTheme="majorEastAsia"/>
                <w:color w:val="000000" w:themeColor="text1"/>
                <w:highlight w:val="none"/>
                <w:lang w:val="en-US" w:eastAsia="zh-CN"/>
              </w:rPr>
              <w:t>437.50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墨玉县城乡村学校教育教学能力提升项目（包六：班班通）</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lang w:val="zh-CN"/>
              </w:rPr>
              <w:t>资格</w:t>
            </w:r>
            <w:r>
              <w:rPr>
                <w:rFonts w:hint="eastAsia" w:cs="仿宋" w:asciiTheme="majorEastAsia" w:hAnsiTheme="majorEastAsia" w:eastAsiaTheme="majorEastAsia"/>
                <w:bCs/>
                <w:color w:val="000000" w:themeColor="text1"/>
                <w:kern w:val="0"/>
                <w:szCs w:val="21"/>
                <w:highlight w:val="none"/>
                <w:lang w:val="zh-CN"/>
              </w:rPr>
              <w:t>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6</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6</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asciiTheme="majorEastAsia" w:hAnsiTheme="majorEastAsia" w:eastAsiaTheme="majorEastAsia"/>
                <w:color w:val="000000" w:themeColor="text1"/>
                <w:highlight w:val="none"/>
                <w:lang w:val="en-US" w:eastAsia="zh-CN"/>
              </w:rPr>
              <w:t>437.50</w:t>
            </w:r>
            <w:r>
              <w:rPr>
                <w:rFonts w:hint="eastAsia" w:cs="仿宋" w:asciiTheme="majorEastAsia" w:hAnsiTheme="majorEastAsia" w:eastAsiaTheme="majorEastAsia"/>
                <w:color w:val="000000" w:themeColor="text1"/>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247815569"/>
      <w:bookmarkStart w:id="15" w:name="_Toc13805"/>
      <w:bookmarkStart w:id="16" w:name="_Toc182891057"/>
      <w:bookmarkStart w:id="17" w:name="_Toc176257397"/>
      <w:bookmarkStart w:id="18" w:name="_Toc7151"/>
      <w:bookmarkStart w:id="19" w:name="_Toc176257387"/>
      <w:bookmarkStart w:id="20" w:name="_Toc225356383"/>
      <w:bookmarkStart w:id="21" w:name="_Toc247815566"/>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725"/>
      <w:bookmarkStart w:id="23" w:name="_Toc26365"/>
      <w:bookmarkStart w:id="24" w:name="_Toc6327"/>
      <w:bookmarkStart w:id="25" w:name="_Toc17604"/>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5664"/>
      <w:bookmarkStart w:id="27" w:name="_Toc2732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3859"/>
            <w:bookmarkStart w:id="29" w:name="_Toc5344"/>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sz w:val="24"/>
                <w:szCs w:val="24"/>
                <w:highlight w:val="none"/>
                <w:u w:val="none"/>
                <w:lang w:eastAsia="zh-CN"/>
              </w:rPr>
            </w:pPr>
            <w:r>
              <w:rPr>
                <w:rFonts w:hint="eastAsia" w:ascii="宋体" w:hAnsi="宋体" w:cs="宋体"/>
                <w:color w:val="auto"/>
                <w:sz w:val="24"/>
                <w:szCs w:val="24"/>
                <w:highlight w:val="none"/>
                <w:u w:val="none"/>
              </w:rPr>
              <w:t>投标文件制作：投标文件内容编制完整、格式规范、排列顺序准确，装订整齐、美观，完全符合招标文件要求</w:t>
            </w:r>
            <w:r>
              <w:rPr>
                <w:rFonts w:hint="eastAsia" w:ascii="宋体" w:hAnsi="宋体" w:cs="宋体"/>
                <w:color w:val="auto"/>
                <w:sz w:val="24"/>
                <w:szCs w:val="24"/>
                <w:highlight w:val="none"/>
                <w:u w:val="none"/>
                <w:lang w:eastAsia="zh-CN"/>
              </w:rPr>
              <w:t>的得</w:t>
            </w:r>
            <w:r>
              <w:rPr>
                <w:rFonts w:hint="eastAsia" w:ascii="宋体" w:hAnsi="宋体" w:cs="宋体"/>
                <w:color w:val="auto"/>
                <w:sz w:val="24"/>
                <w:szCs w:val="24"/>
                <w:highlight w:val="none"/>
                <w:u w:val="none"/>
                <w:lang w:val="en-US" w:eastAsia="zh-CN"/>
              </w:rPr>
              <w:t>2分</w:t>
            </w:r>
            <w:r>
              <w:rPr>
                <w:rFonts w:hint="eastAsia" w:ascii="宋体" w:hAnsi="宋体" w:cs="宋体"/>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设备的选型</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所投产品设备选型、型号、品牌先进的、前沿性等综合评比优异得</w:t>
            </w: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分，一般</w:t>
            </w: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rPr>
              <w:t>分，差不得分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产品质量性能（15分）：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产品质量、性能满足设计及采购文件要求，产品性价比高，技术应答无偏离，返修率低，得10-15分；产品质量、性能基本满足设计及采购文件要求，产品性价比一般，技术应答基本无偏离，返修率低，得5-10分；产品质量、性能差,产品性价比差，技术应答无偏离,但返修率高，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eastAsia="zh-CN"/>
              </w:rPr>
              <w:t>技术方案和实施方案的合理性（15分）</w:t>
            </w:r>
            <w:r>
              <w:rPr>
                <w:rFonts w:hint="eastAsia" w:ascii="宋体" w:hAnsi="宋体" w:eastAsia="宋体" w:cs="宋体"/>
                <w:sz w:val="24"/>
                <w:szCs w:val="24"/>
                <w:highlight w:val="none"/>
                <w:u w:val="none"/>
                <w:lang w:val="en-US" w:eastAsia="zh-CN"/>
              </w:rPr>
              <w:t>:</w:t>
            </w:r>
          </w:p>
          <w:p>
            <w:pPr>
              <w:spacing w:line="320" w:lineRule="exact"/>
              <w:ind w:left="0" w:leftChars="0" w:firstLine="0" w:firstLineChars="0"/>
              <w:jc w:val="left"/>
              <w:rPr>
                <w:rFonts w:hint="default"/>
                <w:lang w:val="en-US" w:eastAsia="zh-CN"/>
              </w:rPr>
            </w:pPr>
            <w:r>
              <w:rPr>
                <w:rFonts w:hint="default" w:ascii="宋体" w:hAnsi="宋体" w:eastAsia="宋体" w:cs="宋体"/>
                <w:sz w:val="24"/>
                <w:szCs w:val="24"/>
                <w:highlight w:val="none"/>
                <w:u w:val="none"/>
                <w:lang w:val="en-US" w:eastAsia="zh-CN"/>
              </w:rPr>
              <w:t>技术方案内容完整，有详尽的实施方案，方案先进合理，对招标文件的响应程度高，得10-15分；技术方案内容一般，对招标文件响应程度一般的，得5-10分；技术方案粗糙，对招标文件无实质性响应的得0-5分；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产品资质响应情况（10分）:</w:t>
            </w:r>
          </w:p>
          <w:p>
            <w:pPr>
              <w:spacing w:line="320" w:lineRule="exact"/>
              <w:ind w:left="0" w:leftChars="0" w:firstLine="0" w:firstLineChars="0"/>
              <w:jc w:val="left"/>
              <w:rPr>
                <w:rFonts w:hint="eastAsia"/>
                <w:lang w:val="en-US" w:eastAsia="zh-CN"/>
              </w:rPr>
            </w:pPr>
            <w:r>
              <w:rPr>
                <w:rFonts w:hint="eastAsia" w:ascii="宋体" w:hAnsi="宋体" w:eastAsia="宋体" w:cs="宋体"/>
                <w:sz w:val="24"/>
                <w:szCs w:val="24"/>
                <w:highlight w:val="none"/>
                <w:u w:val="none"/>
                <w:lang w:val="en-US" w:eastAsia="zh-CN"/>
              </w:rPr>
              <w:t>为保障产品质量，投标人须满足投标技术参数中要求的相关重要参数资质文件，完全满足得10分，对于不满足项，每缺少一项扣2分，扣完为止。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分、良3分，一般1分，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8"/>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eastAsia" w:ascii="宋体" w:hAnsi="宋体" w:cs="宋体"/>
                <w:color w:val="000000"/>
                <w:kern w:val="0"/>
                <w:sz w:val="24"/>
                <w:szCs w:val="24"/>
                <w:highlight w:val="none"/>
                <w:u w:val="none"/>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1374"/>
      <w:bookmarkStart w:id="31" w:name="_Toc29752"/>
      <w:bookmarkStart w:id="32" w:name="_Toc23656"/>
      <w:bookmarkStart w:id="33" w:name="_Toc14133"/>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4035"/>
      <w:bookmarkStart w:id="35" w:name="_Toc8777"/>
      <w:bookmarkStart w:id="36" w:name="_Toc7632"/>
      <w:bookmarkStart w:id="37" w:name="_Toc18463"/>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4197"/>
      <w:bookmarkStart w:id="39" w:name="_Toc23721"/>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3363808"/>
      <w:bookmarkStart w:id="42" w:name="_Toc43478440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39"/>
        <w:tblW w:w="149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8"/>
        <w:gridCol w:w="622"/>
        <w:gridCol w:w="11986"/>
        <w:gridCol w:w="855"/>
        <w:gridCol w:w="8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9" w:hRule="atLeast"/>
        </w:trPr>
        <w:tc>
          <w:tcPr>
            <w:tcW w:w="14940" w:type="dxa"/>
            <w:gridSpan w:val="5"/>
            <w:tcBorders>
              <w:top w:val="single" w:color="000000" w:sz="4" w:space="0"/>
              <w:left w:val="single" w:color="000000" w:sz="4" w:space="0"/>
              <w:bottom w:val="single" w:color="000000" w:sz="4" w:space="0"/>
              <w:right w:val="nil"/>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班班通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7"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名称</w:t>
            </w:r>
          </w:p>
        </w:tc>
        <w:tc>
          <w:tcPr>
            <w:tcW w:w="12047"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产品技术参数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30" w:hRule="atLeast"/>
        </w:trPr>
        <w:tc>
          <w:tcPr>
            <w:tcW w:w="5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65寸触摸教学设备</w:t>
            </w:r>
          </w:p>
        </w:tc>
        <w:tc>
          <w:tcPr>
            <w:tcW w:w="120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一、总体要求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整机采用一体设计，外部无任何可见内部功能模块连接线。2. 整机外壳采用金属材质，屏幕采用不大于4mm防眩钢化玻璃保护，表面硬度不低于莫氏8级。整机具备抗强光干扰性能，在100KLUX照度的光照下保证书写功能正常。3. 为便于老师快速调用相关功能，屏体正面设置不少于6个前置物理按键。且整机具备至少1路HDMI接口及2路前置USB接口与1路前置Type-c接口，且整机前置物理按键和接口均丝印有相应标识，方便教学操作。4. 交互平板前置物理按键，可通过此物理按键快速调用录屏功能，同步录制屏幕中的画面和声音，并自动保存成为标准格式视频，方便老师导出。（提供国家权威检测报告复印件并加盖厂家公章）。注：A规屏证明（液晶屏原厂证明）,平均无故障率MTBF大于或等于十万小时以上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二、显示模块及整机性能要求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LED液晶屏体：A规屏，显示尺寸≥65英寸，显示比例16:9，物理分辨率：3840×2160。屏体亮度≥350cd/M2,对比度≥6000：1，最大可视角度≥178度。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整机Android系统版本不低于Android9.0，内存不低于8GB，存储空间不低于8GB。（提供国家权威检测报告复印件并加盖厂家公章）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内置摄像头，像素≥500万；内置摄像头支持通过人脸识别解锁交互智能平板；一键录屏：设备支持通过前置物理按键一键启动录屏功能，可将屏幕中显示的课件、音频内容与老师人声同时录制；内置全向麦克风阵列；不接受模块化外部摄像头拼接具备摄像头工作指示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 为防止学生操作设备进行无关教学的活动，设备需支持触摸锁定及按键锁定，锁定后无法随意自由操作，为防止学生私自解除触摸锁定功能，设备使用时需插入USB key、加密狗等形式进行解锁，拒绝通过前置按键直接解锁。5. 整机具备前置喇叭，保证课堂音视频素材播放效果；输出功率≥50。6. 采用红外触控技术。支持20点触控，支持多人同时书写和擦除。（提供国家级检测报告复印件加盖厂商公章）7.为便于不同操作习惯的老师进行设备操作。需支持锁定屏幕触摸和整机前置按键，可通过遥控器、十指长按屏幕5秒、软件菜单实现该功能，也可通过前置面板的物理按键以组合按键的形式进行锁定/解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三、电脑模块：</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Intel i5CPU； 内存：8GB DDR4笔记本内存或以上配置；硬盘：256GB或以上SSD固态硬盘。模块采用抽拉内置式模块化电脑，抽拉内置式，PC模块可插入整机，可实现无单独接线的插拔。基于后期维护便捷性考虑，PC模块支持不断电情况下热插拔。为方便后期老师的拓展性需求，具有独立非外扩展的视频输出接口：≥1路HDMI 。具有独立非外扩展的电脑USB3.0接口和TypeA接口。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四、病毒库（软件需与设备为同一生产厂家）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病毒库提供针对Zip,RAR，PDF等30余种教学常用文件格式的扫描，病毒特征库包含不少于370万个病毒的特征码，可侦测到携带勒索病毒的软件和文件，支持在线实时更新。2. 支持查看设备基本信息，包括系统名称、CPU、内存、硬盘、MCU、TV、触摸框、显卡、屏幕、摄像头、网卡信息等。3. 支持对外接移动存储设备进行即时病毒检查，确保教学安全。4. 具备备份系统，还原系统功能。5. 支持对系统盘进行垃圾清理、大文件迁移，释放系统盘空间占用，提升设备运行速度。6. 提供相关软件著作权。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五、备课软件（软件需与设备为同一生产厂家）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软件菜单功能按钮/图标配备明确中文标识，可添加不小于3个自定义功能按键，可自定义常用软件功能如：荧光笔、幕布、时钟、截图、量角器、圆规、直尺、微课工具等；2. 支持免登录直接使用本地教学工具，支持账号、U盘和扫码登录；3. 易用的文本编辑功能，支持文本输入并可快速设置字体、大小、颜色、粗体、斜体、下划线、删除线、上标、下标、项目符号等复杂文本的输入，可对文本的对齐、行间距、透明度等进行设置，方便用户编辑文字；4. 提供音、视频编辑功能；具备音视频打点功能，便于快速教学定位。5. 软件需支持互动教学课件支持定向精准分享：分享者可将互动课件、课件组精准推送至指定接收方账号云空间，接收方可在云空间接收并打开分享课件；为防止资料泄露，拒绝使用二维码或者链接德形式进行传递。（提供国家权威检测报告复印件并加盖厂家公章）6. 提供插入形状功能不低于20种，可自定义图形填充色、边框颜色、边框粗细、边框样式、透明度、可添加文字；7. 思维导图：提供多种思维导图模板满足不同演示需求；8. 白板软件自带评课功能，老师通过二维码扫描即可快速进行评课，评课后在学校平台可直接显示评课统计结果。平台需与设备为同一厂家。9. 软件需带直播课堂功能，老师可在白板软件中提前创建直播课堂，并关联个人空间中的课件，生成听课码，学生只需微信扫码即可快速加入直播课堂，老师还可实时下发客观答题，学生可远程实时互动答题，并进行课堂发言和同步板书书写。10. 为了方便教学反思，支持在白板软件中一键对课堂进行内容实录并选择上传平台，可对实录内容进行语音识别，转化为文字。支持对实录的课件根据课件翻页时间自动切片打点，包括翻页、跳转至任意指定页、支持画笔、橡皮擦、撤销等工具的调用，互动教学游戏中所有元素都可二次拖动，方便对课件进行预览学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六、设备控制平台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为便于学校进行设备管理，提供设备统一管理平台，Windows、Linux、Android、IOS等多种操作系统通过网页浏览器登陆操作，提供多种智能身份识别方式：支持通过账号登录、手机扫码登录等方式，方便用户使用。支持管理员移动端进行设备管理，免安装并支持Android、IOS等多种移动操作系统，便于远程管理及告警信息通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平台支持对全校智慧教室的教学信息化设备进行集中运维管理和策略部署，支持与交互智能教学设备、学生智能终端等教学设备的底层系统无缝对接。3. 为管理者更好的管控设备，管理平台实时监测已连接的交互智能设备状态，支持不少于10台设备的略缩预览以及单设备全屏查看；可远程监测交互智能设备开关机状态、CPU温度、CPU使用率、硬盘空间、硬盘使用状况、内存容量、内存使用率、受控端系统版本、设备ID等设备数据。4. 基于实际教学场景需要，软件需支持远程设备控制，包括开关机、文件下发、软件安装、发布公告通知等，教学软件还可设置静默自动更新，不打断课堂教学节奏。5. 为方便学校管理者巡课，平台通过一体机内置摄像头即可快速开启远程在线巡课，并可设置值守轮训功能，自动轮循一体机及教室学生画面。6. 为满足智慧校园设备管理的扩展需要，支持对学生个人学习终端进行远程控制，包括更改壁纸、网络黑/白名单、控制端口权限、查看设备电量等信息功能。7. 为帮助管理员进行高效的设备还原，支持远程进行冰点冻结及恢复。可选择任意磁盘进行冻结，整机重启后，冻结的磁盘上除了冻结前的文件外其他文件都会被清空。8. 为便于管理员随时管控设备，平台具备手机移动端，无需下载单独软件，在微信中即可快速查看设备状态信息，并直接进行远程开关机操作。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七、信息化教学应用能力培训服务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培训内容：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1.培训涵盖包含不小于10个单元，按天进行课程计划拆分；2.提供教师公开课展示平台，支持开放多人联动教研系统、学员听评热力图等技术，分析点评教师设备使用情况；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其他要求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 整机提供同一厂家的3C认证、CQC节能认证、OPS提供3C认证。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 所投产品（OPS）符合中华人民共和国无线电管理规定和技术标准，提供无线电发射设备型号核准证明。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3.提供整机性能检测报告。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报价需含推拉黑板成套，两边推拉，四块组合设计，一体机镶入黑板中，置于轨道中间，尺寸与所配一体机吻合。组合推拉式教学板整体结构尺寸标准：≥1200mm*4000mm,黑板整体厚度须小于180mm，一体机四周均有档墙板，不能露墙。</w:t>
            </w:r>
          </w:p>
        </w:tc>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w:t>
            </w:r>
          </w:p>
        </w:tc>
        <w:tc>
          <w:tcPr>
            <w:tcW w:w="8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42" w:hRule="atLeast"/>
        </w:trPr>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69" w:hRule="atLeast"/>
        </w:trPr>
        <w:tc>
          <w:tcPr>
            <w:tcW w:w="5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0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4883D25"/>
    <w:rsid w:val="0492678A"/>
    <w:rsid w:val="04C00CA3"/>
    <w:rsid w:val="04C00E57"/>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F442E1"/>
    <w:rsid w:val="09267C87"/>
    <w:rsid w:val="092D370C"/>
    <w:rsid w:val="0A263E36"/>
    <w:rsid w:val="0A904119"/>
    <w:rsid w:val="0AD14CDF"/>
    <w:rsid w:val="0B1E2CF3"/>
    <w:rsid w:val="0BE97EFE"/>
    <w:rsid w:val="0BFD77A1"/>
    <w:rsid w:val="0C3044C8"/>
    <w:rsid w:val="0C38346D"/>
    <w:rsid w:val="0C7E1DDA"/>
    <w:rsid w:val="0C8F33B1"/>
    <w:rsid w:val="0C91130F"/>
    <w:rsid w:val="0CA60EC1"/>
    <w:rsid w:val="0CEA39DE"/>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FC366A"/>
    <w:rsid w:val="11896C4C"/>
    <w:rsid w:val="11CD14AD"/>
    <w:rsid w:val="12045226"/>
    <w:rsid w:val="120C530F"/>
    <w:rsid w:val="12E86A97"/>
    <w:rsid w:val="12FC7352"/>
    <w:rsid w:val="13434F3B"/>
    <w:rsid w:val="13613FFE"/>
    <w:rsid w:val="13937976"/>
    <w:rsid w:val="14604860"/>
    <w:rsid w:val="14BD7762"/>
    <w:rsid w:val="14C57C8A"/>
    <w:rsid w:val="14E42C49"/>
    <w:rsid w:val="14FA380C"/>
    <w:rsid w:val="157E0E30"/>
    <w:rsid w:val="15D77B51"/>
    <w:rsid w:val="16550C64"/>
    <w:rsid w:val="16BD7C0A"/>
    <w:rsid w:val="16C872CB"/>
    <w:rsid w:val="16F073B5"/>
    <w:rsid w:val="17557A23"/>
    <w:rsid w:val="179C5730"/>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E572BD7"/>
    <w:rsid w:val="1E794B6C"/>
    <w:rsid w:val="1F374BDB"/>
    <w:rsid w:val="1F5F1CED"/>
    <w:rsid w:val="1F676B2A"/>
    <w:rsid w:val="1F6B31DF"/>
    <w:rsid w:val="1F7F5EEC"/>
    <w:rsid w:val="1F9729D8"/>
    <w:rsid w:val="210B18C1"/>
    <w:rsid w:val="2114370F"/>
    <w:rsid w:val="21313124"/>
    <w:rsid w:val="21362D32"/>
    <w:rsid w:val="213A7228"/>
    <w:rsid w:val="217A4E7B"/>
    <w:rsid w:val="2180452F"/>
    <w:rsid w:val="218E27EC"/>
    <w:rsid w:val="223F09B3"/>
    <w:rsid w:val="22BD2FB3"/>
    <w:rsid w:val="22E633A0"/>
    <w:rsid w:val="23A90EBD"/>
    <w:rsid w:val="23AF73EA"/>
    <w:rsid w:val="23B87B80"/>
    <w:rsid w:val="24C2033C"/>
    <w:rsid w:val="252C0395"/>
    <w:rsid w:val="2570196D"/>
    <w:rsid w:val="25C03D0B"/>
    <w:rsid w:val="25CF6646"/>
    <w:rsid w:val="268B15D0"/>
    <w:rsid w:val="278C389C"/>
    <w:rsid w:val="27A569B0"/>
    <w:rsid w:val="27B84691"/>
    <w:rsid w:val="27E91B4B"/>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C43190"/>
    <w:rsid w:val="2CE26BE9"/>
    <w:rsid w:val="2D717B76"/>
    <w:rsid w:val="2DFC55A1"/>
    <w:rsid w:val="2E0D46EB"/>
    <w:rsid w:val="2E3D769E"/>
    <w:rsid w:val="2E86223B"/>
    <w:rsid w:val="2EAA2A37"/>
    <w:rsid w:val="2EAC071C"/>
    <w:rsid w:val="2F4A02C4"/>
    <w:rsid w:val="30043E92"/>
    <w:rsid w:val="30324C0F"/>
    <w:rsid w:val="309C411D"/>
    <w:rsid w:val="314F57A5"/>
    <w:rsid w:val="32E20253"/>
    <w:rsid w:val="32E2051D"/>
    <w:rsid w:val="33064502"/>
    <w:rsid w:val="330D758E"/>
    <w:rsid w:val="333B73E0"/>
    <w:rsid w:val="33881640"/>
    <w:rsid w:val="33E44B64"/>
    <w:rsid w:val="340A4173"/>
    <w:rsid w:val="34160633"/>
    <w:rsid w:val="344717C2"/>
    <w:rsid w:val="346A28BB"/>
    <w:rsid w:val="357D388C"/>
    <w:rsid w:val="357F059C"/>
    <w:rsid w:val="35CE71FD"/>
    <w:rsid w:val="362505B4"/>
    <w:rsid w:val="36D17804"/>
    <w:rsid w:val="37421C09"/>
    <w:rsid w:val="37A4078E"/>
    <w:rsid w:val="3821593A"/>
    <w:rsid w:val="38220352"/>
    <w:rsid w:val="388B1675"/>
    <w:rsid w:val="38F802A1"/>
    <w:rsid w:val="393B0F3D"/>
    <w:rsid w:val="3951559F"/>
    <w:rsid w:val="39764E9F"/>
    <w:rsid w:val="39DD0704"/>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820BDF"/>
    <w:rsid w:val="3FF12E03"/>
    <w:rsid w:val="3FF516F1"/>
    <w:rsid w:val="40594B80"/>
    <w:rsid w:val="40AA4AE5"/>
    <w:rsid w:val="414854D9"/>
    <w:rsid w:val="41A46E67"/>
    <w:rsid w:val="41C053DF"/>
    <w:rsid w:val="422B54E7"/>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9344EF"/>
    <w:rsid w:val="45E67D5B"/>
    <w:rsid w:val="45F8417E"/>
    <w:rsid w:val="461125FB"/>
    <w:rsid w:val="47013507"/>
    <w:rsid w:val="47272960"/>
    <w:rsid w:val="478E2FE2"/>
    <w:rsid w:val="47A51EEF"/>
    <w:rsid w:val="47A66A72"/>
    <w:rsid w:val="47BF537F"/>
    <w:rsid w:val="47C86417"/>
    <w:rsid w:val="48324D26"/>
    <w:rsid w:val="48C05E50"/>
    <w:rsid w:val="49C04A33"/>
    <w:rsid w:val="4AD036B3"/>
    <w:rsid w:val="4AD256CE"/>
    <w:rsid w:val="4B0215FB"/>
    <w:rsid w:val="4B83303B"/>
    <w:rsid w:val="4C203837"/>
    <w:rsid w:val="4CAA6B2F"/>
    <w:rsid w:val="4CF10148"/>
    <w:rsid w:val="4CF3569F"/>
    <w:rsid w:val="4CFF2151"/>
    <w:rsid w:val="4D3D7474"/>
    <w:rsid w:val="4D6F17F8"/>
    <w:rsid w:val="4DBF0947"/>
    <w:rsid w:val="4DC23D08"/>
    <w:rsid w:val="4E0B07A7"/>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B7F81"/>
    <w:rsid w:val="52ED12D8"/>
    <w:rsid w:val="534831A7"/>
    <w:rsid w:val="545E380D"/>
    <w:rsid w:val="549C03CB"/>
    <w:rsid w:val="54E34CD9"/>
    <w:rsid w:val="551758B9"/>
    <w:rsid w:val="557F62AC"/>
    <w:rsid w:val="55CC6BA1"/>
    <w:rsid w:val="56105BB5"/>
    <w:rsid w:val="56386FBA"/>
    <w:rsid w:val="565A1112"/>
    <w:rsid w:val="56B443C7"/>
    <w:rsid w:val="56F40992"/>
    <w:rsid w:val="571B6DE8"/>
    <w:rsid w:val="57520916"/>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E57428"/>
    <w:rsid w:val="5BF82EE6"/>
    <w:rsid w:val="5BF907F8"/>
    <w:rsid w:val="5C0C052C"/>
    <w:rsid w:val="5C2E7375"/>
    <w:rsid w:val="5C381321"/>
    <w:rsid w:val="5C5E5DE0"/>
    <w:rsid w:val="5C881635"/>
    <w:rsid w:val="5CA76D5C"/>
    <w:rsid w:val="5CF6176C"/>
    <w:rsid w:val="5D0C4001"/>
    <w:rsid w:val="5D187F14"/>
    <w:rsid w:val="5E7B0CE3"/>
    <w:rsid w:val="5E98619E"/>
    <w:rsid w:val="5F4624A1"/>
    <w:rsid w:val="5FFA28BF"/>
    <w:rsid w:val="6000759F"/>
    <w:rsid w:val="60065292"/>
    <w:rsid w:val="601C0788"/>
    <w:rsid w:val="602476D2"/>
    <w:rsid w:val="602E272E"/>
    <w:rsid w:val="60503789"/>
    <w:rsid w:val="60D6516A"/>
    <w:rsid w:val="60E64762"/>
    <w:rsid w:val="60FA4DF7"/>
    <w:rsid w:val="611C3F8A"/>
    <w:rsid w:val="615A682D"/>
    <w:rsid w:val="61605CC6"/>
    <w:rsid w:val="61E82610"/>
    <w:rsid w:val="62313A1F"/>
    <w:rsid w:val="62626B68"/>
    <w:rsid w:val="627B1F67"/>
    <w:rsid w:val="62C83817"/>
    <w:rsid w:val="62DE4ACD"/>
    <w:rsid w:val="630D2BC2"/>
    <w:rsid w:val="635B1B17"/>
    <w:rsid w:val="63874605"/>
    <w:rsid w:val="63974B7F"/>
    <w:rsid w:val="6397720D"/>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F305EB"/>
    <w:rsid w:val="69036414"/>
    <w:rsid w:val="69256789"/>
    <w:rsid w:val="69926B5F"/>
    <w:rsid w:val="69952440"/>
    <w:rsid w:val="69CB5226"/>
    <w:rsid w:val="69CD7A52"/>
    <w:rsid w:val="6A064015"/>
    <w:rsid w:val="6A2D7FEB"/>
    <w:rsid w:val="6A4279C0"/>
    <w:rsid w:val="6A7D6C0C"/>
    <w:rsid w:val="6ADA3D5A"/>
    <w:rsid w:val="6AFA4AF2"/>
    <w:rsid w:val="6B7B2FD8"/>
    <w:rsid w:val="6B9916F8"/>
    <w:rsid w:val="6B9F7B64"/>
    <w:rsid w:val="6C6172CD"/>
    <w:rsid w:val="6CEE00EB"/>
    <w:rsid w:val="6DA1021D"/>
    <w:rsid w:val="6DF2753D"/>
    <w:rsid w:val="6E533EFF"/>
    <w:rsid w:val="6E5955B2"/>
    <w:rsid w:val="6E8E090D"/>
    <w:rsid w:val="6EA14B04"/>
    <w:rsid w:val="6F0137F4"/>
    <w:rsid w:val="6F6D2C38"/>
    <w:rsid w:val="6FD42CB7"/>
    <w:rsid w:val="6FFF6D4A"/>
    <w:rsid w:val="7026388B"/>
    <w:rsid w:val="70812E3F"/>
    <w:rsid w:val="70893AA1"/>
    <w:rsid w:val="70EE76FC"/>
    <w:rsid w:val="710870BC"/>
    <w:rsid w:val="7164644B"/>
    <w:rsid w:val="71724535"/>
    <w:rsid w:val="71D52C52"/>
    <w:rsid w:val="71EE2ABC"/>
    <w:rsid w:val="71FB277D"/>
    <w:rsid w:val="723B3DAE"/>
    <w:rsid w:val="726173AB"/>
    <w:rsid w:val="727A5D97"/>
    <w:rsid w:val="736F2E62"/>
    <w:rsid w:val="739E476C"/>
    <w:rsid w:val="73E8121C"/>
    <w:rsid w:val="741A0B00"/>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C66218"/>
    <w:rsid w:val="79DA6908"/>
    <w:rsid w:val="7A1A5B7A"/>
    <w:rsid w:val="7A382603"/>
    <w:rsid w:val="7A9B65C4"/>
    <w:rsid w:val="7AC62DB2"/>
    <w:rsid w:val="7AD64090"/>
    <w:rsid w:val="7AD71133"/>
    <w:rsid w:val="7AFB3EE8"/>
    <w:rsid w:val="7B4B4DB2"/>
    <w:rsid w:val="7BC84294"/>
    <w:rsid w:val="7C195116"/>
    <w:rsid w:val="7C42092C"/>
    <w:rsid w:val="7C5A7B44"/>
    <w:rsid w:val="7C5C5D14"/>
    <w:rsid w:val="7CCF1551"/>
    <w:rsid w:val="7CDE4CF6"/>
    <w:rsid w:val="7CE107C1"/>
    <w:rsid w:val="7CE8603D"/>
    <w:rsid w:val="7DCA6AAE"/>
    <w:rsid w:val="7DDF6E92"/>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84</Pages>
  <Words>47371</Words>
  <Characters>50552</Characters>
  <Lines>613</Lines>
  <Paragraphs>172</Paragraphs>
  <TotalTime>0</TotalTime>
  <ScaleCrop>false</ScaleCrop>
  <LinksUpToDate>false</LinksUpToDate>
  <CharactersWithSpaces>51724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2022-06-16T13:00:20Z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